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693F5D" w:rsidP="00562A87">
            <w:pPr>
              <w:rPr>
                <w:b/>
                <w:bCs/>
                <w:sz w:val="28"/>
                <w:szCs w:val="28"/>
              </w:rPr>
            </w:pPr>
            <w:bookmarkStart w:id="0" w:name="Meeting"/>
            <w:bookmarkEnd w:id="0"/>
            <w:r w:rsidRPr="00693F5D">
              <w:rPr>
                <w:b/>
                <w:bCs/>
                <w:sz w:val="28"/>
                <w:szCs w:val="28"/>
              </w:rPr>
              <w:t>Regional Preparatory Meeting for WTDC-17 for Europe (RPM-EUR)</w:t>
            </w:r>
            <w:r w:rsidR="00562A87" w:rsidRPr="00693F5D">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693F5D"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B31B09">
              <w:rPr>
                <w:b/>
                <w:bCs/>
                <w:szCs w:val="24"/>
                <w:lang w:val="fr-FR"/>
              </w:rPr>
              <w:t>RPM-EUR17</w:t>
            </w:r>
            <w:r w:rsidR="006527BD" w:rsidRPr="00930F7E">
              <w:rPr>
                <w:b/>
                <w:bCs/>
                <w:szCs w:val="24"/>
                <w:lang w:val="fr-FR"/>
              </w:rPr>
              <w:t>/</w:t>
            </w:r>
            <w:bookmarkStart w:id="3" w:name="DocNo1"/>
            <w:bookmarkEnd w:id="3"/>
            <w:r w:rsidR="00693F5D">
              <w:rPr>
                <w:b/>
                <w:bCs/>
                <w:szCs w:val="24"/>
                <w:lang w:val="fr-FR"/>
              </w:rPr>
              <w:t>34-E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693F5D" w:rsidP="00BF1682">
            <w:pPr>
              <w:spacing w:before="0"/>
              <w:rPr>
                <w:b/>
                <w:bCs/>
                <w:szCs w:val="24"/>
                <w:lang w:val="fr-FR"/>
              </w:rPr>
            </w:pPr>
            <w:bookmarkStart w:id="4" w:name="CreationDate"/>
            <w:bookmarkEnd w:id="4"/>
            <w:r>
              <w:rPr>
                <w:b/>
                <w:bCs/>
                <w:szCs w:val="24"/>
                <w:lang w:val="fr-FR"/>
              </w:rPr>
              <w:t>25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693F5D">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693F5D" w:rsidRDefault="00B31B09" w:rsidP="00E20210">
            <w:pPr>
              <w:spacing w:after="120"/>
              <w:jc w:val="center"/>
              <w:rPr>
                <w:b/>
                <w:bCs/>
                <w:sz w:val="28"/>
                <w:szCs w:val="28"/>
              </w:rPr>
            </w:pPr>
            <w:bookmarkStart w:id="6" w:name="Source"/>
            <w:bookmarkEnd w:id="6"/>
            <w:r>
              <w:rPr>
                <w:b/>
                <w:bCs/>
                <w:sz w:val="28"/>
                <w:szCs w:val="28"/>
              </w:rPr>
              <w:t>Montenegro</w:t>
            </w:r>
          </w:p>
        </w:tc>
      </w:tr>
      <w:tr w:rsidR="00562A87" w:rsidRPr="00E20210" w:rsidTr="00E20210">
        <w:trPr>
          <w:gridAfter w:val="1"/>
          <w:wAfter w:w="12" w:type="dxa"/>
          <w:cantSplit/>
          <w:trHeight w:val="537"/>
          <w:jc w:val="center"/>
        </w:trPr>
        <w:tc>
          <w:tcPr>
            <w:tcW w:w="10021" w:type="dxa"/>
            <w:gridSpan w:val="3"/>
          </w:tcPr>
          <w:p w:rsidR="00562A87" w:rsidRPr="00693F5D" w:rsidRDefault="00693F5D" w:rsidP="00E20210">
            <w:pPr>
              <w:spacing w:after="120"/>
              <w:jc w:val="center"/>
              <w:rPr>
                <w:sz w:val="28"/>
                <w:szCs w:val="28"/>
              </w:rPr>
            </w:pPr>
            <w:bookmarkStart w:id="7" w:name="Title"/>
            <w:bookmarkEnd w:id="7"/>
            <w:r w:rsidRPr="00693F5D">
              <w:rPr>
                <w:sz w:val="28"/>
                <w:szCs w:val="28"/>
              </w:rPr>
              <w:t xml:space="preserve">REGIONAL INITIATIVE ON UBIQUITOUS RESILIENT HIGH SPEED BROADBAND INFRASTRUCTURE AND SERVICES </w:t>
            </w:r>
          </w:p>
        </w:tc>
      </w:tr>
      <w:tr w:rsidR="00B31B09" w:rsidRPr="00E20210" w:rsidTr="006665D7">
        <w:trPr>
          <w:gridAfter w:val="1"/>
          <w:wAfter w:w="12" w:type="dxa"/>
          <w:cantSplit/>
          <w:trHeight w:val="537"/>
          <w:jc w:val="center"/>
        </w:trPr>
        <w:tc>
          <w:tcPr>
            <w:tcW w:w="10021" w:type="dxa"/>
            <w:gridSpan w:val="3"/>
            <w:tcBorders>
              <w:bottom w:val="single" w:sz="4" w:space="0" w:color="auto"/>
            </w:tcBorders>
          </w:tcPr>
          <w:p w:rsidR="00B31B09" w:rsidRPr="00693F5D" w:rsidRDefault="00B31B09" w:rsidP="00E20210">
            <w:pPr>
              <w:spacing w:after="120"/>
              <w:jc w:val="center"/>
              <w:rPr>
                <w:sz w:val="28"/>
                <w:szCs w:val="28"/>
              </w:rPr>
            </w:pPr>
          </w:p>
        </w:tc>
      </w:tr>
      <w:tr w:rsidR="00B31B09" w:rsidRPr="00E20210" w:rsidTr="006665D7">
        <w:trPr>
          <w:gridAfter w:val="1"/>
          <w:wAfter w:w="12" w:type="dxa"/>
          <w:cantSplit/>
          <w:trHeight w:val="537"/>
          <w:jc w:val="center"/>
        </w:trPr>
        <w:tc>
          <w:tcPr>
            <w:tcW w:w="10021" w:type="dxa"/>
            <w:gridSpan w:val="3"/>
            <w:tcBorders>
              <w:top w:val="single" w:sz="4" w:space="0" w:color="auto"/>
              <w:left w:val="single" w:sz="4" w:space="0" w:color="auto"/>
              <w:bottom w:val="single" w:sz="4" w:space="0" w:color="auto"/>
              <w:right w:val="single" w:sz="4" w:space="0" w:color="auto"/>
            </w:tcBorders>
          </w:tcPr>
          <w:p w:rsidR="006665D7" w:rsidRPr="005F2DA4" w:rsidRDefault="006665D7" w:rsidP="006665D7">
            <w:pPr>
              <w:tabs>
                <w:tab w:val="clear" w:pos="794"/>
                <w:tab w:val="clear" w:pos="1191"/>
                <w:tab w:val="clear" w:pos="1588"/>
                <w:tab w:val="clear" w:pos="1985"/>
                <w:tab w:val="left" w:pos="1951"/>
              </w:tabs>
              <w:rPr>
                <w:b/>
                <w:bCs/>
                <w:szCs w:val="24"/>
              </w:rPr>
            </w:pPr>
            <w:r w:rsidRPr="005F2DA4">
              <w:rPr>
                <w:b/>
                <w:bCs/>
                <w:szCs w:val="24"/>
              </w:rPr>
              <w:t>Priority area:</w:t>
            </w:r>
          </w:p>
          <w:p w:rsidR="006665D7" w:rsidRPr="000824C7" w:rsidRDefault="006665D7" w:rsidP="006665D7">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6665D7" w:rsidRPr="005F2DA4" w:rsidRDefault="006665D7" w:rsidP="006665D7">
            <w:pPr>
              <w:tabs>
                <w:tab w:val="clear" w:pos="794"/>
                <w:tab w:val="clear" w:pos="1191"/>
                <w:tab w:val="clear" w:pos="1588"/>
                <w:tab w:val="clear" w:pos="1985"/>
                <w:tab w:val="left" w:pos="1951"/>
              </w:tabs>
              <w:rPr>
                <w:b/>
                <w:bCs/>
                <w:szCs w:val="24"/>
              </w:rPr>
            </w:pPr>
            <w:r w:rsidRPr="005F2DA4">
              <w:rPr>
                <w:b/>
                <w:bCs/>
                <w:szCs w:val="24"/>
              </w:rPr>
              <w:t>Summary:</w:t>
            </w:r>
          </w:p>
          <w:p w:rsidR="006665D7" w:rsidRDefault="006665D7" w:rsidP="006665D7">
            <w:pPr>
              <w:tabs>
                <w:tab w:val="clear" w:pos="794"/>
                <w:tab w:val="clear" w:pos="1191"/>
                <w:tab w:val="clear" w:pos="1588"/>
                <w:tab w:val="clear" w:pos="1985"/>
                <w:tab w:val="left" w:pos="1951"/>
              </w:tabs>
              <w:rPr>
                <w:szCs w:val="24"/>
              </w:rPr>
            </w:pPr>
            <w:bookmarkStart w:id="9" w:name="Summary"/>
            <w:bookmarkEnd w:id="9"/>
            <w:r>
              <w:rPr>
                <w:szCs w:val="24"/>
              </w:rPr>
              <w:t xml:space="preserve">With the rapid development of information and communication technologies, the globally connected world has become a reality faster than expected, where the </w:t>
            </w:r>
            <w:proofErr w:type="spellStart"/>
            <w:r>
              <w:rPr>
                <w:szCs w:val="24"/>
              </w:rPr>
              <w:t>IoT</w:t>
            </w:r>
            <w:proofErr w:type="spellEnd"/>
            <w:r>
              <w:rPr>
                <w:szCs w:val="24"/>
              </w:rPr>
              <w:t xml:space="preserve"> and </w:t>
            </w:r>
            <w:proofErr w:type="spellStart"/>
            <w:r>
              <w:rPr>
                <w:szCs w:val="24"/>
              </w:rPr>
              <w:t>ultra high</w:t>
            </w:r>
            <w:proofErr w:type="spellEnd"/>
            <w:r>
              <w:rPr>
                <w:szCs w:val="24"/>
              </w:rPr>
              <w:t xml:space="preserve"> speed broadband technologies play a fundamental role in the fields of energy, transportation, health, agriculture, banking, disaster management, public safety and home network. Ubiquitous high speed connectivity plays a vital role in transforming economies and societies as it empowers families, people, societies and businesses, in developing countries, transition economics as well as developed countries, when deployed bearing in mind the need for inbuilt resilience and promoting confident usage.</w:t>
            </w:r>
          </w:p>
          <w:p w:rsidR="006665D7" w:rsidRDefault="006665D7" w:rsidP="006665D7">
            <w:pPr>
              <w:tabs>
                <w:tab w:val="clear" w:pos="794"/>
                <w:tab w:val="clear" w:pos="1191"/>
                <w:tab w:val="clear" w:pos="1588"/>
                <w:tab w:val="clear" w:pos="1985"/>
                <w:tab w:val="left" w:pos="1951"/>
              </w:tabs>
              <w:rPr>
                <w:szCs w:val="24"/>
              </w:rPr>
            </w:pPr>
            <w:r>
              <w:rPr>
                <w:szCs w:val="24"/>
              </w:rPr>
              <w:t xml:space="preserve">Due to differences in European countries, there is a need for a regional initiative, through which administrations in need may be assisted in embracing </w:t>
            </w:r>
            <w:proofErr w:type="spellStart"/>
            <w:r>
              <w:rPr>
                <w:szCs w:val="24"/>
              </w:rPr>
              <w:t>ultra high</w:t>
            </w:r>
            <w:proofErr w:type="spellEnd"/>
            <w:r>
              <w:rPr>
                <w:szCs w:val="24"/>
              </w:rPr>
              <w:t xml:space="preserve"> speed broadband connectivity, including emerging 5G, to ensure accelerated sustainable development in middle and long term.</w:t>
            </w:r>
          </w:p>
          <w:p w:rsidR="006665D7" w:rsidRPr="005F2DA4" w:rsidRDefault="006665D7" w:rsidP="006665D7">
            <w:pPr>
              <w:tabs>
                <w:tab w:val="clear" w:pos="794"/>
                <w:tab w:val="clear" w:pos="1191"/>
                <w:tab w:val="clear" w:pos="1588"/>
                <w:tab w:val="clear" w:pos="1985"/>
                <w:tab w:val="left" w:pos="1951"/>
              </w:tabs>
              <w:rPr>
                <w:b/>
                <w:bCs/>
                <w:szCs w:val="24"/>
              </w:rPr>
            </w:pPr>
            <w:r w:rsidRPr="005F2DA4">
              <w:rPr>
                <w:b/>
                <w:bCs/>
                <w:szCs w:val="24"/>
              </w:rPr>
              <w:t>Expected results:</w:t>
            </w:r>
          </w:p>
          <w:p w:rsidR="006665D7" w:rsidRPr="000824C7" w:rsidRDefault="006665D7" w:rsidP="006665D7">
            <w:pPr>
              <w:tabs>
                <w:tab w:val="clear" w:pos="794"/>
                <w:tab w:val="clear" w:pos="1191"/>
                <w:tab w:val="clear" w:pos="1588"/>
                <w:tab w:val="clear" w:pos="1985"/>
                <w:tab w:val="left" w:pos="1951"/>
              </w:tabs>
              <w:rPr>
                <w:szCs w:val="24"/>
              </w:rPr>
            </w:pPr>
            <w:bookmarkStart w:id="10" w:name="Results"/>
            <w:bookmarkEnd w:id="10"/>
            <w:r>
              <w:rPr>
                <w:szCs w:val="24"/>
              </w:rPr>
              <w:t>TDAG is requested to examine this document.</w:t>
            </w:r>
          </w:p>
          <w:p w:rsidR="006665D7" w:rsidRPr="005F2DA4" w:rsidRDefault="006665D7" w:rsidP="006665D7">
            <w:pPr>
              <w:tabs>
                <w:tab w:val="clear" w:pos="794"/>
                <w:tab w:val="clear" w:pos="1191"/>
                <w:tab w:val="clear" w:pos="1588"/>
                <w:tab w:val="clear" w:pos="1985"/>
                <w:tab w:val="left" w:pos="1951"/>
              </w:tabs>
              <w:rPr>
                <w:b/>
                <w:bCs/>
                <w:szCs w:val="24"/>
              </w:rPr>
            </w:pPr>
            <w:r w:rsidRPr="005F2DA4">
              <w:rPr>
                <w:b/>
                <w:bCs/>
                <w:szCs w:val="24"/>
              </w:rPr>
              <w:t>References:</w:t>
            </w:r>
          </w:p>
          <w:p w:rsidR="00B31B09" w:rsidRPr="00693F5D" w:rsidRDefault="006665D7" w:rsidP="006665D7">
            <w:pPr>
              <w:spacing w:after="120"/>
              <w:rPr>
                <w:sz w:val="28"/>
                <w:szCs w:val="28"/>
              </w:rPr>
            </w:pPr>
            <w:bookmarkStart w:id="11" w:name="References"/>
            <w:bookmarkEnd w:id="11"/>
            <w:r>
              <w:rPr>
                <w:szCs w:val="24"/>
              </w:rPr>
              <w:t>WTDC Resolution 17 (Rev. Dubai, 2014)</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70796E" w:rsidRDefault="00693F5D" w:rsidP="00A140EB">
      <w:pPr>
        <w:rPr>
          <w:szCs w:val="24"/>
        </w:rPr>
      </w:pPr>
      <w:bookmarkStart w:id="12" w:name="Proposal"/>
      <w:bookmarkEnd w:id="12"/>
      <w:r>
        <w:rPr>
          <w:szCs w:val="24"/>
        </w:rPr>
        <w:t>To focus a regional initiative on facilitation of deployment of high speed connectivity with resilient and synergistic infrastructure sharing whilst ensuring a trusted and quality user experience.</w:t>
      </w:r>
    </w:p>
    <w:p w:rsidR="00B31B09" w:rsidRDefault="00B31B09" w:rsidP="006665D7">
      <w:pPr>
        <w:rPr>
          <w:szCs w:val="24"/>
        </w:rPr>
      </w:pPr>
      <w:r>
        <w:rPr>
          <w:b/>
          <w:bCs/>
          <w:szCs w:val="24"/>
        </w:rPr>
        <w:t>Summary</w:t>
      </w:r>
    </w:p>
    <w:p w:rsidR="006665D7" w:rsidRDefault="006665D7" w:rsidP="006665D7">
      <w:pPr>
        <w:tabs>
          <w:tab w:val="clear" w:pos="794"/>
          <w:tab w:val="clear" w:pos="1191"/>
          <w:tab w:val="clear" w:pos="1588"/>
          <w:tab w:val="clear" w:pos="1985"/>
          <w:tab w:val="left" w:pos="1951"/>
        </w:tabs>
        <w:rPr>
          <w:szCs w:val="24"/>
        </w:rPr>
      </w:pPr>
      <w:r>
        <w:rPr>
          <w:szCs w:val="24"/>
        </w:rPr>
        <w:t xml:space="preserve">With the rapid development of information and communication technologies, the globally connected world has become a reality faster than expected, where the </w:t>
      </w:r>
      <w:proofErr w:type="spellStart"/>
      <w:r>
        <w:rPr>
          <w:szCs w:val="24"/>
        </w:rPr>
        <w:t>IoT</w:t>
      </w:r>
      <w:proofErr w:type="spellEnd"/>
      <w:r>
        <w:rPr>
          <w:szCs w:val="24"/>
        </w:rPr>
        <w:t xml:space="preserve"> and </w:t>
      </w:r>
      <w:proofErr w:type="spellStart"/>
      <w:r>
        <w:rPr>
          <w:szCs w:val="24"/>
        </w:rPr>
        <w:t>ultra high</w:t>
      </w:r>
      <w:proofErr w:type="spellEnd"/>
      <w:r>
        <w:rPr>
          <w:szCs w:val="24"/>
        </w:rPr>
        <w:t xml:space="preserve"> speed broadband technologies play a fundamental role in the fields of energy, transportation, health, agriculture, banking, disaster management, public safety and home network. Ubiquitous high speed connectivity plays a vital role in transforming economies and societies as it empowers families, people, societies and businesses, in developing countries, transition economics as well as developed countries, when deployed bearing in mind the need for inbuilt resilience and promoting confident usage.</w:t>
      </w:r>
    </w:p>
    <w:p w:rsidR="006665D7" w:rsidRDefault="006665D7" w:rsidP="006665D7">
      <w:pPr>
        <w:tabs>
          <w:tab w:val="clear" w:pos="794"/>
          <w:tab w:val="clear" w:pos="1191"/>
          <w:tab w:val="clear" w:pos="1588"/>
          <w:tab w:val="clear" w:pos="1985"/>
          <w:tab w:val="left" w:pos="1951"/>
        </w:tabs>
        <w:rPr>
          <w:szCs w:val="24"/>
        </w:rPr>
      </w:pPr>
      <w:r>
        <w:rPr>
          <w:szCs w:val="24"/>
        </w:rPr>
        <w:t xml:space="preserve">Due to differences in European countries, there is a need for a regional initiative, through which administrations in need may be assisted in embracing </w:t>
      </w:r>
      <w:proofErr w:type="spellStart"/>
      <w:r>
        <w:rPr>
          <w:szCs w:val="24"/>
        </w:rPr>
        <w:t>ultra high</w:t>
      </w:r>
      <w:proofErr w:type="spellEnd"/>
      <w:r>
        <w:rPr>
          <w:szCs w:val="24"/>
        </w:rPr>
        <w:t xml:space="preserve"> speed broadband connectivity, including emerging 5G, to ensure accelerated sustainable development in middle and long term.</w:t>
      </w:r>
    </w:p>
    <w:p w:rsidR="00B31B09" w:rsidRDefault="00B31B09" w:rsidP="006665D7">
      <w:pPr>
        <w:rPr>
          <w:szCs w:val="24"/>
        </w:rPr>
      </w:pPr>
      <w:r>
        <w:rPr>
          <w:b/>
          <w:bCs/>
          <w:szCs w:val="24"/>
        </w:rPr>
        <w:t>Expected results</w:t>
      </w:r>
    </w:p>
    <w:p w:rsidR="006665D7" w:rsidRDefault="006665D7" w:rsidP="006665D7">
      <w:pPr>
        <w:tabs>
          <w:tab w:val="clear" w:pos="794"/>
          <w:tab w:val="clear" w:pos="1191"/>
          <w:tab w:val="clear" w:pos="1588"/>
          <w:tab w:val="clear" w:pos="1985"/>
          <w:tab w:val="left" w:pos="1951"/>
        </w:tabs>
        <w:rPr>
          <w:szCs w:val="24"/>
        </w:rPr>
      </w:pPr>
      <w:r>
        <w:rPr>
          <w:szCs w:val="24"/>
        </w:rPr>
        <w:t>Assistance to the countries in need in the following:</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Development of plans (national and regional) and feasibility studies for deployment of ubiquitous resilient high speech connectivity with all relevant components including legislations, standards, organisational set up, capacity building and cooperation mechanisms, as needed.</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 xml:space="preserve">Sharing of guidelines on collaborative regulation between </w:t>
      </w:r>
      <w:proofErr w:type="spellStart"/>
      <w:r>
        <w:rPr>
          <w:szCs w:val="24"/>
        </w:rPr>
        <w:t>telecommuncation</w:t>
      </w:r>
      <w:proofErr w:type="spellEnd"/>
      <w:r>
        <w:rPr>
          <w:szCs w:val="24"/>
        </w:rPr>
        <w:t xml:space="preserve"> sector and other synergistic sector such as energy (mechanisms for collaboration, regulatory incentives, financing, security and reliability, etc.), railway, transportation. </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Assessment of dynamics, challenges and opportunities of roll outs of diverse broadband technologies across Europe – including mobile (4G, LTE, 5G), fix (</w:t>
      </w:r>
      <w:proofErr w:type="spellStart"/>
      <w:r>
        <w:rPr>
          <w:szCs w:val="24"/>
        </w:rPr>
        <w:t>xDSL</w:t>
      </w:r>
      <w:proofErr w:type="spellEnd"/>
      <w:r>
        <w:rPr>
          <w:szCs w:val="24"/>
        </w:rPr>
        <w:t xml:space="preserve">, </w:t>
      </w:r>
      <w:proofErr w:type="spellStart"/>
      <w:r>
        <w:rPr>
          <w:szCs w:val="24"/>
        </w:rPr>
        <w:t>G.Fast</w:t>
      </w:r>
      <w:proofErr w:type="spellEnd"/>
      <w:r>
        <w:rPr>
          <w:szCs w:val="24"/>
        </w:rPr>
        <w:t xml:space="preserve">, </w:t>
      </w:r>
      <w:proofErr w:type="spellStart"/>
      <w:r>
        <w:rPr>
          <w:szCs w:val="24"/>
        </w:rPr>
        <w:t>fiber</w:t>
      </w:r>
      <w:proofErr w:type="spellEnd"/>
      <w:r>
        <w:rPr>
          <w:szCs w:val="24"/>
        </w:rPr>
        <w:t xml:space="preserve">, etc.), cable TV, power – in context of creation of ubiquitous resilient high speed broadband infrastructure. </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Sharing of best practices and case studies in Cable TV roll outs.</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Mapping of the ubiquitous infrastructure and services fostering harmonization of approaches across the region and taking into account infrast</w:t>
      </w:r>
      <w:bookmarkStart w:id="13" w:name="_GoBack"/>
      <w:bookmarkEnd w:id="13"/>
      <w:r>
        <w:rPr>
          <w:szCs w:val="24"/>
        </w:rPr>
        <w:t xml:space="preserve">ructure sharing approaches applied by countries. </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Establishment of the quality of services systems and consumer protection frameworks.</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 xml:space="preserve">Development of plans for ICT for sustainable energy covering different types of ICT applications and innovations such as demand side management, electric cars, energy storage, etc. and how these applications relate to energy sector objectives ( improving energy efficiency, access, sustainability, affordability, climate change, </w:t>
      </w:r>
      <w:proofErr w:type="spellStart"/>
      <w:r>
        <w:rPr>
          <w:szCs w:val="24"/>
        </w:rPr>
        <w:t>etc</w:t>
      </w:r>
      <w:proofErr w:type="spellEnd"/>
      <w:r>
        <w:rPr>
          <w:szCs w:val="24"/>
        </w:rPr>
        <w:t xml:space="preserve"> )</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Sharing of best practices and case studies in Cyber security</w:t>
      </w:r>
    </w:p>
    <w:p w:rsidR="006665D7" w:rsidRDefault="006665D7" w:rsidP="006665D7">
      <w:pPr>
        <w:tabs>
          <w:tab w:val="clear" w:pos="794"/>
          <w:tab w:val="clear" w:pos="1191"/>
          <w:tab w:val="clear" w:pos="1588"/>
          <w:tab w:val="clear" w:pos="1985"/>
          <w:tab w:val="left" w:pos="567"/>
        </w:tabs>
        <w:rPr>
          <w:szCs w:val="24"/>
        </w:rPr>
      </w:pPr>
      <w:r>
        <w:rPr>
          <w:szCs w:val="24"/>
        </w:rPr>
        <w:t>-</w:t>
      </w:r>
      <w:r>
        <w:rPr>
          <w:szCs w:val="24"/>
        </w:rPr>
        <w:tab/>
        <w:t>Sharing of best practices and case studies in Unsolicited communications</w:t>
      </w:r>
    </w:p>
    <w:p w:rsidR="00B31B09" w:rsidRDefault="00B31B09" w:rsidP="006665D7">
      <w:pPr>
        <w:rPr>
          <w:szCs w:val="24"/>
        </w:rPr>
      </w:pPr>
    </w:p>
    <w:p w:rsidR="006665D7" w:rsidRPr="00B31B09" w:rsidRDefault="006665D7" w:rsidP="006665D7">
      <w:pPr>
        <w:jc w:val="center"/>
        <w:rPr>
          <w:szCs w:val="24"/>
        </w:rPr>
      </w:pPr>
      <w:r>
        <w:rPr>
          <w:szCs w:val="24"/>
        </w:rPr>
        <w:t>_______________</w:t>
      </w:r>
    </w:p>
    <w:sectPr w:rsidR="006665D7" w:rsidRPr="00B31B09">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5D" w:rsidRDefault="00693F5D">
      <w:r>
        <w:separator/>
      </w:r>
    </w:p>
  </w:endnote>
  <w:endnote w:type="continuationSeparator" w:id="0">
    <w:p w:rsidR="00693F5D" w:rsidRDefault="0069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B31B09"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693F5D">
            <w:rPr>
              <w:sz w:val="18"/>
              <w:szCs w:val="18"/>
              <w:lang w:val="en-US"/>
            </w:rPr>
            <w:t xml:space="preserve">Boris </w:t>
          </w:r>
          <w:proofErr w:type="spellStart"/>
          <w:r w:rsidR="00693F5D">
            <w:rPr>
              <w:sz w:val="18"/>
              <w:szCs w:val="18"/>
              <w:lang w:val="en-US"/>
            </w:rPr>
            <w:t>Jevric</w:t>
          </w:r>
          <w:proofErr w:type="spellEnd"/>
          <w:r w:rsidR="00693F5D">
            <w:rPr>
              <w:sz w:val="18"/>
              <w:szCs w:val="18"/>
              <w:lang w:val="en-US"/>
            </w:rPr>
            <w:t>, Delegation of Montenegro, Montenegro</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93F5D" w:rsidP="004D495C">
          <w:pPr>
            <w:pStyle w:val="FirstFooter"/>
            <w:tabs>
              <w:tab w:val="left" w:pos="2302"/>
            </w:tabs>
            <w:rPr>
              <w:sz w:val="18"/>
              <w:szCs w:val="18"/>
              <w:lang w:val="en-US"/>
            </w:rPr>
          </w:pPr>
          <w:bookmarkStart w:id="17" w:name="PhoneNo"/>
          <w:bookmarkEnd w:id="17"/>
          <w:r>
            <w:rPr>
              <w:sz w:val="18"/>
              <w:szCs w:val="18"/>
              <w:lang w:val="en-US"/>
            </w:rPr>
            <w:t>+38</w:t>
          </w:r>
          <w:r w:rsidR="00B31B09">
            <w:rPr>
              <w:sz w:val="18"/>
              <w:szCs w:val="18"/>
              <w:lang w:val="en-US"/>
            </w:rPr>
            <w:t xml:space="preserve"> </w:t>
          </w:r>
          <w:r>
            <w:rPr>
              <w:sz w:val="18"/>
              <w:szCs w:val="18"/>
              <w:lang w:val="en-US"/>
            </w:rPr>
            <w:t>220406760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B31B09"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"mailto:boris.jevric@ekip.me" </w:instrText>
          </w:r>
          <w:r>
            <w:rPr>
              <w:sz w:val="18"/>
              <w:szCs w:val="18"/>
              <w:lang w:val="en-US"/>
            </w:rPr>
            <w:fldChar w:fldCharType="separate"/>
          </w:r>
          <w:r w:rsidRPr="0057480A">
            <w:rPr>
              <w:rStyle w:val="Hyperlink"/>
              <w:sz w:val="18"/>
              <w:szCs w:val="18"/>
              <w:lang w:val="en-US"/>
            </w:rPr>
            <w:t>boris.jevric@ekip.me</w:t>
          </w:r>
          <w:r>
            <w:rPr>
              <w:sz w:val="18"/>
              <w:szCs w:val="18"/>
              <w:lang w:val="en-US"/>
            </w:rPr>
            <w:fldChar w:fldCharType="end"/>
          </w:r>
          <w:r>
            <w:rPr>
              <w:sz w:val="18"/>
              <w:szCs w:val="18"/>
              <w:lang w:val="en-US"/>
            </w:rPr>
            <w:t xml:space="preserve"> </w:t>
          </w:r>
        </w:p>
      </w:tc>
    </w:tr>
  </w:tbl>
  <w:bookmarkStart w:id="19" w:name="URL"/>
  <w:bookmarkEnd w:id="19"/>
  <w:p w:rsidR="00C04537" w:rsidRPr="006F4EA2" w:rsidRDefault="00B31B09"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57480A">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5D" w:rsidRDefault="00693F5D">
      <w:r>
        <w:separator/>
      </w:r>
    </w:p>
  </w:footnote>
  <w:footnote w:type="continuationSeparator" w:id="0">
    <w:p w:rsidR="00693F5D" w:rsidRDefault="00693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B31B09">
      <w:rPr>
        <w:sz w:val="22"/>
        <w:szCs w:val="22"/>
        <w:lang w:val="fr-CH"/>
      </w:rPr>
      <w:t>ITU-D/</w:t>
    </w:r>
    <w:bookmarkStart w:id="14" w:name="DocRef2"/>
    <w:bookmarkEnd w:id="14"/>
    <w:r w:rsidR="00B31B09" w:rsidRPr="00B31B09">
      <w:rPr>
        <w:sz w:val="22"/>
        <w:szCs w:val="22"/>
        <w:lang w:val="fr-CH"/>
      </w:rPr>
      <w:t>RPM-EUR17</w:t>
    </w:r>
    <w:r w:rsidRPr="00B31B09">
      <w:rPr>
        <w:sz w:val="22"/>
        <w:szCs w:val="22"/>
        <w:lang w:val="fr-CH"/>
      </w:rPr>
      <w:t>/</w:t>
    </w:r>
    <w:bookmarkStart w:id="15" w:name="DocNo2"/>
    <w:bookmarkEnd w:id="15"/>
    <w:r w:rsidR="00693F5D" w:rsidRPr="00B31B09">
      <w:rPr>
        <w:sz w:val="22"/>
        <w:szCs w:val="22"/>
        <w:lang w:val="fr-CH"/>
      </w:rPr>
      <w:t>34-E</w:t>
    </w:r>
    <w:r w:rsidRPr="00B31B09">
      <w:rPr>
        <w:sz w:val="22"/>
        <w:szCs w:val="22"/>
        <w:lang w:val="fr-CH"/>
      </w:rPr>
      <w:tab/>
      <w:t xml:space="preserve">Page </w:t>
    </w:r>
    <w:r w:rsidRPr="004D495C">
      <w:rPr>
        <w:sz w:val="22"/>
        <w:szCs w:val="22"/>
      </w:rPr>
      <w:fldChar w:fldCharType="begin"/>
    </w:r>
    <w:r w:rsidRPr="00B31B09">
      <w:rPr>
        <w:sz w:val="22"/>
        <w:szCs w:val="22"/>
        <w:lang w:val="fr-CH"/>
      </w:rPr>
      <w:instrText xml:space="preserve"> PAGE </w:instrText>
    </w:r>
    <w:r w:rsidRPr="004D495C">
      <w:rPr>
        <w:sz w:val="22"/>
        <w:szCs w:val="22"/>
      </w:rPr>
      <w:fldChar w:fldCharType="separate"/>
    </w:r>
    <w:r w:rsidR="006665D7">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5D"/>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65D7"/>
    <w:rsid w:val="00667E12"/>
    <w:rsid w:val="00676C62"/>
    <w:rsid w:val="00677A58"/>
    <w:rsid w:val="00685848"/>
    <w:rsid w:val="00693F5D"/>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1B09"/>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117184-FF69-429F-B44E-6C7F5C54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C86E-7BE8-4298-A66E-1F5D88B9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3</TotalTime>
  <Pages>2</Pages>
  <Words>597</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mcb</dc:creator>
  <cp:keywords/>
  <cp:lastModifiedBy>BDT, mcb</cp:lastModifiedBy>
  <cp:revision>3</cp:revision>
  <cp:lastPrinted>2009-02-13T19:37:00Z</cp:lastPrinted>
  <dcterms:created xsi:type="dcterms:W3CDTF">2017-04-25T11:48:00Z</dcterms:created>
  <dcterms:modified xsi:type="dcterms:W3CDTF">2017-04-25T11:51:00Z</dcterms:modified>
</cp:coreProperties>
</file>