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rsidTr="00E20210">
        <w:trPr>
          <w:gridBefore w:val="1"/>
          <w:wBefore w:w="8" w:type="dxa"/>
          <w:cantSplit/>
          <w:jc w:val="center"/>
        </w:trPr>
        <w:tc>
          <w:tcPr>
            <w:tcW w:w="6796" w:type="dxa"/>
          </w:tcPr>
          <w:p w:rsidR="0070796E" w:rsidRPr="00E20210" w:rsidRDefault="00EF6E61" w:rsidP="00562A87">
            <w:pPr>
              <w:rPr>
                <w:b/>
                <w:bCs/>
                <w:sz w:val="28"/>
                <w:szCs w:val="28"/>
              </w:rPr>
            </w:pPr>
            <w:bookmarkStart w:id="0" w:name="Meeting"/>
            <w:bookmarkEnd w:id="0"/>
            <w:r w:rsidRPr="00EF6E61">
              <w:rPr>
                <w:b/>
                <w:bCs/>
                <w:sz w:val="28"/>
                <w:szCs w:val="28"/>
              </w:rPr>
              <w:t xml:space="preserve">Regional Preparatory Meeting </w:t>
            </w:r>
            <w:r w:rsidR="00147082">
              <w:rPr>
                <w:b/>
                <w:bCs/>
                <w:sz w:val="28"/>
                <w:szCs w:val="28"/>
              </w:rPr>
              <w:br/>
            </w:r>
            <w:r w:rsidRPr="00EF6E61">
              <w:rPr>
                <w:b/>
                <w:bCs/>
                <w:sz w:val="28"/>
                <w:szCs w:val="28"/>
              </w:rPr>
              <w:t>for WTDC-17 for Europe (RPM-EUR)</w:t>
            </w:r>
            <w:r w:rsidR="00562A87" w:rsidRPr="00EF6E61">
              <w:rPr>
                <w:b/>
                <w:bCs/>
                <w:sz w:val="28"/>
                <w:szCs w:val="28"/>
              </w:rPr>
              <w:t xml:space="preserve"> </w:t>
            </w:r>
          </w:p>
        </w:tc>
        <w:tc>
          <w:tcPr>
            <w:tcW w:w="3229" w:type="dxa"/>
            <w:gridSpan w:val="2"/>
          </w:tcPr>
          <w:p w:rsidR="0070796E" w:rsidRPr="00AE2BCA" w:rsidRDefault="00DF2EBE" w:rsidP="00930F7E">
            <w:pPr>
              <w:spacing w:before="40" w:after="80"/>
              <w:ind w:right="142"/>
              <w:jc w:val="right"/>
            </w:pPr>
            <w:r w:rsidRPr="005B1AA6">
              <w:rPr>
                <w:noProof/>
                <w:lang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0824C7" w:rsidTr="00E20210">
        <w:trPr>
          <w:gridAfter w:val="1"/>
          <w:wAfter w:w="12" w:type="dxa"/>
          <w:cantSplit/>
          <w:trHeight w:val="300"/>
          <w:jc w:val="center"/>
        </w:trPr>
        <w:tc>
          <w:tcPr>
            <w:tcW w:w="10021" w:type="dxa"/>
            <w:gridSpan w:val="3"/>
            <w:tcBorders>
              <w:bottom w:val="single" w:sz="12" w:space="0" w:color="auto"/>
            </w:tcBorders>
          </w:tcPr>
          <w:p w:rsidR="006D0B95" w:rsidRPr="00425DDF" w:rsidRDefault="00EF6E61" w:rsidP="00E20210">
            <w:pPr>
              <w:spacing w:before="0"/>
              <w:rPr>
                <w:b/>
                <w:bCs/>
                <w:sz w:val="26"/>
                <w:szCs w:val="26"/>
                <w:lang w:val="en-US"/>
              </w:rPr>
            </w:pPr>
            <w:bookmarkStart w:id="1" w:name="PlaceDate"/>
            <w:bookmarkEnd w:id="1"/>
            <w:r>
              <w:rPr>
                <w:b/>
                <w:bCs/>
                <w:sz w:val="26"/>
                <w:szCs w:val="26"/>
                <w:lang w:val="en-US"/>
              </w:rPr>
              <w:t>Vilnius, Lithuania, 27-28 April 2017</w:t>
            </w:r>
          </w:p>
        </w:tc>
      </w:tr>
      <w:tr w:rsidR="0070796E" w:rsidRPr="002D0049" w:rsidTr="00E20210">
        <w:trPr>
          <w:gridBefore w:val="1"/>
          <w:wBefore w:w="8" w:type="dxa"/>
          <w:cantSplit/>
          <w:trHeight w:val="238"/>
          <w:jc w:val="center"/>
        </w:trPr>
        <w:tc>
          <w:tcPr>
            <w:tcW w:w="6796" w:type="dxa"/>
            <w:tcBorders>
              <w:top w:val="single" w:sz="12" w:space="0" w:color="auto"/>
            </w:tcBorders>
          </w:tcPr>
          <w:p w:rsidR="0070796E" w:rsidRPr="002D0049" w:rsidRDefault="0070796E" w:rsidP="006D0B95">
            <w:pPr>
              <w:spacing w:before="0"/>
              <w:rPr>
                <w:lang w:val="en-US"/>
              </w:rPr>
            </w:pPr>
          </w:p>
        </w:tc>
        <w:tc>
          <w:tcPr>
            <w:tcW w:w="3229" w:type="dxa"/>
            <w:gridSpan w:val="2"/>
            <w:tcBorders>
              <w:top w:val="single" w:sz="12" w:space="0" w:color="auto"/>
            </w:tcBorders>
          </w:tcPr>
          <w:p w:rsidR="0070796E" w:rsidRPr="002D0049" w:rsidRDefault="0070796E" w:rsidP="006D0B95">
            <w:pPr>
              <w:spacing w:before="0"/>
              <w:rPr>
                <w:lang w:val="en-US"/>
              </w:rPr>
            </w:pPr>
          </w:p>
        </w:tc>
      </w:tr>
      <w:tr w:rsidR="0070796E" w:rsidRPr="00AE2BCA" w:rsidTr="00E20210">
        <w:trPr>
          <w:gridBefore w:val="1"/>
          <w:wBefore w:w="8" w:type="dxa"/>
          <w:cantSplit/>
          <w:trHeight w:val="20"/>
          <w:jc w:val="center"/>
        </w:trPr>
        <w:tc>
          <w:tcPr>
            <w:tcW w:w="6796" w:type="dxa"/>
            <w:vMerge w:val="restart"/>
          </w:tcPr>
          <w:p w:rsidR="0070796E" w:rsidRPr="002D0049" w:rsidRDefault="0070796E">
            <w:pPr>
              <w:rPr>
                <w:lang w:val="en-US"/>
              </w:rPr>
            </w:pPr>
          </w:p>
        </w:tc>
        <w:tc>
          <w:tcPr>
            <w:tcW w:w="3229" w:type="dxa"/>
            <w:gridSpan w:val="2"/>
          </w:tcPr>
          <w:p w:rsidR="0070796E" w:rsidRPr="00930F7E" w:rsidRDefault="0070796E" w:rsidP="00BF1682">
            <w:pPr>
              <w:spacing w:before="0"/>
              <w:rPr>
                <w:b/>
                <w:bCs/>
                <w:szCs w:val="24"/>
                <w:lang w:val="fr-FR"/>
              </w:rPr>
            </w:pPr>
            <w:r w:rsidRPr="00930F7E">
              <w:rPr>
                <w:b/>
                <w:bCs/>
                <w:szCs w:val="24"/>
                <w:lang w:val="fr-FR"/>
              </w:rPr>
              <w:t>Document</w:t>
            </w:r>
            <w:r w:rsidR="006527BD" w:rsidRPr="00930F7E">
              <w:rPr>
                <w:b/>
                <w:bCs/>
                <w:szCs w:val="24"/>
                <w:lang w:val="fr-FR"/>
              </w:rPr>
              <w:t xml:space="preserve"> </w:t>
            </w:r>
            <w:bookmarkStart w:id="2" w:name="DocRef1"/>
            <w:bookmarkEnd w:id="2"/>
            <w:r w:rsidR="005B3F60">
              <w:rPr>
                <w:b/>
                <w:bCs/>
                <w:szCs w:val="24"/>
                <w:lang w:val="fr-FR"/>
              </w:rPr>
              <w:t>RPM-EUR17</w:t>
            </w:r>
            <w:r w:rsidR="006527BD" w:rsidRPr="00930F7E">
              <w:rPr>
                <w:b/>
                <w:bCs/>
                <w:szCs w:val="24"/>
                <w:lang w:val="fr-FR"/>
              </w:rPr>
              <w:t>/</w:t>
            </w:r>
            <w:bookmarkStart w:id="3" w:name="DocNo1"/>
            <w:bookmarkEnd w:id="3"/>
            <w:r w:rsidR="00EF6E61">
              <w:rPr>
                <w:b/>
                <w:bCs/>
                <w:szCs w:val="24"/>
                <w:lang w:val="fr-FR"/>
              </w:rPr>
              <w:t>23-E</w:t>
            </w:r>
          </w:p>
        </w:tc>
      </w:tr>
      <w:tr w:rsidR="0070796E" w:rsidRPr="00AE2BCA" w:rsidTr="00E20210">
        <w:trPr>
          <w:gridBefore w:val="1"/>
          <w:wBefore w:w="8" w:type="dxa"/>
          <w:cantSplit/>
          <w:trHeight w:val="2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EF6E61" w:rsidP="00BF1682">
            <w:pPr>
              <w:spacing w:before="0"/>
              <w:rPr>
                <w:b/>
                <w:bCs/>
                <w:szCs w:val="24"/>
                <w:lang w:val="fr-FR"/>
              </w:rPr>
            </w:pPr>
            <w:bookmarkStart w:id="4" w:name="CreationDate"/>
            <w:bookmarkEnd w:id="4"/>
            <w:r>
              <w:rPr>
                <w:b/>
                <w:bCs/>
                <w:szCs w:val="24"/>
                <w:lang w:val="fr-FR"/>
              </w:rPr>
              <w:t>14 April 2017</w:t>
            </w:r>
          </w:p>
        </w:tc>
      </w:tr>
      <w:tr w:rsidR="0070796E" w:rsidRPr="00AE2BCA" w:rsidTr="00E20210">
        <w:trPr>
          <w:gridBefore w:val="1"/>
          <w:wBefore w:w="8" w:type="dxa"/>
          <w:cantSplit/>
          <w:trHeight w:val="33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0796E" w:rsidP="00BF1682">
            <w:pPr>
              <w:spacing w:before="0" w:after="120"/>
              <w:rPr>
                <w:b/>
                <w:bCs/>
                <w:szCs w:val="24"/>
                <w:lang w:val="fr-FR"/>
              </w:rPr>
            </w:pPr>
            <w:r w:rsidRPr="00930F7E">
              <w:rPr>
                <w:b/>
                <w:bCs/>
                <w:szCs w:val="24"/>
                <w:lang w:val="fr-FR"/>
              </w:rPr>
              <w:t xml:space="preserve">Original: </w:t>
            </w:r>
            <w:bookmarkStart w:id="5" w:name="Original"/>
            <w:bookmarkEnd w:id="5"/>
            <w:r w:rsidR="00EF6E61">
              <w:rPr>
                <w:b/>
                <w:bCs/>
                <w:szCs w:val="24"/>
                <w:lang w:val="fr-FR"/>
              </w:rPr>
              <w:t>English</w:t>
            </w:r>
          </w:p>
        </w:tc>
      </w:tr>
      <w:tr w:rsidR="0070796E" w:rsidRPr="00AE2BCA" w:rsidTr="00E20210">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E20210">
        <w:trPr>
          <w:gridAfter w:val="1"/>
          <w:wAfter w:w="12" w:type="dxa"/>
          <w:cantSplit/>
          <w:trHeight w:val="23"/>
          <w:jc w:val="center"/>
        </w:trPr>
        <w:tc>
          <w:tcPr>
            <w:tcW w:w="10021" w:type="dxa"/>
            <w:gridSpan w:val="3"/>
          </w:tcPr>
          <w:p w:rsidR="00562A87" w:rsidRPr="00EF6E61" w:rsidRDefault="00EF6E61" w:rsidP="00E20210">
            <w:pPr>
              <w:spacing w:after="120"/>
              <w:jc w:val="center"/>
              <w:rPr>
                <w:b/>
                <w:bCs/>
                <w:sz w:val="28"/>
                <w:szCs w:val="28"/>
              </w:rPr>
            </w:pPr>
            <w:bookmarkStart w:id="6" w:name="Source"/>
            <w:bookmarkEnd w:id="6"/>
            <w:r w:rsidRPr="00EF6E61">
              <w:rPr>
                <w:b/>
                <w:bCs/>
                <w:sz w:val="28"/>
                <w:szCs w:val="28"/>
              </w:rPr>
              <w:t>Poland</w:t>
            </w:r>
            <w:r w:rsidR="008B77A5">
              <w:rPr>
                <w:b/>
                <w:bCs/>
                <w:sz w:val="28"/>
                <w:szCs w:val="28"/>
              </w:rPr>
              <w:t xml:space="preserve"> (Republic of)</w:t>
            </w:r>
          </w:p>
        </w:tc>
      </w:tr>
      <w:tr w:rsidR="00562A87" w:rsidRPr="00E20210" w:rsidTr="00E20210">
        <w:trPr>
          <w:gridAfter w:val="1"/>
          <w:wAfter w:w="12" w:type="dxa"/>
          <w:cantSplit/>
          <w:trHeight w:val="537"/>
          <w:jc w:val="center"/>
        </w:trPr>
        <w:tc>
          <w:tcPr>
            <w:tcW w:w="10021" w:type="dxa"/>
            <w:gridSpan w:val="3"/>
          </w:tcPr>
          <w:p w:rsidR="00562A87" w:rsidRPr="005B3F60" w:rsidRDefault="00EF6E61" w:rsidP="00E20210">
            <w:pPr>
              <w:spacing w:after="120"/>
              <w:jc w:val="center"/>
              <w:rPr>
                <w:caps/>
                <w:sz w:val="28"/>
                <w:szCs w:val="28"/>
              </w:rPr>
            </w:pPr>
            <w:bookmarkStart w:id="7" w:name="Title"/>
            <w:bookmarkEnd w:id="7"/>
            <w:r w:rsidRPr="005B3F60">
              <w:rPr>
                <w:caps/>
                <w:sz w:val="28"/>
                <w:szCs w:val="28"/>
              </w:rPr>
              <w:t xml:space="preserve">A citizen-centric approach to building services </w:t>
            </w:r>
            <w:r w:rsidR="005B3F60">
              <w:rPr>
                <w:caps/>
                <w:sz w:val="28"/>
                <w:szCs w:val="28"/>
              </w:rPr>
              <w:br/>
            </w:r>
            <w:r w:rsidRPr="005B3F60">
              <w:rPr>
                <w:caps/>
                <w:sz w:val="28"/>
                <w:szCs w:val="28"/>
              </w:rPr>
              <w:t>for national administration</w:t>
            </w:r>
          </w:p>
        </w:tc>
      </w:tr>
      <w:tr w:rsidR="005B3F60" w:rsidRPr="00E20210" w:rsidTr="005B3F60">
        <w:trPr>
          <w:gridAfter w:val="1"/>
          <w:wAfter w:w="12" w:type="dxa"/>
          <w:cantSplit/>
          <w:trHeight w:val="537"/>
          <w:jc w:val="center"/>
        </w:trPr>
        <w:tc>
          <w:tcPr>
            <w:tcW w:w="10021" w:type="dxa"/>
            <w:gridSpan w:val="3"/>
            <w:tcBorders>
              <w:bottom w:val="single" w:sz="4" w:space="0" w:color="auto"/>
            </w:tcBorders>
          </w:tcPr>
          <w:p w:rsidR="005B3F60" w:rsidRPr="005B3F60" w:rsidRDefault="005B3F60" w:rsidP="005B3F60">
            <w:pPr>
              <w:spacing w:before="0"/>
              <w:jc w:val="center"/>
              <w:rPr>
                <w:caps/>
                <w:sz w:val="28"/>
                <w:szCs w:val="28"/>
              </w:rPr>
            </w:pPr>
          </w:p>
        </w:tc>
      </w:tr>
      <w:tr w:rsidR="005B3F60" w:rsidRPr="00E20210" w:rsidTr="005B3F60">
        <w:trPr>
          <w:gridAfter w:val="1"/>
          <w:wAfter w:w="12" w:type="dxa"/>
          <w:cantSplit/>
          <w:trHeight w:val="537"/>
          <w:jc w:val="center"/>
        </w:trPr>
        <w:tc>
          <w:tcPr>
            <w:tcW w:w="10021" w:type="dxa"/>
            <w:gridSpan w:val="3"/>
            <w:tcBorders>
              <w:top w:val="single" w:sz="4" w:space="0" w:color="auto"/>
              <w:left w:val="single" w:sz="4" w:space="0" w:color="auto"/>
              <w:bottom w:val="single" w:sz="4" w:space="0" w:color="auto"/>
              <w:right w:val="single" w:sz="4" w:space="0" w:color="auto"/>
            </w:tcBorders>
          </w:tcPr>
          <w:p w:rsidR="005B3F60" w:rsidRPr="005B3F60" w:rsidRDefault="005B3F60" w:rsidP="005B3F60">
            <w:pPr>
              <w:tabs>
                <w:tab w:val="clear" w:pos="794"/>
                <w:tab w:val="clear" w:pos="1191"/>
                <w:tab w:val="clear" w:pos="1588"/>
                <w:tab w:val="clear" w:pos="1985"/>
                <w:tab w:val="left" w:pos="1951"/>
              </w:tabs>
              <w:rPr>
                <w:b/>
                <w:bCs/>
                <w:sz w:val="23"/>
                <w:szCs w:val="23"/>
              </w:rPr>
            </w:pPr>
            <w:r w:rsidRPr="005B3F60">
              <w:rPr>
                <w:b/>
                <w:bCs/>
                <w:sz w:val="23"/>
                <w:szCs w:val="23"/>
              </w:rPr>
              <w:t>Priority area:</w:t>
            </w:r>
          </w:p>
          <w:p w:rsidR="005B3F60" w:rsidRPr="005B3F60" w:rsidRDefault="005B3F60" w:rsidP="005B3F60">
            <w:pPr>
              <w:tabs>
                <w:tab w:val="clear" w:pos="794"/>
                <w:tab w:val="clear" w:pos="1191"/>
                <w:tab w:val="clear" w:pos="1588"/>
                <w:tab w:val="clear" w:pos="1985"/>
                <w:tab w:val="left" w:pos="1951"/>
              </w:tabs>
              <w:spacing w:before="80"/>
              <w:rPr>
                <w:sz w:val="23"/>
                <w:szCs w:val="23"/>
              </w:rPr>
            </w:pPr>
            <w:r w:rsidRPr="005B3F60">
              <w:rPr>
                <w:sz w:val="23"/>
                <w:szCs w:val="23"/>
              </w:rPr>
              <w:t>Priority setting for Regional Initiatives, related projects and financing mechanisms</w:t>
            </w:r>
          </w:p>
          <w:p w:rsidR="005B3F60" w:rsidRPr="005B3F60" w:rsidRDefault="005B3F60" w:rsidP="005B3F60">
            <w:pPr>
              <w:tabs>
                <w:tab w:val="clear" w:pos="794"/>
                <w:tab w:val="clear" w:pos="1191"/>
                <w:tab w:val="clear" w:pos="1588"/>
                <w:tab w:val="clear" w:pos="1985"/>
                <w:tab w:val="left" w:pos="1951"/>
              </w:tabs>
              <w:rPr>
                <w:b/>
                <w:bCs/>
                <w:sz w:val="23"/>
                <w:szCs w:val="23"/>
              </w:rPr>
            </w:pPr>
            <w:r w:rsidRPr="005B3F60">
              <w:rPr>
                <w:b/>
                <w:bCs/>
                <w:sz w:val="23"/>
                <w:szCs w:val="23"/>
              </w:rPr>
              <w:t>Summary:</w:t>
            </w:r>
          </w:p>
          <w:p w:rsidR="005B3F60" w:rsidRPr="005B3F60" w:rsidRDefault="005B3F60" w:rsidP="005B3F60">
            <w:pPr>
              <w:tabs>
                <w:tab w:val="clear" w:pos="794"/>
                <w:tab w:val="clear" w:pos="1191"/>
                <w:tab w:val="clear" w:pos="1588"/>
                <w:tab w:val="clear" w:pos="1985"/>
                <w:tab w:val="left" w:pos="1951"/>
              </w:tabs>
              <w:spacing w:before="80"/>
              <w:rPr>
                <w:sz w:val="23"/>
                <w:szCs w:val="23"/>
              </w:rPr>
            </w:pPr>
            <w:r w:rsidRPr="005B3F60">
              <w:rPr>
                <w:sz w:val="23"/>
                <w:szCs w:val="23"/>
              </w:rPr>
              <w:t>The initiative in this area will facilitate the development of such citizen-centric services. These ought to be accessible and available to all members of the society. The aim is to transform and replace the traditional, paper-based methods of handling administrative issues, into the digital mode, allowing citizens to handle their administrative necessities and responsibilities.</w:t>
            </w:r>
          </w:p>
          <w:p w:rsidR="005B3F60" w:rsidRPr="005B3F60" w:rsidRDefault="005B3F60" w:rsidP="005B3F60">
            <w:pPr>
              <w:tabs>
                <w:tab w:val="clear" w:pos="794"/>
                <w:tab w:val="clear" w:pos="1191"/>
                <w:tab w:val="clear" w:pos="1588"/>
                <w:tab w:val="clear" w:pos="1985"/>
                <w:tab w:val="left" w:pos="1951"/>
              </w:tabs>
              <w:rPr>
                <w:b/>
                <w:bCs/>
                <w:sz w:val="23"/>
                <w:szCs w:val="23"/>
              </w:rPr>
            </w:pPr>
            <w:r w:rsidRPr="005B3F60">
              <w:rPr>
                <w:b/>
                <w:bCs/>
                <w:sz w:val="23"/>
                <w:szCs w:val="23"/>
              </w:rPr>
              <w:t>Expected results:</w:t>
            </w:r>
          </w:p>
          <w:p w:rsidR="005B3F60" w:rsidRPr="005B3F60" w:rsidRDefault="008B77A5" w:rsidP="005B3F60">
            <w:pPr>
              <w:tabs>
                <w:tab w:val="clear" w:pos="794"/>
                <w:tab w:val="clear" w:pos="1191"/>
                <w:tab w:val="clear" w:pos="1588"/>
                <w:tab w:val="clear" w:pos="1985"/>
                <w:tab w:val="left" w:pos="601"/>
              </w:tabs>
              <w:spacing w:before="40"/>
              <w:rPr>
                <w:sz w:val="23"/>
                <w:szCs w:val="23"/>
              </w:rPr>
            </w:pPr>
            <w:r>
              <w:rPr>
                <w:sz w:val="23"/>
                <w:szCs w:val="23"/>
              </w:rPr>
              <w:t>RPM-EUR is requested to examine this document.</w:t>
            </w:r>
          </w:p>
          <w:p w:rsidR="005B3F60" w:rsidRPr="005B3F60" w:rsidRDefault="005B3F60" w:rsidP="005B3F60">
            <w:pPr>
              <w:tabs>
                <w:tab w:val="clear" w:pos="794"/>
                <w:tab w:val="clear" w:pos="1191"/>
                <w:tab w:val="clear" w:pos="1588"/>
                <w:tab w:val="clear" w:pos="1985"/>
                <w:tab w:val="left" w:pos="1951"/>
              </w:tabs>
              <w:rPr>
                <w:b/>
                <w:bCs/>
                <w:sz w:val="23"/>
                <w:szCs w:val="23"/>
              </w:rPr>
            </w:pPr>
            <w:r w:rsidRPr="005B3F60">
              <w:rPr>
                <w:b/>
                <w:bCs/>
                <w:sz w:val="23"/>
                <w:szCs w:val="23"/>
              </w:rPr>
              <w:t>References:</w:t>
            </w:r>
          </w:p>
          <w:p w:rsidR="005B3F60" w:rsidRPr="005B3F60" w:rsidRDefault="008B77A5" w:rsidP="005B3F60">
            <w:pPr>
              <w:spacing w:before="80"/>
              <w:rPr>
                <w:caps/>
                <w:sz w:val="28"/>
                <w:szCs w:val="28"/>
              </w:rPr>
            </w:pPr>
            <w:r>
              <w:rPr>
                <w:sz w:val="23"/>
                <w:szCs w:val="23"/>
              </w:rPr>
              <w:t>WTDC Resolution</w:t>
            </w:r>
            <w:r w:rsidR="005B3F60" w:rsidRPr="005B3F60">
              <w:rPr>
                <w:sz w:val="23"/>
                <w:szCs w:val="23"/>
              </w:rPr>
              <w:t xml:space="preserve"> 17 (Rev. Dubai, 2014) – Implementation of regionally approved initiatives at the national, regional, interregional and global levels</w:t>
            </w:r>
          </w:p>
        </w:tc>
      </w:tr>
    </w:tbl>
    <w:p w:rsidR="009F7404" w:rsidRPr="00C04537" w:rsidRDefault="001B4B9B" w:rsidP="009F7404">
      <w:pPr>
        <w:tabs>
          <w:tab w:val="clear" w:pos="794"/>
          <w:tab w:val="clear" w:pos="1191"/>
          <w:tab w:val="clear" w:pos="1588"/>
          <w:tab w:val="clear" w:pos="1985"/>
          <w:tab w:val="left" w:pos="1951"/>
        </w:tabs>
        <w:spacing w:before="240"/>
        <w:rPr>
          <w:b/>
          <w:bCs/>
          <w:szCs w:val="24"/>
        </w:rPr>
      </w:pPr>
      <w:r w:rsidRPr="00C04537">
        <w:br w:type="page"/>
      </w:r>
      <w:r w:rsidR="009F7404" w:rsidRPr="00C04537">
        <w:rPr>
          <w:b/>
          <w:bCs/>
          <w:szCs w:val="24"/>
        </w:rPr>
        <w:lastRenderedPageBreak/>
        <w:t>Proposal</w:t>
      </w:r>
    </w:p>
    <w:p w:rsidR="00EF6E61" w:rsidRDefault="005B3F60" w:rsidP="005B3F60">
      <w:pPr>
        <w:rPr>
          <w:szCs w:val="24"/>
        </w:rPr>
      </w:pPr>
      <w:bookmarkStart w:id="8" w:name="Proposal"/>
      <w:bookmarkEnd w:id="8"/>
      <w:r>
        <w:rPr>
          <w:szCs w:val="24"/>
        </w:rPr>
        <w:t>The b</w:t>
      </w:r>
      <w:r w:rsidR="00EF6E61">
        <w:rPr>
          <w:szCs w:val="24"/>
        </w:rPr>
        <w:t>asic aim of this contribution is to identify the key actions/sectors which can play a crucial role in the upcoming 4</w:t>
      </w:r>
      <w:r>
        <w:rPr>
          <w:szCs w:val="24"/>
        </w:rPr>
        <w:t>-</w:t>
      </w:r>
      <w:r w:rsidR="00EF6E61">
        <w:rPr>
          <w:szCs w:val="24"/>
        </w:rPr>
        <w:t xml:space="preserve">year period especially in the development and achieving the goals defined during WTDC-17. In Poland’s view there are still remaining issues to be dealt </w:t>
      </w:r>
      <w:r w:rsidR="00782871">
        <w:rPr>
          <w:szCs w:val="24"/>
        </w:rPr>
        <w:t xml:space="preserve">with </w:t>
      </w:r>
      <w:r w:rsidR="00EF6E61">
        <w:rPr>
          <w:szCs w:val="24"/>
        </w:rPr>
        <w:t>and developed by European administrations and BDT, especially in the area of national administration services for the citizen. This initiative provides also a platform for exchange of views, best practices and knowledge among the administrations concerned, as there are major differences and discrepancies in progress of various activities. The proposed line of action is an important factor of ICT development in upcoming years and with ITU-D’s assistance the regional policies would become more coherent and effective.</w:t>
      </w:r>
    </w:p>
    <w:p w:rsidR="00EF6E61" w:rsidRDefault="00EF6E61" w:rsidP="00A140EB">
      <w:pPr>
        <w:rPr>
          <w:szCs w:val="24"/>
        </w:rPr>
      </w:pPr>
      <w:r>
        <w:rPr>
          <w:szCs w:val="24"/>
        </w:rPr>
        <w:t>Another challenge is to facilitate development of common interoperability services, service platforms and ecosystems which are based on the reuse of the one</w:t>
      </w:r>
      <w:r w:rsidR="00782871">
        <w:rPr>
          <w:szCs w:val="24"/>
        </w:rPr>
        <w:t>s</w:t>
      </w:r>
      <w:r>
        <w:rPr>
          <w:szCs w:val="24"/>
        </w:rPr>
        <w:t xml:space="preserve"> provided by the citizen. These solutions will prevent the end-user providing the same data twice, which means that certain cases will be handled in a package and not separately one by one (i.e. registering </w:t>
      </w:r>
      <w:r w:rsidR="00782871">
        <w:rPr>
          <w:szCs w:val="24"/>
        </w:rPr>
        <w:t xml:space="preserve">the </w:t>
      </w:r>
      <w:r>
        <w:rPr>
          <w:szCs w:val="24"/>
        </w:rPr>
        <w:t>birth of a child requires few registr</w:t>
      </w:r>
      <w:r w:rsidR="00782871">
        <w:rPr>
          <w:szCs w:val="24"/>
        </w:rPr>
        <w:t>y</w:t>
      </w:r>
      <w:r>
        <w:rPr>
          <w:szCs w:val="24"/>
        </w:rPr>
        <w:t xml:space="preserve"> entries, applying for welfare benefits etc). Citizens need services to be bundled and expect seamless user experience so that their cases are not handled by different administrations or sectors separately but solved at one time. Keeping this in mind, it is also important to promote the benefits of electronic payments to enhance digital interaction between national administration and its citizens.</w:t>
      </w:r>
    </w:p>
    <w:p w:rsidR="00EF6E61" w:rsidRDefault="00EF6E61" w:rsidP="00A140EB">
      <w:pPr>
        <w:rPr>
          <w:szCs w:val="24"/>
        </w:rPr>
      </w:pPr>
      <w:r>
        <w:rPr>
          <w:szCs w:val="24"/>
        </w:rPr>
        <w:t>In order to provide a full scope of computer-aided or automated services several issues have to be ensured: from providing open data in standard formats, through mature eGov services to flexible and robust integrated workflow systems in back</w:t>
      </w:r>
      <w:r w:rsidR="008B77A5">
        <w:rPr>
          <w:szCs w:val="24"/>
        </w:rPr>
        <w:t xml:space="preserve"> </w:t>
      </w:r>
      <w:r>
        <w:rPr>
          <w:szCs w:val="24"/>
        </w:rPr>
        <w:t>office. Crucial factors of success include: easily accessible and secure means of digital identification; access to and analysis of performance data of e-services which is vital for constant refinement of existing and introduction of new services.</w:t>
      </w:r>
    </w:p>
    <w:p w:rsidR="00EF6E61" w:rsidRDefault="00EF6E61" w:rsidP="00A140EB">
      <w:pPr>
        <w:rPr>
          <w:szCs w:val="24"/>
        </w:rPr>
      </w:pPr>
      <w:r>
        <w:rPr>
          <w:szCs w:val="24"/>
        </w:rPr>
        <w:t xml:space="preserve">Above all, the aim of this initiative is to create more networked societies, which will get the administrative issues done in a simple and consumer-friendly manner. </w:t>
      </w:r>
    </w:p>
    <w:p w:rsidR="005B3F60" w:rsidRPr="005B3F60" w:rsidRDefault="005B3F60" w:rsidP="005B3F60">
      <w:pPr>
        <w:rPr>
          <w:b/>
          <w:bCs/>
          <w:szCs w:val="24"/>
        </w:rPr>
      </w:pPr>
      <w:r w:rsidRPr="005B3F60">
        <w:rPr>
          <w:b/>
          <w:bCs/>
          <w:szCs w:val="24"/>
        </w:rPr>
        <w:t>Summary:</w:t>
      </w:r>
    </w:p>
    <w:p w:rsidR="005B3F60" w:rsidRPr="005B3F60" w:rsidRDefault="005B3F60" w:rsidP="005B3F60">
      <w:pPr>
        <w:rPr>
          <w:szCs w:val="24"/>
        </w:rPr>
      </w:pPr>
      <w:r w:rsidRPr="005B3F60">
        <w:rPr>
          <w:szCs w:val="24"/>
        </w:rPr>
        <w:t>The initiative in this area will facilitate the development of such citizen-centric services. These ought to be accessible and available to all members of the society. The aim is to transform and replace the traditional, paper-based methods of handling administrative issues, into the digital mode, allowing citizens to handle their administrative necessities and responsibilities.</w:t>
      </w:r>
    </w:p>
    <w:p w:rsidR="005B3F60" w:rsidRPr="005B3F60" w:rsidRDefault="005B3F60" w:rsidP="005B3F60">
      <w:pPr>
        <w:rPr>
          <w:b/>
          <w:bCs/>
          <w:szCs w:val="24"/>
        </w:rPr>
      </w:pPr>
      <w:r w:rsidRPr="005B3F60">
        <w:rPr>
          <w:b/>
          <w:bCs/>
          <w:szCs w:val="24"/>
        </w:rPr>
        <w:t>Expected results:</w:t>
      </w:r>
    </w:p>
    <w:p w:rsidR="005B3F60" w:rsidRPr="005B3F60" w:rsidRDefault="005B3F60" w:rsidP="005B3F60">
      <w:pPr>
        <w:rPr>
          <w:szCs w:val="24"/>
        </w:rPr>
      </w:pPr>
      <w:r w:rsidRPr="005B3F60">
        <w:rPr>
          <w:szCs w:val="24"/>
        </w:rPr>
        <w:t>Assistance to the countries in the following:</w:t>
      </w:r>
    </w:p>
    <w:p w:rsidR="005B3F60" w:rsidRPr="005B3F60" w:rsidRDefault="005B3F60" w:rsidP="005B3F60">
      <w:pPr>
        <w:rPr>
          <w:szCs w:val="24"/>
        </w:rPr>
      </w:pPr>
      <w:r w:rsidRPr="005B3F60">
        <w:rPr>
          <w:szCs w:val="24"/>
        </w:rPr>
        <w:t>1)</w:t>
      </w:r>
      <w:r w:rsidRPr="005B3F60">
        <w:rPr>
          <w:szCs w:val="24"/>
        </w:rPr>
        <w:tab/>
        <w:t>Creation of experience and knowledge exchange platform between countries;</w:t>
      </w:r>
    </w:p>
    <w:p w:rsidR="005B3F60" w:rsidRPr="005B3F60" w:rsidRDefault="005B3F60" w:rsidP="005B3F60">
      <w:pPr>
        <w:rPr>
          <w:szCs w:val="24"/>
        </w:rPr>
      </w:pPr>
      <w:r w:rsidRPr="005B3F60">
        <w:rPr>
          <w:szCs w:val="24"/>
        </w:rPr>
        <w:t>2)</w:t>
      </w:r>
      <w:r w:rsidRPr="005B3F60">
        <w:rPr>
          <w:szCs w:val="24"/>
        </w:rPr>
        <w:tab/>
        <w:t>The development of technical and service infrastructure (data centers, networks, secure gateways, authentication or interoperability) as well as capacity building within the national administrations;</w:t>
      </w:r>
    </w:p>
    <w:p w:rsidR="005B3F60" w:rsidRPr="005B3F60" w:rsidRDefault="005B3F60" w:rsidP="005B3F60">
      <w:pPr>
        <w:rPr>
          <w:szCs w:val="24"/>
        </w:rPr>
      </w:pPr>
      <w:r w:rsidRPr="005B3F60">
        <w:rPr>
          <w:szCs w:val="24"/>
        </w:rPr>
        <w:t>3)</w:t>
      </w:r>
      <w:r w:rsidRPr="005B3F60">
        <w:rPr>
          <w:szCs w:val="24"/>
        </w:rPr>
        <w:tab/>
        <w:t xml:space="preserve">Fostering the development and increase of types of online transactional services, including applications for A2A and A2C services (related to i.e. daily administrative processes, registering vehicles, application for documents, certificates or social benefits, registering businesses or submitting taxes); </w:t>
      </w:r>
    </w:p>
    <w:p w:rsidR="005B3F60" w:rsidRPr="005B3F60" w:rsidRDefault="005B3F60" w:rsidP="005B3F60">
      <w:pPr>
        <w:rPr>
          <w:szCs w:val="24"/>
        </w:rPr>
      </w:pPr>
      <w:r w:rsidRPr="005B3F60">
        <w:rPr>
          <w:szCs w:val="24"/>
        </w:rPr>
        <w:t>4)</w:t>
      </w:r>
      <w:r w:rsidRPr="005B3F60">
        <w:rPr>
          <w:szCs w:val="24"/>
        </w:rPr>
        <w:tab/>
        <w:t>Raising public trust through security enhancements in e-Gov services and awareness</w:t>
      </w:r>
      <w:r w:rsidR="00782871">
        <w:rPr>
          <w:szCs w:val="24"/>
        </w:rPr>
        <w:t>-</w:t>
      </w:r>
      <w:r w:rsidRPr="005B3F60">
        <w:rPr>
          <w:szCs w:val="24"/>
        </w:rPr>
        <w:t>raising campaigns; including promotion of such application</w:t>
      </w:r>
      <w:r w:rsidR="00782871">
        <w:rPr>
          <w:szCs w:val="24"/>
        </w:rPr>
        <w:t>-</w:t>
      </w:r>
      <w:r w:rsidRPr="005B3F60">
        <w:rPr>
          <w:szCs w:val="24"/>
        </w:rPr>
        <w:t>based solutions for e-Government by national administrations;</w:t>
      </w:r>
    </w:p>
    <w:p w:rsidR="005B3F60" w:rsidRPr="005B3F60" w:rsidRDefault="005B3F60" w:rsidP="006701DD">
      <w:pPr>
        <w:rPr>
          <w:szCs w:val="24"/>
        </w:rPr>
      </w:pPr>
      <w:r w:rsidRPr="005B3F60">
        <w:rPr>
          <w:szCs w:val="24"/>
        </w:rPr>
        <w:lastRenderedPageBreak/>
        <w:t>5)</w:t>
      </w:r>
      <w:r w:rsidRPr="005B3F60">
        <w:rPr>
          <w:szCs w:val="24"/>
        </w:rPr>
        <w:tab/>
        <w:t>Identification of key horizontal factors for successful implementation of e-Gov services, such as secure and accessible digital identification, tools for data analysis, integrating workflow solutions, approach to reuse of data, and fostering their development.</w:t>
      </w:r>
    </w:p>
    <w:p w:rsidR="005B3F60" w:rsidRPr="00C04537" w:rsidRDefault="005B3F60" w:rsidP="005B3F60">
      <w:pPr>
        <w:jc w:val="center"/>
        <w:rPr>
          <w:szCs w:val="24"/>
        </w:rPr>
      </w:pPr>
      <w:r>
        <w:rPr>
          <w:szCs w:val="24"/>
        </w:rPr>
        <w:t>________________</w:t>
      </w:r>
      <w:bookmarkStart w:id="9" w:name="_GoBack"/>
      <w:bookmarkEnd w:id="9"/>
    </w:p>
    <w:sectPr w:rsidR="005B3F60" w:rsidRPr="00C04537">
      <w:headerReference w:type="default" r:id="rId9"/>
      <w:footerReference w:type="first" r:id="rId10"/>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E61" w:rsidRDefault="00EF6E61">
      <w:r>
        <w:separator/>
      </w:r>
    </w:p>
  </w:endnote>
  <w:endnote w:type="continuationSeparator" w:id="0">
    <w:p w:rsidR="00EF6E61" w:rsidRDefault="00EF6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Default="00C04537" w:rsidP="00B055E8"/>
  <w:tbl>
    <w:tblPr>
      <w:tblW w:w="0" w:type="auto"/>
      <w:tblLayout w:type="fixed"/>
      <w:tblLook w:val="04A0" w:firstRow="1" w:lastRow="0" w:firstColumn="1" w:lastColumn="0" w:noHBand="0" w:noVBand="1"/>
    </w:tblPr>
    <w:tblGrid>
      <w:gridCol w:w="1526"/>
      <w:gridCol w:w="2410"/>
      <w:gridCol w:w="5919"/>
    </w:tblGrid>
    <w:tr w:rsidR="00C04537" w:rsidRPr="004D495C" w:rsidTr="004D495C">
      <w:tc>
        <w:tcPr>
          <w:tcW w:w="1526" w:type="dxa"/>
          <w:tcBorders>
            <w:top w:val="single" w:sz="4" w:space="0" w:color="000000"/>
          </w:tcBorders>
          <w:shd w:val="clear" w:color="auto" w:fill="auto"/>
        </w:tcPr>
        <w:p w:rsidR="00C04537" w:rsidRPr="004D495C" w:rsidRDefault="00C04537" w:rsidP="004D495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04537" w:rsidRPr="004D495C" w:rsidRDefault="00C04537" w:rsidP="004D495C">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shd w:val="clear" w:color="auto" w:fill="auto"/>
        </w:tcPr>
        <w:p w:rsidR="00C04537" w:rsidRPr="00103886" w:rsidRDefault="00147082" w:rsidP="004D495C">
          <w:pPr>
            <w:pStyle w:val="FirstFooter"/>
            <w:tabs>
              <w:tab w:val="left" w:pos="2302"/>
            </w:tabs>
            <w:ind w:left="2302" w:hanging="2302"/>
            <w:rPr>
              <w:sz w:val="18"/>
              <w:szCs w:val="18"/>
              <w:lang w:val="en-US"/>
            </w:rPr>
          </w:pPr>
          <w:bookmarkStart w:id="12" w:name="OrgName"/>
          <w:bookmarkEnd w:id="12"/>
          <w:r>
            <w:rPr>
              <w:sz w:val="18"/>
              <w:szCs w:val="18"/>
              <w:lang w:val="en-US"/>
            </w:rPr>
            <w:t xml:space="preserve">Mr. </w:t>
          </w:r>
          <w:r w:rsidR="00EF6E61">
            <w:rPr>
              <w:sz w:val="18"/>
              <w:szCs w:val="18"/>
              <w:lang w:val="en-US"/>
            </w:rPr>
            <w:t>Przemyslaw Olowski, Delegation of Poland, Poland</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Phone number:</w:t>
          </w:r>
        </w:p>
      </w:tc>
      <w:tc>
        <w:tcPr>
          <w:tcW w:w="5919" w:type="dxa"/>
          <w:shd w:val="clear" w:color="auto" w:fill="auto"/>
        </w:tcPr>
        <w:p w:rsidR="00C04537" w:rsidRPr="00103886" w:rsidRDefault="00147082" w:rsidP="004D495C">
          <w:pPr>
            <w:pStyle w:val="FirstFooter"/>
            <w:tabs>
              <w:tab w:val="left" w:pos="2302"/>
            </w:tabs>
            <w:rPr>
              <w:sz w:val="18"/>
              <w:szCs w:val="18"/>
              <w:lang w:val="en-US"/>
            </w:rPr>
          </w:pPr>
          <w:bookmarkStart w:id="13" w:name="PhoneNo"/>
          <w:bookmarkEnd w:id="13"/>
          <w:r>
            <w:rPr>
              <w:sz w:val="18"/>
              <w:szCs w:val="18"/>
              <w:lang w:val="en-US"/>
            </w:rPr>
            <w:t>+</w:t>
          </w:r>
          <w:r w:rsidR="00EF6E61">
            <w:rPr>
              <w:sz w:val="18"/>
              <w:szCs w:val="18"/>
              <w:lang w:val="en-US"/>
            </w:rPr>
            <w:t>48</w:t>
          </w:r>
          <w:r>
            <w:rPr>
              <w:sz w:val="18"/>
              <w:szCs w:val="18"/>
              <w:lang w:val="en-US"/>
            </w:rPr>
            <w:t xml:space="preserve"> </w:t>
          </w:r>
          <w:r w:rsidR="00EF6E61">
            <w:rPr>
              <w:sz w:val="18"/>
              <w:szCs w:val="18"/>
              <w:lang w:val="en-US"/>
            </w:rPr>
            <w:t>222455856</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E-mail:</w:t>
          </w:r>
        </w:p>
      </w:tc>
      <w:bookmarkStart w:id="14" w:name="Email"/>
      <w:bookmarkEnd w:id="14"/>
      <w:tc>
        <w:tcPr>
          <w:tcW w:w="5919" w:type="dxa"/>
          <w:shd w:val="clear" w:color="auto" w:fill="auto"/>
        </w:tcPr>
        <w:p w:rsidR="00C04537" w:rsidRPr="00103886" w:rsidRDefault="00147082" w:rsidP="004D495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"mailto:przemyslaw.olowski@mc.gov.pl" </w:instrText>
          </w:r>
          <w:r>
            <w:rPr>
              <w:sz w:val="18"/>
              <w:szCs w:val="18"/>
              <w:lang w:val="en-US"/>
            </w:rPr>
            <w:fldChar w:fldCharType="separate"/>
          </w:r>
          <w:r w:rsidRPr="0008793E">
            <w:rPr>
              <w:rStyle w:val="Hyperlink"/>
              <w:sz w:val="18"/>
              <w:szCs w:val="18"/>
              <w:lang w:val="en-US"/>
            </w:rPr>
            <w:t>przemyslaw.olowski@mc.gov.pl</w:t>
          </w:r>
          <w:r>
            <w:rPr>
              <w:sz w:val="18"/>
              <w:szCs w:val="18"/>
              <w:lang w:val="en-US"/>
            </w:rPr>
            <w:fldChar w:fldCharType="end"/>
          </w:r>
          <w:r>
            <w:rPr>
              <w:sz w:val="18"/>
              <w:szCs w:val="18"/>
              <w:lang w:val="en-US"/>
            </w:rPr>
            <w:t xml:space="preserve"> </w:t>
          </w:r>
        </w:p>
      </w:tc>
    </w:tr>
  </w:tbl>
  <w:p w:rsidR="00C04537" w:rsidRPr="006F4EA2" w:rsidRDefault="00EF6E61" w:rsidP="009F7404">
    <w:pPr>
      <w:jc w:val="center"/>
      <w:rPr>
        <w:sz w:val="18"/>
        <w:szCs w:val="18"/>
        <w:lang w:val="en-US"/>
      </w:rPr>
    </w:pPr>
    <w:bookmarkStart w:id="15" w:name="URL"/>
    <w:bookmarkEnd w:id="15"/>
    <w:r>
      <w:rPr>
        <w:sz w:val="18"/>
        <w:szCs w:val="18"/>
        <w:lang w:val="en-US"/>
      </w:rPr>
      <w:t>http://www.itu.int/go/WTDC17RPMEUR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E61" w:rsidRDefault="00EF6E61">
      <w:r>
        <w:separator/>
      </w:r>
    </w:p>
  </w:footnote>
  <w:footnote w:type="continuationSeparator" w:id="0">
    <w:p w:rsidR="00EF6E61" w:rsidRDefault="00EF6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4D495C" w:rsidRDefault="00C04537" w:rsidP="005B3F60">
    <w:pPr>
      <w:tabs>
        <w:tab w:val="clear" w:pos="794"/>
        <w:tab w:val="clear" w:pos="1191"/>
        <w:tab w:val="clear" w:pos="1588"/>
        <w:tab w:val="clear" w:pos="1985"/>
        <w:tab w:val="center" w:pos="5103"/>
        <w:tab w:val="right" w:pos="10206"/>
      </w:tabs>
      <w:spacing w:before="0" w:after="120"/>
      <w:rPr>
        <w:smallCaps/>
        <w:spacing w:val="24"/>
        <w:sz w:val="22"/>
        <w:szCs w:val="22"/>
        <w:lang w:val="fr-CH"/>
      </w:rPr>
    </w:pPr>
    <w:r w:rsidRPr="004D495C">
      <w:rPr>
        <w:sz w:val="22"/>
        <w:szCs w:val="22"/>
      </w:rPr>
      <w:tab/>
    </w:r>
    <w:r w:rsidRPr="005B3F60">
      <w:rPr>
        <w:sz w:val="22"/>
        <w:szCs w:val="22"/>
        <w:lang w:val="fr-CH"/>
      </w:rPr>
      <w:t>ITU-D/</w:t>
    </w:r>
    <w:bookmarkStart w:id="10" w:name="DocRef2"/>
    <w:bookmarkEnd w:id="10"/>
    <w:r w:rsidR="005B3F60" w:rsidRPr="005B3F60">
      <w:rPr>
        <w:sz w:val="22"/>
        <w:szCs w:val="22"/>
        <w:lang w:val="fr-CH"/>
      </w:rPr>
      <w:t>RPM-EUR17</w:t>
    </w:r>
    <w:r w:rsidRPr="005B3F60">
      <w:rPr>
        <w:sz w:val="22"/>
        <w:szCs w:val="22"/>
        <w:lang w:val="fr-CH"/>
      </w:rPr>
      <w:t>/</w:t>
    </w:r>
    <w:bookmarkStart w:id="11" w:name="DocNo2"/>
    <w:bookmarkEnd w:id="11"/>
    <w:r w:rsidR="00EF6E61" w:rsidRPr="005B3F60">
      <w:rPr>
        <w:sz w:val="22"/>
        <w:szCs w:val="22"/>
        <w:lang w:val="fr-CH"/>
      </w:rPr>
      <w:t>23-E</w:t>
    </w:r>
    <w:r w:rsidRPr="005B3F60">
      <w:rPr>
        <w:sz w:val="22"/>
        <w:szCs w:val="22"/>
        <w:lang w:val="fr-CH"/>
      </w:rPr>
      <w:tab/>
      <w:t xml:space="preserve">Page </w:t>
    </w:r>
    <w:r w:rsidRPr="004D495C">
      <w:rPr>
        <w:sz w:val="22"/>
        <w:szCs w:val="22"/>
      </w:rPr>
      <w:fldChar w:fldCharType="begin"/>
    </w:r>
    <w:r w:rsidRPr="005B3F60">
      <w:rPr>
        <w:sz w:val="22"/>
        <w:szCs w:val="22"/>
        <w:lang w:val="fr-CH"/>
      </w:rPr>
      <w:instrText xml:space="preserve"> PAGE </w:instrText>
    </w:r>
    <w:r w:rsidRPr="004D495C">
      <w:rPr>
        <w:sz w:val="22"/>
        <w:szCs w:val="22"/>
      </w:rPr>
      <w:fldChar w:fldCharType="separate"/>
    </w:r>
    <w:r w:rsidR="006701DD">
      <w:rPr>
        <w:noProof/>
        <w:sz w:val="22"/>
        <w:szCs w:val="22"/>
        <w:lang w:val="fr-CH"/>
      </w:rPr>
      <w:t>3</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0"/>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61"/>
    <w:rsid w:val="00003125"/>
    <w:rsid w:val="00005245"/>
    <w:rsid w:val="00006684"/>
    <w:rsid w:val="00017BEC"/>
    <w:rsid w:val="00017E7D"/>
    <w:rsid w:val="00017E82"/>
    <w:rsid w:val="00021A72"/>
    <w:rsid w:val="000221F5"/>
    <w:rsid w:val="00022BFD"/>
    <w:rsid w:val="00032DD2"/>
    <w:rsid w:val="000370A8"/>
    <w:rsid w:val="00045E4A"/>
    <w:rsid w:val="0006050B"/>
    <w:rsid w:val="00080665"/>
    <w:rsid w:val="000824C7"/>
    <w:rsid w:val="00085784"/>
    <w:rsid w:val="000A3328"/>
    <w:rsid w:val="000D0403"/>
    <w:rsid w:val="000D61A2"/>
    <w:rsid w:val="000D7961"/>
    <w:rsid w:val="000E397B"/>
    <w:rsid w:val="000F1580"/>
    <w:rsid w:val="00103886"/>
    <w:rsid w:val="001229F6"/>
    <w:rsid w:val="00147082"/>
    <w:rsid w:val="0015200D"/>
    <w:rsid w:val="0015553B"/>
    <w:rsid w:val="00161A5A"/>
    <w:rsid w:val="00170AB9"/>
    <w:rsid w:val="00181928"/>
    <w:rsid w:val="001856D7"/>
    <w:rsid w:val="00187E51"/>
    <w:rsid w:val="00192DBD"/>
    <w:rsid w:val="0019399A"/>
    <w:rsid w:val="001A52E9"/>
    <w:rsid w:val="001B4B9B"/>
    <w:rsid w:val="001B63AC"/>
    <w:rsid w:val="001D3694"/>
    <w:rsid w:val="001E33AB"/>
    <w:rsid w:val="001E3BCF"/>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762F"/>
    <w:rsid w:val="00311BD3"/>
    <w:rsid w:val="00312685"/>
    <w:rsid w:val="00334C18"/>
    <w:rsid w:val="003513DB"/>
    <w:rsid w:val="0036243F"/>
    <w:rsid w:val="00385ABF"/>
    <w:rsid w:val="00392AF3"/>
    <w:rsid w:val="003A6A11"/>
    <w:rsid w:val="003B75F4"/>
    <w:rsid w:val="003C78E4"/>
    <w:rsid w:val="003E20FF"/>
    <w:rsid w:val="004077C9"/>
    <w:rsid w:val="00414E6F"/>
    <w:rsid w:val="00415F06"/>
    <w:rsid w:val="00416D38"/>
    <w:rsid w:val="00425DDF"/>
    <w:rsid w:val="004331DF"/>
    <w:rsid w:val="0043566B"/>
    <w:rsid w:val="004430CE"/>
    <w:rsid w:val="00457453"/>
    <w:rsid w:val="0046327F"/>
    <w:rsid w:val="00472A03"/>
    <w:rsid w:val="00483313"/>
    <w:rsid w:val="00487A55"/>
    <w:rsid w:val="004A0340"/>
    <w:rsid w:val="004A28F0"/>
    <w:rsid w:val="004A34DD"/>
    <w:rsid w:val="004A564F"/>
    <w:rsid w:val="004C0A4B"/>
    <w:rsid w:val="004C4C2E"/>
    <w:rsid w:val="004C4E14"/>
    <w:rsid w:val="004D0AC9"/>
    <w:rsid w:val="004D2D58"/>
    <w:rsid w:val="004D3DC4"/>
    <w:rsid w:val="004D495C"/>
    <w:rsid w:val="004E3824"/>
    <w:rsid w:val="004F09F8"/>
    <w:rsid w:val="00502BFC"/>
    <w:rsid w:val="00511EDF"/>
    <w:rsid w:val="00523237"/>
    <w:rsid w:val="00523E05"/>
    <w:rsid w:val="005302F6"/>
    <w:rsid w:val="00542D84"/>
    <w:rsid w:val="00562A87"/>
    <w:rsid w:val="0058604B"/>
    <w:rsid w:val="005B37AF"/>
    <w:rsid w:val="005B3F60"/>
    <w:rsid w:val="005B45E9"/>
    <w:rsid w:val="005C0E75"/>
    <w:rsid w:val="005C33BC"/>
    <w:rsid w:val="005D12FD"/>
    <w:rsid w:val="005E07F1"/>
    <w:rsid w:val="005F2DA4"/>
    <w:rsid w:val="00622A8F"/>
    <w:rsid w:val="006354E9"/>
    <w:rsid w:val="0064011F"/>
    <w:rsid w:val="006444D5"/>
    <w:rsid w:val="0065094C"/>
    <w:rsid w:val="006527BD"/>
    <w:rsid w:val="00663234"/>
    <w:rsid w:val="00667E12"/>
    <w:rsid w:val="006701DD"/>
    <w:rsid w:val="00676C62"/>
    <w:rsid w:val="00677A58"/>
    <w:rsid w:val="00685848"/>
    <w:rsid w:val="006A6F8F"/>
    <w:rsid w:val="006C0E12"/>
    <w:rsid w:val="006C3164"/>
    <w:rsid w:val="006C7A7B"/>
    <w:rsid w:val="006D0B95"/>
    <w:rsid w:val="006F1CE9"/>
    <w:rsid w:val="006F4EA2"/>
    <w:rsid w:val="0070090A"/>
    <w:rsid w:val="0070796E"/>
    <w:rsid w:val="00735AC3"/>
    <w:rsid w:val="00735B54"/>
    <w:rsid w:val="00755605"/>
    <w:rsid w:val="00762A1E"/>
    <w:rsid w:val="007679D2"/>
    <w:rsid w:val="00770299"/>
    <w:rsid w:val="00781933"/>
    <w:rsid w:val="00782871"/>
    <w:rsid w:val="00794FF3"/>
    <w:rsid w:val="00795647"/>
    <w:rsid w:val="00797056"/>
    <w:rsid w:val="007B145B"/>
    <w:rsid w:val="007B5E61"/>
    <w:rsid w:val="007B7C19"/>
    <w:rsid w:val="00800D40"/>
    <w:rsid w:val="00810A21"/>
    <w:rsid w:val="00811068"/>
    <w:rsid w:val="00813980"/>
    <w:rsid w:val="00817846"/>
    <w:rsid w:val="00833A72"/>
    <w:rsid w:val="00833F2B"/>
    <w:rsid w:val="008340D6"/>
    <w:rsid w:val="0083540C"/>
    <w:rsid w:val="00835BBF"/>
    <w:rsid w:val="00852CC6"/>
    <w:rsid w:val="00870D98"/>
    <w:rsid w:val="008740CF"/>
    <w:rsid w:val="008A357D"/>
    <w:rsid w:val="008B77A5"/>
    <w:rsid w:val="008D1768"/>
    <w:rsid w:val="008F2196"/>
    <w:rsid w:val="00903414"/>
    <w:rsid w:val="009043C2"/>
    <w:rsid w:val="009074FD"/>
    <w:rsid w:val="00912887"/>
    <w:rsid w:val="00915921"/>
    <w:rsid w:val="00930F7E"/>
    <w:rsid w:val="00941145"/>
    <w:rsid w:val="0094145C"/>
    <w:rsid w:val="00942ED4"/>
    <w:rsid w:val="00951378"/>
    <w:rsid w:val="00953C7D"/>
    <w:rsid w:val="0096235E"/>
    <w:rsid w:val="0097038C"/>
    <w:rsid w:val="009B17EA"/>
    <w:rsid w:val="009B6F98"/>
    <w:rsid w:val="009E3FEB"/>
    <w:rsid w:val="009E50D3"/>
    <w:rsid w:val="009F7404"/>
    <w:rsid w:val="00A13179"/>
    <w:rsid w:val="00A140EB"/>
    <w:rsid w:val="00A65745"/>
    <w:rsid w:val="00A824E0"/>
    <w:rsid w:val="00A825E2"/>
    <w:rsid w:val="00A840C6"/>
    <w:rsid w:val="00AA68A1"/>
    <w:rsid w:val="00AB4706"/>
    <w:rsid w:val="00AC3A1D"/>
    <w:rsid w:val="00AC7AC6"/>
    <w:rsid w:val="00AD799C"/>
    <w:rsid w:val="00AE1C97"/>
    <w:rsid w:val="00AE2BCA"/>
    <w:rsid w:val="00AF0A2E"/>
    <w:rsid w:val="00AF4619"/>
    <w:rsid w:val="00B055E8"/>
    <w:rsid w:val="00B13550"/>
    <w:rsid w:val="00B154AD"/>
    <w:rsid w:val="00B2033A"/>
    <w:rsid w:val="00B20B08"/>
    <w:rsid w:val="00B24401"/>
    <w:rsid w:val="00B34B6C"/>
    <w:rsid w:val="00B4143C"/>
    <w:rsid w:val="00B41935"/>
    <w:rsid w:val="00B46EC5"/>
    <w:rsid w:val="00B50E11"/>
    <w:rsid w:val="00B528E2"/>
    <w:rsid w:val="00B532C0"/>
    <w:rsid w:val="00B60B80"/>
    <w:rsid w:val="00B830A9"/>
    <w:rsid w:val="00B8609C"/>
    <w:rsid w:val="00BB67AF"/>
    <w:rsid w:val="00BC1350"/>
    <w:rsid w:val="00BC6A2F"/>
    <w:rsid w:val="00BF1682"/>
    <w:rsid w:val="00BF269F"/>
    <w:rsid w:val="00C04537"/>
    <w:rsid w:val="00C25C02"/>
    <w:rsid w:val="00C26729"/>
    <w:rsid w:val="00C37B27"/>
    <w:rsid w:val="00C53CE6"/>
    <w:rsid w:val="00C551FC"/>
    <w:rsid w:val="00C648E4"/>
    <w:rsid w:val="00C67A0A"/>
    <w:rsid w:val="00C75DBB"/>
    <w:rsid w:val="00C77893"/>
    <w:rsid w:val="00C837F9"/>
    <w:rsid w:val="00C84158"/>
    <w:rsid w:val="00C84E60"/>
    <w:rsid w:val="00CF63E1"/>
    <w:rsid w:val="00D00614"/>
    <w:rsid w:val="00D17DC5"/>
    <w:rsid w:val="00D35307"/>
    <w:rsid w:val="00D4563B"/>
    <w:rsid w:val="00D80072"/>
    <w:rsid w:val="00D92439"/>
    <w:rsid w:val="00DA1664"/>
    <w:rsid w:val="00DA2F6F"/>
    <w:rsid w:val="00DA3130"/>
    <w:rsid w:val="00DB5B1B"/>
    <w:rsid w:val="00DB6C98"/>
    <w:rsid w:val="00DE3F2D"/>
    <w:rsid w:val="00DE460C"/>
    <w:rsid w:val="00DF2EBE"/>
    <w:rsid w:val="00E20210"/>
    <w:rsid w:val="00E207C7"/>
    <w:rsid w:val="00E2379D"/>
    <w:rsid w:val="00E244D1"/>
    <w:rsid w:val="00E7476B"/>
    <w:rsid w:val="00E74841"/>
    <w:rsid w:val="00E831B6"/>
    <w:rsid w:val="00E84413"/>
    <w:rsid w:val="00E97390"/>
    <w:rsid w:val="00E97800"/>
    <w:rsid w:val="00EA6520"/>
    <w:rsid w:val="00EA72D0"/>
    <w:rsid w:val="00EF0656"/>
    <w:rsid w:val="00EF394B"/>
    <w:rsid w:val="00EF62C8"/>
    <w:rsid w:val="00EF6E61"/>
    <w:rsid w:val="00F2422E"/>
    <w:rsid w:val="00F40E2E"/>
    <w:rsid w:val="00F620CA"/>
    <w:rsid w:val="00F74154"/>
    <w:rsid w:val="00F842D3"/>
    <w:rsid w:val="00F87092"/>
    <w:rsid w:val="00FD281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6DB144A-A0C4-4F0F-BD24-0F3DE41A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n_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E9670-DB96-4D5C-B2A9-455B441B8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RPM-WebContribution-en_V2.dotm</Template>
  <TotalTime>1</TotalTime>
  <Pages>3</Pages>
  <Words>674</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Cerri, Celine</dc:creator>
  <cp:keywords/>
  <cp:lastModifiedBy>Cerri, Celine</cp:lastModifiedBy>
  <cp:revision>2</cp:revision>
  <cp:lastPrinted>2017-04-20T07:52:00Z</cp:lastPrinted>
  <dcterms:created xsi:type="dcterms:W3CDTF">2017-04-20T07:54:00Z</dcterms:created>
  <dcterms:modified xsi:type="dcterms:W3CDTF">2017-04-20T07:54:00Z</dcterms:modified>
</cp:coreProperties>
</file>