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563"/>
        <w:gridCol w:w="3211"/>
      </w:tblGrid>
      <w:tr w:rsidR="001D67DD" w:rsidRPr="00C636BD" w:rsidTr="001D67DD">
        <w:trPr>
          <w:cantSplit/>
          <w:jc w:val="center"/>
        </w:trPr>
        <w:tc>
          <w:tcPr>
            <w:tcW w:w="6712" w:type="dxa"/>
          </w:tcPr>
          <w:p w:rsidR="001D67DD" w:rsidRPr="0069191F" w:rsidRDefault="001D67DD" w:rsidP="003E0C5E">
            <w:pPr>
              <w:adjustRightInd/>
              <w:spacing w:before="0" w:after="60"/>
              <w:rPr>
                <w:b/>
                <w:bCs/>
                <w:sz w:val="28"/>
                <w:szCs w:val="28"/>
                <w:lang w:val="es-ES"/>
              </w:rPr>
            </w:pPr>
            <w:r w:rsidRPr="0069191F">
              <w:rPr>
                <w:b/>
                <w:bCs/>
                <w:sz w:val="28"/>
                <w:szCs w:val="28"/>
                <w:lang w:val="es-ES"/>
              </w:rPr>
              <w:t xml:space="preserve">Reunión Preparatoria Regional de la CMDT-17 </w:t>
            </w:r>
            <w:r w:rsidRPr="0069191F">
              <w:rPr>
                <w:b/>
                <w:bCs/>
                <w:sz w:val="28"/>
                <w:szCs w:val="28"/>
                <w:lang w:val="es-ES"/>
              </w:rPr>
              <w:br/>
              <w:t xml:space="preserve">para </w:t>
            </w:r>
            <w:r>
              <w:rPr>
                <w:b/>
                <w:bCs/>
                <w:sz w:val="28"/>
                <w:szCs w:val="28"/>
                <w:lang w:val="es-ES"/>
              </w:rPr>
              <w:t>Europa</w:t>
            </w:r>
            <w:r w:rsidRPr="0069191F">
              <w:rPr>
                <w:b/>
                <w:bCs/>
                <w:sz w:val="28"/>
                <w:szCs w:val="28"/>
                <w:lang w:val="es-ES"/>
              </w:rPr>
              <w:t xml:space="preserve"> (RPM-</w:t>
            </w:r>
            <w:r>
              <w:rPr>
                <w:b/>
                <w:bCs/>
                <w:sz w:val="28"/>
                <w:szCs w:val="28"/>
                <w:lang w:val="es-ES"/>
              </w:rPr>
              <w:t>EUR</w:t>
            </w:r>
            <w:r w:rsidRPr="0069191F">
              <w:rPr>
                <w:b/>
                <w:bCs/>
                <w:sz w:val="28"/>
                <w:szCs w:val="28"/>
                <w:lang w:val="es-ES"/>
              </w:rPr>
              <w:t>)</w:t>
            </w:r>
          </w:p>
        </w:tc>
        <w:tc>
          <w:tcPr>
            <w:tcW w:w="3281" w:type="dxa"/>
          </w:tcPr>
          <w:p w:rsidR="001D67DD" w:rsidRPr="00C636BD" w:rsidRDefault="001D67DD" w:rsidP="003E0C5E">
            <w:pPr>
              <w:spacing w:before="0"/>
              <w:ind w:right="142"/>
              <w:jc w:val="right"/>
              <w:rPr>
                <w:lang w:val="es-ES"/>
              </w:rPr>
            </w:pPr>
            <w:r w:rsidRPr="00C636BD">
              <w:rPr>
                <w:noProof/>
                <w:lang w:eastAsia="zh-CN"/>
              </w:rPr>
              <w:drawing>
                <wp:inline distT="0" distB="0" distL="0" distR="0" wp14:anchorId="71B1A619" wp14:editId="473DF801">
                  <wp:extent cx="714375" cy="790575"/>
                  <wp:effectExtent l="0" t="0" r="9525" b="9525"/>
                  <wp:docPr id="2" name="Picture 2"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1D67DD" w:rsidRPr="001D67DD" w:rsidTr="001D67DD">
        <w:trPr>
          <w:cantSplit/>
          <w:trHeight w:val="300"/>
          <w:jc w:val="center"/>
        </w:trPr>
        <w:tc>
          <w:tcPr>
            <w:tcW w:w="9993" w:type="dxa"/>
            <w:gridSpan w:val="2"/>
            <w:tcBorders>
              <w:bottom w:val="single" w:sz="12" w:space="0" w:color="auto"/>
            </w:tcBorders>
          </w:tcPr>
          <w:p w:rsidR="001D67DD" w:rsidRPr="00C636BD" w:rsidRDefault="001D67DD" w:rsidP="003E0C5E">
            <w:pPr>
              <w:adjustRightInd/>
              <w:spacing w:before="0" w:after="60"/>
              <w:rPr>
                <w:b/>
                <w:bCs/>
                <w:sz w:val="26"/>
                <w:szCs w:val="26"/>
                <w:lang w:val="es-ES"/>
              </w:rPr>
            </w:pPr>
            <w:r>
              <w:rPr>
                <w:b/>
                <w:bCs/>
                <w:sz w:val="26"/>
                <w:szCs w:val="26"/>
                <w:lang w:val="es-ES"/>
              </w:rPr>
              <w:t>Vilnius</w:t>
            </w:r>
            <w:r w:rsidRPr="00C636BD">
              <w:rPr>
                <w:b/>
                <w:bCs/>
                <w:sz w:val="26"/>
                <w:szCs w:val="26"/>
                <w:lang w:val="es-ES"/>
              </w:rPr>
              <w:t xml:space="preserve">, </w:t>
            </w:r>
            <w:r>
              <w:rPr>
                <w:b/>
                <w:bCs/>
                <w:sz w:val="26"/>
                <w:szCs w:val="26"/>
                <w:lang w:val="es-ES"/>
              </w:rPr>
              <w:t>Lituania</w:t>
            </w:r>
            <w:r w:rsidRPr="00C636BD">
              <w:rPr>
                <w:b/>
                <w:bCs/>
                <w:sz w:val="26"/>
                <w:szCs w:val="26"/>
                <w:lang w:val="es-ES"/>
              </w:rPr>
              <w:t xml:space="preserve">, </w:t>
            </w:r>
            <w:r>
              <w:rPr>
                <w:b/>
                <w:bCs/>
                <w:sz w:val="26"/>
                <w:szCs w:val="26"/>
                <w:lang w:val="es-ES"/>
              </w:rPr>
              <w:t>27-28</w:t>
            </w:r>
            <w:r w:rsidRPr="00C636BD">
              <w:rPr>
                <w:b/>
                <w:bCs/>
                <w:sz w:val="26"/>
                <w:szCs w:val="26"/>
                <w:lang w:val="es-ES"/>
              </w:rPr>
              <w:t xml:space="preserve"> de </w:t>
            </w:r>
            <w:r>
              <w:rPr>
                <w:b/>
                <w:bCs/>
                <w:sz w:val="26"/>
                <w:szCs w:val="26"/>
                <w:lang w:val="es-ES"/>
              </w:rPr>
              <w:t>abril</w:t>
            </w:r>
            <w:r w:rsidRPr="00C636BD">
              <w:rPr>
                <w:b/>
                <w:bCs/>
                <w:sz w:val="26"/>
                <w:szCs w:val="26"/>
                <w:lang w:val="es-ES"/>
              </w:rPr>
              <w:t xml:space="preserve"> de 2017</w:t>
            </w:r>
          </w:p>
        </w:tc>
      </w:tr>
      <w:tr w:rsidR="001D67DD" w:rsidRPr="001D67DD" w:rsidTr="001D67DD">
        <w:trPr>
          <w:cantSplit/>
          <w:trHeight w:val="238"/>
          <w:jc w:val="center"/>
        </w:trPr>
        <w:tc>
          <w:tcPr>
            <w:tcW w:w="6712" w:type="dxa"/>
            <w:tcBorders>
              <w:top w:val="single" w:sz="12" w:space="0" w:color="auto"/>
            </w:tcBorders>
          </w:tcPr>
          <w:p w:rsidR="001D67DD" w:rsidRPr="00C636BD" w:rsidRDefault="001D67DD" w:rsidP="003E0C5E">
            <w:pPr>
              <w:spacing w:before="0"/>
              <w:rPr>
                <w:lang w:val="es-ES"/>
              </w:rPr>
            </w:pPr>
          </w:p>
        </w:tc>
        <w:tc>
          <w:tcPr>
            <w:tcW w:w="3281" w:type="dxa"/>
            <w:tcBorders>
              <w:top w:val="single" w:sz="12" w:space="0" w:color="auto"/>
            </w:tcBorders>
          </w:tcPr>
          <w:p w:rsidR="001D67DD" w:rsidRPr="00C636BD" w:rsidRDefault="001D67DD" w:rsidP="003E0C5E">
            <w:pPr>
              <w:spacing w:before="0"/>
              <w:rPr>
                <w:lang w:val="es-ES"/>
              </w:rPr>
            </w:pPr>
          </w:p>
        </w:tc>
      </w:tr>
      <w:tr w:rsidR="001D67DD" w:rsidRPr="00C636BD" w:rsidTr="001D67DD">
        <w:trPr>
          <w:cantSplit/>
          <w:trHeight w:val="20"/>
          <w:jc w:val="center"/>
        </w:trPr>
        <w:tc>
          <w:tcPr>
            <w:tcW w:w="6712" w:type="dxa"/>
            <w:vMerge w:val="restart"/>
          </w:tcPr>
          <w:p w:rsidR="001D67DD" w:rsidRPr="00C636BD" w:rsidRDefault="001D67DD" w:rsidP="003E0C5E">
            <w:pPr>
              <w:rPr>
                <w:lang w:val="es-ES"/>
              </w:rPr>
            </w:pPr>
          </w:p>
        </w:tc>
        <w:tc>
          <w:tcPr>
            <w:tcW w:w="3281" w:type="dxa"/>
          </w:tcPr>
          <w:p w:rsidR="001D67DD" w:rsidRPr="00C636BD" w:rsidRDefault="001D67DD" w:rsidP="001D67DD">
            <w:pPr>
              <w:spacing w:before="0"/>
              <w:rPr>
                <w:b/>
                <w:bCs/>
                <w:szCs w:val="24"/>
                <w:lang w:val="es-ES"/>
              </w:rPr>
            </w:pPr>
            <w:r w:rsidRPr="00C636BD">
              <w:rPr>
                <w:b/>
                <w:bCs/>
                <w:szCs w:val="24"/>
                <w:lang w:val="es-ES"/>
              </w:rPr>
              <w:t>Documento RPM-</w:t>
            </w:r>
            <w:r>
              <w:rPr>
                <w:b/>
                <w:bCs/>
                <w:szCs w:val="24"/>
                <w:lang w:val="es-ES"/>
              </w:rPr>
              <w:t>EUR</w:t>
            </w:r>
            <w:r w:rsidRPr="00C636BD">
              <w:rPr>
                <w:b/>
                <w:bCs/>
                <w:szCs w:val="24"/>
                <w:lang w:val="es-ES"/>
              </w:rPr>
              <w:t>1</w:t>
            </w:r>
            <w:r>
              <w:rPr>
                <w:b/>
                <w:bCs/>
                <w:szCs w:val="24"/>
                <w:lang w:val="es-ES"/>
              </w:rPr>
              <w:t>7</w:t>
            </w:r>
            <w:r w:rsidRPr="00C636BD">
              <w:rPr>
                <w:b/>
                <w:bCs/>
                <w:szCs w:val="24"/>
                <w:lang w:val="es-ES"/>
              </w:rPr>
              <w:t>/</w:t>
            </w:r>
            <w:r>
              <w:rPr>
                <w:b/>
                <w:bCs/>
                <w:szCs w:val="24"/>
                <w:lang w:val="es-ES"/>
              </w:rPr>
              <w:t>1</w:t>
            </w:r>
            <w:r>
              <w:rPr>
                <w:b/>
                <w:bCs/>
                <w:szCs w:val="24"/>
                <w:lang w:val="es-ES"/>
              </w:rPr>
              <w:t>4</w:t>
            </w:r>
            <w:r w:rsidRPr="00C636BD">
              <w:rPr>
                <w:b/>
                <w:bCs/>
                <w:szCs w:val="24"/>
                <w:lang w:val="es-ES"/>
              </w:rPr>
              <w:t>-S</w:t>
            </w:r>
          </w:p>
        </w:tc>
      </w:tr>
      <w:tr w:rsidR="001D67DD" w:rsidRPr="00C636BD" w:rsidTr="001D67DD">
        <w:trPr>
          <w:cantSplit/>
          <w:trHeight w:val="23"/>
          <w:jc w:val="center"/>
        </w:trPr>
        <w:tc>
          <w:tcPr>
            <w:tcW w:w="6712" w:type="dxa"/>
            <w:vMerge/>
          </w:tcPr>
          <w:p w:rsidR="001D67DD" w:rsidRPr="00C636BD" w:rsidRDefault="001D67DD" w:rsidP="003E0C5E">
            <w:pPr>
              <w:tabs>
                <w:tab w:val="left" w:pos="851"/>
              </w:tabs>
              <w:spacing w:line="240" w:lineRule="atLeast"/>
              <w:rPr>
                <w:b/>
                <w:lang w:val="es-ES"/>
              </w:rPr>
            </w:pPr>
          </w:p>
        </w:tc>
        <w:tc>
          <w:tcPr>
            <w:tcW w:w="3281" w:type="dxa"/>
          </w:tcPr>
          <w:p w:rsidR="001D67DD" w:rsidRPr="00C636BD" w:rsidRDefault="001D67DD" w:rsidP="003E0C5E">
            <w:pPr>
              <w:spacing w:before="0"/>
              <w:rPr>
                <w:b/>
                <w:bCs/>
                <w:szCs w:val="24"/>
                <w:lang w:val="es-ES"/>
              </w:rPr>
            </w:pPr>
            <w:r w:rsidRPr="001D67DD">
              <w:rPr>
                <w:b/>
                <w:bCs/>
                <w:szCs w:val="24"/>
                <w:lang w:val="es-ES"/>
              </w:rPr>
              <w:t>22 de febrero de 2017</w:t>
            </w:r>
          </w:p>
        </w:tc>
      </w:tr>
      <w:tr w:rsidR="001D67DD" w:rsidRPr="00C636BD" w:rsidTr="001D67DD">
        <w:trPr>
          <w:cantSplit/>
          <w:trHeight w:val="333"/>
          <w:jc w:val="center"/>
        </w:trPr>
        <w:tc>
          <w:tcPr>
            <w:tcW w:w="6712" w:type="dxa"/>
            <w:vMerge/>
          </w:tcPr>
          <w:p w:rsidR="001D67DD" w:rsidRPr="00C636BD" w:rsidRDefault="001D67DD" w:rsidP="003E0C5E">
            <w:pPr>
              <w:tabs>
                <w:tab w:val="left" w:pos="851"/>
              </w:tabs>
              <w:spacing w:line="240" w:lineRule="atLeast"/>
              <w:rPr>
                <w:b/>
                <w:lang w:val="es-ES"/>
              </w:rPr>
            </w:pPr>
          </w:p>
        </w:tc>
        <w:tc>
          <w:tcPr>
            <w:tcW w:w="3281" w:type="dxa"/>
          </w:tcPr>
          <w:p w:rsidR="001D67DD" w:rsidRPr="00C636BD" w:rsidRDefault="001D67DD" w:rsidP="003E0C5E">
            <w:pPr>
              <w:spacing w:before="0" w:after="120"/>
              <w:rPr>
                <w:b/>
                <w:bCs/>
                <w:szCs w:val="24"/>
                <w:lang w:val="es-ES"/>
              </w:rPr>
            </w:pPr>
            <w:r w:rsidRPr="00C636BD">
              <w:rPr>
                <w:b/>
                <w:bCs/>
                <w:szCs w:val="24"/>
                <w:lang w:val="es-ES"/>
              </w:rPr>
              <w:t>Original: inglés</w:t>
            </w:r>
          </w:p>
        </w:tc>
      </w:tr>
      <w:tr w:rsidR="001D67DD" w:rsidRPr="003543E3" w:rsidTr="001D67DD">
        <w:trPr>
          <w:cantSplit/>
          <w:trHeight w:val="23"/>
          <w:jc w:val="center"/>
        </w:trPr>
        <w:tc>
          <w:tcPr>
            <w:tcW w:w="9993" w:type="dxa"/>
            <w:gridSpan w:val="2"/>
          </w:tcPr>
          <w:p w:rsidR="001D67DD" w:rsidRPr="000C6F47" w:rsidRDefault="001D67DD" w:rsidP="003E0C5E">
            <w:pPr>
              <w:pStyle w:val="Source"/>
              <w:spacing w:before="480"/>
              <w:rPr>
                <w:rFonts w:ascii="Calibri" w:hAnsi="Calibri"/>
              </w:rPr>
            </w:pPr>
            <w:r w:rsidRPr="001D67DD">
              <w:rPr>
                <w:rFonts w:ascii="Calibri" w:hAnsi="Calibri"/>
              </w:rPr>
              <w:t>ATDI</w:t>
            </w:r>
          </w:p>
        </w:tc>
      </w:tr>
      <w:tr w:rsidR="001D67DD" w:rsidRPr="001D67DD" w:rsidTr="001D67DD">
        <w:trPr>
          <w:cantSplit/>
          <w:trHeight w:val="23"/>
          <w:jc w:val="center"/>
        </w:trPr>
        <w:tc>
          <w:tcPr>
            <w:tcW w:w="9993" w:type="dxa"/>
            <w:gridSpan w:val="2"/>
          </w:tcPr>
          <w:p w:rsidR="001D67DD" w:rsidRPr="000C6F47" w:rsidRDefault="001D67DD" w:rsidP="006222F4">
            <w:pPr>
              <w:pStyle w:val="Title1"/>
              <w:rPr>
                <w:rFonts w:ascii="Calibri" w:hAnsi="Calibri"/>
              </w:rPr>
            </w:pPr>
            <w:r w:rsidRPr="001D67DD">
              <w:rPr>
                <w:rFonts w:ascii="Calibri" w:hAnsi="Calibri"/>
              </w:rPr>
              <w:t>REVISIÓN DE LA RESOLUCIÓN 62 (DUBÁI, 2014)</w:t>
            </w:r>
            <w:r w:rsidR="006222F4">
              <w:rPr>
                <w:rFonts w:ascii="Calibri" w:hAnsi="Calibri"/>
              </w:rPr>
              <w:br/>
            </w:r>
            <w:r w:rsidRPr="001D67DD">
              <w:rPr>
                <w:rFonts w:ascii="Calibri" w:hAnsi="Calibri"/>
              </w:rPr>
              <w:t xml:space="preserve">PROBLEMAS DE MEDICIÓN RELATIVOS A LA EXPOSICIÓN DE </w:t>
            </w:r>
            <w:r w:rsidR="00D948A7">
              <w:rPr>
                <w:rFonts w:ascii="Calibri" w:hAnsi="Calibri"/>
              </w:rPr>
              <w:br/>
            </w:r>
            <w:r w:rsidRPr="001D67DD">
              <w:rPr>
                <w:rFonts w:ascii="Calibri" w:hAnsi="Calibri"/>
              </w:rPr>
              <w:t>LAS PERSONAS A LOS CAMPOS ELECTROMAGNÉTICOS</w:t>
            </w:r>
          </w:p>
        </w:tc>
      </w:tr>
    </w:tbl>
    <w:p w:rsidR="006222F4" w:rsidRPr="00C636BD" w:rsidRDefault="006222F4" w:rsidP="006222F4">
      <w:pPr>
        <w:rPr>
          <w:lang w:val="es-ES"/>
        </w:rPr>
      </w:pPr>
    </w:p>
    <w:tbl>
      <w:tblPr>
        <w:tblStyle w:val="TableGrid"/>
        <w:tblW w:w="9561" w:type="dxa"/>
        <w:tblInd w:w="177" w:type="dxa"/>
        <w:tblLook w:val="04A0" w:firstRow="1" w:lastRow="0" w:firstColumn="1" w:lastColumn="0" w:noHBand="0" w:noVBand="1"/>
      </w:tblPr>
      <w:tblGrid>
        <w:gridCol w:w="9561"/>
      </w:tblGrid>
      <w:tr w:rsidR="006222F4" w:rsidRPr="006222F4" w:rsidTr="003E0C5E">
        <w:tc>
          <w:tcPr>
            <w:tcW w:w="9561" w:type="dxa"/>
          </w:tcPr>
          <w:p w:rsidR="006222F4" w:rsidRPr="000C6F47" w:rsidRDefault="006222F4" w:rsidP="003E0C5E">
            <w:pPr>
              <w:rPr>
                <w:b/>
                <w:bCs/>
                <w:lang w:val="es-ES"/>
              </w:rPr>
            </w:pPr>
            <w:r w:rsidRPr="000C6F47">
              <w:rPr>
                <w:b/>
                <w:bCs/>
                <w:lang w:val="es-ES"/>
              </w:rPr>
              <w:t>Tema prioritario:</w:t>
            </w:r>
          </w:p>
          <w:p w:rsidR="006222F4" w:rsidRPr="00E71009" w:rsidRDefault="006222F4" w:rsidP="003E0C5E">
            <w:pPr>
              <w:rPr>
                <w:lang w:val="es-ES"/>
              </w:rPr>
            </w:pPr>
            <w:r w:rsidRPr="006222F4">
              <w:rPr>
                <w:lang w:val="es-ES"/>
              </w:rPr>
              <w:t>Racionalización de las Resoluciones de la CMDT</w:t>
            </w:r>
          </w:p>
          <w:p w:rsidR="006222F4" w:rsidRPr="000C6F47" w:rsidRDefault="006222F4" w:rsidP="003E0C5E">
            <w:pPr>
              <w:rPr>
                <w:b/>
                <w:bCs/>
                <w:lang w:val="es-ES"/>
              </w:rPr>
            </w:pPr>
            <w:r w:rsidRPr="000C6F47">
              <w:rPr>
                <w:b/>
                <w:bCs/>
                <w:lang w:val="es-ES"/>
              </w:rPr>
              <w:t>Resumen:</w:t>
            </w:r>
          </w:p>
          <w:p w:rsidR="006222F4" w:rsidRPr="00E71009" w:rsidRDefault="006222F4" w:rsidP="003E0C5E">
            <w:pPr>
              <w:rPr>
                <w:lang w:val="es-ES"/>
              </w:rPr>
            </w:pPr>
            <w:r w:rsidRPr="006222F4">
              <w:rPr>
                <w:lang w:val="es-ES"/>
              </w:rPr>
              <w:t>ATDI propone que se actualice la Resolución 62. Los principales cambios se refieren a las actividades del UIT-D en relación con la Cuestión 7/2, las actividades del UIT-T en relación con la Cuestión 3/5 y las actividades del UIT-R en relación con la Cuestión 1/239.</w:t>
            </w:r>
          </w:p>
          <w:p w:rsidR="006222F4" w:rsidRPr="000C6F47" w:rsidRDefault="006222F4" w:rsidP="003E0C5E">
            <w:pPr>
              <w:rPr>
                <w:b/>
                <w:bCs/>
                <w:lang w:val="es-ES"/>
              </w:rPr>
            </w:pPr>
            <w:r w:rsidRPr="000C6F47">
              <w:rPr>
                <w:b/>
                <w:bCs/>
                <w:lang w:val="es-ES"/>
              </w:rPr>
              <w:t>Resultados previstos:</w:t>
            </w:r>
          </w:p>
          <w:p w:rsidR="006222F4" w:rsidRPr="00E71009" w:rsidRDefault="006222F4" w:rsidP="003E0C5E">
            <w:pPr>
              <w:rPr>
                <w:lang w:val="es-ES"/>
              </w:rPr>
            </w:pPr>
            <w:r w:rsidRPr="006222F4">
              <w:rPr>
                <w:lang w:val="es-ES"/>
              </w:rPr>
              <w:t>Adopción de los cambios propuestos durante la Reunión Preparatoria Regional de la CMDT-17 para Europa (RPM-EUR).</w:t>
            </w:r>
          </w:p>
          <w:p w:rsidR="006222F4" w:rsidRPr="000C6F47" w:rsidRDefault="006222F4" w:rsidP="003E0C5E">
            <w:pPr>
              <w:rPr>
                <w:b/>
                <w:bCs/>
                <w:lang w:val="es-ES"/>
              </w:rPr>
            </w:pPr>
            <w:r w:rsidRPr="000C6F47">
              <w:rPr>
                <w:b/>
                <w:bCs/>
                <w:lang w:val="es-ES"/>
              </w:rPr>
              <w:t>Referencias:</w:t>
            </w:r>
          </w:p>
          <w:p w:rsidR="006222F4" w:rsidRPr="000C6F47" w:rsidRDefault="006222F4" w:rsidP="003E0C5E">
            <w:pPr>
              <w:rPr>
                <w:lang w:val="es-ES"/>
              </w:rPr>
            </w:pPr>
            <w:r w:rsidRPr="006222F4">
              <w:rPr>
                <w:lang w:val="es-ES"/>
              </w:rPr>
              <w:t>Resolución 62 (Rev. Dubái, 2014)</w:t>
            </w:r>
          </w:p>
        </w:tc>
      </w:tr>
    </w:tbl>
    <w:p w:rsidR="001D67DD" w:rsidRPr="00C636BD" w:rsidRDefault="001D67DD" w:rsidP="006222F4">
      <w:pPr>
        <w:rPr>
          <w:lang w:val="es-ES"/>
        </w:rPr>
      </w:pPr>
      <w:r w:rsidRPr="00C636BD">
        <w:rPr>
          <w:lang w:val="es-ES"/>
        </w:rPr>
        <w:br w:type="page"/>
      </w:r>
    </w:p>
    <w:p w:rsidR="006222F4" w:rsidRPr="006222F4" w:rsidRDefault="006222F4" w:rsidP="006222F4">
      <w:pPr>
        <w:pStyle w:val="Headingb"/>
        <w:rPr>
          <w:rFonts w:ascii="Calibri" w:hAnsi="Calibri"/>
        </w:rPr>
      </w:pPr>
      <w:r w:rsidRPr="006222F4">
        <w:rPr>
          <w:rFonts w:ascii="Calibri" w:hAnsi="Calibri"/>
        </w:rPr>
        <w:t>Propuesta</w:t>
      </w:r>
    </w:p>
    <w:p w:rsidR="001D67DD" w:rsidRDefault="001D67DD" w:rsidP="00D948A7">
      <w:pPr>
        <w:rPr>
          <w:lang w:val="es-ES"/>
        </w:rPr>
      </w:pPr>
      <w:r>
        <w:rPr>
          <w:lang w:val="es-ES"/>
        </w:rPr>
        <w:t>Actualizar el título, añadiendo los problemas de evaluación, como en la Resolución 72 (Rev.</w:t>
      </w:r>
      <w:r w:rsidR="00D948A7">
        <w:rPr>
          <w:lang w:val="es-ES"/>
        </w:rPr>
        <w:t> </w:t>
      </w:r>
      <w:r>
        <w:rPr>
          <w:lang w:val="es-ES"/>
        </w:rPr>
        <w:t>Dubái,</w:t>
      </w:r>
      <w:r w:rsidR="00D948A7">
        <w:rPr>
          <w:lang w:val="es-ES"/>
        </w:rPr>
        <w:t> </w:t>
      </w:r>
      <w:r>
        <w:rPr>
          <w:lang w:val="es-ES"/>
        </w:rPr>
        <w:t>2012) del UIT-T; reconocer la Cuestión 1/239 de la Comisión de Estudio 1 del UIT-R; supresión de partes obsoletas.</w:t>
      </w:r>
    </w:p>
    <w:p w:rsidR="001D67DD" w:rsidRPr="006222F4" w:rsidRDefault="001D67DD" w:rsidP="00F647B5">
      <w:pPr>
        <w:pStyle w:val="ResNo"/>
        <w:rPr>
          <w:rFonts w:ascii="Calibri" w:hAnsi="Calibri"/>
        </w:rPr>
      </w:pPr>
      <w:bookmarkStart w:id="0" w:name="_Toc393802627"/>
      <w:bookmarkStart w:id="1" w:name="_Toc393803354"/>
      <w:bookmarkStart w:id="2" w:name="_GoBack"/>
      <w:bookmarkEnd w:id="2"/>
      <w:r w:rsidRPr="006222F4">
        <w:rPr>
          <w:rFonts w:ascii="Calibri" w:hAnsi="Calibri"/>
        </w:rPr>
        <w:t xml:space="preserve">RESOLUcIóN 62 (Rev. </w:t>
      </w:r>
      <w:del w:id="3" w:author="Peral, Fernando" w:date="2017-03-17T11:14:00Z">
        <w:r w:rsidRPr="006222F4" w:rsidDel="00AE2E31">
          <w:rPr>
            <w:rFonts w:ascii="Calibri" w:hAnsi="Calibri"/>
          </w:rPr>
          <w:delText>Dubái, 2014</w:delText>
        </w:r>
      </w:del>
      <w:ins w:id="4" w:author="Peral, Fernando" w:date="2017-03-17T11:14:00Z">
        <w:r w:rsidRPr="006222F4">
          <w:rPr>
            <w:rFonts w:ascii="Calibri" w:hAnsi="Calibri"/>
          </w:rPr>
          <w:t>Buenos Aires, 2017</w:t>
        </w:r>
      </w:ins>
      <w:r w:rsidRPr="006222F4">
        <w:rPr>
          <w:rFonts w:ascii="Calibri" w:hAnsi="Calibri"/>
        </w:rPr>
        <w:t>)</w:t>
      </w:r>
      <w:bookmarkEnd w:id="0"/>
      <w:bookmarkEnd w:id="1"/>
    </w:p>
    <w:p w:rsidR="001D67DD" w:rsidRPr="006222F4" w:rsidRDefault="001D67DD" w:rsidP="006222F4">
      <w:pPr>
        <w:pStyle w:val="Restitle"/>
        <w:rPr>
          <w:rFonts w:ascii="Calibri" w:hAnsi="Calibri"/>
        </w:rPr>
      </w:pPr>
      <w:r w:rsidRPr="006222F4">
        <w:rPr>
          <w:rFonts w:ascii="Calibri" w:hAnsi="Calibri"/>
        </w:rPr>
        <w:t xml:space="preserve">Problemas de medición </w:t>
      </w:r>
      <w:ins w:id="5" w:author="Peral, Fernando" w:date="2017-03-17T11:14:00Z">
        <w:r w:rsidRPr="006222F4">
          <w:rPr>
            <w:rFonts w:ascii="Calibri" w:hAnsi="Calibri"/>
          </w:rPr>
          <w:t xml:space="preserve">y evaluación </w:t>
        </w:r>
      </w:ins>
      <w:r w:rsidRPr="006222F4">
        <w:rPr>
          <w:rFonts w:ascii="Calibri" w:hAnsi="Calibri"/>
        </w:rPr>
        <w:t>relativos a la exposición de las personas</w:t>
      </w:r>
      <w:r w:rsidRPr="006222F4">
        <w:rPr>
          <w:rFonts w:ascii="Calibri" w:hAnsi="Calibri"/>
        </w:rPr>
        <w:br/>
        <w:t>a los campos electromagnéticos</w:t>
      </w:r>
    </w:p>
    <w:p w:rsidR="001D67DD" w:rsidRPr="006222F4" w:rsidRDefault="001D67DD" w:rsidP="006222F4">
      <w:pPr>
        <w:pStyle w:val="Normalaftertitle"/>
        <w:rPr>
          <w:rFonts w:ascii="Calibri" w:hAnsi="Calibri"/>
        </w:rPr>
      </w:pPr>
      <w:r w:rsidRPr="006222F4">
        <w:rPr>
          <w:rFonts w:ascii="Calibri" w:hAnsi="Calibri"/>
        </w:rPr>
        <w:t>La Conferencia Mundial de Desarrollo de las Telecomunicaciones (</w:t>
      </w:r>
      <w:del w:id="6" w:author="Peral, Fernando" w:date="2017-03-17T11:14:00Z">
        <w:r w:rsidRPr="006222F4" w:rsidDel="00AE2E31">
          <w:rPr>
            <w:rFonts w:ascii="Calibri" w:hAnsi="Calibri"/>
          </w:rPr>
          <w:delText>Dubái, 2014</w:delText>
        </w:r>
      </w:del>
      <w:ins w:id="7" w:author="Peral, Fernando" w:date="2017-03-17T11:14:00Z">
        <w:r w:rsidRPr="006222F4">
          <w:rPr>
            <w:rFonts w:ascii="Calibri" w:hAnsi="Calibri"/>
          </w:rPr>
          <w:t>Buenos Aires, 2017</w:t>
        </w:r>
      </w:ins>
      <w:r w:rsidRPr="006222F4">
        <w:rPr>
          <w:rFonts w:ascii="Calibri" w:hAnsi="Calibri"/>
        </w:rPr>
        <w:t>),</w:t>
      </w:r>
    </w:p>
    <w:p w:rsidR="001D67DD" w:rsidRPr="006222F4" w:rsidRDefault="001D67DD" w:rsidP="006222F4">
      <w:pPr>
        <w:pStyle w:val="Call"/>
        <w:rPr>
          <w:rFonts w:ascii="Calibri" w:hAnsi="Calibri"/>
        </w:rPr>
      </w:pPr>
      <w:r w:rsidRPr="006222F4">
        <w:rPr>
          <w:rFonts w:ascii="Calibri" w:hAnsi="Calibri"/>
        </w:rPr>
        <w:t>recordando</w:t>
      </w:r>
    </w:p>
    <w:p w:rsidR="001D67DD" w:rsidRPr="00AE2E31" w:rsidRDefault="001D67DD" w:rsidP="001D67DD">
      <w:pPr>
        <w:rPr>
          <w:lang w:val="es-ES_tradnl"/>
        </w:rPr>
      </w:pPr>
      <w:r w:rsidRPr="00AE2E31">
        <w:rPr>
          <w:i/>
          <w:iCs/>
          <w:lang w:val="es-ES_tradnl"/>
        </w:rPr>
        <w:t>a)</w:t>
      </w:r>
      <w:r w:rsidRPr="00AE2E31">
        <w:rPr>
          <w:i/>
          <w:iCs/>
          <w:lang w:val="es-ES_tradnl"/>
        </w:rPr>
        <w:tab/>
      </w:r>
      <w:r w:rsidRPr="00AE2E31">
        <w:rPr>
          <w:lang w:val="es-ES_tradnl"/>
        </w:rPr>
        <w:t xml:space="preserve">la Resolución 72 (Rev. </w:t>
      </w:r>
      <w:del w:id="8" w:author="Peral, Fernando" w:date="2017-03-17T11:15:00Z">
        <w:r w:rsidRPr="00AE2E31" w:rsidDel="00AE2E31">
          <w:rPr>
            <w:lang w:val="es-ES_tradnl"/>
          </w:rPr>
          <w:delText>Dubái, 2012</w:delText>
        </w:r>
      </w:del>
      <w:ins w:id="9" w:author="Peral, Fernando" w:date="2017-03-17T11:15:00Z">
        <w:r>
          <w:rPr>
            <w:lang w:val="es-ES_tradnl"/>
          </w:rPr>
          <w:t>Hammamet, 2016</w:t>
        </w:r>
      </w:ins>
      <w:r w:rsidRPr="00AE2E31">
        <w:rPr>
          <w:lang w:val="es-ES_tradnl"/>
        </w:rPr>
        <w:t xml:space="preserve">) de la Asamblea Mundial de Normalización de las Telecomunicaciones, sobre los problemas de medición </w:t>
      </w:r>
      <w:ins w:id="10" w:author="Peral, Fernando" w:date="2017-03-17T11:15:00Z">
        <w:r>
          <w:rPr>
            <w:lang w:val="es-ES_tradnl"/>
          </w:rPr>
          <w:t xml:space="preserve">y evaluación </w:t>
        </w:r>
      </w:ins>
      <w:r w:rsidRPr="00AE2E31">
        <w:rPr>
          <w:lang w:val="es-ES_tradnl"/>
        </w:rPr>
        <w:t>relativos a la exposición de las personas a los campos electromagnéticos (CEM), en la que se pide una estrecha colaboración entre los Directores de las tres Oficinas para aplicar la Resolución, habida cuenta de su importancia para los países en desarrollo</w:t>
      </w:r>
      <w:r w:rsidRPr="00AE2E31">
        <w:rPr>
          <w:position w:val="6"/>
          <w:sz w:val="18"/>
          <w:lang w:val="es-ES_tradnl"/>
        </w:rPr>
        <w:footnoteReference w:id="1"/>
      </w:r>
      <w:r w:rsidRPr="00AE2E31">
        <w:rPr>
          <w:lang w:val="es-ES_tradnl"/>
        </w:rPr>
        <w:t>;</w:t>
      </w:r>
    </w:p>
    <w:p w:rsidR="001D67DD" w:rsidRPr="00AE2E31" w:rsidRDefault="001D67DD" w:rsidP="001D67DD">
      <w:pPr>
        <w:rPr>
          <w:rFonts w:eastAsia="Calibri"/>
          <w:sz w:val="22"/>
          <w:lang w:val="es-ES_tradnl"/>
        </w:rPr>
      </w:pPr>
      <w:r w:rsidRPr="00AE2E31">
        <w:rPr>
          <w:i/>
          <w:iCs/>
          <w:lang w:val="es-ES_tradnl"/>
        </w:rPr>
        <w:t>b)</w:t>
      </w:r>
      <w:r w:rsidRPr="00AE2E31">
        <w:rPr>
          <w:i/>
          <w:iCs/>
          <w:lang w:val="es-ES_tradnl"/>
        </w:rPr>
        <w:tab/>
      </w:r>
      <w:r w:rsidRPr="00AE2E31">
        <w:rPr>
          <w:lang w:val="es-ES_tradnl"/>
        </w:rPr>
        <w:t>la Resolución 176 (</w:t>
      </w:r>
      <w:del w:id="11" w:author="Peral, Fernando" w:date="2017-03-17T11:15:00Z">
        <w:r w:rsidRPr="00AE2E31" w:rsidDel="00AE2E31">
          <w:rPr>
            <w:lang w:val="es-ES_tradnl"/>
          </w:rPr>
          <w:delText>Guadalajara, 2010</w:delText>
        </w:r>
      </w:del>
      <w:ins w:id="12" w:author="FHernández" w:date="2017-03-17T12:34:00Z">
        <w:r w:rsidR="008B3723">
          <w:rPr>
            <w:lang w:val="es-ES_tradnl"/>
          </w:rPr>
          <w:t xml:space="preserve">Rev. </w:t>
        </w:r>
      </w:ins>
      <w:ins w:id="13" w:author="Peral, Fernando" w:date="2017-03-17T11:15:00Z">
        <w:r>
          <w:rPr>
            <w:lang w:val="es-ES_tradnl"/>
          </w:rPr>
          <w:t>Busán, 2014</w:t>
        </w:r>
      </w:ins>
      <w:r w:rsidRPr="00AE2E31">
        <w:rPr>
          <w:lang w:val="es-ES_tradnl"/>
        </w:rPr>
        <w:t>) de la Conferencia de Plenipotenciarios sobre la exposición de las personas a los campos electromagnéticos y la medición de los mismos,</w:t>
      </w:r>
    </w:p>
    <w:p w:rsidR="001D67DD" w:rsidRPr="006222F4" w:rsidRDefault="001D67DD" w:rsidP="006222F4">
      <w:pPr>
        <w:pStyle w:val="Call"/>
        <w:rPr>
          <w:rFonts w:ascii="Calibri" w:hAnsi="Calibri"/>
        </w:rPr>
      </w:pPr>
      <w:r w:rsidRPr="006222F4">
        <w:rPr>
          <w:rFonts w:ascii="Calibri" w:hAnsi="Calibri"/>
        </w:rPr>
        <w:t>considerando</w:t>
      </w:r>
    </w:p>
    <w:p w:rsidR="001D67DD" w:rsidRPr="00AE2E31" w:rsidRDefault="001D67DD" w:rsidP="001D67DD">
      <w:pPr>
        <w:rPr>
          <w:lang w:val="es-ES_tradnl"/>
        </w:rPr>
      </w:pPr>
      <w:r w:rsidRPr="00AE2E31">
        <w:rPr>
          <w:i/>
          <w:iCs/>
          <w:lang w:val="es-ES_tradnl"/>
        </w:rPr>
        <w:t>a)</w:t>
      </w:r>
      <w:r w:rsidRPr="00AE2E31">
        <w:rPr>
          <w:lang w:val="es-ES_tradnl"/>
        </w:rPr>
        <w:tab/>
        <w:t>que existe una urgente necesidad de información acerca de las posibles consecuencias de la exposición del ser humano a los CEM, a fin de proteger a las personas contra tales consecuencias;</w:t>
      </w:r>
    </w:p>
    <w:p w:rsidR="001D67DD" w:rsidRPr="00AE2E31" w:rsidRDefault="001D67DD" w:rsidP="001D67DD">
      <w:pPr>
        <w:rPr>
          <w:lang w:val="es-ES_tradnl"/>
        </w:rPr>
      </w:pPr>
      <w:r w:rsidRPr="00AE2E31">
        <w:rPr>
          <w:i/>
          <w:iCs/>
          <w:lang w:val="es-ES_tradnl"/>
        </w:rPr>
        <w:t>b)</w:t>
      </w:r>
      <w:r w:rsidRPr="00AE2E31">
        <w:rPr>
          <w:lang w:val="es-ES_tradnl"/>
        </w:rPr>
        <w:tab/>
        <w:t>que hay varios organismos internacionales implicados en el establecimiento de métodos de medición destinados a evaluar la exposición del ser humano a los CEM, y que éstos ya cooperan con numerosos organismos de normalización de las telecomunicaciones, incluido el Sector de Normalización de las Telecomunicaciones de la UIT (UIT-T),</w:t>
      </w:r>
    </w:p>
    <w:p w:rsidR="001D67DD" w:rsidRPr="006222F4" w:rsidRDefault="001D67DD" w:rsidP="006222F4">
      <w:pPr>
        <w:pStyle w:val="Call"/>
        <w:rPr>
          <w:rFonts w:ascii="Calibri" w:hAnsi="Calibri"/>
        </w:rPr>
      </w:pPr>
      <w:r w:rsidRPr="006222F4">
        <w:rPr>
          <w:rFonts w:ascii="Calibri" w:hAnsi="Calibri"/>
        </w:rPr>
        <w:t>reconociendo</w:t>
      </w:r>
    </w:p>
    <w:p w:rsidR="001D67DD" w:rsidRPr="00AE2E31" w:rsidRDefault="001D67DD" w:rsidP="001D67DD">
      <w:pPr>
        <w:rPr>
          <w:lang w:val="es-ES_tradnl"/>
        </w:rPr>
      </w:pPr>
      <w:r w:rsidRPr="00AE2E31">
        <w:rPr>
          <w:i/>
          <w:iCs/>
          <w:lang w:val="es-ES_tradnl"/>
        </w:rPr>
        <w:t>a)</w:t>
      </w:r>
      <w:r w:rsidRPr="00AE2E31">
        <w:rPr>
          <w:lang w:val="es-ES_tradnl"/>
        </w:rPr>
        <w:tab/>
        <w:t>que ciertas publicaciones e informaciones sobre los efectos de los CEM en la salud han sembrado dudas entre la población, en particular en los países en desarrollo, llevando a dichos países a formular preguntas al UIT-T y</w:t>
      </w:r>
      <w:del w:id="14" w:author="Peral, Fernando" w:date="2017-03-17T11:15:00Z">
        <w:r w:rsidRPr="00AE2E31" w:rsidDel="00AE2E31">
          <w:rPr>
            <w:lang w:val="es-ES_tradnl"/>
          </w:rPr>
          <w:delText>, en la actualidad,</w:delText>
        </w:r>
      </w:del>
      <w:r w:rsidRPr="00AE2E31">
        <w:rPr>
          <w:lang w:val="es-ES_tradnl"/>
        </w:rPr>
        <w:t xml:space="preserve"> al Sector de Desarrollo de las Telecomunicaciones (UIT-D);</w:t>
      </w:r>
    </w:p>
    <w:p w:rsidR="001D67DD" w:rsidRPr="00AE2E31" w:rsidRDefault="001D67DD" w:rsidP="001D67DD">
      <w:pPr>
        <w:rPr>
          <w:lang w:val="es-ES_tradnl"/>
        </w:rPr>
      </w:pPr>
      <w:r w:rsidRPr="00AE2E31">
        <w:rPr>
          <w:i/>
          <w:iCs/>
          <w:lang w:val="es-ES_tradnl"/>
        </w:rPr>
        <w:t>b)</w:t>
      </w:r>
      <w:r w:rsidRPr="00AE2E31">
        <w:rPr>
          <w:lang w:val="es-ES_tradnl"/>
        </w:rPr>
        <w:tab/>
        <w:t>que, sin una adecuada información o en ausencia de medidas reglamentarias apropiadas, la gente, en particular la de los países en desarrollo, puede albergar preocupaciones acerca de los efectos de los CEM sobre su salud, y que una inadecuada, y en algunos casos incorrecta, información puede dar lugar a una oposición cada vez mayor al despliegue de instalaciones radioeléctricas;</w:t>
      </w:r>
    </w:p>
    <w:p w:rsidR="001D67DD" w:rsidRPr="00AE2E31" w:rsidRDefault="001D67DD" w:rsidP="001D67DD">
      <w:pPr>
        <w:rPr>
          <w:lang w:val="es-ES_tradnl"/>
        </w:rPr>
      </w:pPr>
      <w:r w:rsidRPr="00AE2E31">
        <w:rPr>
          <w:i/>
          <w:iCs/>
          <w:lang w:val="es-ES_tradnl"/>
        </w:rPr>
        <w:lastRenderedPageBreak/>
        <w:t>c)</w:t>
      </w:r>
      <w:r w:rsidRPr="00AE2E31">
        <w:rPr>
          <w:i/>
          <w:iCs/>
          <w:lang w:val="es-ES_tradnl"/>
        </w:rPr>
        <w:tab/>
      </w:r>
      <w:r w:rsidRPr="00AE2E31">
        <w:rPr>
          <w:lang w:val="es-ES_tradnl"/>
        </w:rPr>
        <w:t>que los efectos de los CEM generados por los dispositivos portátiles en las personas no han recibido suficiente información pública y que los teléfonos móviles pueden exponer al usuario a CEM mucho más intensos que una estación base;</w:t>
      </w:r>
    </w:p>
    <w:p w:rsidR="001D67DD" w:rsidRPr="00AE2E31" w:rsidRDefault="001D67DD" w:rsidP="001D67DD">
      <w:pPr>
        <w:rPr>
          <w:lang w:val="es-ES_tradnl"/>
        </w:rPr>
      </w:pPr>
      <w:r w:rsidRPr="00AE2E31">
        <w:rPr>
          <w:i/>
          <w:iCs/>
          <w:lang w:val="es-ES_tradnl"/>
        </w:rPr>
        <w:t>d)</w:t>
      </w:r>
      <w:r w:rsidRPr="00AE2E31">
        <w:rPr>
          <w:lang w:val="es-ES_tradnl"/>
        </w:rPr>
        <w:tab/>
        <w:t xml:space="preserve">que el coste de los equipos utilizados para evaluar la exposición de las personas a los CEM </w:t>
      </w:r>
      <w:ins w:id="15" w:author="Peral, Fernando" w:date="2017-03-17T11:16:00Z">
        <w:r>
          <w:rPr>
            <w:lang w:val="es-ES_tradnl"/>
          </w:rPr>
          <w:t xml:space="preserve">desde dispositivos manuales </w:t>
        </w:r>
      </w:ins>
      <w:r w:rsidRPr="00AE2E31">
        <w:rPr>
          <w:lang w:val="es-ES_tradnl"/>
        </w:rPr>
        <w:t>es muy elevado, y resulta difícil de asumir para muchos países en desarrollo;</w:t>
      </w:r>
    </w:p>
    <w:p w:rsidR="001D67DD" w:rsidRPr="00AE2E31" w:rsidRDefault="001D67DD" w:rsidP="001D67DD">
      <w:pPr>
        <w:rPr>
          <w:rFonts w:cs="TimesNewRoman"/>
          <w:color w:val="000000"/>
          <w:lang w:val="es-ES_tradnl"/>
        </w:rPr>
      </w:pPr>
      <w:r w:rsidRPr="00AE2E31">
        <w:rPr>
          <w:i/>
          <w:iCs/>
          <w:lang w:val="es-ES_tradnl"/>
        </w:rPr>
        <w:t>e)</w:t>
      </w:r>
      <w:r w:rsidRPr="00AE2E31">
        <w:rPr>
          <w:lang w:val="es-ES_tradnl"/>
        </w:rPr>
        <w:tab/>
        <w:t xml:space="preserve">que, para muchas autoridades reguladoras de los países en desarrollo, la puesta en práctica de </w:t>
      </w:r>
      <w:del w:id="16" w:author="Peral, Fernando" w:date="2017-03-17T11:16:00Z">
        <w:r w:rsidRPr="00AE2E31" w:rsidDel="00AE2E31">
          <w:rPr>
            <w:lang w:val="es-ES_tradnl"/>
          </w:rPr>
          <w:delText>este tipo de medición</w:delText>
        </w:r>
      </w:del>
      <w:ins w:id="17" w:author="Peral, Fernando" w:date="2017-03-17T11:16:00Z">
        <w:r>
          <w:rPr>
            <w:lang w:val="es-ES_tradnl"/>
          </w:rPr>
          <w:t>mediciones</w:t>
        </w:r>
      </w:ins>
      <w:r w:rsidRPr="00AE2E31">
        <w:rPr>
          <w:lang w:val="es-ES_tradnl"/>
        </w:rPr>
        <w:t xml:space="preserve"> resulta esencial para controlar los límites de exposición de las personas a la energía de radioeléctrica, y que se pide a dichas autoridades que garanticen el respeto de los citados límites antes de conceder licencias para los distintos servicios</w:t>
      </w:r>
      <w:r w:rsidRPr="00AE2E31">
        <w:rPr>
          <w:rFonts w:cs="TimesNewRoman"/>
          <w:color w:val="000000"/>
          <w:lang w:val="es-ES_tradnl"/>
        </w:rPr>
        <w:t>;</w:t>
      </w:r>
    </w:p>
    <w:p w:rsidR="001D67DD" w:rsidRDefault="001D67DD" w:rsidP="001D67DD">
      <w:pPr>
        <w:rPr>
          <w:ins w:id="18" w:author="Peral, Fernando" w:date="2017-03-17T11:17:00Z"/>
          <w:lang w:val="es-ES_tradnl"/>
        </w:rPr>
      </w:pPr>
      <w:r w:rsidRPr="00AE2E31">
        <w:rPr>
          <w:i/>
          <w:iCs/>
          <w:lang w:val="es-ES_tradnl"/>
        </w:rPr>
        <w:t>f)</w:t>
      </w:r>
      <w:r w:rsidRPr="00AE2E31">
        <w:rPr>
          <w:lang w:val="es-ES_tradnl"/>
        </w:rPr>
        <w:tab/>
        <w:t>la labor de la Comisión de Estudio 5 del UIT-T sobre esta cuestión, en particular a la actualización de directrices prácticas y asequibles para ayudar a los países en desarrollo a abordar este asunto de manera efectiva</w:t>
      </w:r>
      <w:ins w:id="19" w:author="Peral, Fernando" w:date="2017-03-17T11:17:00Z">
        <w:r>
          <w:rPr>
            <w:lang w:val="es-ES_tradnl"/>
          </w:rPr>
          <w:t>;</w:t>
        </w:r>
      </w:ins>
    </w:p>
    <w:p w:rsidR="001D67DD" w:rsidRPr="00AE2E31" w:rsidRDefault="001D67DD" w:rsidP="001D67DD">
      <w:pPr>
        <w:rPr>
          <w:lang w:val="es-ES_tradnl"/>
        </w:rPr>
      </w:pPr>
      <w:ins w:id="20" w:author="Peral, Fernando" w:date="2017-03-17T11:17:00Z">
        <w:r w:rsidRPr="006222F4">
          <w:rPr>
            <w:i/>
            <w:iCs/>
            <w:lang w:val="es-ES_tradnl"/>
          </w:rPr>
          <w:t>g)</w:t>
        </w:r>
        <w:r>
          <w:rPr>
            <w:lang w:val="es-ES_tradnl"/>
          </w:rPr>
          <w:tab/>
          <w:t>la labor de la Cuestión 1/239 de la Comisión de Estudio 1 del UIT-R sobre las técnicas de medición para evaluar la exposici</w:t>
        </w:r>
      </w:ins>
      <w:ins w:id="21" w:author="Peral, Fernando" w:date="2017-03-17T11:18:00Z">
        <w:r>
          <w:rPr>
            <w:lang w:val="es-ES_tradnl"/>
          </w:rPr>
          <w:t>ón de las personas a partir de instalaciones inalámbricas y presentar los resultados de la medición</w:t>
        </w:r>
      </w:ins>
      <w:r w:rsidRPr="00AE2E31">
        <w:rPr>
          <w:lang w:val="es-ES_tradnl"/>
        </w:rPr>
        <w:t>,</w:t>
      </w:r>
    </w:p>
    <w:p w:rsidR="001D67DD" w:rsidRPr="006222F4" w:rsidRDefault="001D67DD" w:rsidP="006222F4">
      <w:pPr>
        <w:pStyle w:val="Call"/>
        <w:rPr>
          <w:rFonts w:ascii="Calibri" w:hAnsi="Calibri"/>
        </w:rPr>
      </w:pPr>
      <w:r w:rsidRPr="006222F4">
        <w:rPr>
          <w:rFonts w:ascii="Calibri" w:hAnsi="Calibri"/>
        </w:rPr>
        <w:t>resuelve encargar al Director de la Oficina de Desarrollo de las Telecomunicaciones</w:t>
      </w:r>
    </w:p>
    <w:p w:rsidR="001D67DD" w:rsidRPr="00AE2E31" w:rsidRDefault="001D67DD" w:rsidP="001D67DD">
      <w:pPr>
        <w:rPr>
          <w:rFonts w:cs="TimesNewRoman"/>
          <w:color w:val="000000"/>
          <w:lang w:val="es-ES_tradnl"/>
        </w:rPr>
      </w:pPr>
      <w:r w:rsidRPr="00AE2E31">
        <w:rPr>
          <w:lang w:val="es-ES_tradnl"/>
        </w:rPr>
        <w:t xml:space="preserve">en respuesta a las necesidades de los países en desarrollo, en consonancia con el contenido de la Resolución 72 (Rev. </w:t>
      </w:r>
      <w:del w:id="22" w:author="Peral, Fernando" w:date="2017-03-17T11:19:00Z">
        <w:r w:rsidRPr="00AE2E31" w:rsidDel="00AE2E31">
          <w:rPr>
            <w:lang w:val="es-ES_tradnl"/>
          </w:rPr>
          <w:delText>Dubái, 2012</w:delText>
        </w:r>
      </w:del>
      <w:ins w:id="23" w:author="Peral, Fernando" w:date="2017-03-17T11:19:00Z">
        <w:r>
          <w:rPr>
            <w:lang w:val="es-ES_tradnl"/>
          </w:rPr>
          <w:t>Hammamet, 2016</w:t>
        </w:r>
      </w:ins>
      <w:r w:rsidRPr="00AE2E31">
        <w:rPr>
          <w:lang w:val="es-ES_tradnl"/>
        </w:rPr>
        <w:t>), y en estrecha cooperación con el Director de la Oficina de Radiocomunicaciones (BR) y el Director de la Oficina de Normalización de las Telecomunicaciones (TSB), que</w:t>
      </w:r>
      <w:r w:rsidRPr="00AE2E31">
        <w:rPr>
          <w:rFonts w:cs="TimesNewRoman"/>
          <w:color w:val="000000"/>
          <w:lang w:val="es-ES_tradnl"/>
        </w:rPr>
        <w:t>:</w:t>
      </w:r>
    </w:p>
    <w:p w:rsidR="001D67DD" w:rsidRPr="00AE2E31" w:rsidRDefault="001D67DD" w:rsidP="001D67DD">
      <w:pPr>
        <w:rPr>
          <w:lang w:val="es-ES_tradnl"/>
        </w:rPr>
      </w:pPr>
      <w:r w:rsidRPr="00AE2E31">
        <w:rPr>
          <w:lang w:val="es-ES_tradnl"/>
        </w:rPr>
        <w:t>1</w:t>
      </w:r>
      <w:r w:rsidRPr="00AE2E31">
        <w:rPr>
          <w:lang w:val="es-ES_tradnl"/>
        </w:rPr>
        <w:tab/>
        <w:t>conceda la prioridad necesaria a este tema y, con arreglo a los recursos disponibles, asigne los fondos necesarios para acelerar la aplicación de la presente Resolución;</w:t>
      </w:r>
    </w:p>
    <w:p w:rsidR="001D67DD" w:rsidRPr="00AE2E31" w:rsidRDefault="001D67DD" w:rsidP="001D67DD">
      <w:pPr>
        <w:rPr>
          <w:lang w:val="es-ES_tradnl"/>
        </w:rPr>
      </w:pPr>
      <w:r w:rsidRPr="00AE2E31">
        <w:rPr>
          <w:lang w:val="es-ES_tradnl"/>
        </w:rPr>
        <w:t>2</w:t>
      </w:r>
      <w:r w:rsidRPr="00AE2E31">
        <w:rPr>
          <w:lang w:val="es-ES_tradnl"/>
        </w:rPr>
        <w:tab/>
        <w:t>vele por que el Producto 2.2 determine las necesidades de los países en desarrollo y de sus autoridades reguladoras (a escala regional) en relación con la presente Resolución, contribuya a los estudios sobre esta cuestión, participe activamente en la labor de las Comisiones de Estudio pertinentes del Sector de Radiocomunicaciones (UIT-R) y del UIT-T, y presente contribuciones por escrito acerca de los resultados de su labor a este respecto, además de las propuestas que considere oportunas, a la Comisión de Estudio 2 del UIT-D,</w:t>
      </w:r>
    </w:p>
    <w:p w:rsidR="001D67DD" w:rsidRPr="006222F4" w:rsidRDefault="001D67DD" w:rsidP="006222F4">
      <w:pPr>
        <w:pStyle w:val="Call"/>
        <w:rPr>
          <w:rFonts w:ascii="Calibri" w:hAnsi="Calibri"/>
        </w:rPr>
      </w:pPr>
      <w:r w:rsidRPr="006222F4">
        <w:rPr>
          <w:rFonts w:ascii="Calibri" w:hAnsi="Calibri"/>
        </w:rPr>
        <w:t>encarga a la Comisión de Estudio 2</w:t>
      </w:r>
    </w:p>
    <w:p w:rsidR="001D67DD" w:rsidRPr="00AE2E31" w:rsidRDefault="001D67DD" w:rsidP="001D67DD">
      <w:pPr>
        <w:rPr>
          <w:lang w:val="es-ES_tradnl"/>
        </w:rPr>
      </w:pPr>
      <w:r w:rsidRPr="00AE2E31">
        <w:rPr>
          <w:lang w:val="es-ES_tradnl"/>
        </w:rPr>
        <w:t xml:space="preserve">que, en el marco de sus Cuestiones, Cuestión 7/2 inclusive, coopere con la Comisión de Estudio 5 del UIT-T y las Comisiones de Estudio 1, </w:t>
      </w:r>
      <w:ins w:id="24" w:author="FHernández" w:date="2017-03-17T12:34:00Z">
        <w:r w:rsidR="008B3723">
          <w:rPr>
            <w:lang w:val="es-ES_tradnl"/>
          </w:rPr>
          <w:t xml:space="preserve">4, </w:t>
        </w:r>
      </w:ins>
      <w:r w:rsidRPr="00AE2E31">
        <w:rPr>
          <w:lang w:val="es-ES_tradnl"/>
        </w:rPr>
        <w:t>5 y 6 del UIT-R a fin de:</w:t>
      </w:r>
    </w:p>
    <w:p w:rsidR="001D67DD" w:rsidRPr="006222F4" w:rsidRDefault="001D67DD" w:rsidP="006222F4">
      <w:pPr>
        <w:pStyle w:val="enumlev1"/>
        <w:rPr>
          <w:rFonts w:ascii="Calibri" w:hAnsi="Calibri"/>
        </w:rPr>
      </w:pPr>
      <w:r w:rsidRPr="006222F4">
        <w:rPr>
          <w:rFonts w:ascii="Calibri" w:hAnsi="Calibri"/>
        </w:rPr>
        <w:t>i)</w:t>
      </w:r>
      <w:r w:rsidRPr="006222F4">
        <w:rPr>
          <w:rFonts w:ascii="Calibri" w:hAnsi="Calibri"/>
        </w:rPr>
        <w:tab/>
        <w:t>colaborar, con la Comisión de Estudio 5 del UIT-T</w:t>
      </w:r>
      <w:del w:id="25" w:author="Peral, Fernando" w:date="2017-03-17T11:19:00Z">
        <w:r w:rsidRPr="006222F4" w:rsidDel="00AE2E31">
          <w:rPr>
            <w:rFonts w:ascii="Calibri" w:hAnsi="Calibri"/>
          </w:rPr>
          <w:delText>, en particular, en la redacción de un Manual que incluya</w:delText>
        </w:r>
      </w:del>
      <w:ins w:id="26" w:author="Peral, Fernando" w:date="2017-03-17T11:19:00Z">
        <w:r w:rsidRPr="006222F4">
          <w:rPr>
            <w:rFonts w:ascii="Calibri" w:hAnsi="Calibri"/>
          </w:rPr>
          <w:t xml:space="preserve"> en</w:t>
        </w:r>
      </w:ins>
      <w:r w:rsidRPr="006222F4">
        <w:rPr>
          <w:rFonts w:ascii="Calibri" w:hAnsi="Calibri"/>
        </w:rPr>
        <w:t xml:space="preserve"> directrices </w:t>
      </w:r>
      <w:ins w:id="27" w:author="Peral, Fernando" w:date="2017-03-17T11:20:00Z">
        <w:r w:rsidRPr="006222F4">
          <w:rPr>
            <w:rFonts w:ascii="Calibri" w:hAnsi="Calibri"/>
          </w:rPr>
          <w:t xml:space="preserve">de aplicación </w:t>
        </w:r>
      </w:ins>
      <w:ins w:id="28" w:author="Peral, Fernando" w:date="2017-03-17T11:19:00Z">
        <w:r w:rsidRPr="006222F4">
          <w:rPr>
            <w:rFonts w:ascii="Calibri" w:hAnsi="Calibri"/>
          </w:rPr>
          <w:t xml:space="preserve">concretas </w:t>
        </w:r>
      </w:ins>
      <w:r w:rsidRPr="006222F4">
        <w:rPr>
          <w:rFonts w:ascii="Calibri" w:hAnsi="Calibri"/>
        </w:rPr>
        <w:t>sobre el tema de la exposición de las personas a los CEM, con carácter altamente prioritario;</w:t>
      </w:r>
    </w:p>
    <w:p w:rsidR="001D67DD" w:rsidRPr="006222F4" w:rsidRDefault="001D67DD" w:rsidP="006222F4">
      <w:pPr>
        <w:pStyle w:val="enumlev1"/>
        <w:rPr>
          <w:rFonts w:ascii="Calibri" w:hAnsi="Calibri"/>
          <w:szCs w:val="24"/>
        </w:rPr>
      </w:pPr>
      <w:r w:rsidRPr="006222F4">
        <w:rPr>
          <w:rFonts w:ascii="Calibri" w:hAnsi="Calibri"/>
        </w:rPr>
        <w:t>ii)</w:t>
      </w:r>
      <w:r w:rsidRPr="006222F4">
        <w:rPr>
          <w:rFonts w:ascii="Calibri" w:hAnsi="Calibri"/>
        </w:rPr>
        <w:tab/>
        <w:t>preparar un Informe anual acerca de los progresos de la labor en esta área respecto de sus Cuestiones</w:t>
      </w:r>
      <w:r w:rsidRPr="006222F4">
        <w:rPr>
          <w:rFonts w:ascii="Calibri" w:hAnsi="Calibri"/>
          <w:szCs w:val="24"/>
        </w:rPr>
        <w:t>;</w:t>
      </w:r>
    </w:p>
    <w:p w:rsidR="001D67DD" w:rsidRPr="006222F4" w:rsidRDefault="001D67DD" w:rsidP="006222F4">
      <w:pPr>
        <w:pStyle w:val="enumlev1"/>
        <w:rPr>
          <w:rFonts w:ascii="Calibri" w:hAnsi="Calibri"/>
          <w:szCs w:val="24"/>
        </w:rPr>
      </w:pPr>
      <w:r w:rsidRPr="006222F4">
        <w:rPr>
          <w:rFonts w:ascii="Calibri" w:hAnsi="Calibri"/>
        </w:rPr>
        <w:t>iii)</w:t>
      </w:r>
      <w:r w:rsidRPr="006222F4">
        <w:rPr>
          <w:rFonts w:ascii="Calibri" w:hAnsi="Calibri"/>
        </w:rPr>
        <w:tab/>
        <w:t>contribuir a la organización de cualquier seminario sobre esta cuestión</w:t>
      </w:r>
      <w:del w:id="29" w:author="Peral, Fernando" w:date="2017-03-17T11:20:00Z">
        <w:r w:rsidRPr="006222F4" w:rsidDel="00AE2E31">
          <w:rPr>
            <w:rFonts w:ascii="Calibri" w:eastAsia="Calibri" w:hAnsi="Calibri" w:cs="Arial"/>
            <w:szCs w:val="24"/>
          </w:rPr>
          <w:delText>;</w:delText>
        </w:r>
      </w:del>
      <w:ins w:id="30" w:author="Peral, Fernando" w:date="2017-03-17T11:20:00Z">
        <w:r w:rsidRPr="006222F4">
          <w:rPr>
            <w:rFonts w:ascii="Calibri" w:eastAsia="Calibri" w:hAnsi="Calibri" w:cs="Arial"/>
            <w:szCs w:val="24"/>
          </w:rPr>
          <w:t>,</w:t>
        </w:r>
      </w:ins>
    </w:p>
    <w:p w:rsidR="001D67DD" w:rsidRPr="006222F4" w:rsidDel="00D948A7" w:rsidRDefault="001D67DD" w:rsidP="006222F4">
      <w:pPr>
        <w:pStyle w:val="enumlev1"/>
        <w:rPr>
          <w:del w:id="31" w:author="FHernández" w:date="2017-03-17T12:29:00Z"/>
          <w:rFonts w:ascii="Calibri" w:hAnsi="Calibri"/>
          <w:szCs w:val="24"/>
          <w:lang w:bidi="ar-EG"/>
        </w:rPr>
      </w:pPr>
      <w:del w:id="32" w:author="FHernández" w:date="2017-03-17T12:29:00Z">
        <w:r w:rsidRPr="006222F4" w:rsidDel="00D948A7">
          <w:rPr>
            <w:rFonts w:ascii="Calibri" w:hAnsi="Calibri"/>
          </w:rPr>
          <w:delText>iv)</w:delText>
        </w:r>
        <w:r w:rsidRPr="006222F4" w:rsidDel="00D948A7">
          <w:rPr>
            <w:rFonts w:ascii="Calibri" w:hAnsi="Calibri"/>
          </w:rPr>
          <w:tab/>
          <w:delText>contribuir a la preparación de la Guía sobre la utilización de las publicaciones del UIT</w:delText>
        </w:r>
        <w:r w:rsidRPr="006222F4" w:rsidDel="00D948A7">
          <w:rPr>
            <w:rFonts w:ascii="Calibri" w:hAnsi="Calibri"/>
          </w:rPr>
          <w:noBreakHyphen/>
          <w:delText xml:space="preserve">T para lograr la compatibilidad y seguridad electromagnéticas, así como de las publicaciones relativas a los métodos de medición, a la necesidad de que un "ingeniero de </w:delText>
        </w:r>
        <w:r w:rsidRPr="006222F4" w:rsidDel="00D948A7">
          <w:rPr>
            <w:rFonts w:ascii="Calibri" w:hAnsi="Calibri"/>
          </w:rPr>
          <w:lastRenderedPageBreak/>
          <w:delText>radiocomunicaciones cualificado" realice las mediciones y los criterios que debe cumplir dicho ingeniero, y a las especificaciones de los sistemas</w:delText>
        </w:r>
        <w:r w:rsidRPr="006222F4" w:rsidDel="00D948A7">
          <w:rPr>
            <w:rFonts w:ascii="Calibri" w:eastAsia="Calibri" w:hAnsi="Calibri" w:cs="Arial"/>
            <w:szCs w:val="24"/>
          </w:rPr>
          <w:delText>,</w:delText>
        </w:r>
      </w:del>
    </w:p>
    <w:p w:rsidR="001D67DD" w:rsidRPr="006222F4" w:rsidRDefault="001D67DD" w:rsidP="006222F4">
      <w:pPr>
        <w:pStyle w:val="Call"/>
        <w:rPr>
          <w:rFonts w:ascii="Calibri" w:hAnsi="Calibri"/>
        </w:rPr>
      </w:pPr>
      <w:r w:rsidRPr="006222F4">
        <w:rPr>
          <w:rFonts w:ascii="Calibri" w:hAnsi="Calibri"/>
        </w:rPr>
        <w:t>invita a los Estados Miembros a</w:t>
      </w:r>
    </w:p>
    <w:p w:rsidR="001D67DD" w:rsidRPr="00AE2E31" w:rsidRDefault="001D67DD" w:rsidP="001D67DD">
      <w:pPr>
        <w:rPr>
          <w:rFonts w:eastAsia="SimHei"/>
          <w:lang w:val="es-ES_tradnl" w:eastAsia="zh-CN"/>
        </w:rPr>
      </w:pPr>
      <w:r w:rsidRPr="00AE2E31">
        <w:rPr>
          <w:lang w:val="es-ES_tradnl" w:bidi="ar-EG"/>
        </w:rPr>
        <w:t xml:space="preserve">realizar exámenes periódicos sobre los resultados de los operadores y de los fabricantes de equipos móviles en este ámbito para asegurarse de que cumplan las especificaciones nacionales </w:t>
      </w:r>
      <w:del w:id="33" w:author="Peral, Fernando" w:date="2017-03-17T11:20:00Z">
        <w:r w:rsidRPr="00AE2E31" w:rsidDel="00AE2E31">
          <w:rPr>
            <w:lang w:val="es-ES_tradnl" w:bidi="ar-EG"/>
          </w:rPr>
          <w:delText xml:space="preserve">o </w:delText>
        </w:r>
      </w:del>
      <w:ins w:id="34" w:author="Peral, Fernando" w:date="2017-03-17T11:20:00Z">
        <w:r>
          <w:rPr>
            <w:lang w:val="es-ES_tradnl" w:bidi="ar-EG"/>
          </w:rPr>
          <w:t>y</w:t>
        </w:r>
        <w:r w:rsidRPr="00AE2E31">
          <w:rPr>
            <w:lang w:val="es-ES_tradnl" w:bidi="ar-EG"/>
          </w:rPr>
          <w:t xml:space="preserve"> </w:t>
        </w:r>
      </w:ins>
      <w:r w:rsidRPr="00AE2E31">
        <w:rPr>
          <w:lang w:val="es-ES_tradnl" w:bidi="ar-EG"/>
        </w:rPr>
        <w:t xml:space="preserve">las Recomendaciones de la UIT, a fin de </w:t>
      </w:r>
      <w:r w:rsidRPr="00AE2E31">
        <w:rPr>
          <w:rFonts w:eastAsia="SimHei"/>
          <w:lang w:val="es-ES_tradnl" w:eastAsia="zh-CN"/>
        </w:rPr>
        <w:t>garantizar la utilización segura de los CEM.</w:t>
      </w:r>
    </w:p>
    <w:p w:rsidR="001D67DD" w:rsidRPr="001D67DD" w:rsidRDefault="001D67DD" w:rsidP="001D67DD">
      <w:pPr>
        <w:pStyle w:val="Reasons"/>
        <w:rPr>
          <w:lang w:val="es-ES_tradnl"/>
        </w:rPr>
      </w:pPr>
    </w:p>
    <w:p w:rsidR="001D67DD" w:rsidRPr="00C636BD" w:rsidRDefault="001D67DD" w:rsidP="001D67DD">
      <w:pPr>
        <w:jc w:val="center"/>
        <w:rPr>
          <w:lang w:val="es-ES"/>
        </w:rPr>
      </w:pPr>
      <w:r>
        <w:t>______________</w:t>
      </w:r>
    </w:p>
    <w:sectPr w:rsidR="001D67DD" w:rsidRPr="00C636BD" w:rsidSect="001D67DD">
      <w:headerReference w:type="default" r:id="rId9"/>
      <w:footerReference w:type="default" r:id="rId10"/>
      <w:footerReference w:type="first" r:id="rId11"/>
      <w:pgSz w:w="11909"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7DD" w:rsidRDefault="001D67DD">
      <w:r>
        <w:separator/>
      </w:r>
    </w:p>
  </w:endnote>
  <w:endnote w:type="continuationSeparator" w:id="0">
    <w:p w:rsidR="001D67DD" w:rsidRDefault="001D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6222F4" w:rsidRDefault="006222F4" w:rsidP="006222F4">
    <w:pPr>
      <w:pStyle w:val="Footer"/>
      <w:rPr>
        <w:sz w:val="16"/>
        <w:szCs w:val="16"/>
        <w:lang w:val="fr-CH"/>
      </w:rPr>
    </w:pPr>
    <w:r w:rsidRPr="006222F4">
      <w:rPr>
        <w:sz w:val="16"/>
        <w:szCs w:val="16"/>
      </w:rPr>
      <w:fldChar w:fldCharType="begin"/>
    </w:r>
    <w:r w:rsidRPr="006222F4">
      <w:rPr>
        <w:sz w:val="16"/>
        <w:szCs w:val="16"/>
        <w:lang w:val="fr-CH"/>
      </w:rPr>
      <w:instrText xml:space="preserve"> FILENAME \p  \* MERGEFORMAT </w:instrText>
    </w:r>
    <w:r w:rsidRPr="006222F4">
      <w:rPr>
        <w:sz w:val="16"/>
        <w:szCs w:val="16"/>
      </w:rPr>
      <w:fldChar w:fldCharType="separate"/>
    </w:r>
    <w:r w:rsidR="00452CF7">
      <w:rPr>
        <w:noProof/>
        <w:sz w:val="16"/>
        <w:szCs w:val="16"/>
        <w:lang w:val="fr-CH"/>
      </w:rPr>
      <w:t>P:\ESP\ITU-D\CONF-D\RPMS\EUR\000\014S.docx</w:t>
    </w:r>
    <w:r w:rsidRPr="006222F4">
      <w:rPr>
        <w:noProof/>
        <w:sz w:val="16"/>
        <w:szCs w:val="16"/>
      </w:rPr>
      <w:fldChar w:fldCharType="end"/>
    </w:r>
    <w:r w:rsidRPr="006222F4">
      <w:rPr>
        <w:noProof/>
        <w:sz w:val="16"/>
        <w:szCs w:val="16"/>
        <w:lang w:val="fr-CH"/>
      </w:rPr>
      <w:t xml:space="preserve"> (413705)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585"/>
      <w:gridCol w:w="6237"/>
    </w:tblGrid>
    <w:tr w:rsidR="006222F4" w:rsidRPr="006222F4" w:rsidTr="003E0C5E">
      <w:tc>
        <w:tcPr>
          <w:tcW w:w="1526" w:type="dxa"/>
          <w:tcBorders>
            <w:top w:val="single" w:sz="4" w:space="0" w:color="000000"/>
          </w:tcBorders>
          <w:shd w:val="clear" w:color="auto" w:fill="auto"/>
        </w:tcPr>
        <w:p w:rsidR="006222F4" w:rsidRPr="006222F4" w:rsidRDefault="006222F4" w:rsidP="006222F4">
          <w:pPr>
            <w:pStyle w:val="FirstFooter"/>
            <w:tabs>
              <w:tab w:val="left" w:pos="1559"/>
              <w:tab w:val="left" w:pos="3828"/>
            </w:tabs>
            <w:rPr>
              <w:rFonts w:ascii="Calibri" w:hAnsi="Calibri"/>
              <w:sz w:val="18"/>
              <w:szCs w:val="18"/>
            </w:rPr>
          </w:pPr>
          <w:r w:rsidRPr="006222F4">
            <w:rPr>
              <w:rFonts w:ascii="Calibri" w:hAnsi="Calibri"/>
              <w:sz w:val="18"/>
              <w:szCs w:val="18"/>
              <w:lang w:val="en-US"/>
            </w:rPr>
            <w:t>Contacto:</w:t>
          </w:r>
        </w:p>
      </w:tc>
      <w:tc>
        <w:tcPr>
          <w:tcW w:w="2585" w:type="dxa"/>
          <w:tcBorders>
            <w:top w:val="single" w:sz="4" w:space="0" w:color="000000"/>
          </w:tcBorders>
          <w:shd w:val="clear" w:color="auto" w:fill="auto"/>
        </w:tcPr>
        <w:p w:rsidR="006222F4" w:rsidRPr="006222F4" w:rsidRDefault="006222F4" w:rsidP="006222F4">
          <w:pPr>
            <w:pStyle w:val="FirstFooter"/>
            <w:tabs>
              <w:tab w:val="left" w:pos="2302"/>
            </w:tabs>
            <w:ind w:left="2302" w:hanging="2302"/>
            <w:rPr>
              <w:rFonts w:ascii="Calibri" w:hAnsi="Calibri"/>
              <w:sz w:val="18"/>
              <w:szCs w:val="18"/>
              <w:lang w:val="en-US"/>
            </w:rPr>
          </w:pPr>
          <w:r w:rsidRPr="006222F4">
            <w:rPr>
              <w:rFonts w:ascii="Calibri" w:hAnsi="Calibri"/>
              <w:sz w:val="18"/>
              <w:szCs w:val="18"/>
              <w:lang w:val="es-ES"/>
            </w:rPr>
            <w:t>Nombre/organización/entidad</w:t>
          </w:r>
          <w:r w:rsidRPr="006222F4">
            <w:rPr>
              <w:rFonts w:ascii="Calibri" w:hAnsi="Calibri"/>
              <w:sz w:val="18"/>
              <w:szCs w:val="18"/>
              <w:lang w:val="en-US"/>
            </w:rPr>
            <w:t>:</w:t>
          </w:r>
        </w:p>
      </w:tc>
      <w:tc>
        <w:tcPr>
          <w:tcW w:w="6237" w:type="dxa"/>
          <w:tcBorders>
            <w:top w:val="single" w:sz="4" w:space="0" w:color="000000"/>
          </w:tcBorders>
        </w:tcPr>
        <w:p w:rsidR="006222F4" w:rsidRPr="006222F4" w:rsidRDefault="00452CF7" w:rsidP="006222F4">
          <w:pPr>
            <w:pStyle w:val="FirstFooter"/>
            <w:rPr>
              <w:rFonts w:ascii="Calibri" w:hAnsi="Calibri"/>
              <w:color w:val="000000"/>
              <w:sz w:val="18"/>
              <w:szCs w:val="18"/>
              <w:lang w:val="es-ES_tradnl"/>
            </w:rPr>
          </w:pPr>
          <w:r>
            <w:rPr>
              <w:rFonts w:ascii="Calibri" w:hAnsi="Calibri"/>
              <w:color w:val="000000"/>
              <w:sz w:val="18"/>
              <w:szCs w:val="18"/>
              <w:lang w:val="es-ES_tradnl"/>
            </w:rPr>
            <w:t>D</w:t>
          </w:r>
          <w:r w:rsidR="006222F4" w:rsidRPr="006222F4">
            <w:rPr>
              <w:rFonts w:ascii="Calibri" w:hAnsi="Calibri"/>
              <w:color w:val="000000"/>
              <w:sz w:val="18"/>
              <w:szCs w:val="18"/>
              <w:lang w:val="es-ES_tradnl"/>
            </w:rPr>
            <w:t>r. Haim Mazar, Delegación de Israel, Israel</w:t>
          </w:r>
        </w:p>
      </w:tc>
      <w:bookmarkStart w:id="37" w:name="OrgName"/>
      <w:bookmarkEnd w:id="37"/>
    </w:tr>
    <w:tr w:rsidR="006222F4" w:rsidRPr="006222F4" w:rsidTr="003E0C5E">
      <w:tc>
        <w:tcPr>
          <w:tcW w:w="1526" w:type="dxa"/>
          <w:shd w:val="clear" w:color="auto" w:fill="auto"/>
        </w:tcPr>
        <w:p w:rsidR="006222F4" w:rsidRPr="006222F4" w:rsidRDefault="006222F4" w:rsidP="006222F4">
          <w:pPr>
            <w:pStyle w:val="FirstFooter"/>
            <w:tabs>
              <w:tab w:val="left" w:pos="1559"/>
              <w:tab w:val="left" w:pos="3828"/>
            </w:tabs>
            <w:rPr>
              <w:rFonts w:ascii="Calibri" w:hAnsi="Calibri"/>
              <w:sz w:val="20"/>
              <w:lang w:val="es-ES_tradnl"/>
            </w:rPr>
          </w:pPr>
        </w:p>
      </w:tc>
      <w:tc>
        <w:tcPr>
          <w:tcW w:w="2585" w:type="dxa"/>
          <w:shd w:val="clear" w:color="auto" w:fill="auto"/>
        </w:tcPr>
        <w:p w:rsidR="006222F4" w:rsidRPr="006222F4" w:rsidRDefault="006222F4" w:rsidP="006222F4">
          <w:pPr>
            <w:pStyle w:val="FirstFooter"/>
            <w:tabs>
              <w:tab w:val="left" w:pos="2302"/>
            </w:tabs>
            <w:rPr>
              <w:rFonts w:ascii="Calibri" w:hAnsi="Calibri"/>
              <w:sz w:val="18"/>
              <w:szCs w:val="18"/>
              <w:lang w:val="es-ES_tradnl"/>
            </w:rPr>
          </w:pPr>
          <w:r w:rsidRPr="006222F4">
            <w:rPr>
              <w:rFonts w:ascii="Calibri" w:hAnsi="Calibri"/>
              <w:sz w:val="18"/>
              <w:szCs w:val="18"/>
              <w:lang w:val="es-ES"/>
            </w:rPr>
            <w:t>Teléfono</w:t>
          </w:r>
          <w:r w:rsidRPr="006222F4">
            <w:rPr>
              <w:rFonts w:ascii="Calibri" w:hAnsi="Calibri"/>
              <w:sz w:val="18"/>
              <w:szCs w:val="18"/>
              <w:lang w:val="es-ES_tradnl"/>
            </w:rPr>
            <w:t>:</w:t>
          </w:r>
        </w:p>
      </w:tc>
      <w:tc>
        <w:tcPr>
          <w:tcW w:w="6237" w:type="dxa"/>
        </w:tcPr>
        <w:p w:rsidR="006222F4" w:rsidRPr="006222F4" w:rsidRDefault="006222F4" w:rsidP="006222F4">
          <w:pPr>
            <w:pStyle w:val="FirstFooter"/>
            <w:tabs>
              <w:tab w:val="left" w:pos="2302"/>
            </w:tabs>
            <w:rPr>
              <w:rFonts w:ascii="Calibri" w:hAnsi="Calibri"/>
              <w:sz w:val="18"/>
              <w:szCs w:val="18"/>
              <w:highlight w:val="yellow"/>
              <w:lang w:val="es-ES_tradnl"/>
            </w:rPr>
          </w:pPr>
          <w:r w:rsidRPr="006222F4">
            <w:rPr>
              <w:rFonts w:ascii="Calibri" w:hAnsi="Calibri"/>
              <w:sz w:val="18"/>
              <w:szCs w:val="18"/>
              <w:lang w:val="es-ES_tradnl"/>
            </w:rPr>
            <w:t>+972 506 236 222</w:t>
          </w:r>
        </w:p>
      </w:tc>
      <w:bookmarkStart w:id="38" w:name="PhoneNo"/>
      <w:bookmarkEnd w:id="38"/>
    </w:tr>
    <w:tr w:rsidR="006222F4" w:rsidRPr="006222F4" w:rsidTr="003E0C5E">
      <w:tc>
        <w:tcPr>
          <w:tcW w:w="1526" w:type="dxa"/>
          <w:shd w:val="clear" w:color="auto" w:fill="auto"/>
        </w:tcPr>
        <w:p w:rsidR="006222F4" w:rsidRPr="006222F4" w:rsidRDefault="006222F4" w:rsidP="006222F4">
          <w:pPr>
            <w:pStyle w:val="FirstFooter"/>
            <w:tabs>
              <w:tab w:val="left" w:pos="1559"/>
              <w:tab w:val="left" w:pos="3828"/>
            </w:tabs>
            <w:rPr>
              <w:rFonts w:ascii="Calibri" w:hAnsi="Calibri"/>
              <w:sz w:val="20"/>
              <w:lang w:val="es-ES_tradnl"/>
            </w:rPr>
          </w:pPr>
        </w:p>
      </w:tc>
      <w:tc>
        <w:tcPr>
          <w:tcW w:w="2585" w:type="dxa"/>
          <w:shd w:val="clear" w:color="auto" w:fill="auto"/>
        </w:tcPr>
        <w:p w:rsidR="006222F4" w:rsidRPr="006222F4" w:rsidRDefault="006222F4" w:rsidP="006222F4">
          <w:pPr>
            <w:pStyle w:val="FirstFooter"/>
            <w:tabs>
              <w:tab w:val="left" w:pos="2302"/>
            </w:tabs>
            <w:rPr>
              <w:rFonts w:ascii="Calibri" w:hAnsi="Calibri"/>
              <w:sz w:val="18"/>
              <w:szCs w:val="18"/>
              <w:lang w:val="es-ES_tradnl"/>
            </w:rPr>
          </w:pPr>
          <w:r w:rsidRPr="006222F4">
            <w:rPr>
              <w:rFonts w:ascii="Calibri" w:hAnsi="Calibri"/>
              <w:sz w:val="18"/>
              <w:szCs w:val="18"/>
              <w:lang w:val="es-ES"/>
            </w:rPr>
            <w:t>Correo-e</w:t>
          </w:r>
          <w:r w:rsidRPr="006222F4">
            <w:rPr>
              <w:rFonts w:ascii="Calibri" w:hAnsi="Calibri"/>
              <w:sz w:val="18"/>
              <w:szCs w:val="18"/>
              <w:lang w:val="es-ES_tradnl"/>
            </w:rPr>
            <w:t>:</w:t>
          </w:r>
        </w:p>
      </w:tc>
      <w:tc>
        <w:tcPr>
          <w:tcW w:w="6237" w:type="dxa"/>
        </w:tcPr>
        <w:p w:rsidR="006222F4" w:rsidRPr="006222F4" w:rsidRDefault="006222F4" w:rsidP="006222F4">
          <w:pPr>
            <w:pStyle w:val="FirstFooter"/>
            <w:tabs>
              <w:tab w:val="left" w:pos="2302"/>
            </w:tabs>
            <w:rPr>
              <w:rFonts w:ascii="Calibri" w:hAnsi="Calibri"/>
              <w:sz w:val="18"/>
              <w:szCs w:val="18"/>
              <w:highlight w:val="yellow"/>
              <w:lang w:val="es-ES_tradnl"/>
            </w:rPr>
          </w:pPr>
          <w:hyperlink r:id="rId1" w:history="1">
            <w:r w:rsidRPr="006222F4">
              <w:rPr>
                <w:rStyle w:val="Hyperlink"/>
                <w:rFonts w:ascii="Calibri" w:hAnsi="Calibri"/>
                <w:sz w:val="18"/>
                <w:szCs w:val="18"/>
                <w:lang w:val="en-US"/>
              </w:rPr>
              <w:t>h.mazar@atdi.com</w:t>
            </w:r>
          </w:hyperlink>
          <w:r w:rsidRPr="006222F4">
            <w:rPr>
              <w:rFonts w:ascii="Calibri" w:hAnsi="Calibri"/>
              <w:sz w:val="18"/>
              <w:szCs w:val="18"/>
              <w:lang w:val="es-ES_tradnl"/>
            </w:rPr>
            <w:t xml:space="preserve"> </w:t>
          </w:r>
        </w:p>
      </w:tc>
    </w:tr>
  </w:tbl>
  <w:p w:rsidR="006222F4" w:rsidRPr="006222F4" w:rsidRDefault="006222F4" w:rsidP="006222F4">
    <w:pPr>
      <w:jc w:val="center"/>
      <w:rPr>
        <w:sz w:val="18"/>
        <w:szCs w:val="18"/>
        <w:lang w:val="en-US"/>
      </w:rPr>
    </w:pPr>
    <w:hyperlink r:id="rId2" w:history="1">
      <w:r w:rsidRPr="006222F4">
        <w:rPr>
          <w:rStyle w:val="Hyperlink"/>
          <w:rFonts w:ascii="Calibri" w:hAnsi="Calibri"/>
          <w:sz w:val="18"/>
          <w:szCs w:val="18"/>
          <w:lang w:val="en-US"/>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7DD" w:rsidRDefault="001D67DD">
      <w:r>
        <w:separator/>
      </w:r>
    </w:p>
  </w:footnote>
  <w:footnote w:type="continuationSeparator" w:id="0">
    <w:p w:rsidR="001D67DD" w:rsidRDefault="001D67DD">
      <w:r>
        <w:continuationSeparator/>
      </w:r>
    </w:p>
  </w:footnote>
  <w:footnote w:id="1">
    <w:p w:rsidR="001D67DD" w:rsidRPr="006222F4" w:rsidRDefault="001D67DD" w:rsidP="006222F4">
      <w:pPr>
        <w:pStyle w:val="FootnoteText"/>
        <w:rPr>
          <w:rFonts w:asciiTheme="minorHAnsi" w:hAnsiTheme="minorHAnsi"/>
        </w:rPr>
      </w:pPr>
      <w:r w:rsidRPr="006222F4">
        <w:rPr>
          <w:rStyle w:val="FootnoteReference"/>
          <w:rFonts w:asciiTheme="minorHAnsi" w:hAnsiTheme="minorHAnsi"/>
        </w:rPr>
        <w:footnoteRef/>
      </w:r>
      <w:r w:rsidR="006222F4">
        <w:rPr>
          <w:rFonts w:asciiTheme="minorHAnsi" w:hAnsiTheme="minorHAnsi"/>
        </w:rPr>
        <w:tab/>
      </w:r>
      <w:r w:rsidRPr="006222F4">
        <w:rPr>
          <w:rFonts w:asciiTheme="minorHAnsi" w:hAnsiTheme="minorHAnsi"/>
          <w:szCs w:val="24"/>
        </w:rPr>
        <w:t xml:space="preserve">Este término </w:t>
      </w:r>
      <w:r w:rsidRPr="006222F4">
        <w:rPr>
          <w:rFonts w:asciiTheme="minorHAnsi" w:hAnsiTheme="minorHAnsi"/>
          <w:szCs w:val="24"/>
          <w:lang w:val="es-ES"/>
        </w:rPr>
        <w:t>comprende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6222F4" w:rsidRDefault="006222F4" w:rsidP="006222F4">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w:t>
    </w:r>
    <w:bookmarkStart w:id="35" w:name="DocRef2"/>
    <w:bookmarkEnd w:id="35"/>
    <w:r w:rsidRPr="00365E42">
      <w:rPr>
        <w:sz w:val="22"/>
        <w:szCs w:val="22"/>
      </w:rPr>
      <w:t>RPM-</w:t>
    </w:r>
    <w:r>
      <w:rPr>
        <w:sz w:val="22"/>
        <w:szCs w:val="22"/>
      </w:rPr>
      <w:t>EUR</w:t>
    </w:r>
    <w:r w:rsidRPr="00365E42">
      <w:rPr>
        <w:sz w:val="22"/>
        <w:szCs w:val="22"/>
      </w:rPr>
      <w:t>1</w:t>
    </w:r>
    <w:r>
      <w:rPr>
        <w:sz w:val="22"/>
        <w:szCs w:val="22"/>
      </w:rPr>
      <w:t>7</w:t>
    </w:r>
    <w:r w:rsidRPr="00365E42">
      <w:rPr>
        <w:sz w:val="22"/>
        <w:szCs w:val="22"/>
      </w:rPr>
      <w:t>/</w:t>
    </w:r>
    <w:bookmarkStart w:id="36" w:name="DocNo2"/>
    <w:bookmarkEnd w:id="36"/>
    <w:r>
      <w:rPr>
        <w:sz w:val="22"/>
        <w:szCs w:val="22"/>
      </w:rPr>
      <w:t>1</w:t>
    </w:r>
    <w:r>
      <w:rPr>
        <w:sz w:val="22"/>
        <w:szCs w:val="22"/>
      </w:rPr>
      <w:t>4</w:t>
    </w:r>
    <w:r w:rsidRPr="00365E42">
      <w:rPr>
        <w:sz w:val="22"/>
        <w:szCs w:val="22"/>
      </w:rPr>
      <w:t>-S</w:t>
    </w:r>
    <w:r w:rsidRPr="00365E42">
      <w:rPr>
        <w:sz w:val="22"/>
        <w:szCs w:val="22"/>
      </w:rPr>
      <w:tab/>
      <w:t>P</w:t>
    </w:r>
    <w:r>
      <w:rPr>
        <w:sz w:val="22"/>
        <w:szCs w:val="22"/>
      </w:rPr>
      <w:t>ágina</w:t>
    </w:r>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4332BE">
      <w:rPr>
        <w:noProof/>
        <w:sz w:val="22"/>
        <w:szCs w:val="22"/>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9pt;height:8.9pt" o:bullet="t">
        <v:imagedata r:id="rId1" o:title="BD10267_"/>
      </v:shape>
    </w:pict>
  </w:numPicBullet>
  <w:abstractNum w:abstractNumId="0" w15:restartNumberingAfterBreak="0">
    <w:nsid w:val="FFFFFF7C"/>
    <w:multiLevelType w:val="singleLevel"/>
    <w:tmpl w:val="C2D032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0489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4241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EC6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B66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A41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022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E2EE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0E35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02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DD"/>
    <w:rsid w:val="00003125"/>
    <w:rsid w:val="00005245"/>
    <w:rsid w:val="00006684"/>
    <w:rsid w:val="00006856"/>
    <w:rsid w:val="00017BEC"/>
    <w:rsid w:val="00017E7D"/>
    <w:rsid w:val="00017E82"/>
    <w:rsid w:val="00021A72"/>
    <w:rsid w:val="00021E38"/>
    <w:rsid w:val="00022BFD"/>
    <w:rsid w:val="00032DD2"/>
    <w:rsid w:val="000370A8"/>
    <w:rsid w:val="0004509D"/>
    <w:rsid w:val="000563AB"/>
    <w:rsid w:val="0006050B"/>
    <w:rsid w:val="00080665"/>
    <w:rsid w:val="00085784"/>
    <w:rsid w:val="000A3328"/>
    <w:rsid w:val="000D0403"/>
    <w:rsid w:val="000D61A2"/>
    <w:rsid w:val="000D7961"/>
    <w:rsid w:val="000E397B"/>
    <w:rsid w:val="000F1580"/>
    <w:rsid w:val="000F2072"/>
    <w:rsid w:val="00103FDD"/>
    <w:rsid w:val="001229F6"/>
    <w:rsid w:val="00153BB5"/>
    <w:rsid w:val="0015553B"/>
    <w:rsid w:val="00161A5A"/>
    <w:rsid w:val="00170AB9"/>
    <w:rsid w:val="00181928"/>
    <w:rsid w:val="001856D7"/>
    <w:rsid w:val="00187E51"/>
    <w:rsid w:val="00192DBD"/>
    <w:rsid w:val="0019399A"/>
    <w:rsid w:val="001A52E9"/>
    <w:rsid w:val="001B4B9B"/>
    <w:rsid w:val="001D3694"/>
    <w:rsid w:val="001D67DD"/>
    <w:rsid w:val="001E33AB"/>
    <w:rsid w:val="001E3BCF"/>
    <w:rsid w:val="00235915"/>
    <w:rsid w:val="00252877"/>
    <w:rsid w:val="00262B06"/>
    <w:rsid w:val="00270C45"/>
    <w:rsid w:val="002748B0"/>
    <w:rsid w:val="00275198"/>
    <w:rsid w:val="0028054C"/>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6579F"/>
    <w:rsid w:val="00385ABF"/>
    <w:rsid w:val="00392AF3"/>
    <w:rsid w:val="003B75F4"/>
    <w:rsid w:val="003C78E4"/>
    <w:rsid w:val="003E20FF"/>
    <w:rsid w:val="004077C9"/>
    <w:rsid w:val="00414E6F"/>
    <w:rsid w:val="00415F06"/>
    <w:rsid w:val="004331DF"/>
    <w:rsid w:val="004332BE"/>
    <w:rsid w:val="0043566B"/>
    <w:rsid w:val="004430CE"/>
    <w:rsid w:val="00452CF7"/>
    <w:rsid w:val="00457453"/>
    <w:rsid w:val="0046327F"/>
    <w:rsid w:val="00472A03"/>
    <w:rsid w:val="00483313"/>
    <w:rsid w:val="00487A55"/>
    <w:rsid w:val="004A0340"/>
    <w:rsid w:val="004A28F0"/>
    <w:rsid w:val="004A34DD"/>
    <w:rsid w:val="004A564F"/>
    <w:rsid w:val="004D0AC9"/>
    <w:rsid w:val="004D2D58"/>
    <w:rsid w:val="004D3DC4"/>
    <w:rsid w:val="004E3824"/>
    <w:rsid w:val="004F09F8"/>
    <w:rsid w:val="00502BFC"/>
    <w:rsid w:val="00511EDF"/>
    <w:rsid w:val="00523237"/>
    <w:rsid w:val="00523E05"/>
    <w:rsid w:val="005302F6"/>
    <w:rsid w:val="00542D84"/>
    <w:rsid w:val="0058604B"/>
    <w:rsid w:val="005B37AF"/>
    <w:rsid w:val="005B45E9"/>
    <w:rsid w:val="005C0E75"/>
    <w:rsid w:val="005C33BC"/>
    <w:rsid w:val="005D12FD"/>
    <w:rsid w:val="005E07F1"/>
    <w:rsid w:val="006222F4"/>
    <w:rsid w:val="00622A8F"/>
    <w:rsid w:val="006354E9"/>
    <w:rsid w:val="0064011F"/>
    <w:rsid w:val="006444D5"/>
    <w:rsid w:val="0065094C"/>
    <w:rsid w:val="006527BD"/>
    <w:rsid w:val="00663234"/>
    <w:rsid w:val="00667E12"/>
    <w:rsid w:val="00676C62"/>
    <w:rsid w:val="00677A58"/>
    <w:rsid w:val="00684700"/>
    <w:rsid w:val="00685848"/>
    <w:rsid w:val="006A6F8F"/>
    <w:rsid w:val="006C0E12"/>
    <w:rsid w:val="006C7A7B"/>
    <w:rsid w:val="006F1CE9"/>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7E1995"/>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B3723"/>
    <w:rsid w:val="008F2196"/>
    <w:rsid w:val="009043C2"/>
    <w:rsid w:val="009074FD"/>
    <w:rsid w:val="00912887"/>
    <w:rsid w:val="00915921"/>
    <w:rsid w:val="00941145"/>
    <w:rsid w:val="0094145C"/>
    <w:rsid w:val="00942ED4"/>
    <w:rsid w:val="00951378"/>
    <w:rsid w:val="00953C7D"/>
    <w:rsid w:val="0096235E"/>
    <w:rsid w:val="0097038C"/>
    <w:rsid w:val="009778C3"/>
    <w:rsid w:val="009B17EA"/>
    <w:rsid w:val="009B6F98"/>
    <w:rsid w:val="009E3FEB"/>
    <w:rsid w:val="009E50D3"/>
    <w:rsid w:val="009E725D"/>
    <w:rsid w:val="00A13179"/>
    <w:rsid w:val="00A140EB"/>
    <w:rsid w:val="00A65745"/>
    <w:rsid w:val="00A824E0"/>
    <w:rsid w:val="00A840C6"/>
    <w:rsid w:val="00AB4706"/>
    <w:rsid w:val="00AC3A1D"/>
    <w:rsid w:val="00AC7AC6"/>
    <w:rsid w:val="00AD799C"/>
    <w:rsid w:val="00AE1C97"/>
    <w:rsid w:val="00AE2BCA"/>
    <w:rsid w:val="00AF0A2E"/>
    <w:rsid w:val="00AF4619"/>
    <w:rsid w:val="00B2033A"/>
    <w:rsid w:val="00B20B08"/>
    <w:rsid w:val="00B24401"/>
    <w:rsid w:val="00B34B6C"/>
    <w:rsid w:val="00B4143C"/>
    <w:rsid w:val="00B41935"/>
    <w:rsid w:val="00B46EC5"/>
    <w:rsid w:val="00B50E11"/>
    <w:rsid w:val="00B528E2"/>
    <w:rsid w:val="00B532C0"/>
    <w:rsid w:val="00B60B80"/>
    <w:rsid w:val="00B830A9"/>
    <w:rsid w:val="00B8609C"/>
    <w:rsid w:val="00BA2C8C"/>
    <w:rsid w:val="00BB67AF"/>
    <w:rsid w:val="00BC1350"/>
    <w:rsid w:val="00BC6A2F"/>
    <w:rsid w:val="00C05FC5"/>
    <w:rsid w:val="00C2585A"/>
    <w:rsid w:val="00C26729"/>
    <w:rsid w:val="00C37B27"/>
    <w:rsid w:val="00C53CE6"/>
    <w:rsid w:val="00C551FC"/>
    <w:rsid w:val="00C648E4"/>
    <w:rsid w:val="00C75DBB"/>
    <w:rsid w:val="00C75DE9"/>
    <w:rsid w:val="00C837F9"/>
    <w:rsid w:val="00C84158"/>
    <w:rsid w:val="00C84E60"/>
    <w:rsid w:val="00CF63E1"/>
    <w:rsid w:val="00D00614"/>
    <w:rsid w:val="00D17DC5"/>
    <w:rsid w:val="00D35307"/>
    <w:rsid w:val="00D4563B"/>
    <w:rsid w:val="00D80072"/>
    <w:rsid w:val="00D92439"/>
    <w:rsid w:val="00D948A7"/>
    <w:rsid w:val="00DA1664"/>
    <w:rsid w:val="00DA2F6F"/>
    <w:rsid w:val="00DA3130"/>
    <w:rsid w:val="00DB5B1B"/>
    <w:rsid w:val="00DB6C98"/>
    <w:rsid w:val="00DE3F2D"/>
    <w:rsid w:val="00DE460C"/>
    <w:rsid w:val="00E148EB"/>
    <w:rsid w:val="00E207C7"/>
    <w:rsid w:val="00E2379D"/>
    <w:rsid w:val="00E244D1"/>
    <w:rsid w:val="00E2476D"/>
    <w:rsid w:val="00E7476B"/>
    <w:rsid w:val="00E74841"/>
    <w:rsid w:val="00E84413"/>
    <w:rsid w:val="00E97800"/>
    <w:rsid w:val="00EA6520"/>
    <w:rsid w:val="00EA72D0"/>
    <w:rsid w:val="00ED2768"/>
    <w:rsid w:val="00EF62C8"/>
    <w:rsid w:val="00F2422E"/>
    <w:rsid w:val="00F40E2E"/>
    <w:rsid w:val="00F620CA"/>
    <w:rsid w:val="00F647B5"/>
    <w:rsid w:val="00F74154"/>
    <w:rsid w:val="00F842D3"/>
    <w:rsid w:val="00F87092"/>
    <w:rsid w:val="00FD281F"/>
    <w:rsid w:val="00FF2B4D"/>
    <w:rsid w:val="00FF4BC0"/>
    <w:rsid w:val="00FF52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D3D638-4777-4CF7-BD3D-9A228C9D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DD"/>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C05FC5"/>
    <w:pPr>
      <w:keepNext/>
      <w:keepLines/>
      <w:spacing w:before="280"/>
      <w:ind w:left="794" w:hanging="794"/>
      <w:outlineLvl w:val="0"/>
    </w:pPr>
    <w:rPr>
      <w:rFonts w:ascii="Times New Roman" w:hAnsi="Times New Roman"/>
      <w:b/>
      <w:bCs/>
      <w:sz w:val="28"/>
      <w:lang w:val="es-ES_tradnl"/>
    </w:rPr>
  </w:style>
  <w:style w:type="paragraph" w:styleId="Heading2">
    <w:name w:val="heading 2"/>
    <w:basedOn w:val="Heading1"/>
    <w:next w:val="Normal"/>
    <w:qFormat/>
    <w:rsid w:val="00C05FC5"/>
    <w:pPr>
      <w:spacing w:before="200"/>
      <w:outlineLvl w:val="1"/>
    </w:pPr>
    <w:rPr>
      <w:sz w:val="24"/>
    </w:rPr>
  </w:style>
  <w:style w:type="paragraph" w:styleId="Heading3">
    <w:name w:val="heading 3"/>
    <w:basedOn w:val="Heading1"/>
    <w:next w:val="Normal"/>
    <w:qFormat/>
    <w:rsid w:val="00C05FC5"/>
    <w:pPr>
      <w:spacing w:before="200"/>
      <w:outlineLvl w:val="2"/>
    </w:pPr>
    <w:rPr>
      <w:sz w:val="24"/>
    </w:rPr>
  </w:style>
  <w:style w:type="paragraph" w:styleId="Heading4">
    <w:name w:val="heading 4"/>
    <w:basedOn w:val="Heading3"/>
    <w:next w:val="Normal"/>
    <w:qFormat/>
    <w:rsid w:val="00C05FC5"/>
    <w:pPr>
      <w:tabs>
        <w:tab w:val="clear" w:pos="794"/>
        <w:tab w:val="left" w:pos="992"/>
      </w:tabs>
      <w:ind w:left="992" w:hanging="992"/>
      <w:outlineLvl w:val="3"/>
    </w:pPr>
  </w:style>
  <w:style w:type="paragraph" w:styleId="Heading5">
    <w:name w:val="heading 5"/>
    <w:basedOn w:val="Heading4"/>
    <w:next w:val="Normal"/>
    <w:qFormat/>
    <w:rsid w:val="00C05FC5"/>
    <w:pPr>
      <w:outlineLvl w:val="4"/>
    </w:pPr>
  </w:style>
  <w:style w:type="paragraph" w:styleId="Heading6">
    <w:name w:val="heading 6"/>
    <w:basedOn w:val="Heading4"/>
    <w:next w:val="Normal"/>
    <w:qFormat/>
    <w:rsid w:val="00C05FC5"/>
    <w:pPr>
      <w:tabs>
        <w:tab w:val="clear" w:pos="992"/>
        <w:tab w:val="clear" w:pos="1191"/>
      </w:tabs>
      <w:ind w:left="1588" w:hanging="1588"/>
      <w:outlineLvl w:val="5"/>
    </w:pPr>
  </w:style>
  <w:style w:type="paragraph" w:styleId="Heading7">
    <w:name w:val="heading 7"/>
    <w:basedOn w:val="Heading6"/>
    <w:next w:val="Normal"/>
    <w:qFormat/>
    <w:rsid w:val="00C05FC5"/>
    <w:pPr>
      <w:outlineLvl w:val="6"/>
    </w:pPr>
  </w:style>
  <w:style w:type="paragraph" w:styleId="Heading8">
    <w:name w:val="heading 8"/>
    <w:basedOn w:val="Heading6"/>
    <w:next w:val="Normal"/>
    <w:qFormat/>
    <w:rsid w:val="00C05FC5"/>
    <w:pPr>
      <w:outlineLvl w:val="7"/>
    </w:pPr>
  </w:style>
  <w:style w:type="paragraph" w:styleId="Heading9">
    <w:name w:val="heading 9"/>
    <w:basedOn w:val="Heading6"/>
    <w:next w:val="Normal"/>
    <w:qFormat/>
    <w:rsid w:val="00C05F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rsid w:val="00663234"/>
    <w:pPr>
      <w:ind w:left="3828" w:hanging="2268"/>
    </w:pPr>
    <w:rPr>
      <w:rFonts w:ascii="Verdana" w:hAnsi="Verdana"/>
      <w:sz w:val="16"/>
      <w:szCs w:val="16"/>
      <w:lang w:eastAsia="en-US"/>
    </w:rPr>
  </w:style>
  <w:style w:type="paragraph" w:customStyle="1" w:styleId="CEONormal">
    <w:name w:val="CEO_Normal"/>
    <w:link w:val="CEONormalChar"/>
    <w:rsid w:val="00663234"/>
    <w:pPr>
      <w:spacing w:before="120" w:after="120"/>
    </w:pPr>
    <w:rPr>
      <w:rFonts w:ascii="Verdana" w:hAnsi="Verdana"/>
      <w:sz w:val="19"/>
      <w:szCs w:val="19"/>
      <w:lang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rPr>
  </w:style>
  <w:style w:type="paragraph" w:customStyle="1" w:styleId="CEOcontributionH1">
    <w:name w:val="CEO_contributionH1"/>
    <w:basedOn w:val="CEOcontribution-H123"/>
    <w:next w:val="CEONormal"/>
    <w:rsid w:val="00D35307"/>
    <w:pPr>
      <w:keepNext/>
      <w:keepLines/>
      <w:numPr>
        <w:numId w:val="0"/>
      </w:numPr>
    </w:pPr>
  </w:style>
  <w:style w:type="paragraph" w:customStyle="1" w:styleId="CEOcontribution-H123">
    <w:name w:val="CEO_contribution-H123"/>
    <w:basedOn w:val="Normal"/>
    <w:pPr>
      <w:numPr>
        <w:numId w:val="26"/>
      </w:numPr>
      <w:tabs>
        <w:tab w:val="clear" w:pos="720"/>
        <w:tab w:val="num" w:pos="567"/>
      </w:tabs>
      <w:ind w:left="567" w:hanging="567"/>
    </w:pPr>
    <w:rPr>
      <w:b/>
      <w:bCs/>
      <w:szCs w:val="19"/>
    </w:rPr>
  </w:style>
  <w:style w:type="paragraph" w:customStyle="1" w:styleId="CEOFooterContact1">
    <w:name w:val="CEO_FooterContact1"/>
    <w:basedOn w:val="CEOFooterContact2-3"/>
    <w:next w:val="CEOFooterContact2-3"/>
    <w:pPr>
      <w:pBdr>
        <w:top w:val="single" w:sz="4" w:space="5" w:color="auto"/>
      </w:pBdr>
      <w:tabs>
        <w:tab w:val="left" w:pos="1560"/>
      </w:tabs>
      <w:ind w:hanging="3828"/>
    </w:pPr>
  </w:style>
  <w:style w:type="paragraph" w:customStyle="1" w:styleId="CEOForAction">
    <w:name w:val="CEO_ForAction"/>
    <w:basedOn w:val="CEONormal"/>
    <w:next w:val="CEOSourceTitle"/>
    <w:pPr>
      <w:spacing w:before="240"/>
      <w:ind w:left="1593"/>
    </w:pPr>
    <w:rPr>
      <w:b/>
      <w:bCs/>
      <w:iCs/>
    </w:rPr>
  </w:style>
  <w:style w:type="paragraph" w:customStyle="1" w:styleId="CEOSourceTitle">
    <w:name w:val="CEO_Source_Title"/>
    <w:basedOn w:val="Normal"/>
    <w:pPr>
      <w:spacing w:before="0"/>
    </w:pPr>
    <w:rPr>
      <w:b/>
      <w:bCs/>
      <w:szCs w:val="19"/>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pPr>
    <w:rPr>
      <w:b/>
      <w:bCs/>
      <w:szCs w:val="19"/>
    </w:rPr>
  </w:style>
  <w:style w:type="paragraph" w:customStyle="1" w:styleId="CEODocNo">
    <w:name w:val="CEO_DocNo"/>
    <w:basedOn w:val="Normal"/>
    <w:next w:val="Normal"/>
    <w:pPr>
      <w:spacing w:before="0"/>
    </w:pPr>
    <w:rPr>
      <w:b/>
      <w:bCs/>
      <w:szCs w:val="19"/>
    </w:rPr>
  </w:style>
  <w:style w:type="paragraph" w:customStyle="1" w:styleId="CEODocNoDetails">
    <w:name w:val="CEO_DocNoDetails"/>
    <w:basedOn w:val="Normal"/>
    <w:pPr>
      <w:spacing w:before="80" w:after="80"/>
      <w:jc w:val="center"/>
    </w:pPr>
    <w:rPr>
      <w:szCs w:val="19"/>
    </w:rPr>
  </w:style>
  <w:style w:type="paragraph" w:customStyle="1" w:styleId="CEOFooter">
    <w:name w:val="CEO_Footer"/>
    <w:basedOn w:val="Normal"/>
    <w:pPr>
      <w:tabs>
        <w:tab w:val="right" w:pos="9072"/>
      </w:tabs>
      <w:spacing w:before="0"/>
    </w:pPr>
    <w:rPr>
      <w:sz w:val="16"/>
      <w:szCs w:val="19"/>
    </w:rPr>
  </w:style>
  <w:style w:type="paragraph" w:customStyle="1" w:styleId="CEOHeader1">
    <w:name w:val="CEO_Header1"/>
    <w:basedOn w:val="Normal"/>
    <w:pPr>
      <w:numPr>
        <w:numId w:val="25"/>
      </w:numPr>
      <w:spacing w:before="0"/>
    </w:pPr>
    <w:rPr>
      <w:szCs w:val="19"/>
    </w:rPr>
  </w:style>
  <w:style w:type="paragraph" w:customStyle="1" w:styleId="CEOHeader2">
    <w:name w:val="CEO_Header2"/>
    <w:basedOn w:val="Normal"/>
    <w:pPr>
      <w:spacing w:before="720"/>
    </w:pPr>
    <w:rPr>
      <w:szCs w:val="19"/>
    </w:rPr>
  </w:style>
  <w:style w:type="paragraph" w:customStyle="1" w:styleId="CEOHeaderPageNumber">
    <w:name w:val="CEO_HeaderPageNumber"/>
    <w:basedOn w:val="Normal"/>
    <w:pPr>
      <w:tabs>
        <w:tab w:val="center" w:pos="4536"/>
        <w:tab w:val="right" w:pos="9072"/>
      </w:tabs>
      <w:spacing w:before="0"/>
      <w:jc w:val="right"/>
    </w:pPr>
    <w:rPr>
      <w:smallCaps/>
      <w:szCs w:val="19"/>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num" w:pos="1418"/>
      </w:tabs>
      <w:ind w:left="1418" w:hanging="851"/>
    </w:pPr>
    <w:rPr>
      <w:b w:val="0"/>
      <w:bCs w:val="0"/>
      <w:sz w:val="19"/>
    </w:rPr>
  </w:style>
  <w:style w:type="paragraph" w:customStyle="1" w:styleId="CEOindent-abc">
    <w:name w:val="CEO_indent-abc"/>
    <w:basedOn w:val="Normal"/>
    <w:pPr>
      <w:numPr>
        <w:ilvl w:val="1"/>
        <w:numId w:val="16"/>
      </w:numPr>
      <w:spacing w:before="0"/>
    </w:pPr>
    <w:rPr>
      <w:rFonts w:cs="Traditional Arabic"/>
      <w:sz w:val="18"/>
    </w:rPr>
  </w:style>
  <w:style w:type="paragraph" w:customStyle="1" w:styleId="CEOIndent-bulletsblackdot">
    <w:name w:val="CEO_Indent-bulletsblackdot"/>
    <w:basedOn w:val="Normal"/>
    <w:pPr>
      <w:numPr>
        <w:numId w:val="17"/>
      </w:numPr>
      <w:spacing w:before="60" w:after="60"/>
    </w:pPr>
    <w:rPr>
      <w:szCs w:val="19"/>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szCs w:val="19"/>
    </w:rPr>
  </w:style>
  <w:style w:type="paragraph" w:customStyle="1" w:styleId="CEOMeetingName">
    <w:name w:val="CEO_MeetingName"/>
    <w:basedOn w:val="Normal"/>
    <w:rPr>
      <w:b/>
      <w:bCs/>
      <w:szCs w:val="19"/>
    </w:rPr>
  </w:style>
  <w:style w:type="paragraph" w:customStyle="1" w:styleId="CEOOriginalLanguage">
    <w:name w:val="CEO_OriginalLanguage"/>
    <w:basedOn w:val="Normal"/>
    <w:next w:val="Normal"/>
    <w:rPr>
      <w:b/>
      <w:bCs/>
      <w:szCs w:val="19"/>
    </w:rPr>
  </w:style>
  <w:style w:type="paragraph" w:customStyle="1" w:styleId="CEOQuestion">
    <w:name w:val="CEO_Question"/>
    <w:basedOn w:val="CEOQuestionDetails"/>
    <w:pPr>
      <w:spacing w:before="40" w:after="40"/>
      <w:ind w:left="1843" w:hanging="1843"/>
    </w:pPr>
    <w:rPr>
      <w:bCs/>
      <w:szCs w:val="24"/>
    </w:rPr>
  </w:style>
  <w:style w:type="paragraph" w:customStyle="1" w:styleId="CEOQuestionDetails">
    <w:name w:val="CEO_QuestionDetails"/>
    <w:basedOn w:val="CEOOriginalLanguage"/>
    <w:rPr>
      <w:b w:val="0"/>
      <w:bCs w:val="0"/>
    </w:rPr>
  </w:style>
  <w:style w:type="paragraph" w:customStyle="1" w:styleId="CEOSectorName">
    <w:name w:val="CEO_SectorName"/>
    <w:basedOn w:val="Normal"/>
    <w:rPr>
      <w:b/>
      <w:bCs/>
      <w:sz w:val="26"/>
    </w:rPr>
  </w:style>
  <w:style w:type="paragraph" w:customStyle="1" w:styleId="CEOSignatureName">
    <w:name w:val="CEO_SignatureName"/>
    <w:basedOn w:val="Normal"/>
    <w:pPr>
      <w:spacing w:before="720"/>
    </w:pPr>
    <w:rPr>
      <w:szCs w:val="19"/>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rPr>
  </w:style>
  <w:style w:type="paragraph" w:customStyle="1" w:styleId="CEOSTG">
    <w:name w:val="CEO_STG"/>
    <w:basedOn w:val="CEOOriginalLanguage"/>
    <w:pPr>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EOConsidering">
    <w:name w:val="CEO_Considering"/>
    <w:basedOn w:val="CEONormal"/>
    <w:pPr>
      <w:keepNext/>
      <w:keepLines/>
      <w:ind w:left="851"/>
    </w:pPr>
    <w:rPr>
      <w:i/>
      <w:iCs/>
    </w:rPr>
  </w:style>
  <w:style w:type="paragraph" w:customStyle="1" w:styleId="CEOEndBar">
    <w:name w:val="CEO_EndBar"/>
    <w:basedOn w:val="CEONormal"/>
    <w:pPr>
      <w:jc w:val="center"/>
    </w:pPr>
  </w:style>
  <w:style w:type="paragraph" w:customStyle="1" w:styleId="CEOExtract">
    <w:name w:val="CEO_Extract"/>
    <w:basedOn w:val="CEONormal"/>
    <w:pPr>
      <w:keepNext/>
      <w:keepLines/>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ind w:left="426"/>
    </w:pPr>
  </w:style>
  <w:style w:type="paragraph" w:customStyle="1" w:styleId="Figurelegend">
    <w:name w:val="Figure_legend"/>
    <w:basedOn w:val="Normal"/>
    <w:pPr>
      <w:keepNext/>
      <w:keepLines/>
      <w:spacing w:before="20" w:after="20"/>
    </w:pPr>
    <w:rPr>
      <w:rFonts w:ascii="Times New Roman" w:hAnsi="Times New Roman"/>
      <w:bCs/>
      <w:sz w:val="18"/>
    </w:rPr>
  </w:style>
  <w:style w:type="paragraph" w:customStyle="1" w:styleId="Equation">
    <w:name w:val="Equation"/>
    <w:basedOn w:val="Normal"/>
    <w:pPr>
      <w:tabs>
        <w:tab w:val="center" w:pos="4820"/>
        <w:tab w:val="right" w:pos="9639"/>
      </w:tabs>
    </w:pPr>
    <w:rPr>
      <w:rFonts w:ascii="Times New Roman" w:hAnsi="Times New Roman"/>
      <w:bCs/>
    </w:rPr>
  </w:style>
  <w:style w:type="table" w:styleId="TableGrid">
    <w:name w:val="Table Grid"/>
    <w:basedOn w:val="TableNormal"/>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Proposals">
    <w:name w:val="CEO_Proposals"/>
    <w:basedOn w:val="CEOcontributionStart"/>
    <w:rsid w:val="00D00614"/>
    <w:rPr>
      <w:b/>
      <w:bCs w:val="0"/>
      <w:lang w:val="en-US"/>
    </w:rPr>
  </w:style>
  <w:style w:type="character" w:customStyle="1" w:styleId="CEONormalChar">
    <w:name w:val="CEO_Normal Char"/>
    <w:link w:val="CEONormal"/>
    <w:rsid w:val="00663234"/>
    <w:rPr>
      <w:rFonts w:ascii="Verdana" w:eastAsia="SimSun" w:hAnsi="Verdana"/>
      <w:noProof w:val="0"/>
      <w:sz w:val="19"/>
      <w:szCs w:val="19"/>
      <w:lang w:val="en-GB" w:eastAsia="en-US" w:bidi="ar-SA"/>
    </w:rPr>
  </w:style>
  <w:style w:type="paragraph" w:customStyle="1" w:styleId="CEOcontributionH2">
    <w:name w:val="CEO_contributionH2"/>
    <w:basedOn w:val="CEOcontributionH1"/>
    <w:rsid w:val="00B41935"/>
    <w:pPr>
      <w:spacing w:before="0"/>
    </w:pPr>
  </w:style>
  <w:style w:type="paragraph" w:customStyle="1" w:styleId="CEOParagraph1">
    <w:name w:val="CEO_Paragraph 1."/>
    <w:basedOn w:val="CEONormal"/>
    <w:next w:val="CEONormal"/>
    <w:qFormat/>
    <w:rsid w:val="00F87092"/>
    <w:pPr>
      <w:spacing w:before="360"/>
    </w:pPr>
    <w:rPr>
      <w:b/>
      <w:bCs/>
      <w:lang w:val="fr-FR"/>
    </w:rPr>
  </w:style>
  <w:style w:type="paragraph" w:styleId="BalloonText">
    <w:name w:val="Balloon Text"/>
    <w:basedOn w:val="Normal"/>
    <w:link w:val="BalloonTextChar"/>
    <w:rsid w:val="00021E38"/>
    <w:pPr>
      <w:spacing w:before="0"/>
    </w:pPr>
    <w:rPr>
      <w:rFonts w:ascii="Tahoma" w:hAnsi="Tahoma" w:cs="Tahoma"/>
      <w:sz w:val="16"/>
      <w:szCs w:val="16"/>
    </w:rPr>
  </w:style>
  <w:style w:type="character" w:customStyle="1" w:styleId="BalloonTextChar">
    <w:name w:val="Balloon Text Char"/>
    <w:basedOn w:val="DefaultParagraphFont"/>
    <w:link w:val="BalloonText"/>
    <w:rsid w:val="00021E38"/>
    <w:rPr>
      <w:rFonts w:ascii="Tahoma" w:eastAsia="SimHei" w:hAnsi="Tahoma" w:cs="Tahoma"/>
      <w:bCs/>
      <w:noProof w:val="0"/>
      <w:sz w:val="16"/>
      <w:szCs w:val="16"/>
      <w:lang w:val="en-GB"/>
    </w:rPr>
  </w:style>
  <w:style w:type="paragraph" w:customStyle="1" w:styleId="AnnexNo">
    <w:name w:val="Annex_No"/>
    <w:basedOn w:val="Normal"/>
    <w:next w:val="Normal"/>
    <w:rsid w:val="00C05FC5"/>
    <w:pPr>
      <w:keepNext/>
      <w:keepLines/>
      <w:spacing w:before="480" w:after="80"/>
      <w:jc w:val="center"/>
    </w:pPr>
    <w:rPr>
      <w:rFonts w:ascii="Times New Roman" w:hAnsi="Times New Roman"/>
      <w:bCs/>
      <w:caps/>
      <w:sz w:val="28"/>
    </w:rPr>
  </w:style>
  <w:style w:type="paragraph" w:customStyle="1" w:styleId="Annexref">
    <w:name w:val="Annex_ref"/>
    <w:basedOn w:val="Normal"/>
    <w:next w:val="Normal"/>
    <w:rsid w:val="00C05FC5"/>
    <w:pPr>
      <w:keepNext/>
      <w:keepLines/>
      <w:spacing w:after="280"/>
      <w:jc w:val="center"/>
    </w:pPr>
    <w:rPr>
      <w:rFonts w:ascii="Times New Roman" w:hAnsi="Times New Roman"/>
      <w:bCs/>
      <w:lang w:val="es-ES_tradnl"/>
    </w:rPr>
  </w:style>
  <w:style w:type="paragraph" w:customStyle="1" w:styleId="Annextitle">
    <w:name w:val="Annex_title"/>
    <w:basedOn w:val="Normal"/>
    <w:next w:val="Normal"/>
    <w:rsid w:val="00C05FC5"/>
    <w:pPr>
      <w:keepNext/>
      <w:keepLines/>
      <w:spacing w:before="240" w:after="280"/>
      <w:jc w:val="center"/>
    </w:pPr>
    <w:rPr>
      <w:rFonts w:ascii="Times New Roman Bold" w:hAnsi="Times New Roman Bold"/>
      <w:b/>
      <w:bCs/>
      <w:sz w:val="28"/>
      <w:lang w:val="es-ES_tradnl"/>
    </w:rPr>
  </w:style>
  <w:style w:type="character" w:customStyle="1" w:styleId="Appdef">
    <w:name w:val="App_def"/>
    <w:basedOn w:val="DefaultParagraphFont"/>
    <w:rsid w:val="00C05FC5"/>
    <w:rPr>
      <w:rFonts w:ascii="Times New Roman" w:hAnsi="Times New Roman"/>
      <w:b/>
    </w:rPr>
  </w:style>
  <w:style w:type="character" w:customStyle="1" w:styleId="Appref">
    <w:name w:val="App_ref"/>
    <w:basedOn w:val="DefaultParagraphFont"/>
    <w:rsid w:val="00C05FC5"/>
  </w:style>
  <w:style w:type="paragraph" w:customStyle="1" w:styleId="AppendixNo">
    <w:name w:val="Appendix_No"/>
    <w:basedOn w:val="AnnexNo"/>
    <w:next w:val="Annexref"/>
    <w:rsid w:val="00C05FC5"/>
  </w:style>
  <w:style w:type="paragraph" w:customStyle="1" w:styleId="Appendixref">
    <w:name w:val="Appendix_ref"/>
    <w:basedOn w:val="Annexref"/>
    <w:next w:val="Annextitle"/>
    <w:rsid w:val="00C05FC5"/>
  </w:style>
  <w:style w:type="paragraph" w:customStyle="1" w:styleId="Appendixtitle">
    <w:name w:val="Appendix_title"/>
    <w:basedOn w:val="Annextitle"/>
    <w:next w:val="Normal"/>
    <w:rsid w:val="00C05FC5"/>
  </w:style>
  <w:style w:type="character" w:customStyle="1" w:styleId="Artdef">
    <w:name w:val="Art_def"/>
    <w:basedOn w:val="DefaultParagraphFont"/>
    <w:rsid w:val="00C05FC5"/>
    <w:rPr>
      <w:rFonts w:ascii="Times New Roman" w:hAnsi="Times New Roman"/>
      <w:b/>
    </w:rPr>
  </w:style>
  <w:style w:type="paragraph" w:customStyle="1" w:styleId="Artheading">
    <w:name w:val="Art_heading"/>
    <w:basedOn w:val="Normal"/>
    <w:next w:val="Normal"/>
    <w:rsid w:val="00C05FC5"/>
    <w:pPr>
      <w:spacing w:before="480"/>
      <w:jc w:val="center"/>
    </w:pPr>
    <w:rPr>
      <w:rFonts w:ascii="Times New Roman Bold" w:hAnsi="Times New Roman Bold"/>
      <w:b/>
      <w:bCs/>
      <w:sz w:val="28"/>
      <w:lang w:val="es-ES_tradnl"/>
    </w:rPr>
  </w:style>
  <w:style w:type="paragraph" w:customStyle="1" w:styleId="ArtNo">
    <w:name w:val="Art_No"/>
    <w:basedOn w:val="Normal"/>
    <w:next w:val="Normal"/>
    <w:rsid w:val="00C05FC5"/>
    <w:pPr>
      <w:keepNext/>
      <w:keepLines/>
      <w:spacing w:before="480"/>
      <w:jc w:val="center"/>
    </w:pPr>
    <w:rPr>
      <w:rFonts w:ascii="Times New Roman" w:hAnsi="Times New Roman"/>
      <w:bCs/>
      <w:caps/>
      <w:sz w:val="28"/>
      <w:lang w:val="es-ES_tradnl"/>
    </w:rPr>
  </w:style>
  <w:style w:type="character" w:customStyle="1" w:styleId="Artref">
    <w:name w:val="Art_ref"/>
    <w:basedOn w:val="DefaultParagraphFont"/>
    <w:rsid w:val="00C05FC5"/>
  </w:style>
  <w:style w:type="paragraph" w:customStyle="1" w:styleId="Arttitle">
    <w:name w:val="Art_title"/>
    <w:basedOn w:val="Normal"/>
    <w:next w:val="Normal"/>
    <w:rsid w:val="00C05FC5"/>
    <w:pPr>
      <w:keepNext/>
      <w:keepLines/>
      <w:spacing w:before="240"/>
      <w:jc w:val="center"/>
    </w:pPr>
    <w:rPr>
      <w:rFonts w:ascii="Times New Roman" w:hAnsi="Times New Roman"/>
      <w:b/>
      <w:bCs/>
      <w:sz w:val="28"/>
      <w:lang w:val="es-ES_tradnl"/>
    </w:rPr>
  </w:style>
  <w:style w:type="paragraph" w:customStyle="1" w:styleId="ASN1">
    <w:name w:val="ASN.1"/>
    <w:basedOn w:val="Normal"/>
    <w:rsid w:val="00C05FC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bCs/>
      <w:noProof/>
      <w:sz w:val="20"/>
      <w:lang w:val="es-ES_tradnl"/>
    </w:rPr>
  </w:style>
  <w:style w:type="paragraph" w:customStyle="1" w:styleId="Call">
    <w:name w:val="Call"/>
    <w:basedOn w:val="Normal"/>
    <w:next w:val="Normal"/>
    <w:rsid w:val="00C05FC5"/>
    <w:pPr>
      <w:keepNext/>
      <w:keepLines/>
      <w:spacing w:before="160"/>
      <w:ind w:left="794"/>
    </w:pPr>
    <w:rPr>
      <w:rFonts w:ascii="Times New Roman" w:hAnsi="Times New Roman"/>
      <w:bCs/>
      <w:i/>
      <w:lang w:val="es-ES_tradnl"/>
    </w:rPr>
  </w:style>
  <w:style w:type="paragraph" w:customStyle="1" w:styleId="ChapNo">
    <w:name w:val="Chap_No"/>
    <w:basedOn w:val="ArtNo"/>
    <w:next w:val="Normal"/>
    <w:rsid w:val="00C05FC5"/>
    <w:rPr>
      <w:rFonts w:ascii="Times New Roman Bold" w:hAnsi="Times New Roman Bold"/>
      <w:b/>
    </w:rPr>
  </w:style>
  <w:style w:type="paragraph" w:customStyle="1" w:styleId="Chaptitle">
    <w:name w:val="Chap_title"/>
    <w:basedOn w:val="Arttitle"/>
    <w:next w:val="Normal"/>
    <w:rsid w:val="00C05FC5"/>
  </w:style>
  <w:style w:type="paragraph" w:customStyle="1" w:styleId="ddate">
    <w:name w:val="ddate"/>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paragraph" w:customStyle="1" w:styleId="dnum">
    <w:name w:val="dnum"/>
    <w:basedOn w:val="Normal"/>
    <w:rsid w:val="00C05FC5"/>
    <w:pPr>
      <w:framePr w:hSpace="181" w:wrap="around" w:vAnchor="page" w:hAnchor="margin" w:y="852"/>
      <w:shd w:val="solid" w:color="FFFFFF" w:fill="FFFFFF"/>
      <w:tabs>
        <w:tab w:val="left" w:pos="1134"/>
        <w:tab w:val="left" w:pos="1871"/>
        <w:tab w:val="left" w:pos="2268"/>
      </w:tabs>
    </w:pPr>
    <w:rPr>
      <w:rFonts w:ascii="Times New Roman" w:hAnsi="Times New Roman"/>
      <w:b/>
      <w:lang w:val="es-ES_tradnl"/>
    </w:rPr>
  </w:style>
  <w:style w:type="paragraph" w:customStyle="1" w:styleId="dorlang">
    <w:name w:val="dorlang"/>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character" w:styleId="EndnoteReference">
    <w:name w:val="endnote reference"/>
    <w:basedOn w:val="DefaultParagraphFont"/>
    <w:rsid w:val="00C05FC5"/>
    <w:rPr>
      <w:vertAlign w:val="superscript"/>
    </w:rPr>
  </w:style>
  <w:style w:type="paragraph" w:customStyle="1" w:styleId="enumlev1">
    <w:name w:val="enumlev1"/>
    <w:basedOn w:val="Normal"/>
    <w:rsid w:val="00C05FC5"/>
    <w:pPr>
      <w:spacing w:before="80"/>
      <w:ind w:left="794" w:hanging="794"/>
    </w:pPr>
    <w:rPr>
      <w:rFonts w:ascii="Times New Roman" w:hAnsi="Times New Roman"/>
      <w:bCs/>
      <w:lang w:val="es-ES_tradnl"/>
    </w:rPr>
  </w:style>
  <w:style w:type="paragraph" w:customStyle="1" w:styleId="enumlev2">
    <w:name w:val="enumlev2"/>
    <w:basedOn w:val="enumlev1"/>
    <w:rsid w:val="00C05FC5"/>
    <w:pPr>
      <w:ind w:left="1191" w:hanging="397"/>
    </w:pPr>
  </w:style>
  <w:style w:type="paragraph" w:customStyle="1" w:styleId="enumlev3">
    <w:name w:val="enumlev3"/>
    <w:basedOn w:val="enumlev2"/>
    <w:rsid w:val="00C05FC5"/>
    <w:pPr>
      <w:ind w:left="1588"/>
    </w:pPr>
  </w:style>
  <w:style w:type="paragraph" w:customStyle="1" w:styleId="Equationlegend">
    <w:name w:val="Equation_legend"/>
    <w:basedOn w:val="Normal"/>
    <w:rsid w:val="00C05FC5"/>
    <w:pPr>
      <w:tabs>
        <w:tab w:val="right" w:pos="1531"/>
        <w:tab w:val="left" w:pos="1701"/>
      </w:tabs>
      <w:spacing w:before="80"/>
      <w:ind w:left="1701" w:hanging="1701"/>
    </w:pPr>
    <w:rPr>
      <w:rFonts w:ascii="Times New Roman" w:hAnsi="Times New Roman"/>
      <w:bCs/>
    </w:rPr>
  </w:style>
  <w:style w:type="paragraph" w:customStyle="1" w:styleId="FigureNo">
    <w:name w:val="Figure_No"/>
    <w:basedOn w:val="Normal"/>
    <w:next w:val="Normal"/>
    <w:rsid w:val="00C05FC5"/>
    <w:pPr>
      <w:keepNext/>
      <w:keepLines/>
      <w:spacing w:before="480"/>
      <w:jc w:val="center"/>
    </w:pPr>
    <w:rPr>
      <w:rFonts w:ascii="Times New Roman" w:hAnsi="Times New Roman"/>
      <w:bCs/>
      <w:caps/>
      <w:lang w:val="es-ES_tradnl"/>
    </w:rPr>
  </w:style>
  <w:style w:type="paragraph" w:customStyle="1" w:styleId="Tabletitle">
    <w:name w:val="Table_title"/>
    <w:basedOn w:val="Normal"/>
    <w:next w:val="Normal"/>
    <w:rsid w:val="00C05FC5"/>
    <w:pPr>
      <w:keepNext/>
      <w:keepLines/>
      <w:spacing w:before="0"/>
      <w:jc w:val="center"/>
    </w:pPr>
    <w:rPr>
      <w:rFonts w:ascii="Times New Roman Bold" w:hAnsi="Times New Roman Bold"/>
      <w:b/>
      <w:bCs/>
    </w:rPr>
  </w:style>
  <w:style w:type="paragraph" w:customStyle="1" w:styleId="Figuretitle">
    <w:name w:val="Figure_title"/>
    <w:basedOn w:val="Tabletitle"/>
    <w:next w:val="Normal"/>
    <w:rsid w:val="00C05FC5"/>
    <w:pPr>
      <w:keepNext w:val="0"/>
      <w:spacing w:after="480"/>
    </w:pPr>
  </w:style>
  <w:style w:type="paragraph" w:customStyle="1" w:styleId="Figurewithouttitle">
    <w:name w:val="Figure_without_title"/>
    <w:basedOn w:val="FigureNo"/>
    <w:next w:val="Normal"/>
    <w:rsid w:val="00C05FC5"/>
    <w:pPr>
      <w:keepNext w:val="0"/>
    </w:pPr>
  </w:style>
  <w:style w:type="paragraph" w:customStyle="1" w:styleId="FirstFooter">
    <w:name w:val="FirstFooter"/>
    <w:basedOn w:val="Footer"/>
    <w:rsid w:val="00C05FC5"/>
    <w:pPr>
      <w:tabs>
        <w:tab w:val="clear" w:pos="4320"/>
        <w:tab w:val="clear" w:pos="8640"/>
      </w:tabs>
      <w:spacing w:before="40"/>
    </w:pPr>
    <w:rPr>
      <w:rFonts w:ascii="Times New Roman" w:hAnsi="Times New Roman"/>
      <w:bCs/>
      <w:sz w:val="16"/>
      <w:lang w:val="fr-FR"/>
    </w:rPr>
  </w:style>
  <w:style w:type="character" w:styleId="FootnoteReference">
    <w:name w:val="footnote reference"/>
    <w:basedOn w:val="DefaultParagraphFont"/>
    <w:rsid w:val="00C05FC5"/>
    <w:rPr>
      <w:position w:val="6"/>
      <w:sz w:val="18"/>
    </w:rPr>
  </w:style>
  <w:style w:type="paragraph" w:styleId="FootnoteText">
    <w:name w:val="footnote text"/>
    <w:basedOn w:val="Normal"/>
    <w:link w:val="FootnoteTextChar"/>
    <w:rsid w:val="00C05FC5"/>
    <w:pPr>
      <w:keepLines/>
      <w:tabs>
        <w:tab w:val="left" w:pos="255"/>
      </w:tabs>
      <w:ind w:left="255" w:hanging="255"/>
    </w:pPr>
    <w:rPr>
      <w:rFonts w:ascii="Times New Roman" w:hAnsi="Times New Roman"/>
      <w:bCs/>
      <w:lang w:val="es-ES_tradnl"/>
    </w:rPr>
  </w:style>
  <w:style w:type="character" w:customStyle="1" w:styleId="FootnoteTextChar">
    <w:name w:val="Footnote Text Char"/>
    <w:basedOn w:val="DefaultParagraphFont"/>
    <w:link w:val="FootnoteText"/>
    <w:rsid w:val="00C05FC5"/>
    <w:rPr>
      <w:rFonts w:eastAsia="Times New Roman"/>
      <w:sz w:val="24"/>
      <w:lang w:val="es-ES_tradnl" w:eastAsia="en-US"/>
    </w:rPr>
  </w:style>
  <w:style w:type="paragraph" w:customStyle="1" w:styleId="Headingb">
    <w:name w:val="Heading_b"/>
    <w:basedOn w:val="Normal"/>
    <w:next w:val="Normal"/>
    <w:rsid w:val="00C05FC5"/>
    <w:pPr>
      <w:keepNext/>
      <w:spacing w:before="160"/>
    </w:pPr>
    <w:rPr>
      <w:rFonts w:ascii="Times" w:hAnsi="Times"/>
      <w:b/>
      <w:bCs/>
      <w:lang w:val="es-ES_tradnl"/>
    </w:rPr>
  </w:style>
  <w:style w:type="paragraph" w:customStyle="1" w:styleId="Headingi">
    <w:name w:val="Heading_i"/>
    <w:basedOn w:val="Normal"/>
    <w:next w:val="Normal"/>
    <w:rsid w:val="00C05FC5"/>
    <w:pPr>
      <w:keepNext/>
      <w:spacing w:before="160"/>
    </w:pPr>
    <w:rPr>
      <w:rFonts w:ascii="Times" w:hAnsi="Times"/>
      <w:bCs/>
      <w:i/>
      <w:lang w:val="es-ES_tradnl"/>
    </w:rPr>
  </w:style>
  <w:style w:type="paragraph" w:styleId="Index1">
    <w:name w:val="index 1"/>
    <w:basedOn w:val="Normal"/>
    <w:next w:val="Normal"/>
    <w:rsid w:val="00C05FC5"/>
    <w:rPr>
      <w:rFonts w:ascii="Times New Roman" w:hAnsi="Times New Roman"/>
      <w:bCs/>
      <w:lang w:val="es-ES_tradnl"/>
    </w:rPr>
  </w:style>
  <w:style w:type="paragraph" w:styleId="Index2">
    <w:name w:val="index 2"/>
    <w:basedOn w:val="Normal"/>
    <w:next w:val="Normal"/>
    <w:rsid w:val="00C05FC5"/>
    <w:pPr>
      <w:ind w:left="283"/>
    </w:pPr>
    <w:rPr>
      <w:rFonts w:ascii="Times New Roman" w:hAnsi="Times New Roman"/>
      <w:bCs/>
      <w:lang w:val="es-ES_tradnl"/>
    </w:rPr>
  </w:style>
  <w:style w:type="paragraph" w:styleId="Index3">
    <w:name w:val="index 3"/>
    <w:basedOn w:val="Normal"/>
    <w:next w:val="Normal"/>
    <w:rsid w:val="00C05FC5"/>
    <w:pPr>
      <w:ind w:left="566"/>
    </w:pPr>
    <w:rPr>
      <w:rFonts w:ascii="Times New Roman" w:hAnsi="Times New Roman"/>
      <w:bCs/>
      <w:lang w:val="es-ES_tradnl"/>
    </w:rPr>
  </w:style>
  <w:style w:type="paragraph" w:styleId="Index4">
    <w:name w:val="index 4"/>
    <w:basedOn w:val="Normal"/>
    <w:next w:val="Normal"/>
    <w:rsid w:val="00C05FC5"/>
    <w:pPr>
      <w:ind w:left="849"/>
    </w:pPr>
    <w:rPr>
      <w:rFonts w:ascii="Times New Roman" w:hAnsi="Times New Roman"/>
      <w:bCs/>
      <w:lang w:val="es-ES_tradnl"/>
    </w:rPr>
  </w:style>
  <w:style w:type="paragraph" w:styleId="Index5">
    <w:name w:val="index 5"/>
    <w:basedOn w:val="Normal"/>
    <w:next w:val="Normal"/>
    <w:rsid w:val="00C05FC5"/>
    <w:pPr>
      <w:ind w:left="1132"/>
    </w:pPr>
    <w:rPr>
      <w:rFonts w:ascii="Times New Roman" w:hAnsi="Times New Roman"/>
      <w:bCs/>
      <w:lang w:val="es-ES_tradnl"/>
    </w:rPr>
  </w:style>
  <w:style w:type="paragraph" w:styleId="Index6">
    <w:name w:val="index 6"/>
    <w:basedOn w:val="Normal"/>
    <w:next w:val="Normal"/>
    <w:rsid w:val="00C05FC5"/>
    <w:pPr>
      <w:ind w:left="1415"/>
    </w:pPr>
    <w:rPr>
      <w:rFonts w:ascii="Times New Roman" w:hAnsi="Times New Roman"/>
      <w:bCs/>
      <w:lang w:val="es-ES_tradnl"/>
    </w:rPr>
  </w:style>
  <w:style w:type="paragraph" w:styleId="Index7">
    <w:name w:val="index 7"/>
    <w:basedOn w:val="Normal"/>
    <w:next w:val="Normal"/>
    <w:rsid w:val="00C05FC5"/>
    <w:pPr>
      <w:ind w:left="1698"/>
    </w:pPr>
    <w:rPr>
      <w:rFonts w:ascii="Times New Roman" w:hAnsi="Times New Roman"/>
      <w:bCs/>
      <w:lang w:val="es-ES_tradnl"/>
    </w:rPr>
  </w:style>
  <w:style w:type="paragraph" w:styleId="IndexHeading">
    <w:name w:val="index heading"/>
    <w:basedOn w:val="Normal"/>
    <w:next w:val="Index1"/>
    <w:rsid w:val="00C05FC5"/>
    <w:rPr>
      <w:rFonts w:ascii="Times New Roman" w:hAnsi="Times New Roman"/>
      <w:bCs/>
      <w:lang w:val="es-ES_tradnl"/>
    </w:rPr>
  </w:style>
  <w:style w:type="character" w:styleId="LineNumber">
    <w:name w:val="line number"/>
    <w:basedOn w:val="DefaultParagraphFont"/>
    <w:rsid w:val="00C05FC5"/>
  </w:style>
  <w:style w:type="paragraph" w:customStyle="1" w:styleId="Normalaftertitle">
    <w:name w:val="Normal after title"/>
    <w:basedOn w:val="Normal"/>
    <w:next w:val="Normal"/>
    <w:rsid w:val="00C05FC5"/>
    <w:pPr>
      <w:spacing w:before="280"/>
    </w:pPr>
    <w:rPr>
      <w:rFonts w:ascii="Times New Roman" w:hAnsi="Times New Roman"/>
      <w:bCs/>
      <w:lang w:val="es-ES_tradnl"/>
    </w:rPr>
  </w:style>
  <w:style w:type="paragraph" w:styleId="NormalIndent">
    <w:name w:val="Normal Indent"/>
    <w:basedOn w:val="Normal"/>
    <w:rsid w:val="00C05FC5"/>
    <w:pPr>
      <w:ind w:left="794"/>
    </w:pPr>
    <w:rPr>
      <w:rFonts w:ascii="Times New Roman" w:hAnsi="Times New Roman"/>
      <w:bCs/>
      <w:lang w:val="es-ES_tradnl"/>
    </w:rPr>
  </w:style>
  <w:style w:type="paragraph" w:customStyle="1" w:styleId="Note">
    <w:name w:val="Note"/>
    <w:basedOn w:val="Normal"/>
    <w:rsid w:val="00C05FC5"/>
    <w:pPr>
      <w:spacing w:before="80"/>
    </w:pPr>
    <w:rPr>
      <w:rFonts w:ascii="Times New Roman" w:hAnsi="Times New Roman"/>
      <w:bCs/>
      <w:lang w:val="es-ES_tradnl"/>
    </w:rPr>
  </w:style>
  <w:style w:type="character" w:styleId="PageNumber">
    <w:name w:val="page number"/>
    <w:basedOn w:val="DefaultParagraphFont"/>
    <w:rsid w:val="00C05FC5"/>
  </w:style>
  <w:style w:type="paragraph" w:customStyle="1" w:styleId="PartNo">
    <w:name w:val="Part_No"/>
    <w:basedOn w:val="AnnexNo"/>
    <w:next w:val="Normal"/>
    <w:rsid w:val="00C05FC5"/>
  </w:style>
  <w:style w:type="paragraph" w:customStyle="1" w:styleId="Partref">
    <w:name w:val="Part_ref"/>
    <w:basedOn w:val="Annexref"/>
    <w:next w:val="Normal"/>
    <w:rsid w:val="00C05FC5"/>
  </w:style>
  <w:style w:type="paragraph" w:customStyle="1" w:styleId="Parttitle">
    <w:name w:val="Part_title"/>
    <w:basedOn w:val="Annextitle"/>
    <w:next w:val="Normalaftertitle"/>
    <w:rsid w:val="00C05FC5"/>
  </w:style>
  <w:style w:type="paragraph" w:customStyle="1" w:styleId="RecNo">
    <w:name w:val="Rec_No"/>
    <w:basedOn w:val="Normal"/>
    <w:next w:val="Normal"/>
    <w:rsid w:val="00C05FC5"/>
    <w:pPr>
      <w:keepNext/>
      <w:keepLines/>
      <w:spacing w:before="480"/>
      <w:jc w:val="center"/>
    </w:pPr>
    <w:rPr>
      <w:rFonts w:ascii="Times New Roman" w:hAnsi="Times New Roman"/>
      <w:bCs/>
      <w:caps/>
      <w:sz w:val="28"/>
      <w:lang w:val="es-ES_tradnl"/>
    </w:rPr>
  </w:style>
  <w:style w:type="paragraph" w:customStyle="1" w:styleId="Rectitle">
    <w:name w:val="Rec_title"/>
    <w:basedOn w:val="RecNo"/>
    <w:next w:val="Normal"/>
    <w:rsid w:val="00C05FC5"/>
    <w:pPr>
      <w:spacing w:before="240"/>
    </w:pPr>
    <w:rPr>
      <w:rFonts w:ascii="Times New Roman Bold" w:hAnsi="Times New Roman Bold"/>
      <w:b/>
      <w:caps w:val="0"/>
    </w:rPr>
  </w:style>
  <w:style w:type="paragraph" w:customStyle="1" w:styleId="Recref">
    <w:name w:val="Rec_ref"/>
    <w:basedOn w:val="Rectitle"/>
    <w:next w:val="Normal"/>
    <w:rsid w:val="00C05FC5"/>
    <w:pPr>
      <w:tabs>
        <w:tab w:val="clear" w:pos="794"/>
        <w:tab w:val="clear" w:pos="1191"/>
        <w:tab w:val="clear" w:pos="1588"/>
        <w:tab w:val="clear" w:pos="1985"/>
      </w:tabs>
      <w:spacing w:before="120"/>
    </w:pPr>
    <w:rPr>
      <w:rFonts w:ascii="Times New Roman" w:hAnsi="Times New Roman"/>
      <w:b w:val="0"/>
      <w:i/>
      <w:sz w:val="24"/>
    </w:rPr>
  </w:style>
  <w:style w:type="paragraph" w:customStyle="1" w:styleId="Recdate">
    <w:name w:val="Rec_date"/>
    <w:basedOn w:val="Recref"/>
    <w:next w:val="Normalaftertitle"/>
    <w:rsid w:val="00C05FC5"/>
    <w:pPr>
      <w:jc w:val="right"/>
    </w:pPr>
    <w:rPr>
      <w:sz w:val="22"/>
    </w:rPr>
  </w:style>
  <w:style w:type="paragraph" w:customStyle="1" w:styleId="Questiondate">
    <w:name w:val="Question_date"/>
    <w:basedOn w:val="Recdate"/>
    <w:next w:val="Normalaftertitle"/>
    <w:rsid w:val="00C05FC5"/>
  </w:style>
  <w:style w:type="paragraph" w:customStyle="1" w:styleId="QuestionNo">
    <w:name w:val="Question_No"/>
    <w:basedOn w:val="RecNo"/>
    <w:next w:val="Normal"/>
    <w:rsid w:val="00C05FC5"/>
  </w:style>
  <w:style w:type="paragraph" w:customStyle="1" w:styleId="Questionref">
    <w:name w:val="Question_ref"/>
    <w:basedOn w:val="Recref"/>
    <w:next w:val="Questiondate"/>
    <w:rsid w:val="00C05FC5"/>
  </w:style>
  <w:style w:type="paragraph" w:customStyle="1" w:styleId="Questiontitle">
    <w:name w:val="Question_title"/>
    <w:basedOn w:val="Rectitle"/>
    <w:next w:val="Questionref"/>
    <w:rsid w:val="00C05FC5"/>
  </w:style>
  <w:style w:type="character" w:customStyle="1" w:styleId="Recdef">
    <w:name w:val="Rec_def"/>
    <w:basedOn w:val="DefaultParagraphFont"/>
    <w:rsid w:val="00C05FC5"/>
    <w:rPr>
      <w:b/>
    </w:rPr>
  </w:style>
  <w:style w:type="paragraph" w:customStyle="1" w:styleId="Reftext">
    <w:name w:val="Ref_text"/>
    <w:basedOn w:val="Normal"/>
    <w:rsid w:val="00C05FC5"/>
    <w:pPr>
      <w:ind w:left="794" w:hanging="794"/>
    </w:pPr>
    <w:rPr>
      <w:rFonts w:ascii="Times New Roman" w:hAnsi="Times New Roman"/>
      <w:bCs/>
      <w:lang w:val="es-ES_tradnl"/>
    </w:rPr>
  </w:style>
  <w:style w:type="paragraph" w:customStyle="1" w:styleId="Reftitle">
    <w:name w:val="Ref_title"/>
    <w:basedOn w:val="Normal"/>
    <w:next w:val="Reftext"/>
    <w:rsid w:val="00C05FC5"/>
    <w:pPr>
      <w:spacing w:before="480"/>
      <w:jc w:val="center"/>
    </w:pPr>
    <w:rPr>
      <w:rFonts w:ascii="Times New Roman" w:hAnsi="Times New Roman"/>
      <w:bCs/>
      <w:caps/>
      <w:lang w:val="es-ES_tradnl"/>
    </w:rPr>
  </w:style>
  <w:style w:type="paragraph" w:customStyle="1" w:styleId="Repdate">
    <w:name w:val="Rep_date"/>
    <w:basedOn w:val="Recdate"/>
    <w:next w:val="Normalaftertitle"/>
    <w:rsid w:val="00C05FC5"/>
  </w:style>
  <w:style w:type="paragraph" w:customStyle="1" w:styleId="RepNo">
    <w:name w:val="Rep_No"/>
    <w:basedOn w:val="RecNo"/>
    <w:next w:val="Normal"/>
    <w:rsid w:val="00C05FC5"/>
  </w:style>
  <w:style w:type="paragraph" w:customStyle="1" w:styleId="Repref">
    <w:name w:val="Rep_ref"/>
    <w:basedOn w:val="Recref"/>
    <w:next w:val="Repdate"/>
    <w:rsid w:val="00C05FC5"/>
  </w:style>
  <w:style w:type="paragraph" w:customStyle="1" w:styleId="Reptitle">
    <w:name w:val="Rep_title"/>
    <w:basedOn w:val="Rectitle"/>
    <w:next w:val="Repref"/>
    <w:rsid w:val="00C05FC5"/>
  </w:style>
  <w:style w:type="paragraph" w:customStyle="1" w:styleId="Resdate">
    <w:name w:val="Res_date"/>
    <w:basedOn w:val="Recdate"/>
    <w:next w:val="Normalaftertitle"/>
    <w:rsid w:val="00C05FC5"/>
  </w:style>
  <w:style w:type="character" w:customStyle="1" w:styleId="Resdef">
    <w:name w:val="Res_def"/>
    <w:basedOn w:val="DefaultParagraphFont"/>
    <w:rsid w:val="00C05FC5"/>
    <w:rPr>
      <w:rFonts w:ascii="Times New Roman" w:hAnsi="Times New Roman"/>
      <w:b/>
    </w:rPr>
  </w:style>
  <w:style w:type="paragraph" w:customStyle="1" w:styleId="ResNo">
    <w:name w:val="Res_No"/>
    <w:basedOn w:val="RecNo"/>
    <w:next w:val="Normal"/>
    <w:rsid w:val="00C05FC5"/>
  </w:style>
  <w:style w:type="paragraph" w:customStyle="1" w:styleId="Resref">
    <w:name w:val="Res_ref"/>
    <w:basedOn w:val="Recref"/>
    <w:next w:val="Resdate"/>
    <w:rsid w:val="00C05FC5"/>
  </w:style>
  <w:style w:type="paragraph" w:customStyle="1" w:styleId="Restitle">
    <w:name w:val="Res_title"/>
    <w:basedOn w:val="Rectitle"/>
    <w:next w:val="Resref"/>
    <w:rsid w:val="00C05FC5"/>
  </w:style>
  <w:style w:type="paragraph" w:customStyle="1" w:styleId="SectionNo">
    <w:name w:val="Section_No"/>
    <w:basedOn w:val="AnnexNo"/>
    <w:next w:val="Normal"/>
    <w:rsid w:val="00C05FC5"/>
  </w:style>
  <w:style w:type="paragraph" w:customStyle="1" w:styleId="Sectiontitle">
    <w:name w:val="Section_title"/>
    <w:basedOn w:val="Annextitle"/>
    <w:next w:val="Normalaftertitle"/>
    <w:rsid w:val="00C05FC5"/>
  </w:style>
  <w:style w:type="paragraph" w:customStyle="1" w:styleId="Source">
    <w:name w:val="Source"/>
    <w:basedOn w:val="Normal"/>
    <w:next w:val="Normalaftertitle"/>
    <w:rsid w:val="00C05FC5"/>
    <w:pPr>
      <w:spacing w:before="840" w:after="200"/>
      <w:jc w:val="center"/>
    </w:pPr>
    <w:rPr>
      <w:rFonts w:ascii="Times New Roman" w:hAnsi="Times New Roman"/>
      <w:b/>
      <w:bCs/>
      <w:sz w:val="28"/>
      <w:lang w:val="es-ES_tradnl"/>
    </w:rPr>
  </w:style>
  <w:style w:type="paragraph" w:customStyle="1" w:styleId="SpecialFooter">
    <w:name w:val="Special Footer"/>
    <w:basedOn w:val="Footer"/>
    <w:rsid w:val="00C05FC5"/>
    <w:pPr>
      <w:tabs>
        <w:tab w:val="clear" w:pos="4320"/>
        <w:tab w:val="clear" w:pos="8640"/>
        <w:tab w:val="left" w:pos="567"/>
        <w:tab w:val="left" w:pos="1134"/>
        <w:tab w:val="left" w:pos="1701"/>
        <w:tab w:val="left" w:pos="2268"/>
        <w:tab w:val="left" w:pos="2835"/>
        <w:tab w:val="left" w:pos="5954"/>
        <w:tab w:val="right" w:pos="9639"/>
      </w:tabs>
      <w:spacing w:before="0"/>
      <w:jc w:val="both"/>
    </w:pPr>
    <w:rPr>
      <w:rFonts w:ascii="Times New Roman" w:hAnsi="Times New Roman"/>
      <w:bCs/>
      <w:sz w:val="16"/>
      <w:lang w:val="fr-FR"/>
    </w:rPr>
  </w:style>
  <w:style w:type="character" w:customStyle="1" w:styleId="Tablefreq">
    <w:name w:val="Table_freq"/>
    <w:basedOn w:val="DefaultParagraphFont"/>
    <w:rsid w:val="00C05FC5"/>
    <w:rPr>
      <w:b/>
      <w:color w:val="auto"/>
    </w:rPr>
  </w:style>
  <w:style w:type="paragraph" w:customStyle="1" w:styleId="Tabletext">
    <w:name w:val="Table_text"/>
    <w:basedOn w:val="Normal"/>
    <w:rsid w:val="00C05FC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bCs/>
      <w:sz w:val="22"/>
      <w:lang w:val="es-ES_tradnl"/>
    </w:rPr>
  </w:style>
  <w:style w:type="paragraph" w:customStyle="1" w:styleId="Tablehead">
    <w:name w:val="Table_head"/>
    <w:basedOn w:val="Tabletext"/>
    <w:next w:val="Tabletext"/>
    <w:rsid w:val="00C05FC5"/>
    <w:pPr>
      <w:keepNext/>
      <w:spacing w:before="80" w:after="80"/>
      <w:jc w:val="center"/>
    </w:pPr>
    <w:rPr>
      <w:b/>
    </w:rPr>
  </w:style>
  <w:style w:type="paragraph" w:customStyle="1" w:styleId="Tablelegend">
    <w:name w:val="Table_legend"/>
    <w:basedOn w:val="Tabletext"/>
    <w:rsid w:val="00C05FC5"/>
    <w:pPr>
      <w:spacing w:before="120"/>
    </w:pPr>
  </w:style>
  <w:style w:type="paragraph" w:customStyle="1" w:styleId="TableNo">
    <w:name w:val="Table_No"/>
    <w:basedOn w:val="Normal"/>
    <w:next w:val="Tabletitle"/>
    <w:rsid w:val="00C05FC5"/>
    <w:pPr>
      <w:keepNext/>
      <w:spacing w:before="560"/>
      <w:jc w:val="center"/>
    </w:pPr>
    <w:rPr>
      <w:rFonts w:ascii="Times New Roman" w:hAnsi="Times New Roman"/>
      <w:bCs/>
      <w:caps/>
    </w:rPr>
  </w:style>
  <w:style w:type="paragraph" w:customStyle="1" w:styleId="Tableref">
    <w:name w:val="Table_ref"/>
    <w:basedOn w:val="Normal"/>
    <w:next w:val="Tabletitle"/>
    <w:rsid w:val="00C05FC5"/>
    <w:pPr>
      <w:keepNext/>
      <w:spacing w:before="0"/>
      <w:jc w:val="center"/>
    </w:pPr>
    <w:rPr>
      <w:rFonts w:ascii="Times New Roman" w:hAnsi="Times New Roman"/>
      <w:bCs/>
    </w:rPr>
  </w:style>
  <w:style w:type="paragraph" w:customStyle="1" w:styleId="Title1">
    <w:name w:val="Title 1"/>
    <w:basedOn w:val="Source"/>
    <w:next w:val="Normal"/>
    <w:rsid w:val="00C05FC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05FC5"/>
  </w:style>
  <w:style w:type="paragraph" w:customStyle="1" w:styleId="Title3">
    <w:name w:val="Title 3"/>
    <w:basedOn w:val="Title2"/>
    <w:next w:val="Normal"/>
    <w:rsid w:val="00C05FC5"/>
    <w:rPr>
      <w:caps w:val="0"/>
    </w:rPr>
  </w:style>
  <w:style w:type="paragraph" w:customStyle="1" w:styleId="Title4">
    <w:name w:val="Title 4"/>
    <w:basedOn w:val="Title3"/>
    <w:next w:val="Heading1"/>
    <w:rsid w:val="00C05FC5"/>
    <w:rPr>
      <w:b/>
    </w:rPr>
  </w:style>
  <w:style w:type="paragraph" w:customStyle="1" w:styleId="toc0">
    <w:name w:val="toc 0"/>
    <w:basedOn w:val="Normal"/>
    <w:next w:val="TOC1"/>
    <w:rsid w:val="00C05FC5"/>
    <w:pPr>
      <w:tabs>
        <w:tab w:val="right" w:pos="9781"/>
      </w:tabs>
    </w:pPr>
    <w:rPr>
      <w:rFonts w:ascii="Times New Roman" w:hAnsi="Times New Roman"/>
      <w:b/>
      <w:bCs/>
      <w:lang w:val="es-ES_tradnl"/>
    </w:rPr>
  </w:style>
  <w:style w:type="paragraph" w:styleId="TOC1">
    <w:name w:val="toc 1"/>
    <w:basedOn w:val="Normal"/>
    <w:next w:val="Normal"/>
    <w:autoRedefine/>
    <w:rsid w:val="00C05FC5"/>
    <w:pPr>
      <w:spacing w:after="100"/>
    </w:pPr>
  </w:style>
  <w:style w:type="paragraph" w:styleId="TOC2">
    <w:name w:val="toc 2"/>
    <w:basedOn w:val="TOC1"/>
    <w:rsid w:val="00C05FC5"/>
    <w:pPr>
      <w:keepLines/>
      <w:tabs>
        <w:tab w:val="left" w:pos="964"/>
        <w:tab w:val="left" w:leader="dot" w:pos="8647"/>
        <w:tab w:val="center" w:pos="9526"/>
      </w:tabs>
      <w:spacing w:after="0"/>
      <w:ind w:left="964" w:hanging="964"/>
    </w:pPr>
    <w:rPr>
      <w:rFonts w:ascii="Times New Roman" w:hAnsi="Times New Roman"/>
      <w:bCs/>
    </w:rPr>
  </w:style>
  <w:style w:type="paragraph" w:styleId="TOC3">
    <w:name w:val="toc 3"/>
    <w:basedOn w:val="TOC2"/>
    <w:rsid w:val="00C05FC5"/>
  </w:style>
  <w:style w:type="paragraph" w:styleId="TOC4">
    <w:name w:val="toc 4"/>
    <w:basedOn w:val="TOC3"/>
    <w:rsid w:val="00C05FC5"/>
  </w:style>
  <w:style w:type="paragraph" w:styleId="TOC5">
    <w:name w:val="toc 5"/>
    <w:basedOn w:val="TOC4"/>
    <w:rsid w:val="00C05FC5"/>
  </w:style>
  <w:style w:type="paragraph" w:styleId="TOC6">
    <w:name w:val="toc 6"/>
    <w:basedOn w:val="TOC4"/>
    <w:rsid w:val="00C05FC5"/>
  </w:style>
  <w:style w:type="paragraph" w:styleId="TOC7">
    <w:name w:val="toc 7"/>
    <w:basedOn w:val="TOC4"/>
    <w:rsid w:val="00C05FC5"/>
  </w:style>
  <w:style w:type="paragraph" w:styleId="TOC8">
    <w:name w:val="toc 8"/>
    <w:basedOn w:val="TOC4"/>
    <w:rsid w:val="00C05FC5"/>
  </w:style>
  <w:style w:type="paragraph" w:styleId="TOC9">
    <w:name w:val="toc 9"/>
    <w:basedOn w:val="TOC3"/>
    <w:rsid w:val="00C05FC5"/>
  </w:style>
  <w:style w:type="paragraph" w:customStyle="1" w:styleId="Reasons">
    <w:name w:val="Reasons"/>
    <w:basedOn w:val="Normal"/>
    <w:qFormat/>
    <w:rsid w:val="001D67D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NormalWeb">
    <w:name w:val="Normal (Web)"/>
    <w:basedOn w:val="Normal"/>
    <w:unhideWhenUsed/>
    <w:rsid w:val="006222F4"/>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h.mazar@atdi.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PM-E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A5ED-1CD7-498F-842A-D7440572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PS_RPM-EUR.dotx</Template>
  <TotalTime>130</TotalTime>
  <Pages>4</Pages>
  <Words>1008</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FHernández</dc:creator>
  <cp:lastModifiedBy>FHernández</cp:lastModifiedBy>
  <cp:revision>6</cp:revision>
  <cp:lastPrinted>2017-03-17T11:36:00Z</cp:lastPrinted>
  <dcterms:created xsi:type="dcterms:W3CDTF">2017-03-17T11:17:00Z</dcterms:created>
  <dcterms:modified xsi:type="dcterms:W3CDTF">2017-03-17T13:40:00Z</dcterms:modified>
</cp:coreProperties>
</file>