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EF4136" w:rsidP="00C20A84">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EF4136" w:rsidP="00B8577A">
            <w:pPr>
              <w:adjustRightInd/>
              <w:spacing w:before="0" w:after="60"/>
              <w:rPr>
                <w:b/>
                <w:bCs/>
                <w:sz w:val="26"/>
                <w:szCs w:val="26"/>
              </w:rPr>
            </w:pPr>
            <w:bookmarkStart w:id="0" w:name="Meeting"/>
            <w:bookmarkStart w:id="1" w:name="PlaceDate"/>
            <w:bookmarkEnd w:id="0"/>
            <w:bookmarkEnd w:id="1"/>
            <w:r>
              <w:rPr>
                <w:b/>
                <w:bCs/>
                <w:sz w:val="26"/>
                <w:szCs w:val="26"/>
              </w:rPr>
              <w:t>Vilnius, Lithuania, 27-28 April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C20A84"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EF4136">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EF4136">
              <w:rPr>
                <w:b/>
                <w:bCs/>
                <w:szCs w:val="24"/>
                <w:lang w:val="es-ES_tradnl"/>
              </w:rPr>
              <w:t>EUR</w:t>
            </w:r>
            <w:r w:rsidR="00C20A84">
              <w:rPr>
                <w:b/>
                <w:bCs/>
                <w:szCs w:val="24"/>
                <w:lang w:val="es-ES_tradnl"/>
              </w:rPr>
              <w:t>17</w:t>
            </w:r>
            <w:r w:rsidR="00FF089C" w:rsidRPr="0084734D">
              <w:rPr>
                <w:b/>
                <w:bCs/>
                <w:szCs w:val="24"/>
                <w:lang w:val="es-ES_tradnl"/>
              </w:rPr>
              <w:t>/</w:t>
            </w:r>
            <w:r w:rsidR="003517DA" w:rsidRPr="005D4470">
              <w:rPr>
                <w:b/>
                <w:bCs/>
                <w:szCs w:val="24"/>
                <w:lang w:val="es-ES_tradnl"/>
              </w:rPr>
              <w:t>11</w:t>
            </w:r>
            <w:r w:rsidR="00FF089C" w:rsidRPr="000D190A">
              <w:rPr>
                <w:b/>
                <w:bCs/>
                <w:szCs w:val="24"/>
                <w:lang w:val="es-ES_tradnl"/>
              </w:rPr>
              <w:t>-</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DC304A" w:rsidP="00C104E9">
            <w:pPr>
              <w:spacing w:before="0"/>
              <w:rPr>
                <w:b/>
                <w:bCs/>
                <w:szCs w:val="24"/>
                <w:lang w:val="fr-FR"/>
              </w:rPr>
            </w:pPr>
            <w:bookmarkStart w:id="4" w:name="CreationDate"/>
            <w:bookmarkEnd w:id="4"/>
            <w:r>
              <w:rPr>
                <w:b/>
                <w:bCs/>
                <w:szCs w:val="24"/>
                <w:lang w:val="fr-FR"/>
              </w:rPr>
              <w:t>7</w:t>
            </w:r>
            <w:r w:rsidR="00C20A84">
              <w:rPr>
                <w:b/>
                <w:bCs/>
                <w:szCs w:val="24"/>
                <w:lang w:val="fr-FR"/>
              </w:rPr>
              <w:t xml:space="preserve"> March 2017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C10C01" w:rsidRDefault="00C10C01" w:rsidP="00C10C01">
            <w:pPr>
              <w:tabs>
                <w:tab w:val="left" w:pos="1928"/>
              </w:tabs>
              <w:spacing w:before="360" w:after="120"/>
              <w:ind w:left="1928" w:hanging="1928"/>
              <w:jc w:val="center"/>
              <w:rPr>
                <w:b/>
                <w:bCs/>
                <w:sz w:val="28"/>
                <w:szCs w:val="28"/>
              </w:rPr>
            </w:pPr>
            <w:r w:rsidRPr="00C10C01">
              <w:rPr>
                <w:b/>
                <w:bCs/>
                <w:sz w:val="28"/>
                <w:szCs w:val="28"/>
              </w:rPr>
              <w:t>Chairman, TDAG Correspondence Group on Streamlining WTDC Resolutions</w:t>
            </w:r>
          </w:p>
        </w:tc>
      </w:tr>
      <w:tr w:rsidR="00421F93" w:rsidRPr="00AE2BCA" w:rsidTr="00DD05EF">
        <w:trPr>
          <w:cantSplit/>
          <w:trHeight w:val="23"/>
          <w:jc w:val="center"/>
        </w:trPr>
        <w:tc>
          <w:tcPr>
            <w:tcW w:w="10348" w:type="dxa"/>
            <w:gridSpan w:val="2"/>
          </w:tcPr>
          <w:p w:rsidR="00421F93" w:rsidRPr="00421F93" w:rsidRDefault="002C63A0" w:rsidP="0014519C">
            <w:pPr>
              <w:pStyle w:val="Title1"/>
              <w:jc w:val="center"/>
              <w:rPr>
                <w:sz w:val="28"/>
                <w:szCs w:val="28"/>
              </w:rPr>
            </w:pPr>
            <w:r>
              <w:rPr>
                <w:b w:val="0"/>
                <w:bCs/>
                <w:sz w:val="28"/>
                <w:szCs w:val="28"/>
              </w:rPr>
              <w:t>REPORT ON THE WORK OF</w:t>
            </w:r>
            <w:r w:rsidR="0014519C">
              <w:rPr>
                <w:b w:val="0"/>
                <w:bCs/>
                <w:sz w:val="28"/>
                <w:szCs w:val="28"/>
              </w:rPr>
              <w:br/>
            </w:r>
            <w:r w:rsidRPr="0014519C">
              <w:rPr>
                <w:b w:val="0"/>
                <w:sz w:val="28"/>
                <w:szCs w:val="28"/>
              </w:rPr>
              <w:t>TDAG CORRESPONDENCE GROUP ON STREAMLINING WTDC RESOLUTIONS</w:t>
            </w:r>
          </w:p>
        </w:tc>
      </w:tr>
    </w:tbl>
    <w:p w:rsidR="00421F93" w:rsidRDefault="00421F93" w:rsidP="00421F93">
      <w:pPr>
        <w:spacing w:before="0"/>
      </w:pPr>
      <w:bookmarkStart w:id="6" w:name="Results"/>
      <w:bookmarkEnd w:id="6"/>
    </w:p>
    <w:p w:rsidR="00546F06" w:rsidRPr="00546F06" w:rsidRDefault="00546F06" w:rsidP="00DD05EF">
      <w:pPr>
        <w:pStyle w:val="Normalaftertitle"/>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rsidR="00546F06" w:rsidRPr="00546F06" w:rsidRDefault="00AB3618" w:rsidP="00831C97">
      <w:pPr>
        <w:pStyle w:val="Normalaftertitle"/>
        <w:pBdr>
          <w:top w:val="single" w:sz="4" w:space="1" w:color="auto"/>
          <w:left w:val="single" w:sz="4" w:space="12" w:color="auto"/>
          <w:bottom w:val="single" w:sz="4" w:space="1" w:color="auto"/>
          <w:right w:val="single" w:sz="4" w:space="4" w:color="auto"/>
        </w:pBdr>
        <w:tabs>
          <w:tab w:val="clear" w:pos="794"/>
          <w:tab w:val="clear" w:pos="1191"/>
          <w:tab w:val="clear" w:pos="1588"/>
          <w:tab w:val="clear" w:pos="1985"/>
          <w:tab w:val="left" w:pos="3119"/>
          <w:tab w:val="left" w:pos="3402"/>
        </w:tabs>
        <w:spacing w:before="0"/>
        <w:ind w:left="3403" w:hanging="3119"/>
      </w:pPr>
      <w:r>
        <w:t>Streaml</w:t>
      </w:r>
      <w:r w:rsidR="00831C97">
        <w:t>ining WTDC resolutions</w:t>
      </w:r>
    </w:p>
    <w:p w:rsidR="00421F93" w:rsidRDefault="00421F93" w:rsidP="00DD05EF">
      <w:pPr>
        <w:pStyle w:val="Normalaftertitle"/>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rsidR="00421F93" w:rsidRDefault="00646122" w:rsidP="00646122">
      <w:pPr>
        <w:pStyle w:val="Normalaftertitle"/>
        <w:pBdr>
          <w:top w:val="single" w:sz="4" w:space="1" w:color="auto"/>
          <w:left w:val="single" w:sz="4" w:space="12" w:color="auto"/>
          <w:bottom w:val="single" w:sz="4" w:space="1" w:color="auto"/>
          <w:right w:val="single" w:sz="4" w:space="4" w:color="auto"/>
        </w:pBdr>
        <w:spacing w:before="60"/>
        <w:ind w:left="284"/>
      </w:pPr>
      <w:bookmarkStart w:id="7" w:name="Abstract"/>
      <w:bookmarkEnd w:id="7"/>
      <w:r>
        <w:t>The document provides information on the work of the TDAG Correspondence Group o</w:t>
      </w:r>
      <w:r w:rsidRPr="00646122">
        <w:t>n Streamlining W</w:t>
      </w:r>
      <w:r>
        <w:t>TDC</w:t>
      </w:r>
      <w:r w:rsidRPr="00646122">
        <w:t xml:space="preserve"> Resolutions</w:t>
      </w:r>
      <w:r>
        <w:t xml:space="preserve"> </w:t>
      </w:r>
      <w:r w:rsidR="000D190A">
        <w:t xml:space="preserve">since its creation </w:t>
      </w:r>
      <w:r>
        <w:t>and the way forward</w:t>
      </w:r>
      <w:r w:rsidR="00DC304A">
        <w:t xml:space="preserve"> leading to WTDC-17</w:t>
      </w:r>
      <w:r>
        <w:t>.</w:t>
      </w:r>
    </w:p>
    <w:p w:rsidR="00421F93" w:rsidRPr="00AB3618" w:rsidRDefault="00546F06" w:rsidP="00AB3618">
      <w:pPr>
        <w:pStyle w:val="Normalaftertitle"/>
        <w:pBdr>
          <w:top w:val="single" w:sz="4" w:space="1" w:color="auto"/>
          <w:left w:val="single" w:sz="4" w:space="12" w:color="auto"/>
          <w:bottom w:val="single" w:sz="4" w:space="1" w:color="auto"/>
          <w:right w:val="single" w:sz="4" w:space="4" w:color="auto"/>
        </w:pBdr>
        <w:spacing w:before="120"/>
        <w:ind w:left="284"/>
      </w:pPr>
      <w:r>
        <w:rPr>
          <w:b/>
          <w:bCs/>
        </w:rPr>
        <w:t>Expected results</w:t>
      </w:r>
      <w:r w:rsidR="00421F93">
        <w:rPr>
          <w:b/>
          <w:bCs/>
        </w:rPr>
        <w:t>:</w:t>
      </w:r>
      <w:r w:rsidR="00AB3618">
        <w:rPr>
          <w:b/>
          <w:bCs/>
        </w:rPr>
        <w:br/>
      </w:r>
      <w:r w:rsidR="00AB3618" w:rsidRPr="00AB3618">
        <w:t xml:space="preserve">Streamlined, </w:t>
      </w:r>
      <w:r w:rsidR="00AB3618">
        <w:t xml:space="preserve">fewer and </w:t>
      </w:r>
      <w:r w:rsidR="00AB3618" w:rsidRPr="00AB3618">
        <w:t xml:space="preserve">more concise </w:t>
      </w:r>
      <w:r w:rsidR="00AB3618">
        <w:t>WTDC resolutions</w:t>
      </w:r>
      <w:r w:rsidR="00EF4136">
        <w:t>.</w:t>
      </w:r>
      <w:r w:rsidR="00AB3618" w:rsidRPr="00AB3618">
        <w:t xml:space="preserve"> </w:t>
      </w:r>
    </w:p>
    <w:p w:rsidR="00421F93" w:rsidRDefault="00421F93" w:rsidP="00DD05EF">
      <w:pPr>
        <w:pBdr>
          <w:top w:val="single" w:sz="4" w:space="1" w:color="auto"/>
          <w:left w:val="single" w:sz="4" w:space="12" w:color="auto"/>
          <w:bottom w:val="single" w:sz="4" w:space="1" w:color="auto"/>
          <w:right w:val="single" w:sz="4" w:space="4" w:color="auto"/>
        </w:pBdr>
        <w:spacing w:before="240"/>
        <w:ind w:left="284"/>
        <w:rPr>
          <w:b/>
          <w:bCs/>
        </w:rPr>
      </w:pPr>
      <w:r>
        <w:rPr>
          <w:b/>
          <w:bCs/>
        </w:rPr>
        <w:t>References:</w:t>
      </w:r>
    </w:p>
    <w:p w:rsidR="00AB3618" w:rsidRDefault="00AB3618" w:rsidP="00AB3618">
      <w:pPr>
        <w:pBdr>
          <w:top w:val="single" w:sz="4" w:space="1" w:color="auto"/>
          <w:left w:val="single" w:sz="4" w:space="12" w:color="auto"/>
          <w:bottom w:val="single" w:sz="4" w:space="1" w:color="auto"/>
          <w:right w:val="single" w:sz="4" w:space="4" w:color="auto"/>
        </w:pBdr>
        <w:spacing w:before="60"/>
        <w:ind w:left="284"/>
      </w:pPr>
      <w:bookmarkStart w:id="8" w:name="References"/>
      <w:bookmarkEnd w:id="8"/>
      <w:r>
        <w:t xml:space="preserve">All documentation regarding the work of the Correspondence Group is available online at: </w:t>
      </w:r>
      <w:hyperlink r:id="rId8" w:history="1">
        <w:r w:rsidRPr="00D93E24">
          <w:rPr>
            <w:rStyle w:val="Hyperlink"/>
          </w:rPr>
          <w:t>https://www.itu.int/en/ITU-D/Conferences/TDAG/Pages/TDAG-Correspondence-Group-on-streamlining-Resolutions.aspx</w:t>
        </w:r>
      </w:hyperlink>
      <w:r>
        <w:t xml:space="preserve"> </w:t>
      </w:r>
    </w:p>
    <w:p w:rsidR="009074FD" w:rsidRDefault="009074FD" w:rsidP="00DE460C">
      <w:pPr>
        <w:rPr>
          <w:szCs w:val="24"/>
        </w:rPr>
      </w:pPr>
    </w:p>
    <w:p w:rsidR="00AB3618" w:rsidRDefault="001B4B9B" w:rsidP="00AB3618">
      <w:r w:rsidRPr="0084734D">
        <w:br w:type="page"/>
      </w:r>
    </w:p>
    <w:p w:rsidR="004B3FE3" w:rsidRDefault="004B3FE3" w:rsidP="004B3FE3">
      <w:pPr>
        <w:pStyle w:val="Heading2"/>
        <w:numPr>
          <w:ilvl w:val="0"/>
          <w:numId w:val="37"/>
        </w:numPr>
      </w:pPr>
      <w:r>
        <w:lastRenderedPageBreak/>
        <w:t>Mandate of the Correspondence Group on Streamlining WTDC Resolutions (CG-SR)</w:t>
      </w:r>
    </w:p>
    <w:p w:rsidR="0026065E" w:rsidRDefault="00AB3618" w:rsidP="0026065E">
      <w:r>
        <w:t xml:space="preserve">At its 21st meeting, the Telecommunication Development Advisory Group (TDAG) decided to create a Correspondence Group on Streamlining WTDC Resolutions (CG-SR). </w:t>
      </w:r>
    </w:p>
    <w:p w:rsidR="00AB3618" w:rsidRPr="00AB3618" w:rsidRDefault="00AB3618" w:rsidP="0026065E">
      <w:pPr>
        <w:rPr>
          <w:lang w:val="en-US"/>
        </w:rPr>
      </w:pPr>
      <w:r w:rsidRPr="0022208A">
        <w:t>Dr Ahmad Reza Sharafat</w:t>
      </w:r>
      <w:r>
        <w:t>,</w:t>
      </w:r>
      <w:r w:rsidRPr="0022208A">
        <w:t xml:space="preserve"> Vice-Chairman of TDAG</w:t>
      </w:r>
      <w:r w:rsidR="0026065E">
        <w:t>, was tasked to lead the work of CG-SR under the following t</w:t>
      </w:r>
      <w:r w:rsidRPr="00AB3618">
        <w:rPr>
          <w:lang w:val="en-US"/>
        </w:rPr>
        <w:t>erms of reference:</w:t>
      </w:r>
    </w:p>
    <w:p w:rsidR="00AB3618" w:rsidRPr="00AB3618" w:rsidRDefault="00AB3618" w:rsidP="00AB3618">
      <w:pPr>
        <w:pStyle w:val="ListParagraph"/>
        <w:numPr>
          <w:ilvl w:val="0"/>
          <w:numId w:val="34"/>
        </w:numPr>
        <w:rPr>
          <w:lang w:val="en-US"/>
        </w:rPr>
      </w:pPr>
      <w:r w:rsidRPr="00AB3618">
        <w:rPr>
          <w:lang w:val="en-US"/>
        </w:rPr>
        <w:t>To review existing World Telecommunication Development Conference (WTDC) Resolutions and Recommendations with a view to streamlining them, taking into account the Resolutions in Plenipotentiary Conference and other Sectors as appropriate.</w:t>
      </w:r>
    </w:p>
    <w:p w:rsidR="00AB3618" w:rsidRPr="00AB3618" w:rsidRDefault="00AB3618" w:rsidP="0026065E">
      <w:pPr>
        <w:pStyle w:val="ListParagraph"/>
        <w:numPr>
          <w:ilvl w:val="0"/>
          <w:numId w:val="34"/>
        </w:numPr>
        <w:rPr>
          <w:lang w:val="en-US"/>
        </w:rPr>
      </w:pPr>
      <w:r w:rsidRPr="00AB3618">
        <w:rPr>
          <w:lang w:val="en-US"/>
        </w:rPr>
        <w:t xml:space="preserve">To give due regard to the outcomes of the Regional Preparatory Meetings for </w:t>
      </w:r>
      <w:r w:rsidR="0026065E">
        <w:rPr>
          <w:lang w:val="en-US"/>
        </w:rPr>
        <w:t>WTDC-17</w:t>
      </w:r>
      <w:r w:rsidRPr="00AB3618">
        <w:rPr>
          <w:lang w:val="en-US"/>
        </w:rPr>
        <w:t>, as far as the Resolutions and Recommendations are concerned.</w:t>
      </w:r>
    </w:p>
    <w:p w:rsidR="00AB3618" w:rsidRPr="00AB3618" w:rsidRDefault="00AB3618" w:rsidP="00AB3618">
      <w:pPr>
        <w:pStyle w:val="ListParagraph"/>
        <w:numPr>
          <w:ilvl w:val="0"/>
          <w:numId w:val="34"/>
        </w:numPr>
        <w:rPr>
          <w:lang w:val="en-US"/>
        </w:rPr>
      </w:pPr>
      <w:r w:rsidRPr="00AB3618">
        <w:rPr>
          <w:lang w:val="en-US"/>
        </w:rPr>
        <w:t>To report to the 2017 meeting of TDAG.</w:t>
      </w:r>
    </w:p>
    <w:p w:rsidR="004B3FE3" w:rsidRDefault="004B3FE3" w:rsidP="005D4470">
      <w:pPr>
        <w:pStyle w:val="Heading2"/>
        <w:numPr>
          <w:ilvl w:val="0"/>
          <w:numId w:val="37"/>
        </w:numPr>
      </w:pPr>
      <w:r>
        <w:t>First meeting of CG-SR</w:t>
      </w:r>
    </w:p>
    <w:p w:rsidR="00410CE3" w:rsidRDefault="00AB3618" w:rsidP="005D4470">
      <w:pPr>
        <w:widowControl w:val="0"/>
        <w:jc w:val="both"/>
      </w:pPr>
      <w:r>
        <w:t>During its first meeting</w:t>
      </w:r>
      <w:r w:rsidR="0026065E" w:rsidRPr="0026065E">
        <w:t xml:space="preserve"> </w:t>
      </w:r>
      <w:r w:rsidR="00097819">
        <w:t>in</w:t>
      </w:r>
      <w:r w:rsidR="0026065E">
        <w:t xml:space="preserve"> March 2016</w:t>
      </w:r>
      <w:r>
        <w:t xml:space="preserve">, CG-SR </w:t>
      </w:r>
      <w:r w:rsidR="00DC304A">
        <w:t xml:space="preserve">had an initial discussion on </w:t>
      </w:r>
      <w:r>
        <w:t>some guiding principles for the work on reducing the number of resolutions and streamlining their content (</w:t>
      </w:r>
      <w:r w:rsidR="00DC304A">
        <w:t>see Document</w:t>
      </w:r>
      <w:r>
        <w:t xml:space="preserve"> </w:t>
      </w:r>
      <w:hyperlink r:id="rId9" w:history="1">
        <w:r w:rsidR="00DC304A" w:rsidRPr="00DC304A">
          <w:rPr>
            <w:rStyle w:val="Hyperlink"/>
          </w:rPr>
          <w:t>TDAG/CG-SR/</w:t>
        </w:r>
        <w:r w:rsidRPr="005D4470">
          <w:rPr>
            <w:rStyle w:val="Hyperlink"/>
          </w:rPr>
          <w:t>2</w:t>
        </w:r>
      </w:hyperlink>
      <w:r>
        <w:t>).</w:t>
      </w:r>
      <w:r w:rsidR="006C4964">
        <w:t xml:space="preserve"> </w:t>
      </w:r>
      <w:r w:rsidR="00E51495">
        <w:t xml:space="preserve">A revised verion </w:t>
      </w:r>
      <w:r w:rsidR="00DC304A">
        <w:t xml:space="preserve">of the guiding principles </w:t>
      </w:r>
      <w:r w:rsidR="00E51495">
        <w:t xml:space="preserve">was prepared based on feedback received from the Membership. </w:t>
      </w:r>
    </w:p>
    <w:p w:rsidR="00E51495" w:rsidRDefault="00410CE3">
      <w:pPr>
        <w:widowControl w:val="0"/>
        <w:jc w:val="both"/>
      </w:pPr>
      <w:r>
        <w:t xml:space="preserve">The report of the first meeting of TDAG CG-SR </w:t>
      </w:r>
      <w:r w:rsidR="00AB217D">
        <w:t>is</w:t>
      </w:r>
      <w:r>
        <w:t xml:space="preserve"> available online (Document </w:t>
      </w:r>
      <w:hyperlink r:id="rId10" w:history="1">
        <w:r w:rsidR="007916C6" w:rsidRPr="007916C6">
          <w:rPr>
            <w:rStyle w:val="Hyperlink"/>
          </w:rPr>
          <w:t>TDAG/CG-SR/3</w:t>
        </w:r>
      </w:hyperlink>
      <w:r w:rsidR="007916C6">
        <w:t>).</w:t>
      </w:r>
    </w:p>
    <w:p w:rsidR="004B3FE3" w:rsidRDefault="004B3FE3" w:rsidP="005D4470">
      <w:pPr>
        <w:pStyle w:val="Heading2"/>
        <w:numPr>
          <w:ilvl w:val="0"/>
          <w:numId w:val="37"/>
        </w:numPr>
      </w:pPr>
      <w:r>
        <w:t>Second meeting of CG-SR</w:t>
      </w:r>
    </w:p>
    <w:p w:rsidR="00DC304A" w:rsidRDefault="00DC304A" w:rsidP="005D4470">
      <w:pPr>
        <w:widowControl w:val="0"/>
        <w:jc w:val="both"/>
      </w:pPr>
      <w:r>
        <w:t xml:space="preserve">The second meeting of CG-SR took place in September 2016. </w:t>
      </w:r>
      <w:r w:rsidR="00170168">
        <w:t xml:space="preserve">Several contributions from the Membership were discussed. </w:t>
      </w:r>
    </w:p>
    <w:p w:rsidR="00AB3618" w:rsidRDefault="004C22E5" w:rsidP="005D4470">
      <w:pPr>
        <w:widowControl w:val="0"/>
        <w:jc w:val="both"/>
      </w:pPr>
      <w:r>
        <w:t xml:space="preserve">Argentina presented Document </w:t>
      </w:r>
      <w:hyperlink r:id="rId11" w:history="1">
        <w:r w:rsidRPr="00BE30A8">
          <w:rPr>
            <w:rStyle w:val="Hyperlink"/>
            <w:bCs/>
          </w:rPr>
          <w:t>TDAG/CG-SR/7</w:t>
        </w:r>
      </w:hyperlink>
      <w:r>
        <w:rPr>
          <w:bCs/>
        </w:rPr>
        <w:t xml:space="preserve"> support</w:t>
      </w:r>
      <w:r w:rsidR="00170168">
        <w:rPr>
          <w:bCs/>
        </w:rPr>
        <w:t>ing</w:t>
      </w:r>
      <w:r>
        <w:rPr>
          <w:bCs/>
        </w:rPr>
        <w:t xml:space="preserve"> the work of the Correspondence Group and </w:t>
      </w:r>
      <w:r w:rsidR="00170168">
        <w:rPr>
          <w:bCs/>
        </w:rPr>
        <w:t>suggesting to</w:t>
      </w:r>
      <w:r>
        <w:t xml:space="preserve"> unify processes and methods for revising and adopting Resolutions across the three sectors of ITU</w:t>
      </w:r>
      <w:r w:rsidR="00170168">
        <w:t>. The document also emphasizes</w:t>
      </w:r>
      <w:r>
        <w:t xml:space="preserve"> the importance of putting the process of streamlining Resolutions into the broader context of the discussion on the goals and results of Resolutions. Multiple delegates expressed their support to the contribution from Argentina.</w:t>
      </w:r>
    </w:p>
    <w:p w:rsidR="006C4964" w:rsidRDefault="006C4964">
      <w:pPr>
        <w:widowControl w:val="0"/>
        <w:jc w:val="both"/>
      </w:pPr>
      <w:r>
        <w:t xml:space="preserve">Russian Federation presented three contributions contained in Documents </w:t>
      </w:r>
      <w:hyperlink r:id="rId12" w:history="1">
        <w:r w:rsidRPr="00BE30A8">
          <w:rPr>
            <w:rStyle w:val="Hyperlink"/>
            <w:bCs/>
          </w:rPr>
          <w:t>TDAG/CG-SR/8</w:t>
        </w:r>
      </w:hyperlink>
      <w:r>
        <w:rPr>
          <w:rStyle w:val="Hyperlink"/>
          <w:bCs/>
        </w:rPr>
        <w:t xml:space="preserve">, </w:t>
      </w:r>
      <w:hyperlink r:id="rId13" w:history="1">
        <w:r w:rsidRPr="00BE30A8">
          <w:rPr>
            <w:rStyle w:val="Hyperlink"/>
            <w:bCs/>
          </w:rPr>
          <w:t>TDAG/CG-SR/</w:t>
        </w:r>
        <w:r>
          <w:rPr>
            <w:rStyle w:val="Hyperlink"/>
            <w:bCs/>
          </w:rPr>
          <w:t>9(Rev.1)</w:t>
        </w:r>
      </w:hyperlink>
      <w:r>
        <w:t xml:space="preserve"> and </w:t>
      </w:r>
      <w:hyperlink r:id="rId14" w:history="1">
        <w:r w:rsidRPr="00BE30A8">
          <w:rPr>
            <w:rStyle w:val="Hyperlink"/>
            <w:bCs/>
          </w:rPr>
          <w:t>TDAG/CG-SR/10</w:t>
        </w:r>
      </w:hyperlink>
      <w:r>
        <w:t xml:space="preserve">. </w:t>
      </w:r>
      <w:r w:rsidR="00170168">
        <w:t xml:space="preserve">The documents </w:t>
      </w:r>
      <w:r w:rsidR="00B5337E">
        <w:t xml:space="preserve">put forward concrete </w:t>
      </w:r>
      <w:r>
        <w:t>proposal</w:t>
      </w:r>
      <w:r w:rsidR="00170168">
        <w:t>s</w:t>
      </w:r>
      <w:r>
        <w:t xml:space="preserve"> leveraging on the common issues addressed </w:t>
      </w:r>
      <w:r w:rsidR="009528A6">
        <w:t>and</w:t>
      </w:r>
      <w:r>
        <w:t xml:space="preserve"> </w:t>
      </w:r>
      <w:r w:rsidR="00B5337E">
        <w:t>combining</w:t>
      </w:r>
      <w:r w:rsidR="009528A6">
        <w:t xml:space="preserve"> two or three</w:t>
      </w:r>
      <w:r w:rsidR="00B5337E">
        <w:t xml:space="preserve"> </w:t>
      </w:r>
      <w:r>
        <w:t>Resolutions</w:t>
      </w:r>
      <w:r w:rsidR="009528A6">
        <w:t xml:space="preserve"> at a time</w:t>
      </w:r>
      <w:r>
        <w:t xml:space="preserve">. </w:t>
      </w:r>
      <w:r w:rsidR="00B5337E">
        <w:t>Delegates welcomed the proposals and agreed to work along the same lines to develop further proposals for integrating multiple Resolutions.</w:t>
      </w:r>
    </w:p>
    <w:p w:rsidR="00DC304A" w:rsidRDefault="00DC304A" w:rsidP="005D4470">
      <w:pPr>
        <w:widowControl w:val="0"/>
        <w:jc w:val="both"/>
      </w:pPr>
      <w:r>
        <w:t>The revised version of the Draft guiding principles for streamlining resolutions was discussed during the meeting and further comments were received. D</w:t>
      </w:r>
      <w:r w:rsidRPr="00212E39">
        <w:t>elegates in the room</w:t>
      </w:r>
      <w:r>
        <w:t xml:space="preserve"> expressed their </w:t>
      </w:r>
      <w:r w:rsidRPr="00212E39">
        <w:t>general agreement to use those as a framework in drafting proposals for consolidating Resolutions and putting forward new Resolutions</w:t>
      </w:r>
      <w:r>
        <w:t xml:space="preserve"> while taking a flexible approach allowing further modifications in the lead to </w:t>
      </w:r>
      <w:r w:rsidRPr="00212E39">
        <w:t>WTDC-17.</w:t>
      </w:r>
    </w:p>
    <w:p w:rsidR="00C37D6D" w:rsidRDefault="00C37D6D" w:rsidP="005D4470">
      <w:r>
        <w:rPr>
          <w:bCs/>
          <w:szCs w:val="24"/>
        </w:rPr>
        <w:t>The Chairman of</w:t>
      </w:r>
      <w:r w:rsidRPr="00BE30A8">
        <w:rPr>
          <w:bCs/>
          <w:szCs w:val="24"/>
        </w:rPr>
        <w:t xml:space="preserve"> CG-SR</w:t>
      </w:r>
      <w:r>
        <w:t xml:space="preserve"> </w:t>
      </w:r>
      <w:r w:rsidR="00B5337E">
        <w:t>prepared</w:t>
      </w:r>
      <w:r>
        <w:t xml:space="preserve"> Document </w:t>
      </w:r>
      <w:hyperlink r:id="rId15" w:history="1">
        <w:r w:rsidRPr="00BE30A8">
          <w:rPr>
            <w:rStyle w:val="Hyperlink"/>
            <w:bCs/>
          </w:rPr>
          <w:t>TDAG/CG-SR/6</w:t>
        </w:r>
      </w:hyperlink>
      <w:r w:rsidRPr="00BE30A8">
        <w:rPr>
          <w:bCs/>
          <w:szCs w:val="24"/>
        </w:rPr>
        <w:t xml:space="preserve"> </w:t>
      </w:r>
      <w:r w:rsidRPr="000C14A4">
        <w:t>provid</w:t>
      </w:r>
      <w:r>
        <w:t>ing</w:t>
      </w:r>
      <w:r w:rsidRPr="000C14A4">
        <w:t xml:space="preserve"> detailed mapping of current WTDC Resolutions and Recommendations to PP Resolutions, ITU-D objectives and ITU-D outcomes/outputs, with a view to streamlining them in preparation for WTDC-17. </w:t>
      </w:r>
      <w:r>
        <w:t xml:space="preserve">The document also highlights common issues and themes in WTDC Resolutions and Recommendations and provides a broad framework for streamlining existing Resolutions and aligning new proposed Resolutions for WTDC-17. Delegates welcomed the mapping, which </w:t>
      </w:r>
      <w:r w:rsidR="00DC304A">
        <w:t xml:space="preserve">could </w:t>
      </w:r>
      <w:r>
        <w:t>serve as the basis for further discussion and a practical tool for Membership to work on their proposals.</w:t>
      </w:r>
    </w:p>
    <w:p w:rsidR="004B3FE3" w:rsidRDefault="00B5337E">
      <w:pPr>
        <w:widowControl w:val="0"/>
        <w:jc w:val="both"/>
      </w:pPr>
      <w:r>
        <w:t xml:space="preserve">The report of the second meeting of TDAG CG-SR </w:t>
      </w:r>
      <w:r w:rsidR="00AB217D">
        <w:t>is</w:t>
      </w:r>
      <w:r>
        <w:t xml:space="preserve"> available online (Document </w:t>
      </w:r>
      <w:hyperlink r:id="rId16" w:history="1">
        <w:r w:rsidRPr="00E51495">
          <w:rPr>
            <w:rStyle w:val="Hyperlink"/>
          </w:rPr>
          <w:t>TDAG/CG-SR/12</w:t>
        </w:r>
      </w:hyperlink>
      <w:r>
        <w:t xml:space="preserve">). </w:t>
      </w:r>
    </w:p>
    <w:p w:rsidR="004B3FE3" w:rsidRDefault="004B3FE3" w:rsidP="005D4470">
      <w:pPr>
        <w:pStyle w:val="Heading2"/>
        <w:numPr>
          <w:ilvl w:val="0"/>
          <w:numId w:val="37"/>
        </w:numPr>
      </w:pPr>
      <w:r>
        <w:lastRenderedPageBreak/>
        <w:t>Third meeting of CG-SR</w:t>
      </w:r>
    </w:p>
    <w:p w:rsidR="00EE3F29" w:rsidRDefault="00C37D6D" w:rsidP="005D4470">
      <w:pPr>
        <w:widowControl w:val="0"/>
        <w:jc w:val="both"/>
      </w:pPr>
      <w:r>
        <w:t xml:space="preserve">The third physical meeting of CG-SR </w:t>
      </w:r>
      <w:r w:rsidR="004B3FE3">
        <w:t>was</w:t>
      </w:r>
      <w:r>
        <w:t xml:space="preserve"> held </w:t>
      </w:r>
      <w:r w:rsidR="00DC304A">
        <w:t>in</w:t>
      </w:r>
      <w:r w:rsidRPr="00741B73">
        <w:t xml:space="preserve"> January 2017</w:t>
      </w:r>
      <w:r w:rsidR="00EE3F29">
        <w:t>.</w:t>
      </w:r>
      <w:r w:rsidR="00AA0A0C">
        <w:t xml:space="preserve"> The </w:t>
      </w:r>
      <w:r w:rsidR="00AA0A0C" w:rsidRPr="00AA0A0C">
        <w:t>objective of that meeting was to inform the ITU Membership about the status of the work on streamlining resolutions since the last meeting and have a discussion on the way forward.</w:t>
      </w:r>
    </w:p>
    <w:p w:rsidR="00AA0A0C" w:rsidRDefault="00AA0A0C" w:rsidP="005D4470">
      <w:r>
        <w:t>The Chair, Dr Sharafat, presented the</w:t>
      </w:r>
      <w:r w:rsidRPr="008332FA">
        <w:t xml:space="preserve"> Draft guiding principles for streamlining WTDC resolutions</w:t>
      </w:r>
      <w:r w:rsidR="00DC304A">
        <w:t xml:space="preserve"> (Document </w:t>
      </w:r>
      <w:hyperlink r:id="rId17" w:history="1">
        <w:r w:rsidR="00DC304A" w:rsidRPr="00332727">
          <w:rPr>
            <w:rStyle w:val="Hyperlink"/>
          </w:rPr>
          <w:t>TDAG/CG-SR/</w:t>
        </w:r>
        <w:r w:rsidR="00332727" w:rsidRPr="00332727">
          <w:rPr>
            <w:rStyle w:val="Hyperlink"/>
          </w:rPr>
          <w:t>14</w:t>
        </w:r>
      </w:hyperlink>
      <w:r w:rsidR="00332727">
        <w:t>)</w:t>
      </w:r>
      <w:r>
        <w:rPr>
          <w:bCs/>
          <w:szCs w:val="24"/>
        </w:rPr>
        <w:t>. He described the document as a u</w:t>
      </w:r>
      <w:r>
        <w:t xml:space="preserve">seful tool for Members to help them prepare for WTDC-17 in a way that is more productive and more efficient. </w:t>
      </w:r>
      <w:r w:rsidR="00DC304A">
        <w:t>While t</w:t>
      </w:r>
      <w:r>
        <w:t>he Guiding principles are structured in two tracks – streamlining existing resolutions and drafting new ones</w:t>
      </w:r>
      <w:r w:rsidR="00DC304A">
        <w:t xml:space="preserve"> – </w:t>
      </w:r>
      <w:r>
        <w:t>the</w:t>
      </w:r>
      <w:r w:rsidR="00DC304A">
        <w:t xml:space="preserve"> </w:t>
      </w:r>
      <w:r>
        <w:t xml:space="preserve">rationale behind is the same. Dr Sharafat stressed that streamlining aims at harmonization and improved efficiency of WTDC resolutions. Reducing the number of resolutions would also allow to reduce duplication with the BDT Operational Plan and Plenipotentiary Resolutions. </w:t>
      </w:r>
    </w:p>
    <w:p w:rsidR="00AA0A0C" w:rsidRDefault="00AA0A0C">
      <w:r>
        <w:t>The meeting had a discussion on the Draft guiding principles and further modifications has been made. The latest version of the guiding principles is available in Annex 1 hereafter.</w:t>
      </w:r>
    </w:p>
    <w:p w:rsidR="00AA0A0C" w:rsidRDefault="00AA0A0C" w:rsidP="00AA0A0C">
      <w:r>
        <w:t>Dr Sharafat reiterated that the Guidelines 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rsidR="00EE3F29" w:rsidRDefault="00EE3F29" w:rsidP="00EE3F29">
      <w:r>
        <w:t xml:space="preserve">Dr Sharafat also encouraged countries to work within their regions on elaborating concrete proposals and developing common positions on the topic of streamlining resolutions. </w:t>
      </w:r>
    </w:p>
    <w:p w:rsidR="00410CE3" w:rsidRDefault="00410CE3">
      <w:r>
        <w:t xml:space="preserve">The report of the third meeting of TDAG CG-SR </w:t>
      </w:r>
      <w:r w:rsidR="00AB217D">
        <w:t>is</w:t>
      </w:r>
      <w:r>
        <w:t xml:space="preserve"> available online </w:t>
      </w:r>
      <w:r w:rsidR="00AB217D">
        <w:t xml:space="preserve">in </w:t>
      </w:r>
      <w:r>
        <w:t xml:space="preserve">Document </w:t>
      </w:r>
      <w:hyperlink r:id="rId18" w:history="1">
        <w:r w:rsidRPr="00410CE3">
          <w:rPr>
            <w:rStyle w:val="Hyperlink"/>
          </w:rPr>
          <w:t>TDAG/CH-SR/15</w:t>
        </w:r>
      </w:hyperlink>
      <w:r>
        <w:t>.</w:t>
      </w:r>
    </w:p>
    <w:p w:rsidR="002A65FF" w:rsidRDefault="002A65FF" w:rsidP="005D4470">
      <w:pPr>
        <w:pStyle w:val="Heading2"/>
        <w:widowControl w:val="0"/>
        <w:numPr>
          <w:ilvl w:val="0"/>
          <w:numId w:val="37"/>
        </w:numPr>
        <w:jc w:val="both"/>
      </w:pPr>
      <w:r w:rsidRPr="00EF30B7">
        <w:t xml:space="preserve">Presentation of the discussions regarding streamlining resolutions at RPMs </w:t>
      </w:r>
    </w:p>
    <w:p w:rsidR="002A65FF" w:rsidRPr="005D4470" w:rsidRDefault="002A65FF" w:rsidP="005D4470">
      <w:pPr>
        <w:rPr>
          <w:b/>
          <w:bCs/>
        </w:rPr>
      </w:pPr>
      <w:r>
        <w:rPr>
          <w:b/>
          <w:bCs/>
        </w:rPr>
        <w:t>RPM-</w:t>
      </w:r>
      <w:r w:rsidRPr="005D4470">
        <w:rPr>
          <w:b/>
          <w:bCs/>
        </w:rPr>
        <w:t>CIS</w:t>
      </w:r>
    </w:p>
    <w:p w:rsidR="002A65FF" w:rsidRDefault="00AA0A0C" w:rsidP="005D4470">
      <w:r>
        <w:t xml:space="preserve">A </w:t>
      </w:r>
      <w:r w:rsidR="002A65FF">
        <w:t xml:space="preserve">summary </w:t>
      </w:r>
      <w:r w:rsidR="002A65FF" w:rsidRPr="00DA5494">
        <w:t xml:space="preserve">document </w:t>
      </w:r>
      <w:r w:rsidR="002A65FF">
        <w:t>on the work of TDAG CG-SR</w:t>
      </w:r>
      <w:r>
        <w:t xml:space="preserve"> was submitted to</w:t>
      </w:r>
      <w:r w:rsidR="002A65FF">
        <w:t xml:space="preserve">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w:t>
      </w:r>
      <w:r w:rsidR="002A65FF">
        <w:t xml:space="preserve"> </w:t>
      </w:r>
    </w:p>
    <w:p w:rsidR="002A65FF" w:rsidRPr="002A65FF" w:rsidRDefault="00332727" w:rsidP="005D4470">
      <w:r>
        <w:t>T</w:t>
      </w:r>
      <w:r w:rsidR="002A65FF" w:rsidRPr="002A65FF">
        <w:t>he following proposals were put forward at RPM-CIS:</w:t>
      </w:r>
    </w:p>
    <w:p w:rsidR="002A65FF" w:rsidRDefault="00EF4136" w:rsidP="005D4470">
      <w:pPr>
        <w:pStyle w:val="ListParagraph"/>
        <w:numPr>
          <w:ilvl w:val="0"/>
          <w:numId w:val="43"/>
        </w:numPr>
        <w:rPr>
          <w:b/>
          <w:i/>
          <w:iCs/>
        </w:rPr>
      </w:pPr>
      <w:hyperlink r:id="rId19" w:history="1">
        <w:r w:rsidR="002A65FF" w:rsidRPr="002A65FF">
          <w:rPr>
            <w:rStyle w:val="Hyperlink"/>
            <w:bCs/>
          </w:rPr>
          <w:t>Document 24</w:t>
        </w:r>
      </w:hyperlink>
      <w:r w:rsidR="002A65FF" w:rsidRPr="00DA5494">
        <w:t xml:space="preserve"> entitled </w:t>
      </w:r>
      <w:r w:rsidR="002A65FF" w:rsidRPr="002A65FF">
        <w:rPr>
          <w:b/>
          <w:i/>
          <w:iCs/>
        </w:rPr>
        <w:t>Proposed aggregation of Resolutions 17 and 32</w:t>
      </w:r>
    </w:p>
    <w:p w:rsidR="002A65FF" w:rsidRDefault="00EF4136" w:rsidP="005D4470">
      <w:pPr>
        <w:pStyle w:val="ListParagraph"/>
        <w:numPr>
          <w:ilvl w:val="0"/>
          <w:numId w:val="43"/>
        </w:numPr>
        <w:rPr>
          <w:b/>
          <w:i/>
          <w:iCs/>
        </w:rPr>
      </w:pPr>
      <w:hyperlink r:id="rId20" w:history="1">
        <w:r w:rsidR="002A65FF" w:rsidRPr="002A65FF">
          <w:rPr>
            <w:rStyle w:val="Hyperlink"/>
            <w:bCs/>
          </w:rPr>
          <w:t>Document 13</w:t>
        </w:r>
      </w:hyperlink>
      <w:r w:rsidR="002A65FF" w:rsidRPr="003E52CA">
        <w:t xml:space="preserve"> entitled </w:t>
      </w:r>
      <w:r w:rsidR="002A65FF" w:rsidRPr="002A65FF">
        <w:rPr>
          <w:b/>
          <w:i/>
          <w:iCs/>
        </w:rPr>
        <w:t>Proposed modifications to Resolution 32</w:t>
      </w:r>
    </w:p>
    <w:p w:rsidR="002A65FF" w:rsidRPr="005D4470" w:rsidRDefault="00EF4136" w:rsidP="005D4470">
      <w:pPr>
        <w:pStyle w:val="ListParagraph"/>
        <w:numPr>
          <w:ilvl w:val="0"/>
          <w:numId w:val="43"/>
        </w:numPr>
        <w:rPr>
          <w:b/>
          <w:i/>
          <w:iCs/>
        </w:rPr>
      </w:pPr>
      <w:hyperlink r:id="rId21" w:history="1">
        <w:r w:rsidR="002A65FF" w:rsidRPr="002A65FF">
          <w:rPr>
            <w:rStyle w:val="Hyperlink"/>
            <w:bCs/>
          </w:rPr>
          <w:t>Document 25</w:t>
        </w:r>
      </w:hyperlink>
      <w:r w:rsidR="002A65FF" w:rsidRPr="00DA5494">
        <w:t xml:space="preserve"> entitled </w:t>
      </w:r>
      <w:r w:rsidR="002A65FF" w:rsidRPr="002A65FF">
        <w:rPr>
          <w:b/>
          <w:i/>
          <w:iCs/>
        </w:rPr>
        <w:t>Proposed aggregation of Resolutions 37 and 50</w:t>
      </w:r>
    </w:p>
    <w:p w:rsidR="002A65FF" w:rsidRDefault="002A65FF" w:rsidP="005D4470">
      <w:r w:rsidRPr="003E52CA">
        <w:t>Documents 24 and 25 were already presented and discussed during the Second meeting of TDAG CG-SR in September 2016.</w:t>
      </w:r>
    </w:p>
    <w:p w:rsidR="002A65FF" w:rsidRDefault="002A65FF" w:rsidP="005D4470">
      <w:r>
        <w:t>RPM-CIS</w:t>
      </w:r>
      <w:r w:rsidRPr="00DA5494">
        <w:t xml:space="preserve"> supported </w:t>
      </w:r>
      <w:r>
        <w:t>Documents 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rsidR="002A65FF" w:rsidRPr="005D4470" w:rsidRDefault="002A65FF" w:rsidP="005D4470">
      <w:pPr>
        <w:rPr>
          <w:b/>
          <w:bCs/>
        </w:rPr>
      </w:pPr>
      <w:r w:rsidRPr="005D4470">
        <w:rPr>
          <w:b/>
          <w:bCs/>
        </w:rPr>
        <w:t>RPM-Africa</w:t>
      </w:r>
    </w:p>
    <w:p w:rsidR="002A65FF" w:rsidRDefault="00AA0A0C" w:rsidP="005D4470">
      <w:r>
        <w:t xml:space="preserve">A summary </w:t>
      </w:r>
      <w:r w:rsidRPr="00DA5494">
        <w:t xml:space="preserve">document </w:t>
      </w:r>
      <w:r>
        <w:t xml:space="preserve">on the work of TDAG CG-SR was submitted to </w:t>
      </w:r>
      <w:r w:rsidRPr="00DA5494">
        <w:t>RPM</w:t>
      </w:r>
      <w:r w:rsidR="002A65FF">
        <w:t>-AFR</w:t>
      </w:r>
      <w:r>
        <w:t xml:space="preserve">. The meeting </w:t>
      </w:r>
      <w:r w:rsidR="002A65FF" w:rsidRPr="00DA5494">
        <w:t>welcomed the document and took note of it.</w:t>
      </w:r>
      <w:r w:rsidR="002A65FF">
        <w:t xml:space="preserve"> No proposals were discussed</w:t>
      </w:r>
      <w:r w:rsidR="00332727">
        <w:t xml:space="preserve"> at that stage</w:t>
      </w:r>
      <w:r w:rsidR="002A65FF">
        <w:t>.</w:t>
      </w:r>
    </w:p>
    <w:p w:rsidR="00EE3F29" w:rsidRPr="005D4470" w:rsidRDefault="00EE3F29" w:rsidP="005D4470">
      <w:pPr>
        <w:rPr>
          <w:b/>
          <w:bCs/>
        </w:rPr>
      </w:pPr>
      <w:r w:rsidRPr="005D4470">
        <w:rPr>
          <w:b/>
          <w:bCs/>
        </w:rPr>
        <w:t>RPM-ARB</w:t>
      </w:r>
    </w:p>
    <w:p w:rsidR="00332727" w:rsidRDefault="007916C6" w:rsidP="005D4470">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0055384B" w:rsidRPr="001F5DC6">
        <w:t xml:space="preserve"> suggest</w:t>
      </w:r>
      <w:r w:rsidR="0055384B">
        <w:t xml:space="preserve">ed </w:t>
      </w:r>
      <w:r w:rsidR="0055384B" w:rsidRPr="001F5DC6">
        <w:t xml:space="preserve">the approach could be used by other </w:t>
      </w:r>
      <w:r w:rsidR="00332727">
        <w:t xml:space="preserve">ITU </w:t>
      </w:r>
      <w:r w:rsidR="0055384B" w:rsidRPr="001F5DC6">
        <w:t>Sectors</w:t>
      </w:r>
      <w:r w:rsidR="0055384B">
        <w:t xml:space="preserve">. Several proposals were made, including a proposal of increasing the number of Study Groups. </w:t>
      </w:r>
    </w:p>
    <w:p w:rsidR="0055384B" w:rsidRDefault="0055384B" w:rsidP="005D4470">
      <w:r>
        <w:lastRenderedPageBreak/>
        <w:t xml:space="preserve">Participants </w:t>
      </w:r>
      <w:r w:rsidR="00332727">
        <w:t xml:space="preserve">also </w:t>
      </w:r>
      <w:r>
        <w:t>noted that while the Draft guiding principles can be used by regional groups in developing their common proposals, they need not be adopted and discussed as a rule in WTDC. The Secretariat confirmed that Member States make decisions and noted that the RPM-ARB discussions will be taken into consideration at the next meeting of the CG</w:t>
      </w:r>
      <w:r>
        <w:noBreakHyphen/>
        <w:t>SR.</w:t>
      </w:r>
    </w:p>
    <w:p w:rsidR="00EE3F29" w:rsidRPr="005D4470" w:rsidRDefault="00EE3F29" w:rsidP="005D4470">
      <w:pPr>
        <w:rPr>
          <w:b/>
          <w:bCs/>
        </w:rPr>
      </w:pPr>
      <w:r w:rsidRPr="005D4470">
        <w:rPr>
          <w:b/>
          <w:bCs/>
        </w:rPr>
        <w:t>RPM-Americas</w:t>
      </w:r>
    </w:p>
    <w:p w:rsidR="009F5FCA" w:rsidRPr="00CA3D12" w:rsidRDefault="009F5FCA" w:rsidP="009F5FCA">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rsidR="00EE3F29" w:rsidRDefault="00332727" w:rsidP="005D4470">
      <w:r>
        <w:t>T</w:t>
      </w:r>
      <w:r w:rsidRPr="002A65FF">
        <w:t>he following proposals were put forward at RPM-</w:t>
      </w:r>
      <w:r>
        <w:t>AMS:</w:t>
      </w:r>
    </w:p>
    <w:p w:rsidR="009F5FCA" w:rsidRPr="005D4470" w:rsidRDefault="00EF4136" w:rsidP="005D4470">
      <w:pPr>
        <w:pStyle w:val="ListParagraph"/>
        <w:numPr>
          <w:ilvl w:val="0"/>
          <w:numId w:val="44"/>
        </w:numPr>
        <w:rPr>
          <w:bCs/>
        </w:rPr>
      </w:pPr>
      <w:hyperlink r:id="rId22" w:history="1">
        <w:r w:rsidR="009F5FCA" w:rsidRPr="005D4470">
          <w:rPr>
            <w:rStyle w:val="Hyperlink"/>
          </w:rPr>
          <w:t>Document 17</w:t>
        </w:r>
      </w:hyperlink>
      <w:r w:rsidR="009F5FCA" w:rsidRPr="005D4470">
        <w:t xml:space="preserve"> entitled </w:t>
      </w:r>
      <w:r w:rsidR="009F5FCA" w:rsidRPr="005D4470">
        <w:rPr>
          <w:b/>
          <w:bCs/>
        </w:rPr>
        <w:t>"</w:t>
      </w:r>
      <w:r w:rsidR="009F5FCA" w:rsidRPr="005D4470">
        <w:rPr>
          <w:b/>
          <w:bCs/>
          <w:i/>
          <w:iCs/>
        </w:rPr>
        <w:t>Preliminary considerations to reduce the number of Resolutions</w:t>
      </w:r>
      <w:r w:rsidR="009F5FCA" w:rsidRPr="005D4470">
        <w:rPr>
          <w:b/>
          <w:bCs/>
        </w:rPr>
        <w:t>"</w:t>
      </w:r>
      <w:r w:rsidR="009F5FCA" w:rsidRPr="005D4470">
        <w:t xml:space="preserve"> was introduced by the Argentine Administration.</w:t>
      </w:r>
      <w:r w:rsidR="00332727" w:rsidRPr="005D4470">
        <w:t xml:space="preserve"> It </w:t>
      </w:r>
      <w:r w:rsidR="009F5FCA" w:rsidRPr="005D4470">
        <w:rPr>
          <w:bCs/>
        </w:rPr>
        <w:t>proposes a number of guidelines for streamlining resolutions. RPM-AMS welcomed the document and took note of the contribution.</w:t>
      </w:r>
    </w:p>
    <w:p w:rsidR="00166323" w:rsidRPr="005D4470" w:rsidRDefault="00EF4136" w:rsidP="005D4470">
      <w:pPr>
        <w:pStyle w:val="ListParagraph"/>
        <w:numPr>
          <w:ilvl w:val="0"/>
          <w:numId w:val="44"/>
        </w:numPr>
      </w:pPr>
      <w:hyperlink r:id="rId23" w:history="1">
        <w:r w:rsidR="009F5FCA" w:rsidRPr="005D4470">
          <w:rPr>
            <w:rStyle w:val="Hyperlink"/>
            <w:bCs/>
          </w:rPr>
          <w:t>Document 28</w:t>
        </w:r>
        <w:r w:rsidR="009F5FCA" w:rsidRPr="005D4470">
          <w:t xml:space="preserve"> </w:t>
        </w:r>
      </w:hyperlink>
      <w:r w:rsidR="009F5FCA" w:rsidRPr="005D4470">
        <w:t xml:space="preserve">entitled </w:t>
      </w:r>
      <w:r w:rsidR="009F5FCA" w:rsidRPr="005D4470">
        <w:rPr>
          <w:b/>
          <w:bCs/>
        </w:rPr>
        <w:t>"</w:t>
      </w:r>
      <w:r w:rsidR="009F5FCA" w:rsidRPr="005D4470">
        <w:rPr>
          <w:b/>
          <w:bCs/>
          <w:i/>
          <w:iCs/>
        </w:rPr>
        <w:t>Draft merger of Resolution 46 (Assistance and promotion for indigenous communities in the world: Information society through information and communication technology) and Resolution 68</w:t>
      </w:r>
      <w:r w:rsidR="009F5FCA" w:rsidRPr="005D4470">
        <w:rPr>
          <w:b/>
          <w:bCs/>
        </w:rPr>
        <w:t>"</w:t>
      </w:r>
      <w:r w:rsidR="009F5FCA" w:rsidRPr="005D4470">
        <w:t>, was introduced by the Republic of Paraguay Administration.</w:t>
      </w:r>
      <w:r w:rsidR="00166323" w:rsidRPr="005D4470">
        <w:t xml:space="preserve"> It</w:t>
      </w:r>
      <w:r w:rsidR="009F5FCA" w:rsidRPr="005D4470">
        <w:rPr>
          <w:bCs/>
        </w:rPr>
        <w:t xml:space="preserve"> proposes merging R</w:t>
      </w:r>
      <w:r w:rsidR="00166323" w:rsidRPr="005D4470">
        <w:rPr>
          <w:bCs/>
        </w:rPr>
        <w:t xml:space="preserve">esolution 46 (Rev. Doha, 2006) </w:t>
      </w:r>
      <w:r w:rsidR="009F5FCA" w:rsidRPr="005D4470">
        <w:rPr>
          <w:bCs/>
        </w:rPr>
        <w:t>with R</w:t>
      </w:r>
      <w:r w:rsidR="00166323" w:rsidRPr="005D4470">
        <w:rPr>
          <w:bCs/>
        </w:rPr>
        <w:t>esolution</w:t>
      </w:r>
      <w:r w:rsidR="009F5FCA" w:rsidRPr="005D4470">
        <w:rPr>
          <w:bCs/>
        </w:rPr>
        <w:t xml:space="preserve"> 68 (Rev. Dubai, 2014) "Assistance to indigenous peoples within the activities of the Telecommunication Development Bureau in its related programmes".</w:t>
      </w:r>
      <w:r w:rsidR="00166323" w:rsidRPr="005D4470">
        <w:rPr>
          <w:bCs/>
        </w:rPr>
        <w:t xml:space="preserve"> Documents 28 and 31 were considered together.</w:t>
      </w:r>
    </w:p>
    <w:p w:rsidR="009F5FCA" w:rsidRPr="005D4470" w:rsidRDefault="00EF4136" w:rsidP="005D4470">
      <w:pPr>
        <w:pStyle w:val="ListParagraph"/>
        <w:numPr>
          <w:ilvl w:val="0"/>
          <w:numId w:val="44"/>
        </w:numPr>
        <w:rPr>
          <w:bCs/>
        </w:rPr>
      </w:pPr>
      <w:hyperlink r:id="rId24" w:history="1">
        <w:r w:rsidR="009F5FCA" w:rsidRPr="005D4470">
          <w:rPr>
            <w:rStyle w:val="Hyperlink"/>
            <w:bCs/>
          </w:rPr>
          <w:t>Document 31</w:t>
        </w:r>
      </w:hyperlink>
      <w:r w:rsidR="009F5FCA" w:rsidRPr="005D4470">
        <w:t xml:space="preserve"> entitled </w:t>
      </w:r>
      <w:r w:rsidR="009F5FCA" w:rsidRPr="005D4470">
        <w:rPr>
          <w:b/>
          <w:bCs/>
        </w:rPr>
        <w:t>"</w:t>
      </w:r>
      <w:r w:rsidR="009F5FCA" w:rsidRPr="005D4470">
        <w:rPr>
          <w:b/>
          <w:bCs/>
          <w:i/>
          <w:iCs/>
        </w:rPr>
        <w:t>Proposed deletion of Resolution 68, Assistance to Indigenous Peoples within the Activities of the Telecommunication Development Bureau in its related programmes</w:t>
      </w:r>
      <w:r w:rsidR="009F5FCA" w:rsidRPr="005D4470">
        <w:rPr>
          <w:b/>
          <w:bCs/>
        </w:rPr>
        <w:t>"</w:t>
      </w:r>
      <w:r w:rsidR="009F5FCA" w:rsidRPr="005D4470">
        <w:t xml:space="preserve">, was introduced by the Republic of Paraguay Administration. </w:t>
      </w:r>
      <w:r w:rsidR="00166323" w:rsidRPr="005D4470">
        <w:t xml:space="preserve">It </w:t>
      </w:r>
      <w:r w:rsidR="009F5FCA" w:rsidRPr="005D4470">
        <w:rPr>
          <w:bCs/>
        </w:rPr>
        <w:t xml:space="preserve">proposes the deletion of Resolution 68, following the proposed merging of Resolution 46 (Rev. Doha, 2006)" with Resolution 68 (Rev. Dubai, 2014). </w:t>
      </w:r>
    </w:p>
    <w:p w:rsidR="009F5FCA" w:rsidRPr="005D4470" w:rsidRDefault="009F5FCA" w:rsidP="005D4470">
      <w:pPr>
        <w:pStyle w:val="ListParagraph"/>
        <w:rPr>
          <w:sz w:val="22"/>
        </w:rPr>
      </w:pPr>
      <w:r w:rsidRPr="005D4470">
        <w:t xml:space="preserve">The Secretariat clarified that RPM-AMS is not expected to take a decision on the proposed merger of Resolutions. The Chairman's Report will reflect the proposal with the understanding that Administrations will continue to work on proposals with the aim of revising, merging and abrogating Resolutions. </w:t>
      </w:r>
    </w:p>
    <w:p w:rsidR="009F5FCA" w:rsidRPr="005D4470" w:rsidRDefault="009F5FCA" w:rsidP="005D4470">
      <w:pPr>
        <w:pStyle w:val="ListParagraph"/>
        <w:rPr>
          <w:bCs/>
        </w:rPr>
      </w:pPr>
      <w:r w:rsidRPr="005D4470">
        <w:t>On this basis, RPM-AMS welcomed the documents and took note of the contributions from Paraguay and agreed that more detailed discussion on these proposals would take place in future regional meetings in preparation for WTDC</w:t>
      </w:r>
      <w:r w:rsidRPr="005D4470">
        <w:noBreakHyphen/>
        <w:t>17.</w:t>
      </w:r>
    </w:p>
    <w:p w:rsidR="009F5FCA" w:rsidRPr="005D4470" w:rsidRDefault="00EF4136" w:rsidP="005D4470">
      <w:pPr>
        <w:pStyle w:val="ListParagraph"/>
        <w:numPr>
          <w:ilvl w:val="0"/>
          <w:numId w:val="44"/>
        </w:numPr>
      </w:pPr>
      <w:hyperlink r:id="rId25" w:history="1">
        <w:r w:rsidR="009F5FCA" w:rsidRPr="005D4470">
          <w:rPr>
            <w:rStyle w:val="Hyperlink"/>
            <w:bCs/>
          </w:rPr>
          <w:t>Document 29</w:t>
        </w:r>
      </w:hyperlink>
      <w:r w:rsidR="009F5FCA" w:rsidRPr="005D4470">
        <w:t xml:space="preserve"> entitled </w:t>
      </w:r>
      <w:r w:rsidR="009F5FCA" w:rsidRPr="005D4470">
        <w:rPr>
          <w:b/>
          <w:bCs/>
        </w:rPr>
        <w:t>"</w:t>
      </w:r>
      <w:r w:rsidR="009F5FCA" w:rsidRPr="005D4470">
        <w:rPr>
          <w:b/>
          <w:bCs/>
          <w:i/>
          <w:iCs/>
        </w:rPr>
        <w:t>Draft merger of Resolution 50</w:t>
      </w:r>
      <w:r w:rsidR="009F5FCA" w:rsidRPr="005D4470">
        <w:rPr>
          <w:bCs/>
        </w:rPr>
        <w:t xml:space="preserve"> </w:t>
      </w:r>
      <w:r w:rsidR="009F5FCA" w:rsidRPr="005D4470">
        <w:rPr>
          <w:b/>
        </w:rPr>
        <w:t>(Optimal Integration of Information and Communication Technologies and Their Applications)</w:t>
      </w:r>
      <w:r w:rsidR="009F5FCA" w:rsidRPr="005D4470">
        <w:rPr>
          <w:b/>
          <w:bCs/>
          <w:i/>
          <w:iCs/>
        </w:rPr>
        <w:t xml:space="preserve"> with Resolution 54</w:t>
      </w:r>
      <w:r w:rsidR="009F5FCA" w:rsidRPr="005D4470">
        <w:rPr>
          <w:b/>
          <w:bCs/>
        </w:rPr>
        <w:t>"</w:t>
      </w:r>
      <w:r w:rsidR="009F5FCA" w:rsidRPr="005D4470">
        <w:t>, was introduced by the Paraguay Administration.</w:t>
      </w:r>
      <w:r w:rsidR="00166323" w:rsidRPr="005D4470">
        <w:t xml:space="preserve"> It </w:t>
      </w:r>
      <w:r w:rsidR="009F5FCA" w:rsidRPr="005D4470">
        <w:t>proposes merging Resolution 50 (Rev. Dubai, 2014) with Resolution 54 (Rev. Dubai, 2014) "Information and communication technology applications".</w:t>
      </w:r>
      <w:r w:rsidR="00166323" w:rsidRPr="005D4470">
        <w:t xml:space="preserve"> Documents 29 and 30 were considered together.</w:t>
      </w:r>
    </w:p>
    <w:p w:rsidR="009F5FCA" w:rsidRPr="005D4470" w:rsidRDefault="00EF4136" w:rsidP="005D4470">
      <w:pPr>
        <w:pStyle w:val="ListParagraph"/>
        <w:numPr>
          <w:ilvl w:val="0"/>
          <w:numId w:val="44"/>
        </w:numPr>
      </w:pPr>
      <w:hyperlink r:id="rId26" w:history="1">
        <w:r w:rsidR="009F5FCA" w:rsidRPr="005D4470">
          <w:rPr>
            <w:rStyle w:val="Hyperlink"/>
            <w:bCs/>
          </w:rPr>
          <w:t>Document 30</w:t>
        </w:r>
      </w:hyperlink>
      <w:r w:rsidR="009F5FCA" w:rsidRPr="005D4470">
        <w:t xml:space="preserve"> entitled </w:t>
      </w:r>
      <w:r w:rsidR="009F5FCA" w:rsidRPr="005D4470">
        <w:rPr>
          <w:b/>
          <w:bCs/>
        </w:rPr>
        <w:t>"</w:t>
      </w:r>
      <w:r w:rsidR="009F5FCA" w:rsidRPr="005D4470">
        <w:rPr>
          <w:b/>
          <w:bCs/>
          <w:i/>
          <w:iCs/>
        </w:rPr>
        <w:t>Draft elimination of Resolution 54</w:t>
      </w:r>
      <w:r w:rsidR="009F5FCA" w:rsidRPr="005D4470">
        <w:rPr>
          <w:b/>
          <w:bCs/>
        </w:rPr>
        <w:t>"</w:t>
      </w:r>
      <w:r w:rsidR="009F5FCA" w:rsidRPr="005D4470">
        <w:t>, was introduced by the Republic of Paraguay Administration.</w:t>
      </w:r>
      <w:r w:rsidR="00166323" w:rsidRPr="005D4470">
        <w:t xml:space="preserve"> It </w:t>
      </w:r>
      <w:r w:rsidR="009F5FCA" w:rsidRPr="005D4470">
        <w:t>proposes the deletion of Resolution 54 (Rev. Dubai, 2014) following the proposed merging of Resolution 50 with Resolution 54.</w:t>
      </w:r>
    </w:p>
    <w:p w:rsidR="009F5FCA" w:rsidRDefault="009F5FCA" w:rsidP="005D4470">
      <w:r w:rsidRPr="005D4470">
        <w:t>RPM-AMS welcomed the documents and took note of the contributions from Paraguay and agreed that more detailed discussion on these proposals would take place in future regional meetings in preparation for WTDC</w:t>
      </w:r>
      <w:r w:rsidRPr="005D4470">
        <w:noBreakHyphen/>
        <w:t>17.</w:t>
      </w:r>
      <w:r w:rsidRPr="00CA3D12">
        <w:t xml:space="preserve"> </w:t>
      </w:r>
    </w:p>
    <w:p w:rsidR="005D4470" w:rsidRPr="005D4470" w:rsidRDefault="005D4470" w:rsidP="005D4470">
      <w:pPr>
        <w:rPr>
          <w:sz w:val="22"/>
        </w:rPr>
      </w:pPr>
    </w:p>
    <w:p w:rsidR="004B3FE3" w:rsidRDefault="004B3FE3" w:rsidP="005D4470">
      <w:pPr>
        <w:pStyle w:val="Heading2"/>
        <w:widowControl w:val="0"/>
        <w:numPr>
          <w:ilvl w:val="0"/>
          <w:numId w:val="37"/>
        </w:numPr>
        <w:jc w:val="both"/>
      </w:pPr>
      <w:r>
        <w:lastRenderedPageBreak/>
        <w:t>Way forward</w:t>
      </w:r>
    </w:p>
    <w:p w:rsidR="006C4964" w:rsidRDefault="004B3FE3" w:rsidP="005D4470">
      <w:pPr>
        <w:widowControl w:val="0"/>
        <w:jc w:val="both"/>
      </w:pPr>
      <w:r>
        <w:t>T</w:t>
      </w:r>
      <w:r w:rsidR="00C37D6D" w:rsidRPr="00741B73">
        <w:t xml:space="preserve">he fourth physical meeting of </w:t>
      </w:r>
      <w:r w:rsidR="00332727">
        <w:t>CG-SR</w:t>
      </w:r>
      <w:r w:rsidR="00C37D6D" w:rsidRPr="00741B73">
        <w:t xml:space="preserve"> will take place on 3 April 2017 at 1 p.m.</w:t>
      </w:r>
      <w:r w:rsidR="00C37D6D">
        <w:t xml:space="preserve"> at the ITU headquarters in Geneva, Switzerland.</w:t>
      </w:r>
      <w:r>
        <w:t xml:space="preserve"> </w:t>
      </w:r>
      <w:r w:rsidR="006C4964">
        <w:t>Contributions and concrete proposals are encouraged in order to advance the task of the Group.</w:t>
      </w:r>
    </w:p>
    <w:p w:rsidR="00AB3618" w:rsidRDefault="00453E1F" w:rsidP="004B3FE3">
      <w:pPr>
        <w:widowControl w:val="0"/>
        <w:jc w:val="both"/>
      </w:pPr>
      <w:r w:rsidRPr="0014519C">
        <w:t xml:space="preserve">Based on the work carried out and the discussions during Regional Preparatory Meetings (RPMs), </w:t>
      </w:r>
      <w:r w:rsidR="004B3FE3" w:rsidRPr="0014519C">
        <w:t>the Chairman of the Correspondence Group</w:t>
      </w:r>
      <w:r w:rsidR="00AB3618" w:rsidRPr="0014519C">
        <w:t xml:space="preserve"> will </w:t>
      </w:r>
      <w:r w:rsidR="004B3FE3" w:rsidRPr="0014519C">
        <w:t>submit a separate report to</w:t>
      </w:r>
      <w:r w:rsidR="00AB3618" w:rsidRPr="0014519C">
        <w:t xml:space="preserve"> </w:t>
      </w:r>
      <w:r w:rsidR="00BB6319" w:rsidRPr="0014519C">
        <w:t>TDAG-17</w:t>
      </w:r>
      <w:r w:rsidR="00824C13" w:rsidRPr="0014519C">
        <w:t>,</w:t>
      </w:r>
      <w:r w:rsidR="00BB6319" w:rsidRPr="0014519C">
        <w:t xml:space="preserve"> for consideration</w:t>
      </w:r>
      <w:r w:rsidR="00AB3618" w:rsidRPr="0014519C">
        <w:t>.</w:t>
      </w:r>
      <w:r w:rsidR="00AB3618">
        <w:t xml:space="preserve"> </w:t>
      </w:r>
    </w:p>
    <w:p w:rsidR="00FD450A" w:rsidRDefault="00BB6319">
      <w:pPr>
        <w:widowControl w:val="0"/>
        <w:jc w:val="both"/>
      </w:pPr>
      <w:r>
        <w:t>The final report of CG-SR will be submitted to WTDC-17 for appropriate action.</w:t>
      </w:r>
      <w:r w:rsidR="004C22E5">
        <w:t xml:space="preserve"> WTDC-17 is going to make final decision on all proposals drafted in the lead to WTDC-17.</w:t>
      </w:r>
    </w:p>
    <w:p w:rsidR="00FD450A" w:rsidRDefault="00FD450A">
      <w:pPr>
        <w:tabs>
          <w:tab w:val="clear" w:pos="794"/>
          <w:tab w:val="clear" w:pos="1191"/>
          <w:tab w:val="clear" w:pos="1588"/>
          <w:tab w:val="clear" w:pos="1985"/>
        </w:tabs>
        <w:overflowPunct/>
        <w:autoSpaceDE/>
        <w:autoSpaceDN/>
        <w:adjustRightInd/>
        <w:spacing w:before="0"/>
        <w:textAlignment w:val="auto"/>
      </w:pPr>
      <w:r>
        <w:br w:type="page"/>
      </w:r>
    </w:p>
    <w:p w:rsidR="0014519C" w:rsidRDefault="0014519C" w:rsidP="0014519C">
      <w:pPr>
        <w:pStyle w:val="Heading1RES"/>
        <w:tabs>
          <w:tab w:val="clear" w:pos="794"/>
          <w:tab w:val="clear" w:pos="1191"/>
          <w:tab w:val="clear" w:pos="1588"/>
          <w:tab w:val="clear" w:pos="1985"/>
          <w:tab w:val="left" w:pos="567"/>
          <w:tab w:val="left" w:pos="1134"/>
          <w:tab w:val="left" w:pos="1701"/>
        </w:tabs>
        <w:spacing w:before="240" w:after="120"/>
        <w:ind w:left="567" w:hanging="567"/>
        <w:jc w:val="center"/>
        <w:outlineLvl w:val="3"/>
      </w:pPr>
      <w:r>
        <w:lastRenderedPageBreak/>
        <w:t>ANNEX 1</w:t>
      </w:r>
    </w:p>
    <w:p w:rsidR="00FD450A" w:rsidRPr="003A48B8" w:rsidRDefault="00FD450A" w:rsidP="00FD450A">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FD450A" w:rsidRPr="00D022F8" w:rsidRDefault="00FD450A" w:rsidP="00FD450A">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FD450A" w:rsidRPr="00B52C9D" w:rsidTr="00C937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FD450A" w:rsidRPr="00B52C9D" w:rsidRDefault="00FD450A" w:rsidP="00C93749">
            <w:pPr>
              <w:spacing w:after="120"/>
              <w:rPr>
                <w:sz w:val="22"/>
              </w:rPr>
            </w:pPr>
            <w:r w:rsidRPr="00B52C9D">
              <w:rPr>
                <w:sz w:val="22"/>
              </w:rPr>
              <w:t>Principle</w:t>
            </w:r>
          </w:p>
        </w:tc>
        <w:tc>
          <w:tcPr>
            <w:tcW w:w="7371" w:type="dxa"/>
          </w:tcPr>
          <w:p w:rsidR="00FD450A" w:rsidRPr="00B52C9D" w:rsidRDefault="00FD450A" w:rsidP="00C93749">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FD450A" w:rsidRPr="00B52C9D" w:rsidTr="00C937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FD450A" w:rsidRPr="00B52C9D" w:rsidRDefault="00FD450A" w:rsidP="00C93749">
            <w:pPr>
              <w:spacing w:before="60" w:after="60"/>
              <w:rPr>
                <w:sz w:val="22"/>
              </w:rPr>
            </w:pPr>
            <w:r w:rsidRPr="00B52C9D">
              <w:rPr>
                <w:sz w:val="22"/>
              </w:rPr>
              <w:t xml:space="preserve">Coherence </w:t>
            </w:r>
            <w:r w:rsidRPr="00B52C9D">
              <w:rPr>
                <w:sz w:val="22"/>
              </w:rPr>
              <w:br/>
              <w:t>&amp; Consistency</w:t>
            </w:r>
          </w:p>
        </w:tc>
        <w:tc>
          <w:tcPr>
            <w:tcW w:w="7371" w:type="dxa"/>
            <w:tcBorders>
              <w:top w:val="nil"/>
              <w:bottom w:val="nil"/>
            </w:tcBorders>
            <w:shd w:val="clear" w:color="auto" w:fill="F2F2F2" w:themeFill="background1" w:themeFillShade="F2"/>
          </w:tcPr>
          <w:p w:rsidR="00FD450A" w:rsidRPr="00B52C9D" w:rsidRDefault="00FD450A" w:rsidP="00C93749">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FD450A" w:rsidRPr="00B52C9D" w:rsidTr="00C9374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FD450A" w:rsidRPr="00B52C9D" w:rsidRDefault="00FD450A" w:rsidP="00C93749">
            <w:pPr>
              <w:spacing w:before="60" w:after="60"/>
              <w:rPr>
                <w:sz w:val="22"/>
              </w:rPr>
            </w:pPr>
            <w:r w:rsidRPr="00B52C9D">
              <w:rPr>
                <w:sz w:val="22"/>
              </w:rPr>
              <w:t>Overlap</w:t>
            </w:r>
            <w:r>
              <w:rPr>
                <w:sz w:val="22"/>
              </w:rPr>
              <w:t xml:space="preserve"> &amp; duplication</w:t>
            </w:r>
          </w:p>
        </w:tc>
        <w:tc>
          <w:tcPr>
            <w:tcW w:w="7371" w:type="dxa"/>
            <w:tcBorders>
              <w:top w:val="nil"/>
              <w:bottom w:val="nil"/>
            </w:tcBorders>
            <w:shd w:val="clear" w:color="auto" w:fill="FFFFFF"/>
          </w:tcPr>
          <w:p w:rsidR="00FD450A" w:rsidRPr="00B52C9D" w:rsidRDefault="00FD450A" w:rsidP="00C93749">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FD450A" w:rsidRPr="00B52C9D" w:rsidTr="00C937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FD450A" w:rsidRPr="00B52C9D" w:rsidRDefault="00FD450A" w:rsidP="00C93749">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FD450A" w:rsidRPr="00B52C9D" w:rsidRDefault="00FD450A" w:rsidP="00C93749">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FD450A" w:rsidRPr="00B52C9D" w:rsidTr="00C9374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FD450A" w:rsidRPr="00B52C9D" w:rsidRDefault="00FD450A" w:rsidP="00C93749">
            <w:pPr>
              <w:spacing w:before="60" w:after="60"/>
              <w:rPr>
                <w:sz w:val="22"/>
              </w:rPr>
            </w:pPr>
            <w:r w:rsidRPr="00B52C9D">
              <w:rPr>
                <w:sz w:val="22"/>
              </w:rPr>
              <w:t>Action-orientation &amp; accountability</w:t>
            </w:r>
          </w:p>
        </w:tc>
        <w:tc>
          <w:tcPr>
            <w:tcW w:w="7371" w:type="dxa"/>
            <w:tcBorders>
              <w:top w:val="nil"/>
              <w:bottom w:val="single" w:sz="8" w:space="0" w:color="000000" w:themeColor="text1"/>
            </w:tcBorders>
            <w:shd w:val="clear" w:color="auto" w:fill="FFFFFF"/>
          </w:tcPr>
          <w:p w:rsidR="00FD450A" w:rsidRPr="00B52C9D" w:rsidRDefault="00FD450A" w:rsidP="00C93749">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r>
              <w:rPr>
                <w:sz w:val="22"/>
              </w:rPr>
              <w:t>What are the cost implications of the Resolution for ITU-D, in terms of implementation budget and related costs?</w:t>
            </w:r>
          </w:p>
        </w:tc>
      </w:tr>
    </w:tbl>
    <w:p w:rsidR="00FD450A" w:rsidRDefault="00FD450A" w:rsidP="00FD450A">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FD450A" w:rsidRDefault="00FD450A" w:rsidP="00FD450A">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Resolution can be viewed as fulfilled and </w:t>
      </w:r>
      <w:r>
        <w:rPr>
          <w:szCs w:val="24"/>
        </w:rPr>
        <w:t>removed</w:t>
      </w:r>
      <w:r w:rsidRPr="006400D1">
        <w:rPr>
          <w:szCs w:val="24"/>
        </w:rPr>
        <w:t>.</w:t>
      </w:r>
    </w:p>
    <w:p w:rsidR="00FD450A" w:rsidRPr="00014EFB" w:rsidRDefault="00FD450A" w:rsidP="00FD450A">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FD450A" w:rsidRPr="002828A4" w:rsidRDefault="00FD450A" w:rsidP="00FD450A">
      <w:pPr>
        <w:rPr>
          <w:b/>
        </w:rPr>
      </w:pPr>
      <w:r w:rsidRPr="002828A4">
        <w:t>If only editorial updates are required to a WTDC Resolution, the need to produce a revised version should be questioned.</w:t>
      </w:r>
    </w:p>
    <w:p w:rsidR="00FD450A" w:rsidRDefault="00FD450A" w:rsidP="00FD450A">
      <w:pPr>
        <w:pStyle w:val="Heading4"/>
        <w:tabs>
          <w:tab w:val="clear" w:pos="992"/>
          <w:tab w:val="clear" w:pos="1191"/>
          <w:tab w:val="clear" w:pos="1588"/>
          <w:tab w:val="clear" w:pos="1985"/>
          <w:tab w:val="left" w:pos="567"/>
          <w:tab w:val="left" w:pos="1134"/>
          <w:tab w:val="left" w:pos="1701"/>
        </w:tabs>
        <w:spacing w:before="240" w:after="120"/>
        <w:ind w:left="567" w:hanging="567"/>
      </w:pPr>
      <w:r>
        <w:t xml:space="preserve">B. </w:t>
      </w:r>
      <w:r>
        <w:tab/>
        <w:t xml:space="preserve">Guidelines for drafting new WTDC Resolutions </w:t>
      </w:r>
    </w:p>
    <w:p w:rsidR="00FD450A" w:rsidRPr="00C47B89" w:rsidRDefault="00FD450A" w:rsidP="00FD450A">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Pr="00C47B89">
        <w:rPr>
          <w:lang w:val="en-US"/>
        </w:rPr>
        <w:t>agreed development agendas.</w:t>
      </w:r>
    </w:p>
    <w:p w:rsidR="00FD450A" w:rsidRPr="00C47B89" w:rsidRDefault="00FD450A" w:rsidP="00FD450A">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FD450A" w:rsidRPr="00C47B89"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47B89">
        <w:rPr>
          <w:lang w:val="en-US"/>
        </w:rPr>
        <w:t>esolutions should be aligned an</w:t>
      </w:r>
      <w:r>
        <w:rPr>
          <w:lang w:val="en-US"/>
        </w:rPr>
        <w:t>d harmonized with existing ones;</w:t>
      </w:r>
    </w:p>
    <w:p w:rsidR="00FD450A" w:rsidRPr="00C47B89"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or an issue that represents a significant new or unaddressed challenge related to </w:t>
      </w:r>
      <w:r>
        <w:rPr>
          <w:lang w:val="en-US"/>
        </w:rPr>
        <w:t>telecommunications/</w:t>
      </w:r>
      <w:r w:rsidRPr="00C47B89">
        <w:rPr>
          <w:lang w:val="en-US"/>
        </w:rPr>
        <w:t>I</w:t>
      </w:r>
      <w:r>
        <w:rPr>
          <w:lang w:val="en-US"/>
        </w:rPr>
        <w:t>CT development or public policy;</w:t>
      </w:r>
    </w:p>
    <w:p w:rsidR="00FD450A" w:rsidRPr="00C47B89"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FD450A" w:rsidRPr="00BC06AF"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FD450A" w:rsidRPr="00C47B89"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esolutions involve</w:t>
      </w:r>
      <w:r>
        <w:rPr>
          <w:lang w:val="en-US"/>
        </w:rPr>
        <w:t>s</w:t>
      </w:r>
      <w:r w:rsidRPr="00C47B89">
        <w:rPr>
          <w:lang w:val="en-US"/>
        </w:rPr>
        <w:t xml:space="preserve"> subjects alr</w:t>
      </w:r>
      <w:r>
        <w:rPr>
          <w:lang w:val="en-US"/>
        </w:rPr>
        <w:t>eady covered by internationally-</w:t>
      </w:r>
      <w:r w:rsidRPr="00C47B89">
        <w:rPr>
          <w:lang w:val="en-US"/>
        </w:rPr>
        <w:t>agreed development goals</w:t>
      </w:r>
      <w:r>
        <w:rPr>
          <w:lang w:val="en-US"/>
        </w:rPr>
        <w:t>,</w:t>
      </w:r>
      <w:r w:rsidRPr="00C47B89">
        <w:rPr>
          <w:lang w:val="en-US"/>
        </w:rPr>
        <w:t xml:space="preserve"> </w:t>
      </w:r>
      <w:r w:rsidRPr="00C47B89">
        <w:rPr>
          <w:lang w:val="en-US"/>
        </w:rPr>
        <w:lastRenderedPageBreak/>
        <w:t xml:space="preserve">such as the Sustainable Development Goals (SDGs) and the goals of the World Summit on the Information Society (WSIS), as those are also already established as reporting </w:t>
      </w:r>
      <w:r>
        <w:rPr>
          <w:lang w:val="en-US"/>
        </w:rPr>
        <w:t>lines;</w:t>
      </w:r>
    </w:p>
    <w:p w:rsidR="00FD450A" w:rsidRPr="00B52C9D"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FD450A"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760B0">
        <w:rPr>
          <w:lang w:val="en-US"/>
        </w:rPr>
        <w:t>esolutions should be backed by more than o</w:t>
      </w:r>
      <w:r>
        <w:rPr>
          <w:lang w:val="en-US"/>
        </w:rPr>
        <w:t>ne Member State Administrations.</w:t>
      </w:r>
    </w:p>
    <w:p w:rsidR="00FD450A" w:rsidRPr="002828A4" w:rsidRDefault="00FD450A" w:rsidP="00FD450A">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p w:rsidR="00B5337E" w:rsidRDefault="00B5337E">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0796E" w:rsidRDefault="0070796E" w:rsidP="00A140EB">
      <w:pPr>
        <w:rPr>
          <w:szCs w:val="24"/>
        </w:rPr>
      </w:pPr>
    </w:p>
    <w:p w:rsidR="00B5337E" w:rsidRPr="005228D6" w:rsidRDefault="00B5337E" w:rsidP="0014519C">
      <w:pPr>
        <w:jc w:val="center"/>
        <w:rPr>
          <w:b/>
          <w:bCs/>
          <w:szCs w:val="24"/>
        </w:rPr>
      </w:pPr>
      <w:r w:rsidRPr="005228D6">
        <w:rPr>
          <w:b/>
          <w:bCs/>
          <w:szCs w:val="24"/>
        </w:rPr>
        <w:t xml:space="preserve">ANNEX </w:t>
      </w:r>
      <w:r w:rsidR="0014519C" w:rsidRPr="005228D6">
        <w:rPr>
          <w:b/>
          <w:bCs/>
          <w:szCs w:val="24"/>
        </w:rPr>
        <w:t>2</w:t>
      </w:r>
    </w:p>
    <w:p w:rsidR="00442D59" w:rsidRDefault="00442D59" w:rsidP="00C104E9">
      <w:pPr>
        <w:jc w:val="center"/>
        <w:rPr>
          <w:szCs w:val="24"/>
        </w:rPr>
      </w:pPr>
      <w:r w:rsidRPr="000E0ADC">
        <w:rPr>
          <w:rFonts w:eastAsia="SimHei" w:cs="Simplified Arabic"/>
          <w:b/>
          <w:bCs/>
          <w:szCs w:val="22"/>
        </w:rPr>
        <w:t xml:space="preserve">DRAFT </w:t>
      </w:r>
      <w:r w:rsidRPr="000E0ADC">
        <w:rPr>
          <w:b/>
          <w:bCs/>
        </w:rPr>
        <w:t>REVISED GUIDELINES FOR STREAMLINING WTDC RESOLUTIONS</w:t>
      </w:r>
    </w:p>
    <w:p w:rsidR="00B5337E" w:rsidRPr="003A48B8" w:rsidRDefault="00B5337E" w:rsidP="00C104E9">
      <w:pPr>
        <w:pStyle w:val="Heading1RES"/>
        <w:tabs>
          <w:tab w:val="clear" w:pos="794"/>
          <w:tab w:val="clear" w:pos="1191"/>
          <w:tab w:val="clear" w:pos="1588"/>
          <w:tab w:val="clear" w:pos="1985"/>
          <w:tab w:val="left" w:pos="567"/>
          <w:tab w:val="left" w:pos="1134"/>
          <w:tab w:val="left" w:pos="1701"/>
        </w:tabs>
        <w:spacing w:before="36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B5337E" w:rsidRPr="00D022F8" w:rsidRDefault="00B5337E" w:rsidP="00B5337E">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B5337E" w:rsidRPr="00B52C9D" w:rsidTr="00FA17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B5337E" w:rsidRPr="00B52C9D" w:rsidRDefault="00B5337E" w:rsidP="00FA171C">
            <w:pPr>
              <w:spacing w:after="120"/>
              <w:rPr>
                <w:sz w:val="22"/>
              </w:rPr>
            </w:pPr>
            <w:r w:rsidRPr="00B52C9D">
              <w:rPr>
                <w:sz w:val="22"/>
              </w:rPr>
              <w:t>Principle</w:t>
            </w:r>
          </w:p>
        </w:tc>
        <w:tc>
          <w:tcPr>
            <w:tcW w:w="7371" w:type="dxa"/>
          </w:tcPr>
          <w:p w:rsidR="00B5337E" w:rsidRPr="00B52C9D" w:rsidRDefault="00B5337E" w:rsidP="00FA171C">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B5337E" w:rsidRPr="00B52C9D" w:rsidTr="00FA17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B5337E" w:rsidRPr="00B52C9D" w:rsidRDefault="00B5337E" w:rsidP="00FA171C">
            <w:pPr>
              <w:spacing w:before="60" w:after="60"/>
              <w:rPr>
                <w:sz w:val="22"/>
              </w:rPr>
            </w:pPr>
            <w:r w:rsidRPr="00B52C9D">
              <w:rPr>
                <w:sz w:val="22"/>
              </w:rPr>
              <w:t xml:space="preserve">Coherence </w:t>
            </w:r>
            <w:r w:rsidRPr="00B52C9D">
              <w:rPr>
                <w:sz w:val="22"/>
              </w:rPr>
              <w:br/>
              <w:t>&amp; Consistency</w:t>
            </w:r>
          </w:p>
        </w:tc>
        <w:tc>
          <w:tcPr>
            <w:tcW w:w="7371" w:type="dxa"/>
            <w:tcBorders>
              <w:top w:val="nil"/>
              <w:bottom w:val="nil"/>
            </w:tcBorders>
            <w:shd w:val="clear" w:color="auto" w:fill="F2F2F2" w:themeFill="background1" w:themeFillShade="F2"/>
          </w:tcPr>
          <w:p w:rsidR="00B5337E" w:rsidRPr="00B52C9D" w:rsidRDefault="00B5337E" w:rsidP="00FA171C">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B5337E" w:rsidRPr="00B52C9D" w:rsidTr="00FA171C">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B5337E" w:rsidRPr="00B52C9D" w:rsidRDefault="00B5337E" w:rsidP="00FA171C">
            <w:pPr>
              <w:spacing w:before="60" w:after="60"/>
              <w:rPr>
                <w:sz w:val="22"/>
              </w:rPr>
            </w:pPr>
            <w:r w:rsidRPr="00B52C9D">
              <w:rPr>
                <w:sz w:val="22"/>
              </w:rPr>
              <w:t>Overlap</w:t>
            </w:r>
            <w:r>
              <w:rPr>
                <w:sz w:val="22"/>
              </w:rPr>
              <w:t xml:space="preserve"> &amp; duplication</w:t>
            </w:r>
          </w:p>
        </w:tc>
        <w:tc>
          <w:tcPr>
            <w:tcW w:w="7371" w:type="dxa"/>
            <w:tcBorders>
              <w:top w:val="nil"/>
              <w:bottom w:val="nil"/>
            </w:tcBorders>
            <w:shd w:val="clear" w:color="auto" w:fill="FFFFFF"/>
          </w:tcPr>
          <w:p w:rsidR="00B5337E" w:rsidRPr="00B52C9D" w:rsidRDefault="00B5337E" w:rsidP="00FA171C">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B5337E" w:rsidRPr="00B52C9D" w:rsidTr="00FA17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B5337E" w:rsidRPr="00B52C9D" w:rsidRDefault="00B5337E" w:rsidP="00FA171C">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B5337E" w:rsidRPr="00B52C9D" w:rsidRDefault="00B5337E" w:rsidP="00FA171C">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B5337E" w:rsidRPr="00B52C9D" w:rsidTr="00FA171C">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B5337E" w:rsidRPr="00B52C9D" w:rsidRDefault="00B5337E" w:rsidP="00FA171C">
            <w:pPr>
              <w:spacing w:before="60" w:after="60"/>
              <w:rPr>
                <w:sz w:val="22"/>
              </w:rPr>
            </w:pPr>
            <w:r w:rsidRPr="00B52C9D">
              <w:rPr>
                <w:sz w:val="22"/>
              </w:rPr>
              <w:t>Action-orientation &amp; accountability</w:t>
            </w:r>
          </w:p>
        </w:tc>
        <w:tc>
          <w:tcPr>
            <w:tcW w:w="7371" w:type="dxa"/>
            <w:tcBorders>
              <w:top w:val="nil"/>
              <w:bottom w:val="single" w:sz="8" w:space="0" w:color="000000" w:themeColor="text1"/>
            </w:tcBorders>
            <w:shd w:val="clear" w:color="auto" w:fill="FFFFFF"/>
          </w:tcPr>
          <w:p w:rsidR="00B5337E" w:rsidRPr="00B52C9D" w:rsidRDefault="00B5337E" w:rsidP="00FA171C">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p>
        </w:tc>
      </w:tr>
    </w:tbl>
    <w:p w:rsidR="00B5337E" w:rsidRDefault="00B5337E" w:rsidP="00C104E9">
      <w:pPr>
        <w:tabs>
          <w:tab w:val="clear" w:pos="794"/>
          <w:tab w:val="clear" w:pos="1191"/>
          <w:tab w:val="clear" w:pos="1588"/>
          <w:tab w:val="clear" w:pos="1985"/>
          <w:tab w:val="left" w:pos="851"/>
          <w:tab w:val="left" w:pos="1134"/>
          <w:tab w:val="left" w:pos="1701"/>
        </w:tabs>
        <w:spacing w:before="240"/>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B5337E" w:rsidRDefault="00B5337E" w:rsidP="00B5337E">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Resolution can be viewed as fulfilled and </w:t>
      </w:r>
      <w:r>
        <w:rPr>
          <w:szCs w:val="24"/>
        </w:rPr>
        <w:t>removed</w:t>
      </w:r>
      <w:r w:rsidRPr="006400D1">
        <w:rPr>
          <w:szCs w:val="24"/>
        </w:rPr>
        <w:t>.</w:t>
      </w:r>
    </w:p>
    <w:p w:rsidR="00B5337E" w:rsidRPr="00014EFB" w:rsidRDefault="00B5337E" w:rsidP="00B5337E">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B5337E" w:rsidRPr="002828A4" w:rsidRDefault="00B5337E" w:rsidP="00B5337E">
      <w:pPr>
        <w:pStyle w:val="Heading4"/>
        <w:keepNext w:val="0"/>
        <w:keepLines w:val="0"/>
        <w:tabs>
          <w:tab w:val="clear" w:pos="992"/>
          <w:tab w:val="clear" w:pos="1191"/>
          <w:tab w:val="clear" w:pos="1588"/>
          <w:tab w:val="clear" w:pos="1985"/>
          <w:tab w:val="left" w:pos="851"/>
          <w:tab w:val="left" w:pos="1134"/>
          <w:tab w:val="left" w:pos="1701"/>
        </w:tabs>
        <w:spacing w:before="120"/>
        <w:ind w:left="0" w:firstLine="0"/>
        <w:rPr>
          <w:b w:val="0"/>
          <w:bCs/>
        </w:rPr>
      </w:pPr>
      <w:r w:rsidRPr="002828A4">
        <w:rPr>
          <w:b w:val="0"/>
          <w:bCs/>
        </w:rPr>
        <w:t>If only editorial updates are required to a WTDC Resolution, the need to produce a revised version should be questioned.</w:t>
      </w:r>
    </w:p>
    <w:p w:rsidR="00B5337E" w:rsidRDefault="00B5337E" w:rsidP="00C104E9">
      <w:pPr>
        <w:pStyle w:val="Heading4"/>
        <w:tabs>
          <w:tab w:val="clear" w:pos="992"/>
          <w:tab w:val="clear" w:pos="1191"/>
          <w:tab w:val="clear" w:pos="1588"/>
          <w:tab w:val="clear" w:pos="1985"/>
          <w:tab w:val="left" w:pos="567"/>
          <w:tab w:val="left" w:pos="1134"/>
          <w:tab w:val="left" w:pos="1701"/>
        </w:tabs>
        <w:spacing w:before="360" w:after="120"/>
        <w:ind w:left="567" w:hanging="567"/>
      </w:pPr>
      <w:r>
        <w:t xml:space="preserve">B. </w:t>
      </w:r>
      <w:r>
        <w:tab/>
        <w:t xml:space="preserve">Guidelines for drafting new WTDC Resolutions </w:t>
      </w:r>
    </w:p>
    <w:p w:rsidR="00B5337E" w:rsidRPr="00C47B89" w:rsidRDefault="00B5337E" w:rsidP="00B5337E">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Pr="00C47B89">
        <w:rPr>
          <w:lang w:val="en-US"/>
        </w:rPr>
        <w:t>agreed development agendas.</w:t>
      </w:r>
    </w:p>
    <w:p w:rsidR="00B5337E" w:rsidRPr="00C47B89" w:rsidRDefault="00B5337E" w:rsidP="00B5337E">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B5337E" w:rsidRPr="00C47B89"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47B89">
        <w:rPr>
          <w:lang w:val="en-US"/>
        </w:rPr>
        <w:t>esolutions should be aligned an</w:t>
      </w:r>
      <w:r>
        <w:rPr>
          <w:lang w:val="en-US"/>
        </w:rPr>
        <w:t>d harmonized with existing ones;</w:t>
      </w:r>
    </w:p>
    <w:p w:rsidR="00B5337E" w:rsidRPr="00C47B89"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sidRPr="00C47B89">
        <w:rPr>
          <w:lang w:val="en-US"/>
        </w:rPr>
        <w:t xml:space="preserve">New proposed </w:t>
      </w:r>
      <w:r>
        <w:rPr>
          <w:lang w:val="en-US"/>
        </w:rPr>
        <w:t>R</w:t>
      </w:r>
      <w:r w:rsidRPr="00C47B89">
        <w:rPr>
          <w:lang w:val="en-US"/>
        </w:rPr>
        <w:t>esolutions should involve a distinct new subject within the scope of BDT or an issue that represents a significant new or unaddressed challenge related to I</w:t>
      </w:r>
      <w:r>
        <w:rPr>
          <w:lang w:val="en-US"/>
        </w:rPr>
        <w:t>CT development or public policy;</w:t>
      </w:r>
    </w:p>
    <w:p w:rsidR="00B5337E" w:rsidRPr="00C47B89"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B5337E" w:rsidRPr="00BC06AF"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B5337E" w:rsidRPr="00C47B89"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lastRenderedPageBreak/>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esolutions involve</w:t>
      </w:r>
      <w:r>
        <w:rPr>
          <w:lang w:val="en-US"/>
        </w:rPr>
        <w:t>s</w:t>
      </w:r>
      <w:r w:rsidRPr="00C47B89">
        <w:rPr>
          <w:lang w:val="en-US"/>
        </w:rPr>
        <w:t xml:space="preserve"> subjects alr</w:t>
      </w:r>
      <w:r>
        <w:rPr>
          <w:lang w:val="en-US"/>
        </w:rPr>
        <w:t>eady covered by internationally-</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B5337E" w:rsidRPr="00B52C9D"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B5337E"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760B0">
        <w:rPr>
          <w:lang w:val="en-US"/>
        </w:rPr>
        <w:t>esolutions should be backed by more than o</w:t>
      </w:r>
      <w:r>
        <w:rPr>
          <w:lang w:val="en-US"/>
        </w:rPr>
        <w:t>ne Member State Administrations.</w:t>
      </w:r>
    </w:p>
    <w:p w:rsidR="00B5337E" w:rsidRPr="002828A4" w:rsidRDefault="00B5337E" w:rsidP="00B5337E">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p w:rsidR="00B5337E" w:rsidRPr="00A85B85" w:rsidRDefault="00B5337E" w:rsidP="00B5337E">
      <w:pPr>
        <w:tabs>
          <w:tab w:val="clear" w:pos="794"/>
          <w:tab w:val="clear" w:pos="1191"/>
          <w:tab w:val="clear" w:pos="1588"/>
          <w:tab w:val="clear" w:pos="1985"/>
        </w:tabs>
        <w:overflowPunct/>
        <w:autoSpaceDE/>
        <w:autoSpaceDN/>
        <w:adjustRightInd/>
        <w:spacing w:before="960" w:after="240"/>
        <w:textAlignment w:val="auto"/>
        <w:rPr>
          <w:b/>
          <w:bCs/>
          <w:szCs w:val="24"/>
        </w:rPr>
      </w:pPr>
    </w:p>
    <w:p w:rsidR="00B5337E" w:rsidRPr="0084734D" w:rsidRDefault="00B5337E" w:rsidP="00A140EB">
      <w:pPr>
        <w:rPr>
          <w:szCs w:val="24"/>
        </w:rPr>
      </w:pPr>
    </w:p>
    <w:sectPr w:rsidR="00B5337E" w:rsidRPr="0084734D" w:rsidSect="005D4470">
      <w:headerReference w:type="even" r:id="rId27"/>
      <w:headerReference w:type="default" r:id="rId28"/>
      <w:footerReference w:type="even" r:id="rId29"/>
      <w:footerReference w:type="default" r:id="rId30"/>
      <w:headerReference w:type="first" r:id="rId31"/>
      <w:footerReference w:type="first" r:id="rId32"/>
      <w:pgSz w:w="11909" w:h="16834" w:code="9"/>
      <w:pgMar w:top="1135"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80A" w:rsidRDefault="00AD180A">
      <w:r>
        <w:separator/>
      </w:r>
    </w:p>
  </w:endnote>
  <w:endnote w:type="continuationSeparator" w:id="0">
    <w:p w:rsidR="00AD180A" w:rsidRDefault="00AD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36" w:rsidRDefault="00EF4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36" w:rsidRDefault="00EF4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6760" w:type="dxa"/>
      <w:tblLayout w:type="fixed"/>
      <w:tblLook w:val="04A0" w:firstRow="1" w:lastRow="0" w:firstColumn="1" w:lastColumn="0" w:noHBand="0" w:noVBand="1"/>
    </w:tblPr>
    <w:tblGrid>
      <w:gridCol w:w="1526"/>
      <w:gridCol w:w="2410"/>
      <w:gridCol w:w="6412"/>
      <w:gridCol w:w="6412"/>
    </w:tblGrid>
    <w:tr w:rsidR="00C10C01" w:rsidRPr="004D495C" w:rsidTr="00C10C01">
      <w:tc>
        <w:tcPr>
          <w:tcW w:w="1526" w:type="dxa"/>
          <w:tcBorders>
            <w:top w:val="single" w:sz="4" w:space="0" w:color="000000"/>
          </w:tcBorders>
          <w:shd w:val="clear" w:color="auto" w:fill="auto"/>
        </w:tcPr>
        <w:p w:rsidR="00C10C01" w:rsidRPr="004D495C" w:rsidRDefault="00C10C01" w:rsidP="00C10C0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10C01" w:rsidRPr="00C10C01" w:rsidRDefault="00C10C01" w:rsidP="00C10C01">
          <w:pPr>
            <w:pStyle w:val="FirstFooter"/>
            <w:tabs>
              <w:tab w:val="left" w:pos="2302"/>
            </w:tabs>
            <w:ind w:left="2302" w:hanging="2302"/>
            <w:rPr>
              <w:sz w:val="18"/>
              <w:szCs w:val="18"/>
              <w:lang w:val="en-US"/>
            </w:rPr>
          </w:pPr>
          <w:r w:rsidRPr="00C10C01">
            <w:rPr>
              <w:sz w:val="18"/>
              <w:szCs w:val="18"/>
              <w:lang w:val="en-US"/>
            </w:rPr>
            <w:t>Name/Organization/Entity:</w:t>
          </w:r>
        </w:p>
      </w:tc>
      <w:tc>
        <w:tcPr>
          <w:tcW w:w="6412" w:type="dxa"/>
          <w:tcBorders>
            <w:top w:val="single" w:sz="4" w:space="0" w:color="000000"/>
          </w:tcBorders>
        </w:tcPr>
        <w:p w:rsidR="00C10C01" w:rsidRPr="00DC3978" w:rsidRDefault="00C10C01" w:rsidP="00C10C01">
          <w:pPr>
            <w:pStyle w:val="FirstFooter"/>
            <w:tabs>
              <w:tab w:val="left" w:pos="2302"/>
            </w:tabs>
            <w:rPr>
              <w:sz w:val="18"/>
              <w:szCs w:val="18"/>
              <w:lang w:val="en-US"/>
            </w:rPr>
          </w:pPr>
          <w:r w:rsidRPr="00DC3978">
            <w:rPr>
              <w:sz w:val="18"/>
              <w:szCs w:val="18"/>
              <w:lang w:val="en-US"/>
            </w:rPr>
            <w:t>Mr Kemal Huseinovic, Chief, Infrastructure, Enabling Environment and</w:t>
          </w:r>
          <w:r>
            <w:rPr>
              <w:sz w:val="18"/>
              <w:szCs w:val="18"/>
              <w:lang w:val="en-US"/>
            </w:rPr>
            <w:t xml:space="preserve"> E-Applications Department (</w:t>
          </w:r>
          <w:r w:rsidRPr="00DC3978">
            <w:rPr>
              <w:sz w:val="18"/>
              <w:szCs w:val="18"/>
              <w:lang w:val="en-US"/>
            </w:rPr>
            <w:t>IEE)</w:t>
          </w:r>
          <w:r>
            <w:rPr>
              <w:sz w:val="18"/>
              <w:szCs w:val="18"/>
              <w:lang w:val="en-US"/>
            </w:rPr>
            <w:t>, BDT</w:t>
          </w:r>
        </w:p>
      </w:tc>
      <w:tc>
        <w:tcPr>
          <w:tcW w:w="6412" w:type="dxa"/>
          <w:tcBorders>
            <w:top w:val="single" w:sz="4" w:space="0" w:color="000000"/>
          </w:tcBorders>
          <w:shd w:val="clear" w:color="auto" w:fill="auto"/>
        </w:tcPr>
        <w:p w:rsidR="00C10C01" w:rsidRPr="004D495C" w:rsidRDefault="00C10C01" w:rsidP="00C10C01">
          <w:pPr>
            <w:pStyle w:val="FirstFooter"/>
            <w:tabs>
              <w:tab w:val="left" w:pos="2302"/>
            </w:tabs>
            <w:ind w:left="2302" w:hanging="2302"/>
            <w:rPr>
              <w:sz w:val="18"/>
              <w:szCs w:val="18"/>
              <w:highlight w:val="yellow"/>
              <w:lang w:val="en-US"/>
            </w:rPr>
          </w:pPr>
          <w:bookmarkStart w:id="12" w:name="OrgName"/>
          <w:bookmarkEnd w:id="12"/>
        </w:p>
      </w:tc>
    </w:tr>
    <w:tr w:rsidR="00C10C01" w:rsidRPr="004D495C" w:rsidTr="00C10C01">
      <w:tc>
        <w:tcPr>
          <w:tcW w:w="1526" w:type="dxa"/>
          <w:shd w:val="clear" w:color="auto" w:fill="auto"/>
        </w:tcPr>
        <w:p w:rsidR="00C10C01" w:rsidRPr="004D495C" w:rsidRDefault="00C10C01" w:rsidP="00C10C01">
          <w:pPr>
            <w:pStyle w:val="FirstFooter"/>
            <w:tabs>
              <w:tab w:val="left" w:pos="1559"/>
              <w:tab w:val="left" w:pos="3828"/>
            </w:tabs>
            <w:rPr>
              <w:sz w:val="20"/>
              <w:lang w:val="en-US"/>
            </w:rPr>
          </w:pPr>
        </w:p>
      </w:tc>
      <w:tc>
        <w:tcPr>
          <w:tcW w:w="2410" w:type="dxa"/>
          <w:shd w:val="clear" w:color="auto" w:fill="auto"/>
        </w:tcPr>
        <w:p w:rsidR="00C10C01" w:rsidRPr="00C10C01" w:rsidRDefault="00C10C01" w:rsidP="00C10C01">
          <w:pPr>
            <w:pStyle w:val="FirstFooter"/>
            <w:tabs>
              <w:tab w:val="left" w:pos="2302"/>
            </w:tabs>
            <w:rPr>
              <w:sz w:val="18"/>
              <w:szCs w:val="18"/>
              <w:lang w:val="en-US"/>
            </w:rPr>
          </w:pPr>
          <w:r w:rsidRPr="00C10C01">
            <w:rPr>
              <w:sz w:val="18"/>
              <w:szCs w:val="18"/>
              <w:lang w:val="en-US"/>
            </w:rPr>
            <w:t>Phone number:</w:t>
          </w:r>
        </w:p>
      </w:tc>
      <w:tc>
        <w:tcPr>
          <w:tcW w:w="6412" w:type="dxa"/>
        </w:tcPr>
        <w:p w:rsidR="00C10C01" w:rsidRPr="00DC3978" w:rsidRDefault="00C10C01" w:rsidP="00C10C01">
          <w:pPr>
            <w:pStyle w:val="FirstFooter"/>
            <w:tabs>
              <w:tab w:val="left" w:pos="2302"/>
            </w:tabs>
            <w:rPr>
              <w:sz w:val="18"/>
              <w:szCs w:val="18"/>
              <w:lang w:val="en-US"/>
            </w:rPr>
          </w:pPr>
          <w:r w:rsidRPr="00DC3978">
            <w:rPr>
              <w:sz w:val="18"/>
              <w:szCs w:val="18"/>
              <w:lang w:val="en-US"/>
            </w:rPr>
            <w:t>+41 22 730</w:t>
          </w:r>
          <w:r>
            <w:rPr>
              <w:sz w:val="18"/>
              <w:szCs w:val="18"/>
              <w:lang w:val="en-US"/>
            </w:rPr>
            <w:t xml:space="preserve"> </w:t>
          </w:r>
          <w:r w:rsidRPr="00DC3978">
            <w:rPr>
              <w:sz w:val="18"/>
              <w:szCs w:val="18"/>
              <w:lang w:val="en-US"/>
            </w:rPr>
            <w:t>5421</w:t>
          </w:r>
        </w:p>
      </w:tc>
      <w:tc>
        <w:tcPr>
          <w:tcW w:w="6412" w:type="dxa"/>
          <w:shd w:val="clear" w:color="auto" w:fill="auto"/>
        </w:tcPr>
        <w:p w:rsidR="00C10C01" w:rsidRPr="004D495C" w:rsidRDefault="00C10C01" w:rsidP="00C10C01">
          <w:pPr>
            <w:pStyle w:val="FirstFooter"/>
            <w:tabs>
              <w:tab w:val="left" w:pos="2302"/>
            </w:tabs>
            <w:rPr>
              <w:sz w:val="18"/>
              <w:szCs w:val="18"/>
              <w:highlight w:val="yellow"/>
              <w:lang w:val="en-US"/>
            </w:rPr>
          </w:pPr>
          <w:bookmarkStart w:id="13" w:name="PhoneNo"/>
          <w:bookmarkEnd w:id="13"/>
        </w:p>
      </w:tc>
    </w:tr>
    <w:tr w:rsidR="00C10C01" w:rsidRPr="004D495C" w:rsidTr="00C10C01">
      <w:tc>
        <w:tcPr>
          <w:tcW w:w="1526" w:type="dxa"/>
          <w:shd w:val="clear" w:color="auto" w:fill="auto"/>
        </w:tcPr>
        <w:p w:rsidR="00C10C01" w:rsidRPr="004D495C" w:rsidRDefault="00C10C01" w:rsidP="00C10C01">
          <w:pPr>
            <w:pStyle w:val="FirstFooter"/>
            <w:tabs>
              <w:tab w:val="left" w:pos="1559"/>
              <w:tab w:val="left" w:pos="3828"/>
            </w:tabs>
            <w:rPr>
              <w:sz w:val="20"/>
              <w:lang w:val="en-US"/>
            </w:rPr>
          </w:pPr>
        </w:p>
      </w:tc>
      <w:tc>
        <w:tcPr>
          <w:tcW w:w="2410" w:type="dxa"/>
          <w:shd w:val="clear" w:color="auto" w:fill="auto"/>
        </w:tcPr>
        <w:p w:rsidR="00C10C01" w:rsidRPr="00C10C01" w:rsidRDefault="00C10C01" w:rsidP="00C10C01">
          <w:pPr>
            <w:pStyle w:val="FirstFooter"/>
            <w:tabs>
              <w:tab w:val="left" w:pos="2302"/>
            </w:tabs>
            <w:rPr>
              <w:sz w:val="18"/>
              <w:szCs w:val="18"/>
              <w:lang w:val="en-US"/>
            </w:rPr>
          </w:pPr>
          <w:r w:rsidRPr="00C10C01">
            <w:rPr>
              <w:sz w:val="18"/>
              <w:szCs w:val="18"/>
              <w:lang w:val="en-US"/>
            </w:rPr>
            <w:t>E-mail:</w:t>
          </w:r>
        </w:p>
      </w:tc>
      <w:tc>
        <w:tcPr>
          <w:tcW w:w="6412" w:type="dxa"/>
        </w:tcPr>
        <w:p w:rsidR="00C10C01" w:rsidRPr="00DC3978" w:rsidRDefault="00EF4136" w:rsidP="00C10C01">
          <w:pPr>
            <w:pStyle w:val="FirstFooter"/>
            <w:tabs>
              <w:tab w:val="left" w:pos="2302"/>
            </w:tabs>
            <w:rPr>
              <w:sz w:val="18"/>
              <w:szCs w:val="18"/>
              <w:lang w:val="en-US"/>
            </w:rPr>
          </w:pPr>
          <w:hyperlink r:id="rId1" w:history="1">
            <w:r w:rsidR="00C10C01" w:rsidRPr="00DC3978">
              <w:rPr>
                <w:rStyle w:val="Hyperlink"/>
                <w:sz w:val="18"/>
                <w:szCs w:val="18"/>
                <w:lang w:val="en-US"/>
              </w:rPr>
              <w:t>kemal.huseinovic@itu.int</w:t>
            </w:r>
          </w:hyperlink>
          <w:r w:rsidR="00C10C01" w:rsidRPr="00DC3978">
            <w:rPr>
              <w:sz w:val="18"/>
              <w:szCs w:val="18"/>
              <w:lang w:val="en-US"/>
            </w:rPr>
            <w:t xml:space="preserve"> </w:t>
          </w:r>
        </w:p>
      </w:tc>
      <w:tc>
        <w:tcPr>
          <w:tcW w:w="6412" w:type="dxa"/>
          <w:shd w:val="clear" w:color="auto" w:fill="auto"/>
        </w:tcPr>
        <w:p w:rsidR="00C10C01" w:rsidRPr="004D495C" w:rsidRDefault="00C10C01" w:rsidP="00C10C01">
          <w:pPr>
            <w:pStyle w:val="FirstFooter"/>
            <w:tabs>
              <w:tab w:val="left" w:pos="2302"/>
            </w:tabs>
            <w:rPr>
              <w:sz w:val="18"/>
              <w:szCs w:val="18"/>
              <w:highlight w:val="yellow"/>
              <w:lang w:val="en-US"/>
            </w:rPr>
          </w:pPr>
          <w:bookmarkStart w:id="14" w:name="Email"/>
          <w:bookmarkEnd w:id="14"/>
        </w:p>
      </w:tc>
    </w:tr>
  </w:tbl>
  <w:p w:rsidR="00E2379D" w:rsidRPr="00C10C01" w:rsidRDefault="00EF4136" w:rsidP="00C10C01">
    <w:pPr>
      <w:pStyle w:val="FirstFooter"/>
      <w:tabs>
        <w:tab w:val="left" w:pos="1559"/>
        <w:tab w:val="left" w:pos="3828"/>
      </w:tabs>
      <w:spacing w:before="120"/>
      <w:jc w:val="center"/>
      <w:rPr>
        <w:sz w:val="18"/>
        <w:szCs w:val="18"/>
        <w:lang w:val="en-GB"/>
      </w:rPr>
    </w:pPr>
    <w:hyperlink r:id="rId2" w:history="1">
      <w:r w:rsidR="00C10C01" w:rsidRPr="00C10C01">
        <w:rPr>
          <w:rStyle w:val="Hyperlink"/>
          <w:sz w:val="20"/>
          <w:lang w:val="en-GB"/>
        </w:rPr>
        <w:t>http://www.itu.int/go/en/wtdc17rpm</w:t>
      </w:r>
    </w:hyperlink>
    <w:r w:rsidR="00C62651" w:rsidRPr="00C10C01">
      <w:rPr>
        <w:sz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80A" w:rsidRDefault="00AD180A">
      <w:r>
        <w:separator/>
      </w:r>
    </w:p>
  </w:footnote>
  <w:footnote w:type="continuationSeparator" w:id="0">
    <w:p w:rsidR="00AD180A" w:rsidRDefault="00AD1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36" w:rsidRDefault="00EF4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FF089C" w:rsidRDefault="00E2379D" w:rsidP="00EF4136">
    <w:pPr>
      <w:tabs>
        <w:tab w:val="clear" w:pos="794"/>
        <w:tab w:val="clear" w:pos="1191"/>
        <w:tab w:val="clear" w:pos="1588"/>
        <w:tab w:val="clear" w:pos="1985"/>
        <w:tab w:val="center" w:pos="5103"/>
        <w:tab w:val="right" w:pos="10206"/>
      </w:tabs>
      <w:spacing w:before="0" w:after="240"/>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00FF089C" w:rsidRPr="00FF089C">
      <w:rPr>
        <w:sz w:val="22"/>
        <w:szCs w:val="22"/>
        <w:lang w:val="es-ES_tradnl"/>
      </w:rPr>
      <w:t>RPM-</w:t>
    </w:r>
    <w:r w:rsidR="00EF4136">
      <w:rPr>
        <w:sz w:val="22"/>
        <w:szCs w:val="22"/>
        <w:lang w:val="es-ES_tradnl"/>
      </w:rPr>
      <w:t>EUR</w:t>
    </w:r>
    <w:bookmarkStart w:id="10" w:name="_GoBack"/>
    <w:bookmarkEnd w:id="10"/>
    <w:r w:rsidR="00FD450A" w:rsidRPr="00FD450A">
      <w:rPr>
        <w:sz w:val="22"/>
        <w:szCs w:val="22"/>
        <w:lang w:val="es-ES_tradnl"/>
      </w:rPr>
      <w:t>17</w:t>
    </w:r>
    <w:r w:rsidRPr="00FF089C">
      <w:rPr>
        <w:sz w:val="22"/>
        <w:szCs w:val="22"/>
        <w:lang w:val="es-ES_tradnl"/>
      </w:rPr>
      <w:t>/</w:t>
    </w:r>
    <w:bookmarkStart w:id="11" w:name="DocNo2"/>
    <w:bookmarkEnd w:id="11"/>
    <w:r w:rsidR="00DC304A">
      <w:rPr>
        <w:sz w:val="22"/>
        <w:szCs w:val="22"/>
        <w:lang w:val="es-ES_tradnl"/>
      </w:rPr>
      <w:t>1</w:t>
    </w:r>
    <w:r w:rsidR="00FF089C" w:rsidRPr="00FF089C">
      <w:rPr>
        <w:sz w:val="22"/>
        <w:szCs w:val="22"/>
        <w:lang w:val="es-ES_tradnl"/>
      </w:rPr>
      <w:t>1-E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F4136">
      <w:rPr>
        <w:noProof/>
        <w:sz w:val="22"/>
        <w:szCs w:val="22"/>
        <w:lang w:val="es-ES_tradnl"/>
      </w:rPr>
      <w:t>4</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36" w:rsidRDefault="00EF4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0B24ED4"/>
    <w:multiLevelType w:val="hybridMultilevel"/>
    <w:tmpl w:val="E0AA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4A49E8"/>
    <w:multiLevelType w:val="hybridMultilevel"/>
    <w:tmpl w:val="3E16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A057A8"/>
    <w:multiLevelType w:val="hybridMultilevel"/>
    <w:tmpl w:val="38EC45EE"/>
    <w:lvl w:ilvl="0" w:tplc="04090001">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D33DB"/>
    <w:multiLevelType w:val="hybridMultilevel"/>
    <w:tmpl w:val="44421446"/>
    <w:lvl w:ilvl="0" w:tplc="9E7C78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15:restartNumberingAfterBreak="0">
    <w:nsid w:val="63446B39"/>
    <w:multiLevelType w:val="hybridMultilevel"/>
    <w:tmpl w:val="64D821DE"/>
    <w:lvl w:ilvl="0" w:tplc="907C89A6">
      <w:start w:val="1"/>
      <w:numFmt w:val="bullet"/>
      <w:lvlText w:val=""/>
      <w:lvlJc w:val="left"/>
      <w:pPr>
        <w:ind w:left="720" w:hanging="360"/>
      </w:pPr>
      <w:rPr>
        <w:rFonts w:ascii="Wingdings" w:hAnsi="Wingdings" w:cs="Wingdings"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FA7479"/>
    <w:multiLevelType w:val="hybridMultilevel"/>
    <w:tmpl w:val="BADAC268"/>
    <w:lvl w:ilvl="0" w:tplc="9E7C78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2933956"/>
    <w:multiLevelType w:val="hybridMultilevel"/>
    <w:tmpl w:val="48DEF9CE"/>
    <w:lvl w:ilvl="0" w:tplc="9E7C78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7"/>
  </w:num>
  <w:num w:numId="14">
    <w:abstractNumId w:val="13"/>
  </w:num>
  <w:num w:numId="15">
    <w:abstractNumId w:val="17"/>
  </w:num>
  <w:num w:numId="16">
    <w:abstractNumId w:val="42"/>
  </w:num>
  <w:num w:numId="17">
    <w:abstractNumId w:val="31"/>
  </w:num>
  <w:num w:numId="18">
    <w:abstractNumId w:val="14"/>
  </w:num>
  <w:num w:numId="19">
    <w:abstractNumId w:val="18"/>
  </w:num>
  <w:num w:numId="20">
    <w:abstractNumId w:val="25"/>
  </w:num>
  <w:num w:numId="21">
    <w:abstractNumId w:val="35"/>
  </w:num>
  <w:num w:numId="22">
    <w:abstractNumId w:val="16"/>
  </w:num>
  <w:num w:numId="23">
    <w:abstractNumId w:val="19"/>
  </w:num>
  <w:num w:numId="24">
    <w:abstractNumId w:val="30"/>
  </w:num>
  <w:num w:numId="25">
    <w:abstractNumId w:val="30"/>
  </w:num>
  <w:num w:numId="26">
    <w:abstractNumId w:val="21"/>
  </w:num>
  <w:num w:numId="27">
    <w:abstractNumId w:val="15"/>
  </w:num>
  <w:num w:numId="28">
    <w:abstractNumId w:val="38"/>
  </w:num>
  <w:num w:numId="29">
    <w:abstractNumId w:val="11"/>
  </w:num>
  <w:num w:numId="30">
    <w:abstractNumId w:val="24"/>
  </w:num>
  <w:num w:numId="31">
    <w:abstractNumId w:val="40"/>
  </w:num>
  <w:num w:numId="32">
    <w:abstractNumId w:val="27"/>
  </w:num>
  <w:num w:numId="33">
    <w:abstractNumId w:val="12"/>
  </w:num>
  <w:num w:numId="34">
    <w:abstractNumId w:val="29"/>
  </w:num>
  <w:num w:numId="35">
    <w:abstractNumId w:val="20"/>
  </w:num>
  <w:num w:numId="36">
    <w:abstractNumId w:val="22"/>
  </w:num>
  <w:num w:numId="37">
    <w:abstractNumId w:val="28"/>
  </w:num>
  <w:num w:numId="38">
    <w:abstractNumId w:val="33"/>
  </w:num>
  <w:num w:numId="39">
    <w:abstractNumId w:val="41"/>
  </w:num>
  <w:num w:numId="40">
    <w:abstractNumId w:val="36"/>
  </w:num>
  <w:num w:numId="41">
    <w:abstractNumId w:val="26"/>
  </w:num>
  <w:num w:numId="42">
    <w:abstractNumId w:val="34"/>
  </w:num>
  <w:num w:numId="43">
    <w:abstractNumId w:val="3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CFA"/>
    <w:rsid w:val="00006684"/>
    <w:rsid w:val="00017BEC"/>
    <w:rsid w:val="00017E7D"/>
    <w:rsid w:val="00017E82"/>
    <w:rsid w:val="00021A72"/>
    <w:rsid w:val="000221F5"/>
    <w:rsid w:val="00022BFD"/>
    <w:rsid w:val="00032DD2"/>
    <w:rsid w:val="000370A8"/>
    <w:rsid w:val="0006050B"/>
    <w:rsid w:val="00080665"/>
    <w:rsid w:val="00081D70"/>
    <w:rsid w:val="00085784"/>
    <w:rsid w:val="0009676A"/>
    <w:rsid w:val="00097819"/>
    <w:rsid w:val="000A0187"/>
    <w:rsid w:val="000A3328"/>
    <w:rsid w:val="000D0403"/>
    <w:rsid w:val="000D190A"/>
    <w:rsid w:val="000D61A2"/>
    <w:rsid w:val="000D7961"/>
    <w:rsid w:val="000E397B"/>
    <w:rsid w:val="000E661B"/>
    <w:rsid w:val="000F1580"/>
    <w:rsid w:val="001229F6"/>
    <w:rsid w:val="0014519C"/>
    <w:rsid w:val="0015200D"/>
    <w:rsid w:val="0015553B"/>
    <w:rsid w:val="00161A5A"/>
    <w:rsid w:val="00166323"/>
    <w:rsid w:val="00170168"/>
    <w:rsid w:val="00170AB9"/>
    <w:rsid w:val="00181928"/>
    <w:rsid w:val="001856D7"/>
    <w:rsid w:val="00187E51"/>
    <w:rsid w:val="00192DBD"/>
    <w:rsid w:val="0019399A"/>
    <w:rsid w:val="001A52E9"/>
    <w:rsid w:val="001B4B9B"/>
    <w:rsid w:val="001D3694"/>
    <w:rsid w:val="001E33AB"/>
    <w:rsid w:val="001E3BCF"/>
    <w:rsid w:val="00211A7E"/>
    <w:rsid w:val="0021427F"/>
    <w:rsid w:val="0023362E"/>
    <w:rsid w:val="00235915"/>
    <w:rsid w:val="00252877"/>
    <w:rsid w:val="0026065E"/>
    <w:rsid w:val="00262B06"/>
    <w:rsid w:val="00270C45"/>
    <w:rsid w:val="002748B0"/>
    <w:rsid w:val="00275198"/>
    <w:rsid w:val="0028054C"/>
    <w:rsid w:val="002869AF"/>
    <w:rsid w:val="00286A28"/>
    <w:rsid w:val="002900F9"/>
    <w:rsid w:val="00295878"/>
    <w:rsid w:val="002A3A4E"/>
    <w:rsid w:val="002A65FF"/>
    <w:rsid w:val="002B02FE"/>
    <w:rsid w:val="002B1A8F"/>
    <w:rsid w:val="002B2265"/>
    <w:rsid w:val="002C63A0"/>
    <w:rsid w:val="002C67D8"/>
    <w:rsid w:val="002D0049"/>
    <w:rsid w:val="003058DA"/>
    <w:rsid w:val="0030762F"/>
    <w:rsid w:val="00311BD3"/>
    <w:rsid w:val="00312685"/>
    <w:rsid w:val="00332727"/>
    <w:rsid w:val="00334C18"/>
    <w:rsid w:val="003513DB"/>
    <w:rsid w:val="003517DA"/>
    <w:rsid w:val="0036243F"/>
    <w:rsid w:val="00385ABF"/>
    <w:rsid w:val="00392AF3"/>
    <w:rsid w:val="003A6A11"/>
    <w:rsid w:val="003B75F4"/>
    <w:rsid w:val="003C78E4"/>
    <w:rsid w:val="003E20FF"/>
    <w:rsid w:val="00406F1F"/>
    <w:rsid w:val="004077C9"/>
    <w:rsid w:val="00410CE3"/>
    <w:rsid w:val="00414E6F"/>
    <w:rsid w:val="00415F06"/>
    <w:rsid w:val="00416D38"/>
    <w:rsid w:val="00421F93"/>
    <w:rsid w:val="004331DF"/>
    <w:rsid w:val="0043566B"/>
    <w:rsid w:val="00442D59"/>
    <w:rsid w:val="004430CE"/>
    <w:rsid w:val="00453E1F"/>
    <w:rsid w:val="00457453"/>
    <w:rsid w:val="0046327F"/>
    <w:rsid w:val="00472A03"/>
    <w:rsid w:val="00475A24"/>
    <w:rsid w:val="00481E42"/>
    <w:rsid w:val="00483313"/>
    <w:rsid w:val="00487A55"/>
    <w:rsid w:val="00496015"/>
    <w:rsid w:val="004A0340"/>
    <w:rsid w:val="004A28F0"/>
    <w:rsid w:val="004A34DD"/>
    <w:rsid w:val="004A564F"/>
    <w:rsid w:val="004B3FE3"/>
    <w:rsid w:val="004C22E5"/>
    <w:rsid w:val="004C4C2E"/>
    <w:rsid w:val="004C4E14"/>
    <w:rsid w:val="004D0AC9"/>
    <w:rsid w:val="004D2D58"/>
    <w:rsid w:val="004D3DC4"/>
    <w:rsid w:val="004D495C"/>
    <w:rsid w:val="004E3824"/>
    <w:rsid w:val="004F09F8"/>
    <w:rsid w:val="00502BFC"/>
    <w:rsid w:val="00511EDF"/>
    <w:rsid w:val="005228D6"/>
    <w:rsid w:val="00523237"/>
    <w:rsid w:val="00523E05"/>
    <w:rsid w:val="005302F6"/>
    <w:rsid w:val="00542D84"/>
    <w:rsid w:val="00542DF6"/>
    <w:rsid w:val="00546F06"/>
    <w:rsid w:val="0055384B"/>
    <w:rsid w:val="005543B5"/>
    <w:rsid w:val="0058604B"/>
    <w:rsid w:val="005B37AF"/>
    <w:rsid w:val="005B45E9"/>
    <w:rsid w:val="005B5914"/>
    <w:rsid w:val="005C0E75"/>
    <w:rsid w:val="005C33BC"/>
    <w:rsid w:val="005D12FD"/>
    <w:rsid w:val="005D4470"/>
    <w:rsid w:val="005E07F1"/>
    <w:rsid w:val="00622A8F"/>
    <w:rsid w:val="006354E9"/>
    <w:rsid w:val="0064011F"/>
    <w:rsid w:val="006444D5"/>
    <w:rsid w:val="00646122"/>
    <w:rsid w:val="0065094C"/>
    <w:rsid w:val="006527BD"/>
    <w:rsid w:val="00663234"/>
    <w:rsid w:val="00667E12"/>
    <w:rsid w:val="00676C62"/>
    <w:rsid w:val="00677A58"/>
    <w:rsid w:val="00685848"/>
    <w:rsid w:val="006A6F8F"/>
    <w:rsid w:val="006C0E12"/>
    <w:rsid w:val="006C4964"/>
    <w:rsid w:val="006C7A7B"/>
    <w:rsid w:val="006D0B95"/>
    <w:rsid w:val="006D1217"/>
    <w:rsid w:val="006F1CE9"/>
    <w:rsid w:val="006F3148"/>
    <w:rsid w:val="0070090A"/>
    <w:rsid w:val="0070796E"/>
    <w:rsid w:val="00726CB5"/>
    <w:rsid w:val="007274B6"/>
    <w:rsid w:val="007312BF"/>
    <w:rsid w:val="00735AC3"/>
    <w:rsid w:val="00735B54"/>
    <w:rsid w:val="00736182"/>
    <w:rsid w:val="00755605"/>
    <w:rsid w:val="00762A1E"/>
    <w:rsid w:val="007679D2"/>
    <w:rsid w:val="00770299"/>
    <w:rsid w:val="00781933"/>
    <w:rsid w:val="007916C6"/>
    <w:rsid w:val="00794FF3"/>
    <w:rsid w:val="00795647"/>
    <w:rsid w:val="00797056"/>
    <w:rsid w:val="007B110F"/>
    <w:rsid w:val="007B145B"/>
    <w:rsid w:val="007B5E61"/>
    <w:rsid w:val="007B7C19"/>
    <w:rsid w:val="00800D40"/>
    <w:rsid w:val="00810A21"/>
    <w:rsid w:val="00811068"/>
    <w:rsid w:val="00813980"/>
    <w:rsid w:val="00817846"/>
    <w:rsid w:val="00817CD1"/>
    <w:rsid w:val="00824C13"/>
    <w:rsid w:val="00831C97"/>
    <w:rsid w:val="00833A72"/>
    <w:rsid w:val="00833F2B"/>
    <w:rsid w:val="008340D6"/>
    <w:rsid w:val="0083540C"/>
    <w:rsid w:val="00835BBF"/>
    <w:rsid w:val="0084734D"/>
    <w:rsid w:val="008526BD"/>
    <w:rsid w:val="00852CC6"/>
    <w:rsid w:val="00870D98"/>
    <w:rsid w:val="008740CF"/>
    <w:rsid w:val="00883EFF"/>
    <w:rsid w:val="00885734"/>
    <w:rsid w:val="00891809"/>
    <w:rsid w:val="008A357D"/>
    <w:rsid w:val="008B4F9C"/>
    <w:rsid w:val="008F2196"/>
    <w:rsid w:val="009043C2"/>
    <w:rsid w:val="009074FD"/>
    <w:rsid w:val="00912887"/>
    <w:rsid w:val="00915921"/>
    <w:rsid w:val="0092342C"/>
    <w:rsid w:val="00930F7E"/>
    <w:rsid w:val="00941145"/>
    <w:rsid w:val="0094145C"/>
    <w:rsid w:val="00942ED4"/>
    <w:rsid w:val="009432B4"/>
    <w:rsid w:val="00947092"/>
    <w:rsid w:val="00951378"/>
    <w:rsid w:val="009528A6"/>
    <w:rsid w:val="00953C7D"/>
    <w:rsid w:val="0096235E"/>
    <w:rsid w:val="0097038C"/>
    <w:rsid w:val="0098377C"/>
    <w:rsid w:val="00987199"/>
    <w:rsid w:val="009B17EA"/>
    <w:rsid w:val="009B6F98"/>
    <w:rsid w:val="009D7B40"/>
    <w:rsid w:val="009E3FEB"/>
    <w:rsid w:val="009E50D3"/>
    <w:rsid w:val="009F5FCA"/>
    <w:rsid w:val="009F680F"/>
    <w:rsid w:val="00A13179"/>
    <w:rsid w:val="00A140EB"/>
    <w:rsid w:val="00A16064"/>
    <w:rsid w:val="00A4749D"/>
    <w:rsid w:val="00A65745"/>
    <w:rsid w:val="00A824E0"/>
    <w:rsid w:val="00A840C6"/>
    <w:rsid w:val="00AA0A0C"/>
    <w:rsid w:val="00AB217D"/>
    <w:rsid w:val="00AB3618"/>
    <w:rsid w:val="00AB4706"/>
    <w:rsid w:val="00AC3A1D"/>
    <w:rsid w:val="00AC7AC6"/>
    <w:rsid w:val="00AD180A"/>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37E"/>
    <w:rsid w:val="00B53C8D"/>
    <w:rsid w:val="00B60B80"/>
    <w:rsid w:val="00B830A9"/>
    <w:rsid w:val="00B8577A"/>
    <w:rsid w:val="00B8609C"/>
    <w:rsid w:val="00BB6319"/>
    <w:rsid w:val="00BB67AF"/>
    <w:rsid w:val="00BC1350"/>
    <w:rsid w:val="00BC6A2F"/>
    <w:rsid w:val="00BE77DE"/>
    <w:rsid w:val="00BF1682"/>
    <w:rsid w:val="00C03562"/>
    <w:rsid w:val="00C104E9"/>
    <w:rsid w:val="00C10C01"/>
    <w:rsid w:val="00C20A84"/>
    <w:rsid w:val="00C226CE"/>
    <w:rsid w:val="00C26729"/>
    <w:rsid w:val="00C37B27"/>
    <w:rsid w:val="00C37D6D"/>
    <w:rsid w:val="00C53CE6"/>
    <w:rsid w:val="00C551FC"/>
    <w:rsid w:val="00C62651"/>
    <w:rsid w:val="00C648E4"/>
    <w:rsid w:val="00C75DBB"/>
    <w:rsid w:val="00C837F9"/>
    <w:rsid w:val="00C84158"/>
    <w:rsid w:val="00C84E60"/>
    <w:rsid w:val="00CF63E1"/>
    <w:rsid w:val="00D00614"/>
    <w:rsid w:val="00D17DC5"/>
    <w:rsid w:val="00D33C9E"/>
    <w:rsid w:val="00D35307"/>
    <w:rsid w:val="00D4563B"/>
    <w:rsid w:val="00D80072"/>
    <w:rsid w:val="00D92439"/>
    <w:rsid w:val="00DA1664"/>
    <w:rsid w:val="00DA2F6F"/>
    <w:rsid w:val="00DA3130"/>
    <w:rsid w:val="00DB5B1B"/>
    <w:rsid w:val="00DB6C98"/>
    <w:rsid w:val="00DC2130"/>
    <w:rsid w:val="00DC304A"/>
    <w:rsid w:val="00DD05EF"/>
    <w:rsid w:val="00DE3F2D"/>
    <w:rsid w:val="00DE460C"/>
    <w:rsid w:val="00E00843"/>
    <w:rsid w:val="00E13A9F"/>
    <w:rsid w:val="00E207C7"/>
    <w:rsid w:val="00E2379D"/>
    <w:rsid w:val="00E244D1"/>
    <w:rsid w:val="00E51495"/>
    <w:rsid w:val="00E7476B"/>
    <w:rsid w:val="00E74841"/>
    <w:rsid w:val="00E84413"/>
    <w:rsid w:val="00E97390"/>
    <w:rsid w:val="00E97800"/>
    <w:rsid w:val="00EA3797"/>
    <w:rsid w:val="00EA6520"/>
    <w:rsid w:val="00EA72D0"/>
    <w:rsid w:val="00ED63F8"/>
    <w:rsid w:val="00EE3F29"/>
    <w:rsid w:val="00EE52B7"/>
    <w:rsid w:val="00EF4136"/>
    <w:rsid w:val="00EF62C8"/>
    <w:rsid w:val="00F2422E"/>
    <w:rsid w:val="00F40E2E"/>
    <w:rsid w:val="00F620CA"/>
    <w:rsid w:val="00F74154"/>
    <w:rsid w:val="00F842D3"/>
    <w:rsid w:val="00F87092"/>
    <w:rsid w:val="00FD281F"/>
    <w:rsid w:val="00FD450A"/>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ListParagraphChar">
    <w:name w:val="List Paragraph Char"/>
    <w:basedOn w:val="DefaultParagraphFont"/>
    <w:link w:val="ListParagraph"/>
    <w:uiPriority w:val="34"/>
    <w:rsid w:val="00AB3618"/>
    <w:rPr>
      <w:rFonts w:ascii="Calibri" w:eastAsia="Times New Roman" w:hAnsi="Calibri"/>
      <w:sz w:val="24"/>
      <w:lang w:eastAsia="en-US"/>
    </w:rPr>
  </w:style>
  <w:style w:type="paragraph" w:customStyle="1" w:styleId="NormalFR">
    <w:name w:val="NormalFR"/>
    <w:basedOn w:val="Normal"/>
    <w:qFormat/>
    <w:rsid w:val="00B5337E"/>
    <w:pPr>
      <w:overflowPunct/>
      <w:autoSpaceDE/>
      <w:autoSpaceDN/>
      <w:adjustRightInd/>
      <w:jc w:val="both"/>
      <w:textAlignment w:val="auto"/>
    </w:pPr>
    <w:rPr>
      <w:rFonts w:asciiTheme="minorHAnsi" w:eastAsiaTheme="minorEastAsia" w:hAnsiTheme="minorHAnsi"/>
      <w:sz w:val="22"/>
      <w:szCs w:val="24"/>
      <w:lang w:val="en-US" w:eastAsia="ja-JP"/>
    </w:rPr>
  </w:style>
  <w:style w:type="paragraph" w:customStyle="1" w:styleId="Heading1RES">
    <w:name w:val="Heading 1_RES"/>
    <w:basedOn w:val="Heading1"/>
    <w:qFormat/>
    <w:rsid w:val="00B5337E"/>
    <w:pPr>
      <w:jc w:val="both"/>
    </w:pPr>
    <w:rPr>
      <w:rFonts w:asciiTheme="minorHAnsi" w:hAnsiTheme="minorHAnsi"/>
      <w:sz w:val="26"/>
    </w:rPr>
  </w:style>
  <w:style w:type="table" w:styleId="LightShading">
    <w:name w:val="Light Shading"/>
    <w:basedOn w:val="TableNormal"/>
    <w:uiPriority w:val="60"/>
    <w:rsid w:val="00B5337E"/>
    <w:rPr>
      <w:rFonts w:asciiTheme="minorHAnsi" w:eastAsiaTheme="minorEastAsia" w:hAnsiTheme="minorHAnsi" w:cstheme="minorBid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4B3FE3"/>
    <w:rPr>
      <w:rFonts w:ascii="Calibri" w:eastAsia="Times New Roman"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696">
      <w:bodyDiv w:val="1"/>
      <w:marLeft w:val="0"/>
      <w:marRight w:val="0"/>
      <w:marTop w:val="0"/>
      <w:marBottom w:val="0"/>
      <w:divBdr>
        <w:top w:val="none" w:sz="0" w:space="0" w:color="auto"/>
        <w:left w:val="none" w:sz="0" w:space="0" w:color="auto"/>
        <w:bottom w:val="none" w:sz="0" w:space="0" w:color="auto"/>
        <w:right w:val="none" w:sz="0" w:space="0" w:color="auto"/>
      </w:divBdr>
      <w:divsChild>
        <w:div w:id="17396698">
          <w:marLeft w:val="0"/>
          <w:marRight w:val="0"/>
          <w:marTop w:val="0"/>
          <w:marBottom w:val="0"/>
          <w:divBdr>
            <w:top w:val="none" w:sz="0" w:space="0" w:color="auto"/>
            <w:left w:val="none" w:sz="0" w:space="0" w:color="auto"/>
            <w:bottom w:val="none" w:sz="0" w:space="0" w:color="auto"/>
            <w:right w:val="none" w:sz="0" w:space="0" w:color="auto"/>
          </w:divBdr>
          <w:divsChild>
            <w:div w:id="964045820">
              <w:marLeft w:val="0"/>
              <w:marRight w:val="0"/>
              <w:marTop w:val="0"/>
              <w:marBottom w:val="0"/>
              <w:divBdr>
                <w:top w:val="none" w:sz="0" w:space="0" w:color="auto"/>
                <w:left w:val="none" w:sz="0" w:space="0" w:color="auto"/>
                <w:bottom w:val="none" w:sz="0" w:space="0" w:color="auto"/>
                <w:right w:val="none" w:sz="0" w:space="0" w:color="auto"/>
              </w:divBdr>
              <w:divsChild>
                <w:div w:id="66463741">
                  <w:marLeft w:val="0"/>
                  <w:marRight w:val="0"/>
                  <w:marTop w:val="0"/>
                  <w:marBottom w:val="0"/>
                  <w:divBdr>
                    <w:top w:val="none" w:sz="0" w:space="0" w:color="auto"/>
                    <w:left w:val="none" w:sz="0" w:space="0" w:color="auto"/>
                    <w:bottom w:val="none" w:sz="0" w:space="0" w:color="auto"/>
                    <w:right w:val="none" w:sz="0" w:space="0" w:color="auto"/>
                  </w:divBdr>
                  <w:divsChild>
                    <w:div w:id="930237422">
                      <w:marLeft w:val="0"/>
                      <w:marRight w:val="0"/>
                      <w:marTop w:val="0"/>
                      <w:marBottom w:val="0"/>
                      <w:divBdr>
                        <w:top w:val="none" w:sz="0" w:space="0" w:color="auto"/>
                        <w:left w:val="none" w:sz="0" w:space="0" w:color="auto"/>
                        <w:bottom w:val="none" w:sz="0" w:space="0" w:color="auto"/>
                        <w:right w:val="none" w:sz="0" w:space="0" w:color="auto"/>
                      </w:divBdr>
                      <w:divsChild>
                        <w:div w:id="181937343">
                          <w:marLeft w:val="0"/>
                          <w:marRight w:val="0"/>
                          <w:marTop w:val="0"/>
                          <w:marBottom w:val="0"/>
                          <w:divBdr>
                            <w:top w:val="none" w:sz="0" w:space="0" w:color="auto"/>
                            <w:left w:val="none" w:sz="0" w:space="0" w:color="auto"/>
                            <w:bottom w:val="none" w:sz="0" w:space="0" w:color="auto"/>
                            <w:right w:val="none" w:sz="0" w:space="0" w:color="auto"/>
                          </w:divBdr>
                          <w:divsChild>
                            <w:div w:id="1070082568">
                              <w:marLeft w:val="0"/>
                              <w:marRight w:val="0"/>
                              <w:marTop w:val="0"/>
                              <w:marBottom w:val="0"/>
                              <w:divBdr>
                                <w:top w:val="none" w:sz="0" w:space="0" w:color="auto"/>
                                <w:left w:val="none" w:sz="0" w:space="0" w:color="auto"/>
                                <w:bottom w:val="none" w:sz="0" w:space="0" w:color="auto"/>
                                <w:right w:val="none" w:sz="0" w:space="0" w:color="auto"/>
                              </w:divBdr>
                              <w:divsChild>
                                <w:div w:id="251738628">
                                  <w:marLeft w:val="0"/>
                                  <w:marRight w:val="0"/>
                                  <w:marTop w:val="0"/>
                                  <w:marBottom w:val="0"/>
                                  <w:divBdr>
                                    <w:top w:val="none" w:sz="0" w:space="0" w:color="auto"/>
                                    <w:left w:val="none" w:sz="0" w:space="0" w:color="auto"/>
                                    <w:bottom w:val="none" w:sz="0" w:space="0" w:color="auto"/>
                                    <w:right w:val="none" w:sz="0" w:space="0" w:color="auto"/>
                                  </w:divBdr>
                                  <w:divsChild>
                                    <w:div w:id="106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84307">
      <w:bodyDiv w:val="1"/>
      <w:marLeft w:val="0"/>
      <w:marRight w:val="0"/>
      <w:marTop w:val="0"/>
      <w:marBottom w:val="0"/>
      <w:divBdr>
        <w:top w:val="none" w:sz="0" w:space="0" w:color="auto"/>
        <w:left w:val="none" w:sz="0" w:space="0" w:color="auto"/>
        <w:bottom w:val="none" w:sz="0" w:space="0" w:color="auto"/>
        <w:right w:val="none" w:sz="0" w:space="0" w:color="auto"/>
      </w:divBdr>
      <w:divsChild>
        <w:div w:id="796484279">
          <w:marLeft w:val="0"/>
          <w:marRight w:val="0"/>
          <w:marTop w:val="0"/>
          <w:marBottom w:val="0"/>
          <w:divBdr>
            <w:top w:val="none" w:sz="0" w:space="0" w:color="auto"/>
            <w:left w:val="none" w:sz="0" w:space="0" w:color="auto"/>
            <w:bottom w:val="none" w:sz="0" w:space="0" w:color="auto"/>
            <w:right w:val="none" w:sz="0" w:space="0" w:color="auto"/>
          </w:divBdr>
          <w:divsChild>
            <w:div w:id="331568956">
              <w:marLeft w:val="0"/>
              <w:marRight w:val="0"/>
              <w:marTop w:val="0"/>
              <w:marBottom w:val="0"/>
              <w:divBdr>
                <w:top w:val="none" w:sz="0" w:space="0" w:color="auto"/>
                <w:left w:val="none" w:sz="0" w:space="0" w:color="auto"/>
                <w:bottom w:val="none" w:sz="0" w:space="0" w:color="auto"/>
                <w:right w:val="none" w:sz="0" w:space="0" w:color="auto"/>
              </w:divBdr>
              <w:divsChild>
                <w:div w:id="1397246118">
                  <w:marLeft w:val="0"/>
                  <w:marRight w:val="0"/>
                  <w:marTop w:val="0"/>
                  <w:marBottom w:val="0"/>
                  <w:divBdr>
                    <w:top w:val="none" w:sz="0" w:space="0" w:color="auto"/>
                    <w:left w:val="none" w:sz="0" w:space="0" w:color="auto"/>
                    <w:bottom w:val="none" w:sz="0" w:space="0" w:color="auto"/>
                    <w:right w:val="none" w:sz="0" w:space="0" w:color="auto"/>
                  </w:divBdr>
                  <w:divsChild>
                    <w:div w:id="1908763955">
                      <w:marLeft w:val="0"/>
                      <w:marRight w:val="0"/>
                      <w:marTop w:val="0"/>
                      <w:marBottom w:val="0"/>
                      <w:divBdr>
                        <w:top w:val="none" w:sz="0" w:space="0" w:color="auto"/>
                        <w:left w:val="none" w:sz="0" w:space="0" w:color="auto"/>
                        <w:bottom w:val="none" w:sz="0" w:space="0" w:color="auto"/>
                        <w:right w:val="none" w:sz="0" w:space="0" w:color="auto"/>
                      </w:divBdr>
                      <w:divsChild>
                        <w:div w:id="944651444">
                          <w:marLeft w:val="0"/>
                          <w:marRight w:val="0"/>
                          <w:marTop w:val="0"/>
                          <w:marBottom w:val="0"/>
                          <w:divBdr>
                            <w:top w:val="none" w:sz="0" w:space="0" w:color="auto"/>
                            <w:left w:val="none" w:sz="0" w:space="0" w:color="auto"/>
                            <w:bottom w:val="none" w:sz="0" w:space="0" w:color="auto"/>
                            <w:right w:val="none" w:sz="0" w:space="0" w:color="auto"/>
                          </w:divBdr>
                          <w:divsChild>
                            <w:div w:id="1310747327">
                              <w:marLeft w:val="0"/>
                              <w:marRight w:val="0"/>
                              <w:marTop w:val="0"/>
                              <w:marBottom w:val="0"/>
                              <w:divBdr>
                                <w:top w:val="none" w:sz="0" w:space="0" w:color="auto"/>
                                <w:left w:val="none" w:sz="0" w:space="0" w:color="auto"/>
                                <w:bottom w:val="none" w:sz="0" w:space="0" w:color="auto"/>
                                <w:right w:val="none" w:sz="0" w:space="0" w:color="auto"/>
                              </w:divBdr>
                              <w:divsChild>
                                <w:div w:id="1310859802">
                                  <w:marLeft w:val="0"/>
                                  <w:marRight w:val="0"/>
                                  <w:marTop w:val="0"/>
                                  <w:marBottom w:val="0"/>
                                  <w:divBdr>
                                    <w:top w:val="none" w:sz="0" w:space="0" w:color="auto"/>
                                    <w:left w:val="none" w:sz="0" w:space="0" w:color="auto"/>
                                    <w:bottom w:val="none" w:sz="0" w:space="0" w:color="auto"/>
                                    <w:right w:val="none" w:sz="0" w:space="0" w:color="auto"/>
                                  </w:divBdr>
                                  <w:divsChild>
                                    <w:div w:id="634985649">
                                      <w:marLeft w:val="0"/>
                                      <w:marRight w:val="0"/>
                                      <w:marTop w:val="0"/>
                                      <w:marBottom w:val="0"/>
                                      <w:divBdr>
                                        <w:top w:val="none" w:sz="0" w:space="0" w:color="auto"/>
                                        <w:left w:val="none" w:sz="0" w:space="0" w:color="auto"/>
                                        <w:bottom w:val="none" w:sz="0" w:space="0" w:color="auto"/>
                                        <w:right w:val="none" w:sz="0" w:space="0" w:color="auto"/>
                                      </w:divBdr>
                                      <w:divsChild>
                                        <w:div w:id="746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0177683">
      <w:bodyDiv w:val="1"/>
      <w:marLeft w:val="0"/>
      <w:marRight w:val="0"/>
      <w:marTop w:val="0"/>
      <w:marBottom w:val="0"/>
      <w:divBdr>
        <w:top w:val="none" w:sz="0" w:space="0" w:color="auto"/>
        <w:left w:val="none" w:sz="0" w:space="0" w:color="auto"/>
        <w:bottom w:val="none" w:sz="0" w:space="0" w:color="auto"/>
        <w:right w:val="none" w:sz="0" w:space="0" w:color="auto"/>
      </w:divBdr>
      <w:divsChild>
        <w:div w:id="1227716430">
          <w:marLeft w:val="0"/>
          <w:marRight w:val="0"/>
          <w:marTop w:val="0"/>
          <w:marBottom w:val="0"/>
          <w:divBdr>
            <w:top w:val="none" w:sz="0" w:space="0" w:color="auto"/>
            <w:left w:val="none" w:sz="0" w:space="0" w:color="auto"/>
            <w:bottom w:val="none" w:sz="0" w:space="0" w:color="auto"/>
            <w:right w:val="none" w:sz="0" w:space="0" w:color="auto"/>
          </w:divBdr>
          <w:divsChild>
            <w:div w:id="1785926682">
              <w:marLeft w:val="0"/>
              <w:marRight w:val="0"/>
              <w:marTop w:val="0"/>
              <w:marBottom w:val="0"/>
              <w:divBdr>
                <w:top w:val="none" w:sz="0" w:space="0" w:color="auto"/>
                <w:left w:val="none" w:sz="0" w:space="0" w:color="auto"/>
                <w:bottom w:val="none" w:sz="0" w:space="0" w:color="auto"/>
                <w:right w:val="none" w:sz="0" w:space="0" w:color="auto"/>
              </w:divBdr>
              <w:divsChild>
                <w:div w:id="858156436">
                  <w:marLeft w:val="0"/>
                  <w:marRight w:val="0"/>
                  <w:marTop w:val="0"/>
                  <w:marBottom w:val="0"/>
                  <w:divBdr>
                    <w:top w:val="none" w:sz="0" w:space="0" w:color="auto"/>
                    <w:left w:val="none" w:sz="0" w:space="0" w:color="auto"/>
                    <w:bottom w:val="none" w:sz="0" w:space="0" w:color="auto"/>
                    <w:right w:val="none" w:sz="0" w:space="0" w:color="auto"/>
                  </w:divBdr>
                  <w:divsChild>
                    <w:div w:id="581598288">
                      <w:marLeft w:val="0"/>
                      <w:marRight w:val="0"/>
                      <w:marTop w:val="0"/>
                      <w:marBottom w:val="0"/>
                      <w:divBdr>
                        <w:top w:val="none" w:sz="0" w:space="0" w:color="auto"/>
                        <w:left w:val="none" w:sz="0" w:space="0" w:color="auto"/>
                        <w:bottom w:val="none" w:sz="0" w:space="0" w:color="auto"/>
                        <w:right w:val="none" w:sz="0" w:space="0" w:color="auto"/>
                      </w:divBdr>
                      <w:divsChild>
                        <w:div w:id="703481261">
                          <w:marLeft w:val="0"/>
                          <w:marRight w:val="0"/>
                          <w:marTop w:val="0"/>
                          <w:marBottom w:val="0"/>
                          <w:divBdr>
                            <w:top w:val="none" w:sz="0" w:space="0" w:color="auto"/>
                            <w:left w:val="none" w:sz="0" w:space="0" w:color="auto"/>
                            <w:bottom w:val="none" w:sz="0" w:space="0" w:color="auto"/>
                            <w:right w:val="none" w:sz="0" w:space="0" w:color="auto"/>
                          </w:divBdr>
                          <w:divsChild>
                            <w:div w:id="177277557">
                              <w:marLeft w:val="0"/>
                              <w:marRight w:val="0"/>
                              <w:marTop w:val="0"/>
                              <w:marBottom w:val="0"/>
                              <w:divBdr>
                                <w:top w:val="none" w:sz="0" w:space="0" w:color="auto"/>
                                <w:left w:val="none" w:sz="0" w:space="0" w:color="auto"/>
                                <w:bottom w:val="none" w:sz="0" w:space="0" w:color="auto"/>
                                <w:right w:val="none" w:sz="0" w:space="0" w:color="auto"/>
                              </w:divBdr>
                              <w:divsChild>
                                <w:div w:id="1252817028">
                                  <w:marLeft w:val="0"/>
                                  <w:marRight w:val="0"/>
                                  <w:marTop w:val="0"/>
                                  <w:marBottom w:val="0"/>
                                  <w:divBdr>
                                    <w:top w:val="none" w:sz="0" w:space="0" w:color="auto"/>
                                    <w:left w:val="none" w:sz="0" w:space="0" w:color="auto"/>
                                    <w:bottom w:val="none" w:sz="0" w:space="0" w:color="auto"/>
                                    <w:right w:val="none" w:sz="0" w:space="0" w:color="auto"/>
                                  </w:divBdr>
                                  <w:divsChild>
                                    <w:div w:id="656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77783">
      <w:bodyDiv w:val="1"/>
      <w:marLeft w:val="0"/>
      <w:marRight w:val="0"/>
      <w:marTop w:val="0"/>
      <w:marBottom w:val="0"/>
      <w:divBdr>
        <w:top w:val="none" w:sz="0" w:space="0" w:color="auto"/>
        <w:left w:val="none" w:sz="0" w:space="0" w:color="auto"/>
        <w:bottom w:val="none" w:sz="0" w:space="0" w:color="auto"/>
        <w:right w:val="none" w:sz="0" w:space="0" w:color="auto"/>
      </w:divBdr>
      <w:divsChild>
        <w:div w:id="714155414">
          <w:marLeft w:val="0"/>
          <w:marRight w:val="0"/>
          <w:marTop w:val="0"/>
          <w:marBottom w:val="0"/>
          <w:divBdr>
            <w:top w:val="none" w:sz="0" w:space="0" w:color="auto"/>
            <w:left w:val="none" w:sz="0" w:space="0" w:color="auto"/>
            <w:bottom w:val="none" w:sz="0" w:space="0" w:color="auto"/>
            <w:right w:val="none" w:sz="0" w:space="0" w:color="auto"/>
          </w:divBdr>
          <w:divsChild>
            <w:div w:id="853376627">
              <w:marLeft w:val="0"/>
              <w:marRight w:val="0"/>
              <w:marTop w:val="0"/>
              <w:marBottom w:val="0"/>
              <w:divBdr>
                <w:top w:val="none" w:sz="0" w:space="0" w:color="auto"/>
                <w:left w:val="none" w:sz="0" w:space="0" w:color="auto"/>
                <w:bottom w:val="none" w:sz="0" w:space="0" w:color="auto"/>
                <w:right w:val="none" w:sz="0" w:space="0" w:color="auto"/>
              </w:divBdr>
              <w:divsChild>
                <w:div w:id="1490099557">
                  <w:marLeft w:val="0"/>
                  <w:marRight w:val="0"/>
                  <w:marTop w:val="0"/>
                  <w:marBottom w:val="0"/>
                  <w:divBdr>
                    <w:top w:val="none" w:sz="0" w:space="0" w:color="auto"/>
                    <w:left w:val="none" w:sz="0" w:space="0" w:color="auto"/>
                    <w:bottom w:val="none" w:sz="0" w:space="0" w:color="auto"/>
                    <w:right w:val="none" w:sz="0" w:space="0" w:color="auto"/>
                  </w:divBdr>
                  <w:divsChild>
                    <w:div w:id="289364967">
                      <w:marLeft w:val="0"/>
                      <w:marRight w:val="0"/>
                      <w:marTop w:val="0"/>
                      <w:marBottom w:val="0"/>
                      <w:divBdr>
                        <w:top w:val="none" w:sz="0" w:space="0" w:color="auto"/>
                        <w:left w:val="none" w:sz="0" w:space="0" w:color="auto"/>
                        <w:bottom w:val="none" w:sz="0" w:space="0" w:color="auto"/>
                        <w:right w:val="none" w:sz="0" w:space="0" w:color="auto"/>
                      </w:divBdr>
                      <w:divsChild>
                        <w:div w:id="1005016878">
                          <w:marLeft w:val="0"/>
                          <w:marRight w:val="0"/>
                          <w:marTop w:val="0"/>
                          <w:marBottom w:val="0"/>
                          <w:divBdr>
                            <w:top w:val="none" w:sz="0" w:space="0" w:color="auto"/>
                            <w:left w:val="none" w:sz="0" w:space="0" w:color="auto"/>
                            <w:bottom w:val="none" w:sz="0" w:space="0" w:color="auto"/>
                            <w:right w:val="none" w:sz="0" w:space="0" w:color="auto"/>
                          </w:divBdr>
                          <w:divsChild>
                            <w:div w:id="1697461550">
                              <w:marLeft w:val="0"/>
                              <w:marRight w:val="0"/>
                              <w:marTop w:val="0"/>
                              <w:marBottom w:val="0"/>
                              <w:divBdr>
                                <w:top w:val="none" w:sz="0" w:space="0" w:color="auto"/>
                                <w:left w:val="none" w:sz="0" w:space="0" w:color="auto"/>
                                <w:bottom w:val="none" w:sz="0" w:space="0" w:color="auto"/>
                                <w:right w:val="none" w:sz="0" w:space="0" w:color="auto"/>
                              </w:divBdr>
                              <w:divsChild>
                                <w:div w:id="14773452">
                                  <w:marLeft w:val="0"/>
                                  <w:marRight w:val="0"/>
                                  <w:marTop w:val="0"/>
                                  <w:marBottom w:val="0"/>
                                  <w:divBdr>
                                    <w:top w:val="none" w:sz="0" w:space="0" w:color="auto"/>
                                    <w:left w:val="none" w:sz="0" w:space="0" w:color="auto"/>
                                    <w:bottom w:val="none" w:sz="0" w:space="0" w:color="auto"/>
                                    <w:right w:val="none" w:sz="0" w:space="0" w:color="auto"/>
                                  </w:divBdr>
                                  <w:divsChild>
                                    <w:div w:id="5098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Conferences/TDAG/Pages/TDAG-Correspondence-Group-on-streamlining-Resolutions.aspx" TargetMode="External"/><Relationship Id="rId13" Type="http://schemas.openxmlformats.org/officeDocument/2006/relationships/hyperlink" Target="https://www.itu.int/md/D14-TDAG21.CG.SRES-C-0009/en" TargetMode="External"/><Relationship Id="rId18" Type="http://schemas.openxmlformats.org/officeDocument/2006/relationships/hyperlink" Target="https://www.itu.int/md/D14-TDAG21.CG.SRES-C-0015/" TargetMode="External"/><Relationship Id="rId26" Type="http://schemas.openxmlformats.org/officeDocument/2006/relationships/hyperlink" Target="https://www.itu.int/md/D14-RPMAMS-C-0030/en" TargetMode="External"/><Relationship Id="rId3" Type="http://schemas.openxmlformats.org/officeDocument/2006/relationships/settings" Target="settings.xml"/><Relationship Id="rId21" Type="http://schemas.openxmlformats.org/officeDocument/2006/relationships/hyperlink" Target="http://www.itu.int/md/D14-RPMCIS-C-0025/en"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itu.int/md/D14-TDAG21.CG.SRES-C-0008/en" TargetMode="External"/><Relationship Id="rId17" Type="http://schemas.openxmlformats.org/officeDocument/2006/relationships/hyperlink" Target="https://www.itu.int/md/D14-TDAG21.CG.SRES-C-0014/en" TargetMode="External"/><Relationship Id="rId25" Type="http://schemas.openxmlformats.org/officeDocument/2006/relationships/hyperlink" Target="https://www.itu.int/md/D14-RPMAMS-C-0029/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D14-TDAG21.CG.SRES-C-0012/en" TargetMode="External"/><Relationship Id="rId20" Type="http://schemas.openxmlformats.org/officeDocument/2006/relationships/hyperlink" Target="http://www.itu.int/md/D14-RPMCIS-C-0013/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4-TDAG21.CG.SRES-C-0007/en" TargetMode="External"/><Relationship Id="rId24" Type="http://schemas.openxmlformats.org/officeDocument/2006/relationships/hyperlink" Target="https://www.itu.int/md/D14-RPMAMS-C-0031/en"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D14-TDAG21.CG.SRES-C-0006/en" TargetMode="External"/><Relationship Id="rId23" Type="http://schemas.openxmlformats.org/officeDocument/2006/relationships/hyperlink" Target="https://www.itu.int/md/D14-RPMAMS-C-0028/en" TargetMode="External"/><Relationship Id="rId28" Type="http://schemas.openxmlformats.org/officeDocument/2006/relationships/header" Target="header2.xml"/><Relationship Id="rId10" Type="http://schemas.openxmlformats.org/officeDocument/2006/relationships/hyperlink" Target="https://www.itu.int/md/D14-TDAG21.CG.SRES-C-0003/en" TargetMode="External"/><Relationship Id="rId19" Type="http://schemas.openxmlformats.org/officeDocument/2006/relationships/hyperlink" Target="http://www.itu.int/md/D14-RPMCIS-C-0024/en"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D14-TDAG21.CG.SRES-C-0002/en" TargetMode="External"/><Relationship Id="rId14" Type="http://schemas.openxmlformats.org/officeDocument/2006/relationships/hyperlink" Target="https://www.itu.int/md/D14-TDAG21.CG.SRES-C-0010/en" TargetMode="External"/><Relationship Id="rId22" Type="http://schemas.openxmlformats.org/officeDocument/2006/relationships/hyperlink" Target="https://www.itu.int/md/D14-RPMAMS-C-0017/en" TargetMode="External"/><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kemal.huseinovic@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2551</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 DocsControl</cp:lastModifiedBy>
  <cp:revision>2</cp:revision>
  <cp:lastPrinted>2016-05-13T07:33:00Z</cp:lastPrinted>
  <dcterms:created xsi:type="dcterms:W3CDTF">2017-03-15T13:54:00Z</dcterms:created>
  <dcterms:modified xsi:type="dcterms:W3CDTF">2017-03-15T13:54:00Z</dcterms:modified>
</cp:coreProperties>
</file>