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7088"/>
        <w:gridCol w:w="3119"/>
      </w:tblGrid>
      <w:tr w:rsidR="001F22D4" w:rsidRPr="001F22D4" w:rsidTr="00755558">
        <w:trPr>
          <w:cantSplit/>
          <w:jc w:val="center"/>
        </w:trPr>
        <w:tc>
          <w:tcPr>
            <w:tcW w:w="7088" w:type="dxa"/>
          </w:tcPr>
          <w:p w:rsidR="001F22D4" w:rsidRPr="00DD7F61" w:rsidRDefault="00C53754" w:rsidP="001F22D4">
            <w:pPr>
              <w:spacing w:before="180" w:after="0"/>
              <w:rPr>
                <w:rFonts w:asciiTheme="minorHAnsi" w:hAnsiTheme="minorHAnsi"/>
                <w:b/>
                <w:bCs w:val="0"/>
                <w:sz w:val="28"/>
              </w:rPr>
            </w:pPr>
            <w:r w:rsidRPr="00C53754">
              <w:rPr>
                <w:rFonts w:ascii="Calibri" w:eastAsia="Times New Roman" w:hAnsi="Calibri" w:cs="Times New Roman"/>
                <w:b/>
                <w:sz w:val="28"/>
                <w:lang w:eastAsia="en-US"/>
              </w:rPr>
              <w:t xml:space="preserve">Regional Preparatory Meeting </w:t>
            </w:r>
            <w:r w:rsidRPr="00C53754">
              <w:rPr>
                <w:rFonts w:ascii="Calibri" w:eastAsia="Times New Roman" w:hAnsi="Calibri" w:cs="Times New Roman"/>
                <w:b/>
                <w:sz w:val="28"/>
                <w:lang w:eastAsia="en-US"/>
              </w:rPr>
              <w:br/>
              <w:t>for WTDC-17 for Europe (RPM-EUR)</w:t>
            </w:r>
          </w:p>
        </w:tc>
        <w:tc>
          <w:tcPr>
            <w:tcW w:w="3119" w:type="dxa"/>
          </w:tcPr>
          <w:p w:rsidR="001F22D4" w:rsidRPr="001F22D4" w:rsidRDefault="001F22D4" w:rsidP="001F22D4">
            <w:pPr>
              <w:spacing w:before="0" w:after="0"/>
              <w:ind w:right="142"/>
              <w:jc w:val="right"/>
              <w:rPr>
                <w:rFonts w:ascii="Calibri" w:hAnsi="Calibri"/>
                <w:sz w:val="24"/>
                <w:szCs w:val="24"/>
              </w:rPr>
            </w:pPr>
            <w:r w:rsidRPr="001F22D4">
              <w:rPr>
                <w:rFonts w:ascii="Calibri" w:hAnsi="Calibri"/>
                <w:noProof/>
                <w:sz w:val="24"/>
                <w:szCs w:val="24"/>
              </w:rPr>
              <w:drawing>
                <wp:inline distT="0" distB="0" distL="0" distR="0" wp14:anchorId="6313479B" wp14:editId="75AF027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F22D4" w:rsidRPr="001F22D4" w:rsidTr="00DB3A26">
        <w:trPr>
          <w:cantSplit/>
          <w:trHeight w:val="157"/>
          <w:jc w:val="center"/>
        </w:trPr>
        <w:tc>
          <w:tcPr>
            <w:tcW w:w="7088" w:type="dxa"/>
            <w:tcBorders>
              <w:bottom w:val="single" w:sz="12" w:space="0" w:color="auto"/>
            </w:tcBorders>
          </w:tcPr>
          <w:p w:rsidR="001F22D4" w:rsidRPr="001D2EC9" w:rsidRDefault="00C53754" w:rsidP="00DD7F61">
            <w:pPr>
              <w:spacing w:before="0" w:after="60"/>
              <w:rPr>
                <w:rFonts w:asciiTheme="minorHAnsi" w:hAnsiTheme="minorHAnsi"/>
                <w:b/>
                <w:bCs w:val="0"/>
                <w:sz w:val="26"/>
                <w:szCs w:val="26"/>
              </w:rPr>
            </w:pPr>
            <w:bookmarkStart w:id="0" w:name="Meeting"/>
            <w:bookmarkStart w:id="1" w:name="PlaceDate"/>
            <w:bookmarkEnd w:id="0"/>
            <w:bookmarkEnd w:id="1"/>
            <w:r w:rsidRPr="00C53754">
              <w:rPr>
                <w:rFonts w:ascii="Calibri" w:eastAsia="Times New Roman" w:hAnsi="Calibri" w:cs="Times New Roman"/>
                <w:b/>
                <w:sz w:val="26"/>
                <w:szCs w:val="26"/>
                <w:lang w:eastAsia="en-US"/>
              </w:rPr>
              <w:t>Vilnius, Lithuania, 27-28 April 2017</w:t>
            </w:r>
          </w:p>
        </w:tc>
        <w:tc>
          <w:tcPr>
            <w:tcW w:w="3119" w:type="dxa"/>
            <w:tcBorders>
              <w:bottom w:val="single" w:sz="12" w:space="0" w:color="auto"/>
            </w:tcBorders>
          </w:tcPr>
          <w:p w:rsidR="001F22D4" w:rsidRPr="001F22D4" w:rsidRDefault="001F22D4" w:rsidP="00A264E8">
            <w:pPr>
              <w:pStyle w:val="CEONormal"/>
              <w:spacing w:before="0" w:after="0"/>
              <w:ind w:left="-6320"/>
              <w:rPr>
                <w:rFonts w:ascii="Calibri" w:hAnsi="Calibri"/>
                <w:sz w:val="22"/>
                <w:szCs w:val="22"/>
              </w:rPr>
            </w:pPr>
          </w:p>
        </w:tc>
      </w:tr>
      <w:tr w:rsidR="00C76DE6" w:rsidRPr="001F22D4" w:rsidTr="00DB3A26">
        <w:trPr>
          <w:cantSplit/>
          <w:jc w:val="center"/>
        </w:trPr>
        <w:tc>
          <w:tcPr>
            <w:tcW w:w="7088" w:type="dxa"/>
            <w:tcBorders>
              <w:top w:val="single" w:sz="12" w:space="0" w:color="auto"/>
            </w:tcBorders>
          </w:tcPr>
          <w:p w:rsidR="00C76DE6" w:rsidRPr="001F22D4" w:rsidRDefault="00C76DE6" w:rsidP="001F22D4">
            <w:pPr>
              <w:spacing w:before="0" w:after="0"/>
              <w:rPr>
                <w:rFonts w:ascii="Calibri" w:hAnsi="Calibri"/>
                <w:sz w:val="24"/>
                <w:szCs w:val="24"/>
                <w:lang w:val="en-US"/>
              </w:rPr>
            </w:pPr>
          </w:p>
        </w:tc>
        <w:tc>
          <w:tcPr>
            <w:tcW w:w="3119" w:type="dxa"/>
            <w:tcBorders>
              <w:top w:val="single" w:sz="12" w:space="0" w:color="auto"/>
            </w:tcBorders>
          </w:tcPr>
          <w:p w:rsidR="00C76DE6" w:rsidRPr="001F22D4" w:rsidRDefault="00C76DE6" w:rsidP="0070333D">
            <w:pPr>
              <w:spacing w:before="0" w:after="0"/>
              <w:rPr>
                <w:rFonts w:ascii="Calibri" w:hAnsi="Calibri"/>
                <w:sz w:val="24"/>
                <w:szCs w:val="24"/>
                <w:lang w:val="en-US"/>
              </w:rPr>
            </w:pPr>
          </w:p>
        </w:tc>
      </w:tr>
      <w:tr w:rsidR="00C76DE6" w:rsidRPr="00C53B38" w:rsidTr="00755558">
        <w:trPr>
          <w:cantSplit/>
          <w:trHeight w:val="23"/>
          <w:jc w:val="center"/>
        </w:trPr>
        <w:tc>
          <w:tcPr>
            <w:tcW w:w="7088" w:type="dxa"/>
            <w:vMerge w:val="restart"/>
          </w:tcPr>
          <w:p w:rsidR="00C76DE6" w:rsidRPr="00C53B38" w:rsidRDefault="00C76DE6" w:rsidP="0070333D">
            <w:pPr>
              <w:spacing w:before="0" w:after="0"/>
              <w:rPr>
                <w:rFonts w:ascii="Calibri" w:hAnsi="Calibri"/>
                <w:sz w:val="24"/>
                <w:szCs w:val="24"/>
              </w:rPr>
            </w:pPr>
          </w:p>
        </w:tc>
        <w:tc>
          <w:tcPr>
            <w:tcW w:w="3119" w:type="dxa"/>
          </w:tcPr>
          <w:p w:rsidR="00C76DE6" w:rsidRPr="00C53B38" w:rsidRDefault="00C76DE6" w:rsidP="00C53754">
            <w:pPr>
              <w:pStyle w:val="CEODocNo"/>
              <w:rPr>
                <w:rFonts w:ascii="Calibri" w:hAnsi="Calibri"/>
                <w:sz w:val="24"/>
                <w:szCs w:val="24"/>
                <w:lang w:val="es-ES"/>
              </w:rPr>
            </w:pPr>
            <w:r w:rsidRPr="00C53B38">
              <w:rPr>
                <w:rFonts w:ascii="Calibri" w:hAnsi="Calibri"/>
                <w:sz w:val="24"/>
                <w:szCs w:val="24"/>
                <w:lang w:val="es-ES"/>
              </w:rPr>
              <w:t xml:space="preserve">Document </w:t>
            </w:r>
            <w:bookmarkStart w:id="2" w:name="DocRef1"/>
            <w:bookmarkEnd w:id="2"/>
            <w:r w:rsidRPr="00C53B38">
              <w:rPr>
                <w:rFonts w:ascii="Calibri" w:hAnsi="Calibri"/>
                <w:sz w:val="24"/>
                <w:szCs w:val="24"/>
                <w:lang w:val="es-ES"/>
              </w:rPr>
              <w:t>RPM-</w:t>
            </w:r>
            <w:r w:rsidR="00C53754">
              <w:rPr>
                <w:rFonts w:ascii="Calibri" w:hAnsi="Calibri"/>
                <w:bCs/>
                <w:sz w:val="24"/>
                <w:szCs w:val="24"/>
                <w:lang w:val="es-ES_tradnl"/>
              </w:rPr>
              <w:t>EUR</w:t>
            </w:r>
            <w:r w:rsidRPr="00C53B38">
              <w:rPr>
                <w:rFonts w:ascii="Calibri" w:hAnsi="Calibri"/>
                <w:bCs/>
                <w:sz w:val="24"/>
                <w:szCs w:val="24"/>
                <w:lang w:val="es-ES_tradnl"/>
              </w:rPr>
              <w:t>1</w:t>
            </w:r>
            <w:r w:rsidR="00317A22">
              <w:rPr>
                <w:rFonts w:ascii="Calibri" w:hAnsi="Calibri"/>
                <w:bCs/>
                <w:sz w:val="24"/>
                <w:szCs w:val="24"/>
                <w:lang w:val="es-ES_tradnl"/>
              </w:rPr>
              <w:t>7</w:t>
            </w:r>
            <w:r w:rsidRPr="00C53B38">
              <w:rPr>
                <w:rFonts w:ascii="Calibri" w:hAnsi="Calibri"/>
                <w:bCs/>
                <w:sz w:val="24"/>
                <w:szCs w:val="24"/>
                <w:lang w:val="es-ES_tradnl"/>
              </w:rPr>
              <w:t>/5</w:t>
            </w:r>
            <w:bookmarkStart w:id="3" w:name="DocNo1"/>
            <w:bookmarkEnd w:id="3"/>
            <w:r w:rsidRPr="00C53B38">
              <w:rPr>
                <w:rFonts w:ascii="Calibri" w:hAnsi="Calibri"/>
                <w:sz w:val="24"/>
                <w:szCs w:val="24"/>
                <w:lang w:val="es-ES"/>
              </w:rPr>
              <w:t>-E</w:t>
            </w:r>
          </w:p>
        </w:tc>
      </w:tr>
      <w:tr w:rsidR="00C76DE6" w:rsidRPr="00C53B38" w:rsidTr="00755558">
        <w:trPr>
          <w:cantSplit/>
          <w:trHeight w:val="23"/>
          <w:jc w:val="center"/>
        </w:trPr>
        <w:tc>
          <w:tcPr>
            <w:tcW w:w="7088" w:type="dxa"/>
            <w:vMerge/>
          </w:tcPr>
          <w:p w:rsidR="00C76DE6" w:rsidRPr="00C53B38" w:rsidRDefault="00C76DE6" w:rsidP="00C76DE6">
            <w:pPr>
              <w:tabs>
                <w:tab w:val="left" w:pos="851"/>
              </w:tabs>
              <w:spacing w:line="240" w:lineRule="atLeast"/>
              <w:rPr>
                <w:rFonts w:ascii="Calibri" w:hAnsi="Calibri"/>
                <w:b/>
                <w:sz w:val="24"/>
                <w:szCs w:val="24"/>
                <w:lang w:val="es-ES"/>
              </w:rPr>
            </w:pPr>
          </w:p>
        </w:tc>
        <w:tc>
          <w:tcPr>
            <w:tcW w:w="3119" w:type="dxa"/>
          </w:tcPr>
          <w:p w:rsidR="00C76DE6" w:rsidRPr="00C53B38" w:rsidRDefault="0042250C" w:rsidP="0042250C">
            <w:pPr>
              <w:pStyle w:val="CEODocDates"/>
              <w:rPr>
                <w:rFonts w:ascii="Calibri" w:hAnsi="Calibri"/>
                <w:sz w:val="24"/>
                <w:szCs w:val="24"/>
              </w:rPr>
            </w:pPr>
            <w:bookmarkStart w:id="4" w:name="CreationDate"/>
            <w:bookmarkEnd w:id="4"/>
            <w:r>
              <w:rPr>
                <w:rFonts w:ascii="Calibri" w:hAnsi="Calibri"/>
                <w:sz w:val="24"/>
                <w:szCs w:val="24"/>
              </w:rPr>
              <w:t>25 January</w:t>
            </w:r>
            <w:r w:rsidR="00C76DE6" w:rsidRPr="00C53B38">
              <w:rPr>
                <w:rFonts w:ascii="Calibri" w:hAnsi="Calibri"/>
                <w:sz w:val="24"/>
                <w:szCs w:val="24"/>
              </w:rPr>
              <w:t xml:space="preserve"> 201</w:t>
            </w:r>
            <w:r>
              <w:rPr>
                <w:rFonts w:ascii="Calibri" w:hAnsi="Calibri"/>
                <w:sz w:val="24"/>
                <w:szCs w:val="24"/>
              </w:rPr>
              <w:t>7</w:t>
            </w:r>
            <w:bookmarkStart w:id="5" w:name="_GoBack"/>
            <w:bookmarkEnd w:id="5"/>
          </w:p>
        </w:tc>
      </w:tr>
      <w:tr w:rsidR="00C76DE6" w:rsidRPr="00C53B38" w:rsidTr="00755558">
        <w:trPr>
          <w:cantSplit/>
          <w:trHeight w:val="333"/>
          <w:jc w:val="center"/>
        </w:trPr>
        <w:tc>
          <w:tcPr>
            <w:tcW w:w="7088" w:type="dxa"/>
            <w:vMerge/>
          </w:tcPr>
          <w:p w:rsidR="00C76DE6" w:rsidRPr="00272256" w:rsidRDefault="00C76DE6" w:rsidP="00C76DE6">
            <w:pPr>
              <w:tabs>
                <w:tab w:val="left" w:pos="851"/>
              </w:tabs>
              <w:spacing w:line="240" w:lineRule="atLeast"/>
              <w:rPr>
                <w:rFonts w:asciiTheme="minorHAnsi" w:hAnsiTheme="minorHAnsi"/>
                <w:b/>
                <w:sz w:val="22"/>
                <w:szCs w:val="22"/>
              </w:rPr>
            </w:pPr>
          </w:p>
        </w:tc>
        <w:tc>
          <w:tcPr>
            <w:tcW w:w="3119" w:type="dxa"/>
          </w:tcPr>
          <w:p w:rsidR="00C76DE6" w:rsidRPr="00C76DE6" w:rsidRDefault="00C76DE6" w:rsidP="0070333D">
            <w:pPr>
              <w:pStyle w:val="CEOOriginalLanguage"/>
              <w:spacing w:before="0"/>
              <w:rPr>
                <w:rFonts w:asciiTheme="minorHAnsi" w:hAnsiTheme="minorHAnsi"/>
                <w:sz w:val="24"/>
                <w:szCs w:val="24"/>
              </w:rPr>
            </w:pPr>
            <w:r w:rsidRPr="00C76DE6">
              <w:rPr>
                <w:rFonts w:asciiTheme="minorHAnsi" w:hAnsiTheme="minorHAnsi"/>
                <w:sz w:val="24"/>
                <w:szCs w:val="24"/>
              </w:rPr>
              <w:t xml:space="preserve">Original: </w:t>
            </w:r>
            <w:bookmarkStart w:id="6" w:name="Original"/>
            <w:bookmarkEnd w:id="6"/>
            <w:r w:rsidRPr="00C76DE6">
              <w:rPr>
                <w:rFonts w:asciiTheme="minorHAnsi" w:hAnsiTheme="minorHAnsi"/>
                <w:sz w:val="24"/>
                <w:szCs w:val="24"/>
              </w:rPr>
              <w:t>English</w:t>
            </w:r>
          </w:p>
        </w:tc>
      </w:tr>
      <w:tr w:rsidR="00C53B38" w:rsidRPr="00C53B38" w:rsidTr="00755558">
        <w:trPr>
          <w:cantSplit/>
          <w:trHeight w:val="23"/>
          <w:jc w:val="center"/>
        </w:trPr>
        <w:tc>
          <w:tcPr>
            <w:tcW w:w="10207" w:type="dxa"/>
            <w:gridSpan w:val="2"/>
          </w:tcPr>
          <w:p w:rsidR="00C53B38" w:rsidRPr="00421F93" w:rsidRDefault="00C53B38" w:rsidP="00C53B38">
            <w:pPr>
              <w:tabs>
                <w:tab w:val="left" w:pos="1928"/>
              </w:tabs>
              <w:jc w:val="center"/>
              <w:rPr>
                <w:b/>
                <w:bCs w:val="0"/>
                <w:sz w:val="28"/>
              </w:rPr>
            </w:pPr>
            <w:r>
              <w:rPr>
                <w:rFonts w:asciiTheme="minorHAnsi" w:eastAsiaTheme="minorEastAsia" w:hAnsiTheme="minorHAnsi" w:cs="Calibri"/>
                <w:b/>
                <w:sz w:val="28"/>
              </w:rPr>
              <w:t>Director, Telecommunication Development Bureau</w:t>
            </w:r>
          </w:p>
        </w:tc>
      </w:tr>
      <w:tr w:rsidR="00C53B38" w:rsidRPr="00C53B38" w:rsidTr="00755558">
        <w:trPr>
          <w:cantSplit/>
          <w:trHeight w:val="23"/>
          <w:jc w:val="center"/>
        </w:trPr>
        <w:tc>
          <w:tcPr>
            <w:tcW w:w="10207" w:type="dxa"/>
            <w:gridSpan w:val="2"/>
          </w:tcPr>
          <w:p w:rsidR="00C53B38" w:rsidRPr="001553B9" w:rsidRDefault="00755558" w:rsidP="001C4E7E">
            <w:pPr>
              <w:pStyle w:val="Title1"/>
              <w:spacing w:before="120" w:after="120"/>
              <w:jc w:val="center"/>
              <w:rPr>
                <w:b w:val="0"/>
                <w:bCs/>
                <w:sz w:val="28"/>
                <w:szCs w:val="28"/>
              </w:rPr>
            </w:pPr>
            <w:r w:rsidRPr="001C4E7E">
              <w:rPr>
                <w:rFonts w:asciiTheme="minorHAnsi" w:hAnsiTheme="minorHAnsi"/>
                <w:b w:val="0"/>
                <w:bCs/>
                <w:sz w:val="28"/>
                <w:szCs w:val="28"/>
              </w:rPr>
              <w:t>REPORT ON THE RESULTS OF WTSA-16 THAT RELATE TO THE WORK OF ITU-D</w:t>
            </w:r>
          </w:p>
        </w:tc>
      </w:tr>
    </w:tbl>
    <w:p w:rsidR="00D13634" w:rsidRPr="006F3285" w:rsidRDefault="00D13634" w:rsidP="00AB235A">
      <w:pPr>
        <w:spacing w:before="240" w:after="240"/>
        <w:rPr>
          <w:rFonts w:ascii="Calibri" w:hAnsi="Calibri" w:cs="Calibri"/>
          <w:b/>
          <w:bCs w:val="0"/>
          <w:sz w:val="24"/>
          <w:szCs w:val="24"/>
        </w:rPr>
      </w:pPr>
      <w:r w:rsidRPr="006F3285">
        <w:rPr>
          <w:rFonts w:ascii="Calibri" w:hAnsi="Calibri" w:cs="Calibri"/>
          <w:b/>
          <w:sz w:val="24"/>
          <w:szCs w:val="24"/>
        </w:rPr>
        <w:t>Introduction</w:t>
      </w:r>
      <w:r w:rsidR="002C6079" w:rsidRPr="006F3285">
        <w:rPr>
          <w:rFonts w:ascii="Calibri" w:hAnsi="Calibri" w:cs="Calibri"/>
          <w:b/>
          <w:sz w:val="24"/>
          <w:szCs w:val="24"/>
        </w:rPr>
        <w:t xml:space="preserve"> </w:t>
      </w:r>
    </w:p>
    <w:p w:rsidR="00D13634" w:rsidRPr="006F3285" w:rsidRDefault="00D13634" w:rsidP="00AB235A">
      <w:pPr>
        <w:rPr>
          <w:rFonts w:ascii="Calibri" w:hAnsi="Calibri" w:cs="Calibri"/>
          <w:sz w:val="24"/>
          <w:szCs w:val="24"/>
        </w:rPr>
      </w:pPr>
      <w:r w:rsidRPr="006F3285">
        <w:rPr>
          <w:rFonts w:ascii="Calibri" w:hAnsi="Calibri" w:cs="Calibri"/>
          <w:sz w:val="24"/>
          <w:szCs w:val="24"/>
        </w:rPr>
        <w:t xml:space="preserve">The World Telecommunication Standardization Assembly (WTSA) took place in </w:t>
      </w:r>
      <w:r w:rsidR="00855A02" w:rsidRPr="006F3285">
        <w:rPr>
          <w:rFonts w:ascii="Calibri" w:hAnsi="Calibri" w:cs="Segoe UI"/>
          <w:color w:val="000000"/>
          <w:sz w:val="24"/>
          <w:szCs w:val="24"/>
          <w:lang w:val="en-US"/>
        </w:rPr>
        <w:t xml:space="preserve">Yasmine </w:t>
      </w:r>
      <w:proofErr w:type="spellStart"/>
      <w:r w:rsidR="00EB12BD" w:rsidRPr="006F3285">
        <w:rPr>
          <w:rFonts w:ascii="Calibri" w:hAnsi="Calibri" w:cs="Calibri"/>
          <w:sz w:val="24"/>
          <w:szCs w:val="24"/>
        </w:rPr>
        <w:t>Hammamet</w:t>
      </w:r>
      <w:proofErr w:type="spellEnd"/>
      <w:r w:rsidR="00EB12BD" w:rsidRPr="006F3285">
        <w:rPr>
          <w:rFonts w:ascii="Calibri" w:hAnsi="Calibri" w:cs="Calibri"/>
          <w:sz w:val="24"/>
          <w:szCs w:val="24"/>
        </w:rPr>
        <w:t>, Tunisia, from 25</w:t>
      </w:r>
      <w:r w:rsidR="00C16199" w:rsidRPr="006F3285">
        <w:rPr>
          <w:rFonts w:ascii="Calibri" w:hAnsi="Calibri" w:cs="Calibri"/>
          <w:sz w:val="24"/>
          <w:szCs w:val="24"/>
        </w:rPr>
        <w:t xml:space="preserve"> October to </w:t>
      </w:r>
      <w:r w:rsidR="00855A02" w:rsidRPr="006F3285">
        <w:rPr>
          <w:rFonts w:ascii="Calibri" w:hAnsi="Calibri" w:cs="Calibri"/>
          <w:sz w:val="24"/>
          <w:szCs w:val="24"/>
        </w:rPr>
        <w:t>3</w:t>
      </w:r>
      <w:r w:rsidR="00C16199" w:rsidRPr="006F3285">
        <w:rPr>
          <w:rFonts w:ascii="Calibri" w:hAnsi="Calibri" w:cs="Calibri"/>
          <w:sz w:val="24"/>
          <w:szCs w:val="24"/>
        </w:rPr>
        <w:t xml:space="preserve"> November 2016</w:t>
      </w:r>
      <w:r w:rsidR="00EB12BD" w:rsidRPr="006F3285">
        <w:rPr>
          <w:rFonts w:ascii="Calibri" w:hAnsi="Calibri" w:cs="Calibri"/>
          <w:sz w:val="24"/>
          <w:szCs w:val="24"/>
        </w:rPr>
        <w:t xml:space="preserve"> and was preceded by the Global Standards Symposium (24 October 2016)</w:t>
      </w:r>
      <w:r w:rsidRPr="006F3285">
        <w:rPr>
          <w:rFonts w:ascii="Calibri" w:hAnsi="Calibri" w:cs="Calibri"/>
          <w:sz w:val="24"/>
          <w:szCs w:val="24"/>
        </w:rPr>
        <w:t>.</w:t>
      </w:r>
    </w:p>
    <w:p w:rsidR="00DC34B3" w:rsidRPr="006F3285" w:rsidRDefault="00D13634" w:rsidP="00AB235A">
      <w:pPr>
        <w:rPr>
          <w:rFonts w:ascii="Calibri" w:hAnsi="Calibri" w:cs="Calibri"/>
          <w:color w:val="000000"/>
          <w:sz w:val="24"/>
          <w:szCs w:val="24"/>
        </w:rPr>
      </w:pPr>
      <w:r w:rsidRPr="006F3285">
        <w:rPr>
          <w:rFonts w:ascii="Calibri" w:hAnsi="Calibri" w:cs="Calibri"/>
          <w:color w:val="000000"/>
          <w:sz w:val="24"/>
          <w:szCs w:val="24"/>
        </w:rPr>
        <w:t>Contributions made to the WTSA can be broadly classified in three main categories: proposals related to the work of the ITU-T study Groups, proposals related to the ITU-T recommendations and proposals related to WTSA resolutions.</w:t>
      </w:r>
      <w:r w:rsidR="00C16199" w:rsidRPr="006F3285">
        <w:rPr>
          <w:rFonts w:ascii="Calibri" w:hAnsi="Calibri" w:cs="Calibri"/>
          <w:color w:val="000000"/>
          <w:sz w:val="24"/>
          <w:szCs w:val="24"/>
        </w:rPr>
        <w:t xml:space="preserve"> </w:t>
      </w:r>
    </w:p>
    <w:p w:rsidR="00DC34B3" w:rsidRPr="006F3285" w:rsidRDefault="00C16199" w:rsidP="00AB235A">
      <w:pPr>
        <w:rPr>
          <w:rFonts w:ascii="Calibri" w:hAnsi="Calibri" w:cs="Calibri"/>
          <w:sz w:val="24"/>
          <w:szCs w:val="24"/>
        </w:rPr>
      </w:pPr>
      <w:r w:rsidRPr="006F3285">
        <w:rPr>
          <w:rFonts w:ascii="Calibri" w:hAnsi="Calibri" w:cs="Calibri"/>
          <w:color w:val="000000"/>
          <w:sz w:val="24"/>
          <w:szCs w:val="24"/>
        </w:rPr>
        <w:t>A significant number of WTSA-16</w:t>
      </w:r>
      <w:r w:rsidR="00D13634" w:rsidRPr="006F3285">
        <w:rPr>
          <w:rFonts w:ascii="Calibri" w:hAnsi="Calibri" w:cs="Calibri"/>
          <w:color w:val="000000"/>
          <w:sz w:val="24"/>
          <w:szCs w:val="24"/>
        </w:rPr>
        <w:t xml:space="preserve"> resolutions address the needs of developing countries </w:t>
      </w:r>
      <w:r w:rsidR="00DC3897" w:rsidRPr="006F3285">
        <w:rPr>
          <w:rFonts w:ascii="Calibri" w:hAnsi="Calibri" w:cs="Calibri"/>
          <w:color w:val="000000"/>
          <w:sz w:val="24"/>
          <w:szCs w:val="24"/>
        </w:rPr>
        <w:t xml:space="preserve">in terms of </w:t>
      </w:r>
      <w:r w:rsidR="00DC34B3" w:rsidRPr="006F3285">
        <w:rPr>
          <w:rFonts w:ascii="Calibri" w:hAnsi="Calibri" w:cs="Calibri"/>
          <w:color w:val="000000"/>
          <w:sz w:val="24"/>
          <w:szCs w:val="24"/>
        </w:rPr>
        <w:t xml:space="preserve">ICT for </w:t>
      </w:r>
      <w:r w:rsidR="00855A02" w:rsidRPr="006F3285">
        <w:rPr>
          <w:rFonts w:ascii="Calibri" w:hAnsi="Calibri" w:cs="Calibri"/>
          <w:color w:val="000000"/>
          <w:sz w:val="24"/>
          <w:szCs w:val="24"/>
        </w:rPr>
        <w:t xml:space="preserve">development </w:t>
      </w:r>
      <w:r w:rsidR="00D13634" w:rsidRPr="006F3285">
        <w:rPr>
          <w:rFonts w:ascii="Calibri" w:hAnsi="Calibri" w:cs="Calibri"/>
          <w:color w:val="000000"/>
          <w:sz w:val="24"/>
          <w:szCs w:val="24"/>
        </w:rPr>
        <w:t>and are therefore related to the work of ITU-D.</w:t>
      </w:r>
      <w:r w:rsidR="00D13634" w:rsidRPr="006F3285">
        <w:rPr>
          <w:rFonts w:ascii="Calibri" w:hAnsi="Calibri" w:cs="Calibri"/>
          <w:sz w:val="24"/>
          <w:szCs w:val="24"/>
        </w:rPr>
        <w:t xml:space="preserve"> </w:t>
      </w:r>
    </w:p>
    <w:p w:rsidR="00D13634" w:rsidRPr="006F3285" w:rsidRDefault="00DC34B3" w:rsidP="00AB235A">
      <w:pPr>
        <w:rPr>
          <w:rFonts w:ascii="Calibri" w:hAnsi="Calibri" w:cs="Calibri"/>
          <w:color w:val="000000"/>
          <w:sz w:val="24"/>
          <w:szCs w:val="24"/>
        </w:rPr>
      </w:pPr>
      <w:r w:rsidRPr="006F3285">
        <w:rPr>
          <w:rFonts w:ascii="Calibri" w:hAnsi="Calibri" w:cs="Calibri"/>
          <w:sz w:val="24"/>
          <w:szCs w:val="24"/>
        </w:rPr>
        <w:t>Most of them include in their operative part</w:t>
      </w:r>
      <w:r w:rsidR="00D13634" w:rsidRPr="006F3285">
        <w:rPr>
          <w:rFonts w:ascii="Calibri" w:hAnsi="Calibri" w:cs="Calibri"/>
          <w:sz w:val="24"/>
          <w:szCs w:val="24"/>
        </w:rPr>
        <w:t xml:space="preserve">, </w:t>
      </w:r>
      <w:r w:rsidRPr="006F3285">
        <w:rPr>
          <w:rFonts w:ascii="Calibri" w:hAnsi="Calibri" w:cs="Calibri"/>
          <w:sz w:val="24"/>
          <w:szCs w:val="24"/>
        </w:rPr>
        <w:t xml:space="preserve">the </w:t>
      </w:r>
      <w:r w:rsidR="004E36F5" w:rsidRPr="006F3285">
        <w:rPr>
          <w:rFonts w:ascii="Calibri" w:hAnsi="Calibri" w:cs="Calibri"/>
          <w:sz w:val="24"/>
          <w:szCs w:val="24"/>
        </w:rPr>
        <w:t>collaboration</w:t>
      </w:r>
      <w:r w:rsidRPr="006F3285">
        <w:rPr>
          <w:rFonts w:ascii="Calibri" w:hAnsi="Calibri" w:cs="Calibri"/>
          <w:sz w:val="24"/>
          <w:szCs w:val="24"/>
        </w:rPr>
        <w:t xml:space="preserve"> </w:t>
      </w:r>
      <w:r w:rsidR="004E36F5" w:rsidRPr="006F3285">
        <w:rPr>
          <w:rFonts w:ascii="Calibri" w:hAnsi="Calibri" w:cs="Calibri"/>
          <w:sz w:val="24"/>
          <w:szCs w:val="24"/>
        </w:rPr>
        <w:t>a</w:t>
      </w:r>
      <w:r w:rsidRPr="006F3285">
        <w:rPr>
          <w:rFonts w:ascii="Calibri" w:hAnsi="Calibri" w:cs="Calibri"/>
          <w:sz w:val="24"/>
          <w:szCs w:val="24"/>
        </w:rPr>
        <w:t>nd cooperation with ITU-D, its related Study Groups and the BDT Director. In some resolution</w:t>
      </w:r>
      <w:r w:rsidR="004E36F5" w:rsidRPr="006F3285">
        <w:rPr>
          <w:rFonts w:ascii="Calibri" w:hAnsi="Calibri" w:cs="Calibri"/>
          <w:sz w:val="24"/>
          <w:szCs w:val="24"/>
        </w:rPr>
        <w:t>s</w:t>
      </w:r>
      <w:r w:rsidRPr="006F3285">
        <w:rPr>
          <w:rFonts w:ascii="Calibri" w:hAnsi="Calibri" w:cs="Calibri"/>
          <w:sz w:val="24"/>
          <w:szCs w:val="24"/>
        </w:rPr>
        <w:t xml:space="preserve"> there is a clear mention to support existing efforts undertaken by ITU-D</w:t>
      </w:r>
      <w:r w:rsidR="004B4576" w:rsidRPr="006F3285">
        <w:rPr>
          <w:rFonts w:ascii="Calibri" w:hAnsi="Calibri" w:cs="Calibri"/>
          <w:sz w:val="24"/>
          <w:szCs w:val="24"/>
        </w:rPr>
        <w:t>.</w:t>
      </w:r>
    </w:p>
    <w:p w:rsidR="00855A02" w:rsidRPr="006F3285" w:rsidRDefault="00855A02" w:rsidP="00AB235A">
      <w:pPr>
        <w:spacing w:after="200" w:line="276" w:lineRule="auto"/>
        <w:rPr>
          <w:rFonts w:ascii="Calibri" w:hAnsi="Calibri" w:cs="Calibri"/>
          <w:sz w:val="24"/>
          <w:szCs w:val="24"/>
        </w:rPr>
      </w:pPr>
      <w:r w:rsidRPr="006F3285">
        <w:rPr>
          <w:rFonts w:ascii="Calibri" w:hAnsi="Calibri" w:cs="Calibri"/>
          <w:sz w:val="24"/>
          <w:szCs w:val="24"/>
        </w:rPr>
        <w:t xml:space="preserve">Table 1 </w:t>
      </w:r>
      <w:r w:rsidR="006F3285">
        <w:rPr>
          <w:rFonts w:ascii="Calibri" w:hAnsi="Calibri" w:cs="Calibri"/>
          <w:sz w:val="24"/>
          <w:szCs w:val="24"/>
        </w:rPr>
        <w:t xml:space="preserve">presents </w:t>
      </w:r>
      <w:r w:rsidR="00C16199" w:rsidRPr="006F3285">
        <w:rPr>
          <w:rFonts w:ascii="Calibri" w:hAnsi="Calibri" w:cs="Calibri"/>
          <w:sz w:val="24"/>
          <w:szCs w:val="24"/>
        </w:rPr>
        <w:t>the WTSA</w:t>
      </w:r>
      <w:r w:rsidR="00D13634" w:rsidRPr="006F3285">
        <w:rPr>
          <w:rFonts w:ascii="Calibri" w:hAnsi="Calibri" w:cs="Calibri"/>
          <w:sz w:val="24"/>
          <w:szCs w:val="24"/>
        </w:rPr>
        <w:t xml:space="preserve"> </w:t>
      </w:r>
      <w:r w:rsidR="00312EDA">
        <w:rPr>
          <w:rFonts w:ascii="Calibri" w:hAnsi="Calibri" w:cs="Calibri"/>
          <w:sz w:val="24"/>
          <w:szCs w:val="24"/>
        </w:rPr>
        <w:t>R</w:t>
      </w:r>
      <w:r w:rsidR="00D13634" w:rsidRPr="006F3285">
        <w:rPr>
          <w:rFonts w:ascii="Calibri" w:hAnsi="Calibri" w:cs="Calibri"/>
          <w:sz w:val="24"/>
          <w:szCs w:val="24"/>
        </w:rPr>
        <w:t xml:space="preserve">esolutions </w:t>
      </w:r>
      <w:r w:rsidR="00312EDA">
        <w:rPr>
          <w:rFonts w:ascii="Calibri" w:hAnsi="Calibri" w:cs="Calibri"/>
          <w:sz w:val="24"/>
          <w:szCs w:val="24"/>
        </w:rPr>
        <w:t xml:space="preserve">with an </w:t>
      </w:r>
      <w:r w:rsidR="00D13634" w:rsidRPr="006F3285">
        <w:rPr>
          <w:rFonts w:ascii="Calibri" w:hAnsi="Calibri" w:cs="Calibri"/>
          <w:sz w:val="24"/>
          <w:szCs w:val="24"/>
        </w:rPr>
        <w:t>impact o</w:t>
      </w:r>
      <w:r w:rsidR="004E36F5" w:rsidRPr="006F3285">
        <w:rPr>
          <w:rFonts w:ascii="Calibri" w:hAnsi="Calibri" w:cs="Calibri"/>
          <w:sz w:val="24"/>
          <w:szCs w:val="24"/>
        </w:rPr>
        <w:t>n the work of ITU-D</w:t>
      </w:r>
      <w:r w:rsidRPr="006F3285">
        <w:rPr>
          <w:rFonts w:ascii="Calibri" w:hAnsi="Calibri" w:cs="Calibri"/>
          <w:sz w:val="24"/>
          <w:szCs w:val="24"/>
        </w:rPr>
        <w:t>.</w:t>
      </w:r>
      <w:r w:rsidR="00784B52" w:rsidRPr="006F3285">
        <w:rPr>
          <w:rFonts w:ascii="Calibri" w:hAnsi="Calibri" w:cs="Calibri"/>
          <w:sz w:val="24"/>
          <w:szCs w:val="24"/>
        </w:rPr>
        <w:t xml:space="preserve"> E</w:t>
      </w:r>
      <w:r w:rsidRPr="006F3285">
        <w:rPr>
          <w:rFonts w:ascii="Calibri" w:hAnsi="Calibri" w:cs="Calibri"/>
          <w:sz w:val="24"/>
          <w:szCs w:val="24"/>
        </w:rPr>
        <w:t>xtract</w:t>
      </w:r>
      <w:r w:rsidR="00784B52" w:rsidRPr="006F3285">
        <w:rPr>
          <w:rFonts w:ascii="Calibri" w:hAnsi="Calibri" w:cs="Calibri"/>
          <w:sz w:val="24"/>
          <w:szCs w:val="24"/>
        </w:rPr>
        <w:t>s</w:t>
      </w:r>
      <w:r w:rsidRPr="006F3285">
        <w:rPr>
          <w:rFonts w:ascii="Calibri" w:hAnsi="Calibri" w:cs="Calibri"/>
          <w:sz w:val="24"/>
          <w:szCs w:val="24"/>
        </w:rPr>
        <w:t xml:space="preserve"> of the </w:t>
      </w:r>
      <w:r w:rsidR="00312EDA">
        <w:rPr>
          <w:rFonts w:ascii="Calibri" w:hAnsi="Calibri" w:cs="Calibri"/>
          <w:sz w:val="24"/>
          <w:szCs w:val="24"/>
        </w:rPr>
        <w:t xml:space="preserve">detailed </w:t>
      </w:r>
      <w:r w:rsidRPr="006F3285">
        <w:rPr>
          <w:rFonts w:ascii="Calibri" w:hAnsi="Calibri" w:cs="Calibri"/>
          <w:sz w:val="24"/>
          <w:szCs w:val="24"/>
        </w:rPr>
        <w:t xml:space="preserve">text relevant to ITU-D </w:t>
      </w:r>
      <w:r w:rsidR="00DC3897" w:rsidRPr="006F3285">
        <w:rPr>
          <w:rFonts w:ascii="Calibri" w:hAnsi="Calibri" w:cs="Calibri"/>
          <w:sz w:val="24"/>
          <w:szCs w:val="24"/>
        </w:rPr>
        <w:t xml:space="preserve">can </w:t>
      </w:r>
      <w:r w:rsidR="00784B52" w:rsidRPr="006F3285">
        <w:rPr>
          <w:rFonts w:ascii="Calibri" w:hAnsi="Calibri" w:cs="Calibri"/>
          <w:sz w:val="24"/>
          <w:szCs w:val="24"/>
        </w:rPr>
        <w:t>be found in the Annex.</w:t>
      </w:r>
    </w:p>
    <w:p w:rsidR="00855A02" w:rsidRPr="00690593" w:rsidRDefault="00272B4F" w:rsidP="00AB235A">
      <w:pPr>
        <w:spacing w:before="0" w:after="0"/>
        <w:rPr>
          <w:rFonts w:ascii="Calibri" w:hAnsi="Calibri" w:cs="Calibri"/>
          <w:bCs w:val="0"/>
          <w:sz w:val="24"/>
          <w:szCs w:val="24"/>
        </w:rPr>
      </w:pPr>
      <w:r w:rsidRPr="006F3285">
        <w:rPr>
          <w:rFonts w:ascii="Calibri" w:hAnsi="Calibri" w:cs="Calibri"/>
          <w:bCs w:val="0"/>
          <w:sz w:val="24"/>
          <w:szCs w:val="24"/>
        </w:rPr>
        <w:t>T</w:t>
      </w:r>
      <w:r w:rsidR="00855A02" w:rsidRPr="006F3285">
        <w:rPr>
          <w:rFonts w:ascii="Calibri" w:hAnsi="Calibri" w:cs="Calibri"/>
          <w:bCs w:val="0"/>
          <w:sz w:val="24"/>
          <w:szCs w:val="24"/>
        </w:rPr>
        <w:t xml:space="preserve">able 2 </w:t>
      </w:r>
      <w:r w:rsidRPr="006F3285">
        <w:rPr>
          <w:rFonts w:ascii="Calibri" w:hAnsi="Calibri" w:cs="Calibri"/>
          <w:bCs w:val="0"/>
          <w:sz w:val="24"/>
          <w:szCs w:val="24"/>
        </w:rPr>
        <w:t>provides a</w:t>
      </w:r>
      <w:r w:rsidR="00312EDA">
        <w:rPr>
          <w:rFonts w:ascii="Calibri" w:hAnsi="Calibri" w:cs="Calibri"/>
          <w:bCs w:val="0"/>
          <w:sz w:val="24"/>
          <w:szCs w:val="24"/>
        </w:rPr>
        <w:t>n</w:t>
      </w:r>
      <w:r w:rsidRPr="006F3285">
        <w:rPr>
          <w:rFonts w:ascii="Calibri" w:hAnsi="Calibri" w:cs="Calibri"/>
          <w:bCs w:val="0"/>
          <w:sz w:val="24"/>
          <w:szCs w:val="24"/>
        </w:rPr>
        <w:t xml:space="preserve"> overview of the WTSA Resolutions relevant to </w:t>
      </w:r>
      <w:r w:rsidR="00BA657D">
        <w:rPr>
          <w:rFonts w:ascii="Calibri" w:hAnsi="Calibri" w:cs="Calibri"/>
          <w:bCs w:val="0"/>
          <w:sz w:val="24"/>
          <w:szCs w:val="24"/>
        </w:rPr>
        <w:t xml:space="preserve">the work of </w:t>
      </w:r>
      <w:r w:rsidRPr="006F3285">
        <w:rPr>
          <w:rFonts w:ascii="Calibri" w:hAnsi="Calibri" w:cs="Calibri"/>
          <w:bCs w:val="0"/>
          <w:sz w:val="24"/>
          <w:szCs w:val="24"/>
        </w:rPr>
        <w:t xml:space="preserve">ITU-D. </w:t>
      </w:r>
      <w:r w:rsidR="00855A02" w:rsidRPr="006F3285">
        <w:rPr>
          <w:rFonts w:ascii="Calibri" w:hAnsi="Calibri" w:cs="Calibri"/>
          <w:bCs w:val="0"/>
          <w:sz w:val="24"/>
          <w:szCs w:val="24"/>
        </w:rPr>
        <w:t xml:space="preserve"> </w:t>
      </w:r>
      <w:r w:rsidR="00784B52" w:rsidRPr="006F3285">
        <w:rPr>
          <w:rFonts w:ascii="Calibri" w:hAnsi="Calibri" w:cs="Calibri"/>
          <w:bCs w:val="0"/>
          <w:sz w:val="24"/>
          <w:szCs w:val="24"/>
        </w:rPr>
        <w:t>D</w:t>
      </w:r>
      <w:r w:rsidR="00855A02" w:rsidRPr="006F3285">
        <w:rPr>
          <w:rFonts w:ascii="Calibri" w:hAnsi="Calibri" w:cs="Calibri"/>
          <w:bCs w:val="0"/>
          <w:sz w:val="24"/>
          <w:szCs w:val="24"/>
        </w:rPr>
        <w:t xml:space="preserve">etailed text </w:t>
      </w:r>
      <w:r w:rsidR="00784B52" w:rsidRPr="006F3285">
        <w:rPr>
          <w:rFonts w:ascii="Calibri" w:hAnsi="Calibri" w:cs="Calibri"/>
          <w:bCs w:val="0"/>
          <w:sz w:val="24"/>
          <w:szCs w:val="24"/>
        </w:rPr>
        <w:t xml:space="preserve">of these resolutions </w:t>
      </w:r>
      <w:r w:rsidR="00DC3897" w:rsidRPr="006F3285">
        <w:rPr>
          <w:rFonts w:ascii="Calibri" w:hAnsi="Calibri" w:cs="Calibri"/>
          <w:bCs w:val="0"/>
          <w:sz w:val="24"/>
          <w:szCs w:val="24"/>
        </w:rPr>
        <w:t xml:space="preserve">can </w:t>
      </w:r>
      <w:r w:rsidR="00855A02" w:rsidRPr="006F3285">
        <w:rPr>
          <w:rFonts w:ascii="Calibri" w:hAnsi="Calibri" w:cs="Calibri"/>
          <w:bCs w:val="0"/>
          <w:sz w:val="24"/>
          <w:szCs w:val="24"/>
        </w:rPr>
        <w:t xml:space="preserve">be found in the </w:t>
      </w:r>
      <w:r w:rsidR="00855A02" w:rsidRPr="00690593">
        <w:rPr>
          <w:rFonts w:ascii="Calibri" w:hAnsi="Calibri" w:cs="Calibri"/>
          <w:bCs w:val="0"/>
          <w:sz w:val="24"/>
          <w:szCs w:val="24"/>
        </w:rPr>
        <w:t>Annex</w:t>
      </w:r>
      <w:r w:rsidR="00855A02" w:rsidRPr="006F3285">
        <w:rPr>
          <w:rFonts w:ascii="Calibri" w:hAnsi="Calibri" w:cs="Calibri"/>
          <w:bCs w:val="0"/>
          <w:sz w:val="24"/>
          <w:szCs w:val="24"/>
        </w:rPr>
        <w:t>.</w:t>
      </w:r>
    </w:p>
    <w:p w:rsidR="00855A02" w:rsidRPr="006F3285" w:rsidRDefault="00855A02" w:rsidP="00AB235A">
      <w:pPr>
        <w:spacing w:before="0" w:after="0"/>
        <w:rPr>
          <w:rFonts w:ascii="Calibri" w:eastAsia="SimSun" w:hAnsi="Calibri" w:cs="Calibri"/>
          <w:bCs w:val="0"/>
          <w:sz w:val="24"/>
          <w:szCs w:val="24"/>
          <w:lang w:eastAsia="en-US"/>
        </w:rPr>
      </w:pPr>
      <w:r w:rsidRPr="006F3285">
        <w:rPr>
          <w:rFonts w:ascii="Calibri" w:hAnsi="Calibri" w:cs="Calibri"/>
          <w:sz w:val="24"/>
          <w:szCs w:val="24"/>
        </w:rPr>
        <w:br w:type="page"/>
      </w:r>
    </w:p>
    <w:p w:rsidR="00272B4F" w:rsidRPr="006F3285" w:rsidRDefault="00272B4F" w:rsidP="00AB235A">
      <w:pPr>
        <w:spacing w:before="240" w:after="240"/>
        <w:rPr>
          <w:rFonts w:ascii="Calibri" w:hAnsi="Calibri" w:cs="Calibri"/>
          <w:b/>
          <w:bCs w:val="0"/>
          <w:sz w:val="24"/>
          <w:szCs w:val="24"/>
        </w:rPr>
      </w:pPr>
      <w:r w:rsidRPr="006F3285">
        <w:rPr>
          <w:rFonts w:ascii="Calibri" w:hAnsi="Calibri" w:cs="Calibri"/>
          <w:b/>
          <w:sz w:val="24"/>
          <w:szCs w:val="24"/>
        </w:rPr>
        <w:lastRenderedPageBreak/>
        <w:t>Conclusion</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WTSA-16 approved a significant number of new resolutions as well as revised resolutions that engage ITU-D in undertaking collaborative work on their implementation. </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The main topics of several resolutions, such as the mandate of the ITU Study Groups, </w:t>
      </w:r>
      <w:proofErr w:type="spellStart"/>
      <w:r w:rsidRPr="006F3285">
        <w:rPr>
          <w:rFonts w:ascii="Calibri" w:hAnsi="Calibri" w:cs="Calibri"/>
          <w:sz w:val="24"/>
          <w:szCs w:val="24"/>
        </w:rPr>
        <w:t>IoT</w:t>
      </w:r>
      <w:proofErr w:type="spellEnd"/>
      <w:r w:rsidRPr="006F3285">
        <w:rPr>
          <w:rFonts w:ascii="Calibri" w:hAnsi="Calibri" w:cs="Calibri"/>
          <w:sz w:val="24"/>
          <w:szCs w:val="24"/>
        </w:rPr>
        <w:t>, OTT, cybersecurity, International Mobile Roaming (IMR), bridg</w:t>
      </w:r>
      <w:r w:rsidR="00784B52" w:rsidRPr="006F3285">
        <w:rPr>
          <w:rFonts w:ascii="Calibri" w:hAnsi="Calibri" w:cs="Calibri"/>
          <w:sz w:val="24"/>
          <w:szCs w:val="24"/>
        </w:rPr>
        <w:t>ing</w:t>
      </w:r>
      <w:r w:rsidRPr="006F3285">
        <w:rPr>
          <w:rFonts w:ascii="Calibri" w:hAnsi="Calibri" w:cs="Calibri"/>
          <w:sz w:val="24"/>
          <w:szCs w:val="24"/>
        </w:rPr>
        <w:t xml:space="preserve"> the financial inclusion gap, counterfeit, Smart Africa, </w:t>
      </w:r>
      <w:r w:rsidR="00784B52" w:rsidRPr="006F3285">
        <w:rPr>
          <w:rFonts w:ascii="Calibri" w:hAnsi="Calibri" w:cs="Calibri"/>
          <w:sz w:val="24"/>
          <w:szCs w:val="24"/>
        </w:rPr>
        <w:t>b</w:t>
      </w:r>
      <w:r w:rsidRPr="006F3285">
        <w:rPr>
          <w:rFonts w:ascii="Calibri" w:hAnsi="Calibri" w:cs="Calibri"/>
          <w:sz w:val="24"/>
          <w:szCs w:val="24"/>
        </w:rPr>
        <w:t>ridging the standardization gap, IPv6, accessibility, human exposure to electromagnetic fields, e-health, among others, touch upon key a</w:t>
      </w:r>
      <w:r w:rsidR="00BA657D">
        <w:rPr>
          <w:rFonts w:ascii="Calibri" w:hAnsi="Calibri" w:cs="Calibri"/>
          <w:sz w:val="24"/>
          <w:szCs w:val="24"/>
        </w:rPr>
        <w:t xml:space="preserve">reas </w:t>
      </w:r>
      <w:r w:rsidRPr="006F3285">
        <w:rPr>
          <w:rFonts w:ascii="Calibri" w:hAnsi="Calibri" w:cs="Calibri"/>
          <w:sz w:val="24"/>
          <w:szCs w:val="24"/>
        </w:rPr>
        <w:t xml:space="preserve">of the </w:t>
      </w:r>
      <w:r w:rsidR="00BA657D">
        <w:rPr>
          <w:rFonts w:ascii="Calibri" w:hAnsi="Calibri" w:cs="Calibri"/>
          <w:sz w:val="24"/>
          <w:szCs w:val="24"/>
        </w:rPr>
        <w:t xml:space="preserve">work of </w:t>
      </w:r>
      <w:r w:rsidRPr="006F3285">
        <w:rPr>
          <w:rFonts w:ascii="Calibri" w:hAnsi="Calibri" w:cs="Calibri"/>
          <w:sz w:val="24"/>
          <w:szCs w:val="24"/>
        </w:rPr>
        <w:t xml:space="preserve">ITU-D, as they require the provision of assistance to Member States, with a focus on developing countries mostly in </w:t>
      </w:r>
      <w:r w:rsidR="00784B52" w:rsidRPr="006F3285">
        <w:rPr>
          <w:rFonts w:ascii="Calibri" w:hAnsi="Calibri" w:cs="Calibri"/>
          <w:sz w:val="24"/>
          <w:szCs w:val="24"/>
        </w:rPr>
        <w:t>the</w:t>
      </w:r>
      <w:r w:rsidRPr="006F3285">
        <w:rPr>
          <w:rFonts w:ascii="Calibri" w:hAnsi="Calibri" w:cs="Calibri"/>
          <w:sz w:val="24"/>
          <w:szCs w:val="24"/>
        </w:rPr>
        <w:t xml:space="preserve"> form of raising awareness, organizing workshops and seminars as well as establishing platforms for dialogue and human and institutional capacity building. </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Taking into consideration that most of the WTSA-12 resolutions related to the work of the ITU-D led to the consideration and approval of corresponding resolutions at WTDC-14, this document provides background information on the resolutions approved at WTSA-16 for the consideration of the membership in the framework of the preparation of WTDC-17, to guide the work of ITU-D in relation to the topics concerned. </w:t>
      </w:r>
    </w:p>
    <w:p w:rsidR="00272B4F" w:rsidRPr="006F3285" w:rsidRDefault="00272B4F" w:rsidP="00AB235A">
      <w:pPr>
        <w:spacing w:before="0" w:after="0"/>
        <w:rPr>
          <w:rFonts w:ascii="Calibri" w:hAnsi="Calibri" w:cs="Calibri"/>
          <w:sz w:val="24"/>
          <w:szCs w:val="24"/>
        </w:rPr>
      </w:pPr>
    </w:p>
    <w:p w:rsidR="00272B4F" w:rsidRPr="006F3285" w:rsidRDefault="00482925" w:rsidP="00272B4F">
      <w:pPr>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1</w:t>
      </w:r>
    </w:p>
    <w:p w:rsidR="00272B4F" w:rsidRPr="006F3285" w:rsidRDefault="00482925" w:rsidP="006476BF">
      <w:pPr>
        <w:jc w:val="center"/>
        <w:rPr>
          <w:rFonts w:ascii="Calibri" w:hAnsi="Calibri"/>
          <w:b/>
          <w:sz w:val="28"/>
        </w:rPr>
      </w:pPr>
      <w:r w:rsidRPr="006F3285">
        <w:rPr>
          <w:rFonts w:ascii="Calibri" w:hAnsi="Calibri" w:cs="Calibri"/>
          <w:b/>
          <w:sz w:val="28"/>
        </w:rPr>
        <w:t xml:space="preserve">WTSA Resolutions </w:t>
      </w:r>
      <w:r w:rsidR="006476BF" w:rsidRPr="006F3285">
        <w:rPr>
          <w:rFonts w:ascii="Calibri" w:hAnsi="Calibri" w:cs="Calibri"/>
          <w:b/>
          <w:sz w:val="28"/>
        </w:rPr>
        <w:t xml:space="preserve">with an impact on the work of </w:t>
      </w:r>
      <w:r w:rsidRPr="006F3285">
        <w:rPr>
          <w:rFonts w:ascii="Calibri" w:hAnsi="Calibri" w:cs="Calibri"/>
          <w:b/>
          <w:sz w:val="28"/>
        </w:rPr>
        <w:t>ITU-D</w:t>
      </w:r>
    </w:p>
    <w:tbl>
      <w:tblPr>
        <w:tblStyle w:val="GridTable4-Accent1"/>
        <w:tblW w:w="0" w:type="auto"/>
        <w:tblLook w:val="04A0" w:firstRow="1" w:lastRow="0" w:firstColumn="1" w:lastColumn="0" w:noHBand="0" w:noVBand="1"/>
      </w:tblPr>
      <w:tblGrid>
        <w:gridCol w:w="988"/>
        <w:gridCol w:w="992"/>
        <w:gridCol w:w="8217"/>
      </w:tblGrid>
      <w:tr w:rsidR="002E6F23" w:rsidRPr="006F3285"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Status</w:t>
            </w:r>
          </w:p>
        </w:tc>
        <w:tc>
          <w:tcPr>
            <w:tcW w:w="992" w:type="dxa"/>
          </w:tcPr>
          <w:p w:rsidR="002E6F23" w:rsidRPr="006F3285" w:rsidRDefault="002E6F23" w:rsidP="00B22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8217" w:type="dxa"/>
          </w:tcPr>
          <w:p w:rsidR="002E6F23" w:rsidRPr="006F3285" w:rsidRDefault="002E6F23" w:rsidP="00E80F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non-radio aspects related standardization activities in ITU-T on international mobile telecommunications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 (IMR)</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3363BC"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3363BC" w:rsidRPr="006F3285" w:rsidRDefault="003363BC"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3363BC"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3363BC" w:rsidRPr="006F3285" w:rsidRDefault="003363BC"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2F7C8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F7C82" w:rsidRPr="006F3285" w:rsidRDefault="002F7C82"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F7C82"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F7C82" w:rsidRPr="006F3285" w:rsidRDefault="00E80FF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ITU-T </w:t>
            </w:r>
            <w:r w:rsidR="002F7C82" w:rsidRPr="006F3285">
              <w:rPr>
                <w:rFonts w:ascii="Calibri" w:hAnsi="Calibri" w:cs="Calibri"/>
                <w:sz w:val="22"/>
                <w:szCs w:val="22"/>
              </w:rPr>
              <w:t>studies for combating counterfeit telecommunication/Information Communication Technologies</w:t>
            </w:r>
            <w:r w:rsidR="00B4692E">
              <w:rPr>
                <w:rFonts w:ascii="Calibri" w:hAnsi="Calibri" w:cs="Calibri"/>
                <w:sz w:val="22"/>
                <w:szCs w:val="22"/>
              </w:rPr>
              <w:t xml:space="preserve"> devices</w:t>
            </w:r>
          </w:p>
        </w:tc>
      </w:tr>
      <w:tr w:rsidR="0074637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4637D" w:rsidRPr="006F3285" w:rsidRDefault="0074637D"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4637D"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4637D" w:rsidRPr="006F3285" w:rsidRDefault="0074637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4F273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4F2734" w:rsidRPr="006F3285" w:rsidRDefault="004F2734"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4F273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4F2734" w:rsidRPr="006F3285" w:rsidRDefault="004F273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F43B9A"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43B9A" w:rsidRPr="006F3285" w:rsidRDefault="00F43B9A"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F43B9A"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43B9A" w:rsidRPr="006F3285" w:rsidRDefault="00F43B9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7B040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7B0404" w:rsidRPr="006F3285" w:rsidRDefault="008E1790"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B040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B0404" w:rsidRPr="006F3285" w:rsidRDefault="008E1790"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03722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3722D" w:rsidRPr="006F3285" w:rsidRDefault="0003722D"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3722D" w:rsidRPr="006F3285" w:rsidRDefault="0003722D"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8217" w:type="dxa"/>
          </w:tcPr>
          <w:p w:rsidR="0003722D" w:rsidRPr="006F3285" w:rsidRDefault="0003722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C9113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C91132" w:rsidRPr="006F3285" w:rsidRDefault="00C91132" w:rsidP="00B22B6E">
            <w:pPr>
              <w:jc w:val="center"/>
              <w:rPr>
                <w:rFonts w:ascii="Calibri" w:hAnsi="Calibri" w:cs="Calibri"/>
                <w:sz w:val="22"/>
                <w:szCs w:val="22"/>
              </w:rPr>
            </w:pPr>
            <w:r w:rsidRPr="006F3285">
              <w:rPr>
                <w:rFonts w:ascii="Calibri" w:hAnsi="Calibri" w:cs="Calibri"/>
                <w:sz w:val="22"/>
                <w:szCs w:val="22"/>
              </w:rPr>
              <w:lastRenderedPageBreak/>
              <w:t>Rev</w:t>
            </w:r>
          </w:p>
        </w:tc>
        <w:tc>
          <w:tcPr>
            <w:tcW w:w="992" w:type="dxa"/>
          </w:tcPr>
          <w:p w:rsidR="00C91132" w:rsidRPr="006F3285" w:rsidRDefault="00C91132"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8217" w:type="dxa"/>
          </w:tcPr>
          <w:p w:rsidR="00C91132" w:rsidRPr="006F3285" w:rsidRDefault="00C91132"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and  strengthening coordination and cooperation among, </w:t>
            </w:r>
            <w:r w:rsidR="0068197C" w:rsidRPr="006F3285">
              <w:rPr>
                <w:rFonts w:ascii="Calibri" w:hAnsi="Calibri" w:cs="Calibri"/>
                <w:sz w:val="22"/>
                <w:szCs w:val="22"/>
              </w:rPr>
              <w:t xml:space="preserve">the ITU </w:t>
            </w:r>
            <w:proofErr w:type="spellStart"/>
            <w:r w:rsidR="0068197C" w:rsidRPr="006F3285">
              <w:rPr>
                <w:rFonts w:ascii="Calibri" w:hAnsi="Calibri" w:cs="Calibri"/>
                <w:sz w:val="22"/>
                <w:szCs w:val="22"/>
              </w:rPr>
              <w:t>Radiocommunication</w:t>
            </w:r>
            <w:proofErr w:type="spellEnd"/>
            <w:r w:rsidR="0068197C" w:rsidRPr="006F3285">
              <w:rPr>
                <w:rFonts w:ascii="Calibri" w:hAnsi="Calibri" w:cs="Calibri"/>
                <w:sz w:val="22"/>
                <w:szCs w:val="22"/>
              </w:rPr>
              <w:t xml:space="preserve">, ITU </w:t>
            </w:r>
            <w:r w:rsidRPr="006F3285">
              <w:rPr>
                <w:rFonts w:ascii="Calibri" w:hAnsi="Calibri" w:cs="Calibri"/>
                <w:sz w:val="22"/>
                <w:szCs w:val="22"/>
              </w:rPr>
              <w:t>Telecommunication Standardization  and ITU Telecommunication Development Sectors</w:t>
            </w:r>
          </w:p>
        </w:tc>
      </w:tr>
      <w:tr w:rsidR="001803CE"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803CE" w:rsidRPr="006F3285" w:rsidRDefault="003F48F0"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803CE" w:rsidRPr="006F3285" w:rsidRDefault="003F48F0"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8217" w:type="dxa"/>
          </w:tcPr>
          <w:p w:rsidR="001803CE" w:rsidRPr="006F3285" w:rsidRDefault="003F48F0"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Effective coordination of standardization work </w:t>
            </w:r>
            <w:r w:rsidR="00E80FF3" w:rsidRPr="006F3285">
              <w:rPr>
                <w:rFonts w:ascii="Calibri" w:hAnsi="Calibri" w:cs="Calibri"/>
                <w:sz w:val="22"/>
                <w:szCs w:val="22"/>
              </w:rPr>
              <w:t xml:space="preserve">across  study groups in the ITU </w:t>
            </w:r>
            <w:r w:rsidRPr="006F3285">
              <w:rPr>
                <w:rFonts w:ascii="Calibri" w:hAnsi="Calibri" w:cs="Calibri"/>
                <w:sz w:val="22"/>
                <w:szCs w:val="22"/>
              </w:rPr>
              <w:t>Telecommunication Standardization  Sector and the role of the ITU Telecommunication  Standardization Advisory Group</w:t>
            </w:r>
          </w:p>
        </w:tc>
      </w:tr>
      <w:tr w:rsidR="00130D2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8217" w:type="dxa"/>
          </w:tcPr>
          <w:p w:rsidR="00130D2B" w:rsidRPr="006F3285" w:rsidRDefault="00130D2B"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5E4635"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0226A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0226AB" w:rsidRPr="006F3285" w:rsidRDefault="00E0690C"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226AB" w:rsidRPr="006F3285" w:rsidRDefault="00E0690C"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8217" w:type="dxa"/>
          </w:tcPr>
          <w:p w:rsidR="000226AB" w:rsidRPr="006F3285" w:rsidRDefault="00E0690C"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w:t>
            </w:r>
            <w:r w:rsidR="00753E41" w:rsidRPr="006F3285">
              <w:rPr>
                <w:rFonts w:ascii="Calibri" w:hAnsi="Calibri" w:cs="Calibri"/>
                <w:sz w:val="22"/>
                <w:szCs w:val="22"/>
              </w:rPr>
              <w:t>nce to, regional groups</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NOC</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8217" w:type="dxa"/>
          </w:tcPr>
          <w:p w:rsidR="002E6F23" w:rsidRPr="006F3285" w:rsidRDefault="00AB235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w:t>
            </w:r>
            <w:r w:rsidR="002E6F23" w:rsidRPr="006F3285">
              <w:rPr>
                <w:rFonts w:ascii="Calibri" w:hAnsi="Calibri" w:cs="Calibri"/>
                <w:sz w:val="22"/>
                <w:szCs w:val="22"/>
              </w:rPr>
              <w:t xml:space="preserve"> access and use of Internet resources and telecommunications/ICTs</w:t>
            </w:r>
          </w:p>
        </w:tc>
      </w:tr>
      <w:tr w:rsidR="003329B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3329B4" w:rsidRPr="006F3285" w:rsidRDefault="003329B4"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3329B4" w:rsidRPr="006F3285" w:rsidRDefault="003329B4"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8217" w:type="dxa"/>
          </w:tcPr>
          <w:p w:rsidR="003329B4" w:rsidRPr="006F3285" w:rsidRDefault="003329B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9F0448"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9F0448" w:rsidRPr="006F3285" w:rsidRDefault="009F0448"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9F0448" w:rsidRPr="006F3285" w:rsidRDefault="009F0448"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8217" w:type="dxa"/>
          </w:tcPr>
          <w:p w:rsidR="009F0448" w:rsidRPr="006F3285" w:rsidRDefault="009F0448"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w:t>
            </w:r>
            <w:r w:rsidR="002D45C5" w:rsidRPr="006F3285">
              <w:rPr>
                <w:rFonts w:ascii="Calibri" w:hAnsi="Calibri" w:cs="Calibri"/>
                <w:sz w:val="22"/>
                <w:szCs w:val="22"/>
              </w:rPr>
              <w:t>istance to developing countries</w:t>
            </w:r>
            <w:r w:rsidRPr="006F3285">
              <w:rPr>
                <w:rFonts w:ascii="Calibri" w:hAnsi="Calibri" w:cs="Calibri"/>
                <w:sz w:val="22"/>
                <w:szCs w:val="22"/>
              </w:rPr>
              <w:t>, and a possible future ITU Mark programme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8217" w:type="dxa"/>
          </w:tcPr>
          <w:p w:rsidR="002E6F23"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rsidR="006C2BC5" w:rsidRPr="006F3285" w:rsidRDefault="006C2BC5" w:rsidP="006C2BC5">
      <w:pPr>
        <w:spacing w:before="0" w:after="0"/>
        <w:rPr>
          <w:rFonts w:ascii="Calibri" w:hAnsi="Calibri" w:cs="Calibri"/>
          <w:bCs w:val="0"/>
          <w:sz w:val="22"/>
          <w:szCs w:val="22"/>
        </w:rPr>
      </w:pPr>
    </w:p>
    <w:p w:rsidR="00272B4F" w:rsidRPr="006F3285" w:rsidRDefault="00482925" w:rsidP="006C2BC5">
      <w:pPr>
        <w:spacing w:before="0" w:after="0"/>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2</w:t>
      </w:r>
    </w:p>
    <w:p w:rsidR="00272B4F" w:rsidRPr="006F3285" w:rsidRDefault="00482925" w:rsidP="00690593">
      <w:pPr>
        <w:keepNext/>
        <w:spacing w:before="240" w:after="240"/>
        <w:jc w:val="center"/>
        <w:rPr>
          <w:rFonts w:ascii="Calibri" w:hAnsi="Calibri"/>
          <w:b/>
          <w:bCs w:val="0"/>
          <w:sz w:val="28"/>
        </w:rPr>
      </w:pPr>
      <w:r w:rsidRPr="006F3285">
        <w:rPr>
          <w:rFonts w:ascii="Calibri" w:hAnsi="Calibri"/>
          <w:b/>
          <w:bCs w:val="0"/>
          <w:sz w:val="28"/>
        </w:rPr>
        <w:t>Overview of the WT</w:t>
      </w:r>
      <w:r w:rsidR="00855A02" w:rsidRPr="006F3285">
        <w:rPr>
          <w:rFonts w:ascii="Calibri" w:hAnsi="Calibri"/>
          <w:b/>
          <w:bCs w:val="0"/>
          <w:sz w:val="28"/>
        </w:rPr>
        <w:t>SA</w:t>
      </w:r>
      <w:r w:rsidRPr="006F3285">
        <w:rPr>
          <w:rFonts w:ascii="Calibri" w:hAnsi="Calibri"/>
          <w:b/>
          <w:bCs w:val="0"/>
          <w:sz w:val="28"/>
        </w:rPr>
        <w:t xml:space="preserve"> Resolutions rel</w:t>
      </w:r>
      <w:r w:rsidR="006221B8">
        <w:rPr>
          <w:rFonts w:ascii="Calibri" w:hAnsi="Calibri"/>
          <w:b/>
          <w:bCs w:val="0"/>
          <w:sz w:val="28"/>
        </w:rPr>
        <w:t>e</w:t>
      </w:r>
      <w:r w:rsidRPr="006F3285">
        <w:rPr>
          <w:rFonts w:ascii="Calibri" w:hAnsi="Calibri"/>
          <w:b/>
          <w:bCs w:val="0"/>
          <w:sz w:val="28"/>
        </w:rPr>
        <w:t>vant</w:t>
      </w:r>
      <w:r w:rsidR="006476BF" w:rsidRPr="006F3285">
        <w:rPr>
          <w:rFonts w:ascii="Calibri" w:hAnsi="Calibri"/>
          <w:b/>
          <w:bCs w:val="0"/>
          <w:sz w:val="28"/>
        </w:rPr>
        <w:t xml:space="preserve"> to </w:t>
      </w:r>
      <w:r w:rsidR="00BA657D">
        <w:rPr>
          <w:rFonts w:ascii="Calibri" w:hAnsi="Calibri"/>
          <w:b/>
          <w:bCs w:val="0"/>
          <w:sz w:val="28"/>
        </w:rPr>
        <w:t xml:space="preserve">the work of </w:t>
      </w:r>
      <w:r w:rsidR="006476BF" w:rsidRPr="006F3285">
        <w:rPr>
          <w:rFonts w:ascii="Calibri" w:hAnsi="Calibri"/>
          <w:b/>
          <w:bCs w:val="0"/>
          <w:sz w:val="28"/>
        </w:rPr>
        <w:t>ITU-D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evaluation of the implementation of WTSA Resolutions instructs the TSB Director in collaboration with Directors of the other Bureaux to take the </w:t>
            </w:r>
            <w:r w:rsidR="006221B8" w:rsidRPr="006F3285">
              <w:rPr>
                <w:rFonts w:ascii="Calibri" w:hAnsi="Calibri" w:cs="Calibri"/>
                <w:color w:val="000000" w:themeColor="text1"/>
                <w:sz w:val="22"/>
                <w:szCs w:val="22"/>
              </w:rPr>
              <w:t>necessary</w:t>
            </w:r>
            <w:r w:rsidRPr="006F3285">
              <w:rPr>
                <w:rFonts w:ascii="Calibri" w:hAnsi="Calibri" w:cs="Calibri"/>
                <w:color w:val="000000" w:themeColor="text1"/>
                <w:sz w:val="22"/>
                <w:szCs w:val="22"/>
              </w:rPr>
              <w:t xml:space="preserve"> actions to assess the implementation of the WTSA Resolutions by all parties concerned.</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enhancing the non-radio aspects related standardization activities in ITU-T on international mobile telecommunications instructs ITU-T Study Group 13, to maintain the roadmap of IMT standardization activities in ITU-T, which should include work items to progress the non-radio side related standardization work on IMT, and share this with relevant groups of ITU-R and ITU-D as the mission of the lead group for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International mobile roaming (IMR) instructs the TSB Director to organize initiatives, in collaboration with the BDT Director, to raise awareness on the consumer’s benefits of lowering international mobile roaming rates and encourages the Directors of the three Bureaux to investigate new ways to improve the efficiency of ITU work on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lastRenderedPageBreak/>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studies concerning the protection of users of telecommunication/information and communication technology services invites the TSB Director to assist the BDT Director in the implementation of Resolution 196 (Busan, 2014).</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Promoting the use of information and communication technologies to bridge the financial inclusion gap instructs the TSB Director in collaboration with the Directors of the other Bureaux to report the progress on the resolution to Council and WTSA 2020, to support the development of reports and best practises on digital financial and to organize workshops and seminars for the ITU membership.</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ITU-T studies for combating counterfeit telecommunication/Information Communication Technologies devices instructs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Recommendations. It further instruct the TSB Director in close collaboration with the BDT and BR Directors to assist Member States in addressing their concerns with respect to counterfeit and tampered telecommunication/ICT devices.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facilitating the implementation of the Smart Africa Manifesto instructs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 xml:space="preserve">New Resolution </w:t>
            </w:r>
            <w:r w:rsidRPr="006F3285">
              <w:rPr>
                <w:rFonts w:ascii="Calibri" w:hAnsi="Calibri" w:cs="Calibri"/>
                <w:sz w:val="22"/>
                <w:szCs w:val="22"/>
              </w:rPr>
              <w:t>on enhancing the standardization of Internet of things and Smart Cities and Communities for global development instructs the TSB Dir</w:t>
            </w:r>
            <w:r w:rsidR="00312EDA">
              <w:rPr>
                <w:rFonts w:ascii="Calibri" w:hAnsi="Calibri" w:cs="Calibri"/>
                <w:sz w:val="22"/>
                <w:szCs w:val="22"/>
              </w:rPr>
              <w:t>e</w:t>
            </w:r>
            <w:r w:rsidRPr="006F3285">
              <w:rPr>
                <w:rFonts w:ascii="Calibri" w:hAnsi="Calibri" w:cs="Calibri"/>
                <w:sz w:val="22"/>
                <w:szCs w:val="22"/>
              </w:rPr>
              <w:t>ctor, in collaboration with the BDT a</w:t>
            </w:r>
            <w:r w:rsidR="00312EDA">
              <w:rPr>
                <w:rFonts w:ascii="Calibri" w:hAnsi="Calibri" w:cs="Calibri"/>
                <w:sz w:val="22"/>
                <w:szCs w:val="22"/>
              </w:rPr>
              <w:t>n</w:t>
            </w:r>
            <w:r w:rsidRPr="006F3285">
              <w:rPr>
                <w:rFonts w:ascii="Calibri" w:hAnsi="Calibri" w:cs="Calibri"/>
                <w:sz w:val="22"/>
                <w:szCs w:val="22"/>
              </w:rPr>
              <w:t xml:space="preserve">d BR Directors prepare reports considering, in particular, the needs of developing countries in terms of the study of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its applications, sensor networks, services and infrastructure and to continue disseminating ITU publications on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SC&amp;C, as well as organizing forums, seminars and workshops on the subject, taking into account the needs of developing countries, in particular.</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 Telecommunication Standardization Sector initiatives to raise awareness on best practices and policies related to service quality instructs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combating mobile telecommunication device theft resolves to instruct the TSB Director in collaboration with the BDT and BR Directors to compile information on best practices developed by industry or governments,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2</w:t>
            </w:r>
            <w:r w:rsidRPr="006F3285">
              <w:rPr>
                <w:rFonts w:ascii="Calibri" w:hAnsi="Calibri" w:cs="Calibri"/>
                <w:sz w:val="22"/>
                <w:szCs w:val="22"/>
              </w:rPr>
              <w:t xml:space="preserve"> on ITU Telecommunication Standardization Sector study group responsibility and mandates</w:t>
            </w:r>
            <w:r w:rsidRPr="006F3285">
              <w:rPr>
                <w:rFonts w:ascii="Calibri" w:hAnsi="Calibri" w:cs="Calibri"/>
                <w:sz w:val="22"/>
                <w:szCs w:val="22"/>
                <w:u w:val="single"/>
              </w:rPr>
              <w:t xml:space="preserve"> </w:t>
            </w:r>
            <w:r w:rsidRPr="006F3285">
              <w:rPr>
                <w:rFonts w:ascii="Calibri" w:hAnsi="Calibri" w:cs="Calibri"/>
                <w:sz w:val="22"/>
                <w:szCs w:val="22"/>
              </w:rPr>
              <w:t xml:space="preserve">provide the mandates and lead roles and points of guidance for the ITU-T Study Groups. SG13 and SG 20 are requested to consult and cooperate with ITU-D in undertaking their mandate. </w:t>
            </w:r>
          </w:p>
        </w:tc>
      </w:tr>
      <w:tr w:rsidR="00DC34B3" w:rsidRPr="006F3285" w:rsidTr="00DC34B3">
        <w:tc>
          <w:tcPr>
            <w:tcW w:w="10197" w:type="dxa"/>
          </w:tcPr>
          <w:p w:rsidR="00DC34B3" w:rsidRPr="006F3285" w:rsidRDefault="00DC34B3" w:rsidP="00690593">
            <w:pPr>
              <w:jc w:val="both"/>
              <w:rPr>
                <w:rFonts w:ascii="Calibri" w:hAnsi="Calibri" w:cs="Calibri"/>
                <w:sz w:val="22"/>
                <w:szCs w:val="22"/>
                <w:u w:val="single"/>
              </w:rPr>
            </w:pPr>
            <w:r w:rsidRPr="006F3285">
              <w:rPr>
                <w:rFonts w:ascii="Calibri" w:hAnsi="Calibri" w:cs="Calibri"/>
                <w:sz w:val="22"/>
                <w:szCs w:val="22"/>
                <w:u w:val="single"/>
              </w:rPr>
              <w:t>RESOLUTION 18</w:t>
            </w:r>
            <w:r w:rsidRPr="006F3285">
              <w:rPr>
                <w:rFonts w:ascii="Calibri" w:hAnsi="Calibri" w:cs="Calibri"/>
                <w:sz w:val="22"/>
                <w:szCs w:val="22"/>
              </w:rPr>
              <w:t xml:space="preserve"> on Principles and procedures for the allocation of work to, and  strengthening coordination and cooperation among, the ITU-R, ITU-T and ITU-D invites RAG, TSAG and TDAG to continue to assist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 in the identification of subjects common to the three Sectors </w:t>
            </w:r>
            <w:r w:rsidRPr="006F3285">
              <w:rPr>
                <w:rFonts w:ascii="Calibri" w:hAnsi="Calibri" w:cs="Calibri"/>
                <w:sz w:val="22"/>
                <w:szCs w:val="22"/>
              </w:rPr>
              <w:lastRenderedPageBreak/>
              <w:t xml:space="preserve">and mechanisms to enhance cooperation and collaboration in all Sectors on matters of mutual interest and </w:t>
            </w:r>
            <w:r w:rsidRPr="006F3285">
              <w:rPr>
                <w:rFonts w:ascii="Calibri" w:hAnsi="Calibri" w:cs="Calibri"/>
                <w:sz w:val="22"/>
                <w:szCs w:val="22"/>
                <w:u w:val="single"/>
              </w:rPr>
              <w:t xml:space="preserve"> </w:t>
            </w:r>
            <w:r w:rsidRPr="006F3285">
              <w:rPr>
                <w:rFonts w:ascii="Calibri" w:hAnsi="Calibri" w:cs="Calibri"/>
                <w:sz w:val="22"/>
                <w:szCs w:val="22"/>
              </w:rPr>
              <w:t xml:space="preserve">the Directors BR, TSB, BDT and </w:t>
            </w:r>
            <w:r w:rsidR="006221B8" w:rsidRPr="006F3285">
              <w:rPr>
                <w:rFonts w:ascii="Calibri" w:hAnsi="Calibri" w:cs="Calibri"/>
                <w:sz w:val="22"/>
                <w:szCs w:val="22"/>
              </w:rPr>
              <w:t>ISC</w:t>
            </w:r>
            <w:r w:rsidR="006221B8">
              <w:rPr>
                <w:rFonts w:ascii="Calibri" w:hAnsi="Calibri" w:cs="Calibri"/>
                <w:sz w:val="22"/>
                <w:szCs w:val="22"/>
              </w:rPr>
              <w:t>-</w:t>
            </w:r>
            <w:r w:rsidRPr="006F3285">
              <w:rPr>
                <w:rFonts w:ascii="Calibri" w:hAnsi="Calibri" w:cs="Calibri"/>
                <w:sz w:val="22"/>
                <w:szCs w:val="22"/>
              </w:rPr>
              <w:t xml:space="preserve">TF to report to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29</w:t>
            </w:r>
            <w:r w:rsidRPr="006F3285">
              <w:rPr>
                <w:rFonts w:ascii="Calibri" w:hAnsi="Calibri" w:cs="Calibri"/>
                <w:sz w:val="22"/>
                <w:szCs w:val="22"/>
              </w:rPr>
              <w:t xml:space="preserve"> on alternative calling procedures on international telecommunication networks instructs the TSB Director to continue to cooperate with the BDT Director in order to facilitate the participation of developing countries in these studies and to make use of the results of the studies, and in the implementation of the resolution.</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44</w:t>
            </w:r>
            <w:r w:rsidRPr="006F3285">
              <w:rPr>
                <w:rFonts w:ascii="Calibri" w:hAnsi="Calibri" w:cs="Calibri"/>
                <w:sz w:val="22"/>
                <w:szCs w:val="22"/>
              </w:rPr>
              <w:t xml:space="preserve"> on bridging the standardization gap between developing and developed </w:t>
            </w:r>
            <w:r w:rsidR="005C44D8" w:rsidRPr="006F3285">
              <w:rPr>
                <w:rFonts w:ascii="Calibri" w:hAnsi="Calibri" w:cs="Calibri"/>
                <w:sz w:val="22"/>
                <w:szCs w:val="22"/>
              </w:rPr>
              <w:t>countries</w:t>
            </w:r>
            <w:r w:rsidRPr="006F3285">
              <w:rPr>
                <w:rFonts w:ascii="Calibri" w:hAnsi="Calibri" w:cs="Calibri"/>
                <w:sz w:val="22"/>
                <w:szCs w:val="22"/>
              </w:rPr>
              <w:t xml:space="preserve"> resolves that the action plan annexed to the resolution, should be continued and be reviewed on an annual basis to take into account the requirements of developing countries; it also resolves that ITU</w:t>
            </w:r>
            <w:r w:rsidR="00693F60" w:rsidRPr="006F3285">
              <w:rPr>
                <w:rFonts w:ascii="Calibri" w:hAnsi="Calibri" w:cs="Calibri"/>
                <w:sz w:val="22"/>
                <w:szCs w:val="22"/>
              </w:rPr>
              <w:t>-</w:t>
            </w:r>
            <w:r w:rsidRPr="006F3285">
              <w:rPr>
                <w:rFonts w:ascii="Calibri" w:hAnsi="Calibri" w:cs="Calibri"/>
                <w:sz w:val="22"/>
                <w:szCs w:val="22"/>
              </w:rPr>
              <w:t xml:space="preserve">T, in collaboration with the other Sectors, especially the ITU-D as appropriate, shall develop a programme to assist developing countries in developing strategies and methods that facilitate the process of linking innovations to the standardization process, assist developing countries in developing means to align their national industrial and innovation strategies towards the goal of achieving highest impact on their socio-economic ecosystems, assist developing countries on developing strategies in establishing national/international test laboratories for emerging technologies. 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w:t>
            </w:r>
            <w:r w:rsidR="005C44D8" w:rsidRPr="006F3285">
              <w:rPr>
                <w:rFonts w:ascii="Calibri" w:hAnsi="Calibri" w:cs="Calibri"/>
                <w:sz w:val="22"/>
                <w:szCs w:val="22"/>
              </w:rPr>
              <w:t>related</w:t>
            </w:r>
            <w:r w:rsidRPr="006F3285">
              <w:rPr>
                <w:rFonts w:ascii="Calibri" w:hAnsi="Calibri" w:cs="Calibri"/>
                <w:sz w:val="22"/>
                <w:szCs w:val="22"/>
              </w:rPr>
              <w:t xml:space="preserve"> to </w:t>
            </w:r>
            <w:r w:rsidR="005C44D8" w:rsidRPr="006F3285">
              <w:rPr>
                <w:rFonts w:ascii="Calibri" w:hAnsi="Calibri" w:cs="Calibri"/>
                <w:sz w:val="22"/>
                <w:szCs w:val="22"/>
              </w:rPr>
              <w:t>partnerships</w:t>
            </w:r>
            <w:r w:rsidRPr="006F3285">
              <w:rPr>
                <w:rFonts w:ascii="Calibri" w:hAnsi="Calibri" w:cs="Calibri"/>
                <w:sz w:val="22"/>
                <w:szCs w:val="22"/>
              </w:rPr>
              <w:t xml:space="preserve"> and collaboration. It further instructs the study groups to continue liaising with ITU</w:t>
            </w:r>
            <w:r w:rsidR="007C381F" w:rsidRPr="006F3285">
              <w:rPr>
                <w:rFonts w:ascii="Calibri" w:hAnsi="Calibri" w:cs="Calibri"/>
                <w:sz w:val="22"/>
                <w:szCs w:val="22"/>
              </w:rPr>
              <w:t>-</w:t>
            </w:r>
            <w:r w:rsidRPr="006F3285">
              <w:rPr>
                <w:rFonts w:ascii="Calibri" w:hAnsi="Calibri" w:cs="Calibri"/>
                <w:sz w:val="22"/>
                <w:szCs w:val="22"/>
              </w:rPr>
              <w:t>D study groups, where appropriate, when developing new or revised ITU-T Recommendations, and finally invites the TSB Director to work closely with the Directors of BDT and the BR in order to encourage the formation of partnerships and to consider holding workshops concurrently with meetings of the ITU-T regional groups, in coordination and collaboration with the BDT Director.</w:t>
            </w:r>
          </w:p>
        </w:tc>
      </w:tr>
      <w:tr w:rsidR="00DC34B3" w:rsidRPr="006F3285" w:rsidTr="00DC34B3">
        <w:tc>
          <w:tcPr>
            <w:tcW w:w="10197" w:type="dxa"/>
          </w:tcPr>
          <w:p w:rsidR="00DC34B3" w:rsidRPr="006F3285" w:rsidRDefault="005219F4" w:rsidP="00DC34B3">
            <w:pPr>
              <w:jc w:val="both"/>
              <w:rPr>
                <w:rFonts w:ascii="Calibri" w:hAnsi="Calibri" w:cs="Calibri"/>
                <w:sz w:val="22"/>
                <w:szCs w:val="22"/>
              </w:rPr>
            </w:pPr>
            <w:r w:rsidRPr="006F3285">
              <w:rPr>
                <w:rFonts w:ascii="Calibri" w:hAnsi="Calibri" w:cs="Calibri"/>
                <w:sz w:val="22"/>
                <w:szCs w:val="22"/>
                <w:u w:val="single"/>
              </w:rPr>
              <w:t xml:space="preserve">RESOLUTION </w:t>
            </w:r>
            <w:r w:rsidR="00DC34B3" w:rsidRPr="006F3285">
              <w:rPr>
                <w:rFonts w:ascii="Calibri" w:hAnsi="Calibri" w:cs="Calibri"/>
                <w:sz w:val="22"/>
                <w:szCs w:val="22"/>
                <w:u w:val="single"/>
              </w:rPr>
              <w:t>45</w:t>
            </w:r>
            <w:r w:rsidR="00DC34B3" w:rsidRPr="006F3285">
              <w:rPr>
                <w:rFonts w:ascii="Calibri" w:hAnsi="Calibri" w:cs="Calibri"/>
                <w:sz w:val="22"/>
                <w:szCs w:val="22"/>
              </w:rPr>
              <w:t xml:space="preserve"> on Effective coordination of standardization work across  study groups in the ITU Telecommunication Standardization  Sector and the role of the ITU Telecommunication  Standardization Advisory Group resolves that the coordination of ITU-T</w:t>
            </w:r>
            <w:r w:rsidR="005C44D8" w:rsidRPr="006F3285">
              <w:rPr>
                <w:rFonts w:ascii="Calibri" w:hAnsi="Calibri" w:cs="Calibri"/>
                <w:sz w:val="22"/>
                <w:szCs w:val="22"/>
              </w:rPr>
              <w:t xml:space="preserve"> </w:t>
            </w:r>
            <w:r w:rsidR="00DC34B3" w:rsidRPr="006F3285">
              <w:rPr>
                <w:rFonts w:ascii="Calibri" w:hAnsi="Calibri" w:cs="Calibri"/>
                <w:sz w:val="22"/>
                <w:szCs w:val="22"/>
              </w:rPr>
              <w:t xml:space="preserve">activities in regard to high-priority standardization issues and work related to more than one study group should ensure cooperation and coordination with the ITU </w:t>
            </w:r>
            <w:proofErr w:type="spellStart"/>
            <w:r w:rsidR="00DC34B3" w:rsidRPr="006F3285">
              <w:rPr>
                <w:rFonts w:ascii="Calibri" w:hAnsi="Calibri" w:cs="Calibri"/>
                <w:sz w:val="22"/>
                <w:szCs w:val="22"/>
              </w:rPr>
              <w:t>Radiocommunication</w:t>
            </w:r>
            <w:proofErr w:type="spellEnd"/>
            <w:r w:rsidR="00DC34B3" w:rsidRPr="006F3285">
              <w:rPr>
                <w:rFonts w:ascii="Calibri" w:hAnsi="Calibri" w:cs="Calibri"/>
                <w:sz w:val="22"/>
                <w:szCs w:val="22"/>
              </w:rPr>
              <w:t xml:space="preserve"> and Telecommunication Development Sectors and with other, external, standardization bodies.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50</w:t>
            </w:r>
            <w:r w:rsidRPr="006F3285">
              <w:rPr>
                <w:rFonts w:ascii="Calibri" w:hAnsi="Calibri" w:cs="Calibri"/>
                <w:sz w:val="22"/>
                <w:szCs w:val="22"/>
              </w:rPr>
              <w:t xml:space="preserve"> on cybersecurity notes that ITU-T</w:t>
            </w:r>
            <w:r w:rsidR="005C44D8" w:rsidRPr="006F3285">
              <w:rPr>
                <w:rFonts w:ascii="Calibri" w:hAnsi="Calibri" w:cs="Calibri"/>
                <w:sz w:val="22"/>
                <w:szCs w:val="22"/>
              </w:rPr>
              <w:t xml:space="preserve"> </w:t>
            </w:r>
            <w:r w:rsidRPr="006F3285">
              <w:rPr>
                <w:rFonts w:ascii="Calibri" w:hAnsi="Calibri" w:cs="Calibri"/>
                <w:sz w:val="22"/>
                <w:szCs w:val="22"/>
              </w:rPr>
              <w:t>should work closely with ITU</w:t>
            </w:r>
            <w:r w:rsidR="00784B52" w:rsidRPr="006F3285">
              <w:rPr>
                <w:rFonts w:ascii="Calibri" w:hAnsi="Calibri" w:cs="Calibri"/>
                <w:sz w:val="22"/>
                <w:szCs w:val="22"/>
              </w:rPr>
              <w:t>-</w:t>
            </w:r>
            <w:r w:rsidRPr="006F3285">
              <w:rPr>
                <w:rFonts w:ascii="Calibri" w:hAnsi="Calibri" w:cs="Calibri"/>
                <w:sz w:val="22"/>
                <w:szCs w:val="22"/>
              </w:rPr>
              <w:t>D, particularly in the context of Question3/2, instructs TSB Director to continue to maintain, in building upon the information base associated with the "ICT Security Standards Roadmap" and the ITU</w:t>
            </w:r>
            <w:r w:rsidR="00784B52" w:rsidRPr="006F3285">
              <w:rPr>
                <w:rFonts w:ascii="Calibri" w:hAnsi="Calibri" w:cs="Calibri"/>
                <w:sz w:val="22"/>
                <w:szCs w:val="22"/>
              </w:rPr>
              <w:t>-</w:t>
            </w:r>
            <w:r w:rsidRPr="006F3285">
              <w:rPr>
                <w:rFonts w:ascii="Calibri" w:hAnsi="Calibri" w:cs="Calibri"/>
                <w:sz w:val="22"/>
                <w:szCs w:val="22"/>
              </w:rPr>
              <w:t>D efforts on cybersecurity, an inventory of national, regional and international initiatives and to support the BDT Director on assisting Member States in the establishment of an appropriate framework between developing countries.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w:t>
            </w:r>
            <w:r w:rsidRPr="006F3285">
              <w:rPr>
                <w:rFonts w:ascii="Calibri" w:hAnsi="Calibri" w:cs="Calibri"/>
                <w:sz w:val="22"/>
                <w:szCs w:val="22"/>
              </w:rPr>
              <w:t xml:space="preserve"> 52 on counte</w:t>
            </w:r>
            <w:r w:rsidR="005C44D8" w:rsidRPr="006F3285">
              <w:rPr>
                <w:rFonts w:ascii="Calibri" w:hAnsi="Calibri" w:cs="Calibri"/>
                <w:sz w:val="22"/>
                <w:szCs w:val="22"/>
              </w:rPr>
              <w:t xml:space="preserve">ring and combating spam </w:t>
            </w:r>
            <w:r w:rsidRPr="006F3285">
              <w:rPr>
                <w:rFonts w:ascii="Calibri" w:hAnsi="Calibri" w:cs="Calibri"/>
                <w:sz w:val="22"/>
                <w:szCs w:val="22"/>
              </w:rPr>
              <w:t xml:space="preserve">instruct the relevant study groups to continue collaboration with ITU-D in order to continue developing, as a matter of urgency, technical Recommendations with a view to exchanging best practices and disseminating information through joint workshops, training sessions. It further </w:t>
            </w:r>
            <w:r w:rsidR="005C44D8" w:rsidRPr="006F3285">
              <w:rPr>
                <w:rFonts w:ascii="Calibri" w:hAnsi="Calibri" w:cs="Calibri"/>
                <w:sz w:val="22"/>
                <w:szCs w:val="22"/>
              </w:rPr>
              <w:t>instructs</w:t>
            </w:r>
            <w:r w:rsidRPr="006F3285">
              <w:rPr>
                <w:rFonts w:ascii="Calibri" w:hAnsi="Calibri" w:cs="Calibri"/>
                <w:sz w:val="22"/>
                <w:szCs w:val="22"/>
              </w:rPr>
              <w:t xml:space="preserve"> ITU-T Study Group 17 to support ITU-D Study Group 2 on countering and combating spam in its work providing technical training sessions, workshops activities in different regions related to spam policy, regulatory and economic issues and their impact.</w:t>
            </w:r>
          </w:p>
        </w:tc>
      </w:tr>
      <w:tr w:rsidR="00DC34B3" w:rsidRPr="006F3285" w:rsidTr="00DC34B3">
        <w:tc>
          <w:tcPr>
            <w:tcW w:w="10197" w:type="dxa"/>
          </w:tcPr>
          <w:p w:rsidR="00DC34B3" w:rsidRPr="006F3285" w:rsidRDefault="00DC34B3" w:rsidP="00DC34B3">
            <w:pPr>
              <w:jc w:val="both"/>
              <w:rPr>
                <w:rFonts w:ascii="Calibri" w:hAnsi="Calibri" w:cs="Calibri"/>
                <w:sz w:val="22"/>
                <w:szCs w:val="22"/>
                <w:highlight w:val="yellow"/>
              </w:rPr>
            </w:pPr>
            <w:r w:rsidRPr="006F3285">
              <w:rPr>
                <w:rFonts w:ascii="Calibri" w:hAnsi="Calibri" w:cs="Calibri"/>
                <w:sz w:val="22"/>
                <w:szCs w:val="22"/>
                <w:u w:val="single"/>
              </w:rPr>
              <w:t>RESOLUTION 54</w:t>
            </w:r>
            <w:r w:rsidRPr="006F3285">
              <w:rPr>
                <w:rFonts w:ascii="Calibri" w:hAnsi="Calibri" w:cs="Calibri"/>
                <w:sz w:val="22"/>
                <w:szCs w:val="22"/>
              </w:rPr>
              <w:t xml:space="preserve"> on the creation of, and assistance to, regional groups instructs the TSB Director, in collaboration with the BDT Director to provide all necessary support for creating and ensuring the smooth functioning of the regional groups, to consider holding, whenever possible, workshops concurrently with meetings of the ITU-T regional groups, in the relevant regions, and vice versa and to take all necessary measures to facilitate the organization of meetings and workshops of the regional groups. It also calls upon the TSB Director to cooperate with the BDT Director in order to continue to provide specific assistance to regional groups, to encourage the continuing development of computerized application tools and take appropriate steps to facilitate meetings of the current and future regional groups.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58</w:t>
            </w:r>
            <w:r w:rsidRPr="006F3285">
              <w:rPr>
                <w:rFonts w:ascii="Calibri" w:hAnsi="Calibri" w:cs="Calibri"/>
                <w:sz w:val="22"/>
                <w:szCs w:val="22"/>
              </w:rPr>
              <w:t xml:space="preserve"> on encouraging the creation of national Computer Incident Response Teams (CIRTs) in Member States, particularly developing countries, instructs the TSB Director to work in collaboration with the BDT Director to identify best practices to establish CIRTs, to identify where CIRTs are needed, to collaborate with international experts and bodies to establish national CIRTs, to provide support, as appropriate and to facilitate collaboration between national CIRTs.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64</w:t>
            </w:r>
            <w:r w:rsidRPr="006F3285">
              <w:rPr>
                <w:rFonts w:ascii="Calibri" w:hAnsi="Calibri" w:cs="Calibri"/>
                <w:sz w:val="22"/>
                <w:szCs w:val="22"/>
              </w:rPr>
              <w:t xml:space="preserve"> on IP address allocation and facilitating the transition to and deployment of IPv6 recognizes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69</w:t>
            </w:r>
            <w:r w:rsidRPr="006F3285">
              <w:rPr>
                <w:rFonts w:ascii="Calibri" w:hAnsi="Calibri" w:cs="Calibri"/>
                <w:sz w:val="22"/>
                <w:szCs w:val="22"/>
              </w:rPr>
              <w:t xml:space="preserve"> on </w:t>
            </w:r>
            <w:r w:rsidR="005C44D8" w:rsidRPr="006F3285">
              <w:rPr>
                <w:rFonts w:ascii="Calibri" w:hAnsi="Calibri" w:cs="Calibri"/>
                <w:sz w:val="22"/>
                <w:szCs w:val="22"/>
              </w:rPr>
              <w:t>non-discriminatory</w:t>
            </w:r>
            <w:r w:rsidRPr="006F3285">
              <w:rPr>
                <w:rFonts w:ascii="Calibri" w:hAnsi="Calibri" w:cs="Calibri"/>
                <w:sz w:val="22"/>
                <w:szCs w:val="22"/>
              </w:rPr>
              <w:t xml:space="preserve"> access and use of Internet resources and telecommunications/ICTs invites the Directors of TSB, BR, BDT to contribute on the progress of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70</w:t>
            </w:r>
            <w:r w:rsidRPr="006F3285">
              <w:rPr>
                <w:rFonts w:ascii="Calibri" w:hAnsi="Calibri" w:cs="Calibri"/>
                <w:sz w:val="22"/>
                <w:szCs w:val="22"/>
              </w:rPr>
              <w:t xml:space="preserve"> on Telecommunication/information and communication technology accessibility for persons with disabilities and persons with specific needs instructs the TDB Director to contribute to the development of an ITU-wide internship programme for persons with disabilities who have expertise in the field of ICTs and invites the TSB Director to work collaboratively on accessibility-related activities with the BR and BDT </w:t>
            </w:r>
            <w:r w:rsidR="005C44D8" w:rsidRPr="006F3285">
              <w:rPr>
                <w:rFonts w:ascii="Calibri" w:hAnsi="Calibri" w:cs="Calibri"/>
                <w:sz w:val="22"/>
                <w:szCs w:val="22"/>
              </w:rPr>
              <w:t>Directors</w:t>
            </w:r>
            <w:r w:rsidRPr="006F3285">
              <w:rPr>
                <w:rFonts w:ascii="Calibri" w:hAnsi="Calibri" w:cs="Calibri"/>
                <w:sz w:val="22"/>
                <w:szCs w:val="22"/>
              </w:rPr>
              <w:t>, on awareness and mainstreaming of telecommunication/ICT accessibility as well as to work collaboratively on accessibility-related activities with ITU</w:t>
            </w:r>
            <w:r w:rsidR="00855A02" w:rsidRPr="006F3285">
              <w:rPr>
                <w:rFonts w:ascii="Calibri" w:hAnsi="Calibri" w:cs="Calibri"/>
                <w:sz w:val="22"/>
                <w:szCs w:val="22"/>
              </w:rPr>
              <w:t>-</w:t>
            </w:r>
            <w:r w:rsidRPr="006F3285">
              <w:rPr>
                <w:rFonts w:ascii="Calibri" w:hAnsi="Calibri" w:cs="Calibri"/>
                <w:sz w:val="22"/>
                <w:szCs w:val="22"/>
              </w:rPr>
              <w:t>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72</w:t>
            </w:r>
            <w:r w:rsidRPr="006F3285">
              <w:rPr>
                <w:rFonts w:ascii="Calibri" w:hAnsi="Calibri" w:cs="Calibri"/>
                <w:sz w:val="22"/>
                <w:szCs w:val="22"/>
              </w:rPr>
              <w:t xml:space="preserve"> on measurement and assessment concerns related to human exposure to electromagnetic fields resolves to invite ITU</w:t>
            </w:r>
            <w:r w:rsidR="00855A02" w:rsidRPr="006F3285">
              <w:rPr>
                <w:rFonts w:ascii="Calibri" w:hAnsi="Calibri" w:cs="Calibri"/>
                <w:sz w:val="22"/>
                <w:szCs w:val="22"/>
              </w:rPr>
              <w:t>-</w:t>
            </w:r>
            <w:r w:rsidRPr="006F3285">
              <w:rPr>
                <w:rFonts w:ascii="Calibri" w:hAnsi="Calibri" w:cs="Calibri"/>
                <w:sz w:val="22"/>
                <w:szCs w:val="22"/>
              </w:rPr>
              <w:t xml:space="preserve">T, to expand and continue its work including cooperating with ITU-R and ITU-D </w:t>
            </w:r>
            <w:r w:rsidR="005C44D8" w:rsidRPr="006F3285">
              <w:rPr>
                <w:rFonts w:ascii="Calibri" w:hAnsi="Calibri" w:cs="Calibri"/>
                <w:sz w:val="22"/>
                <w:szCs w:val="22"/>
              </w:rPr>
              <w:t>Study</w:t>
            </w:r>
            <w:r w:rsidRPr="006F3285">
              <w:rPr>
                <w:rFonts w:ascii="Calibri" w:hAnsi="Calibri" w:cs="Calibri"/>
                <w:sz w:val="22"/>
                <w:szCs w:val="22"/>
              </w:rPr>
              <w:t xml:space="preserve"> groups and instructs TSB Director in close collaboration with the Directors of the other two Bureaux to support the development of reports identifying the needs of developing countries, to hold workshops in developing countries, to extend its support for developing countries while they establish their regional centres equipped with test benches for continuous monitoring of EMF levels.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73</w:t>
            </w:r>
            <w:r w:rsidRPr="006F3285">
              <w:rPr>
                <w:rFonts w:ascii="Calibri" w:hAnsi="Calibri" w:cs="Calibri"/>
                <w:sz w:val="22"/>
                <w:szCs w:val="22"/>
              </w:rPr>
              <w:t xml:space="preserve"> on Information and communication technologies, environment and climate change takes into account initiatives on climate change and the role of ICTs undertaken by ITU-D and ITU-R. It further instructs the TSB Director to </w:t>
            </w:r>
            <w:r w:rsidR="005C44D8" w:rsidRPr="006F3285">
              <w:rPr>
                <w:rFonts w:ascii="Calibri" w:hAnsi="Calibri" w:cs="Calibri"/>
                <w:sz w:val="22"/>
                <w:szCs w:val="22"/>
              </w:rPr>
              <w:t>collaborate</w:t>
            </w:r>
            <w:r w:rsidRPr="006F3285">
              <w:rPr>
                <w:rFonts w:ascii="Calibri" w:hAnsi="Calibri" w:cs="Calibri"/>
                <w:sz w:val="22"/>
                <w:szCs w:val="22"/>
              </w:rPr>
              <w:t xml:space="preserve"> with the Directors of the other two Bureaux in implementing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76</w:t>
            </w:r>
            <w:r w:rsidRPr="006F3285">
              <w:rPr>
                <w:rFonts w:ascii="Calibri" w:hAnsi="Calibri" w:cs="Calibri"/>
                <w:sz w:val="22"/>
                <w:szCs w:val="22"/>
              </w:rPr>
              <w:t xml:space="preserve"> on studies related to conformance and interoperability testing, assistance to developing countries1, and a possible future ITU Mark programme invites Member States and ITU-D Sector Members to evaluate and assess the risks and various costs resulting from the lack of C&amp;I tests, particularly in developing countries, and share necessary information and recommendations to avoid losses, based on best practices, as well as instructs the TSB Director in cooperation with the Directors of BR and BDT to continue to conduct as necessary exploratory activities in each region in order to identify and prioritize the problems faced by developing countries related to achieving interoperability of telecommunication/ICT equipment and services and in cooperation with the BDT </w:t>
            </w:r>
            <w:r w:rsidR="005C44D8" w:rsidRPr="006F3285">
              <w:rPr>
                <w:rFonts w:ascii="Calibri" w:hAnsi="Calibri" w:cs="Calibri"/>
                <w:sz w:val="22"/>
                <w:szCs w:val="22"/>
              </w:rPr>
              <w:t>Director to</w:t>
            </w:r>
            <w:r w:rsidRPr="006F3285">
              <w:rPr>
                <w:rFonts w:ascii="Calibri" w:hAnsi="Calibri" w:cs="Calibri"/>
                <w:sz w:val="22"/>
                <w:szCs w:val="22"/>
              </w:rPr>
              <w:t xml:space="preserve"> implement an ITU C&amp;I programme for possible introduction of a database identifying products’ conformance and origin.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78</w:t>
            </w:r>
            <w:r w:rsidRPr="006F3285">
              <w:rPr>
                <w:rFonts w:ascii="Calibri" w:hAnsi="Calibri" w:cs="Calibri"/>
                <w:sz w:val="22"/>
                <w:szCs w:val="22"/>
              </w:rPr>
              <w:t xml:space="preserve"> on information and communication technologies and standards for improved </w:t>
            </w:r>
            <w:r w:rsidR="005C44D8" w:rsidRPr="006F3285">
              <w:rPr>
                <w:rFonts w:ascii="Calibri" w:hAnsi="Calibri" w:cs="Calibri"/>
                <w:sz w:val="22"/>
                <w:szCs w:val="22"/>
              </w:rPr>
              <w:t>access</w:t>
            </w:r>
            <w:r w:rsidRPr="006F3285">
              <w:rPr>
                <w:rFonts w:ascii="Calibri" w:hAnsi="Calibri" w:cs="Calibri"/>
                <w:sz w:val="22"/>
                <w:szCs w:val="22"/>
              </w:rPr>
              <w:t xml:space="preserve"> to e-health services notes the ongoing work and studies in ITU-D Study Group 2 under Question 14-3/2, and instructs the TSB Director in collaboration with the BDT </w:t>
            </w:r>
            <w:r w:rsidR="005C44D8" w:rsidRPr="006F3285">
              <w:rPr>
                <w:rFonts w:ascii="Calibri" w:hAnsi="Calibri" w:cs="Calibri"/>
                <w:sz w:val="22"/>
                <w:szCs w:val="22"/>
              </w:rPr>
              <w:t>and</w:t>
            </w:r>
            <w:r w:rsidRPr="006F3285">
              <w:rPr>
                <w:rFonts w:ascii="Calibri" w:hAnsi="Calibri" w:cs="Calibri"/>
                <w:sz w:val="22"/>
                <w:szCs w:val="22"/>
              </w:rPr>
              <w:t xml:space="preserve"> BR Director to consider with priority the enhancement of telecommunication/ICT initiatives in e health and to coordinate their related standardization activities, to continue and further develop ITU activities on telecommunication/ICT applications for e-health, to work collaboratively with WHO, academia and other relevant organizations on activities related to e-health in general and to this resolution in particular and to organize seminars and workshops on e-health</w:t>
            </w:r>
          </w:p>
        </w:tc>
      </w:tr>
    </w:tbl>
    <w:p w:rsidR="00482925" w:rsidRPr="00272256" w:rsidRDefault="00482925" w:rsidP="00A665E6">
      <w:pPr>
        <w:pStyle w:val="CEONormal"/>
        <w:rPr>
          <w:rFonts w:asciiTheme="minorHAnsi" w:hAnsiTheme="minorHAnsi"/>
          <w:sz w:val="22"/>
          <w:szCs w:val="22"/>
        </w:rPr>
        <w:sectPr w:rsidR="00482925" w:rsidRPr="00272256" w:rsidSect="004F5627">
          <w:headerReference w:type="even" r:id="rId9"/>
          <w:headerReference w:type="default" r:id="rId10"/>
          <w:footerReference w:type="even" r:id="rId11"/>
          <w:footerReference w:type="default" r:id="rId12"/>
          <w:headerReference w:type="first" r:id="rId13"/>
          <w:footerReference w:type="first" r:id="rId14"/>
          <w:pgSz w:w="11909" w:h="16834" w:code="9"/>
          <w:pgMar w:top="953" w:right="851" w:bottom="1276" w:left="851" w:header="284" w:footer="613" w:gutter="0"/>
          <w:cols w:space="720"/>
          <w:titlePg/>
        </w:sectPr>
      </w:pPr>
    </w:p>
    <w:p w:rsidR="00A665E6" w:rsidRDefault="002E6F23" w:rsidP="006476BF">
      <w:pPr>
        <w:pStyle w:val="CEONormal"/>
        <w:jc w:val="center"/>
        <w:rPr>
          <w:rFonts w:asciiTheme="minorHAnsi" w:hAnsiTheme="minorHAnsi"/>
          <w:b/>
          <w:bCs/>
          <w:sz w:val="28"/>
          <w:szCs w:val="28"/>
        </w:rPr>
      </w:pPr>
      <w:r w:rsidRPr="00272B4F">
        <w:rPr>
          <w:rFonts w:asciiTheme="minorHAnsi" w:hAnsiTheme="minorHAnsi"/>
          <w:b/>
          <w:bCs/>
          <w:sz w:val="28"/>
          <w:szCs w:val="28"/>
        </w:rPr>
        <w:lastRenderedPageBreak/>
        <w:t>A</w:t>
      </w:r>
      <w:r w:rsidR="00272B4F" w:rsidRPr="00272B4F">
        <w:rPr>
          <w:rFonts w:asciiTheme="minorHAnsi" w:hAnsiTheme="minorHAnsi"/>
          <w:b/>
          <w:bCs/>
          <w:sz w:val="28"/>
          <w:szCs w:val="28"/>
        </w:rPr>
        <w:t>nnex</w:t>
      </w:r>
    </w:p>
    <w:p w:rsidR="00272B4F" w:rsidRPr="00272B4F" w:rsidRDefault="002D4850" w:rsidP="002D4850">
      <w:pPr>
        <w:pStyle w:val="CEONormal"/>
        <w:jc w:val="center"/>
        <w:rPr>
          <w:rFonts w:asciiTheme="minorHAnsi" w:hAnsiTheme="minorHAnsi"/>
          <w:b/>
          <w:bCs/>
          <w:sz w:val="28"/>
          <w:szCs w:val="28"/>
        </w:rPr>
      </w:pPr>
      <w:r>
        <w:rPr>
          <w:rFonts w:asciiTheme="minorHAnsi" w:hAnsiTheme="minorHAnsi"/>
          <w:b/>
          <w:bCs/>
          <w:sz w:val="28"/>
          <w:szCs w:val="28"/>
        </w:rPr>
        <w:t>Detailed t</w:t>
      </w:r>
      <w:r w:rsidR="006476BF">
        <w:rPr>
          <w:rFonts w:asciiTheme="minorHAnsi" w:hAnsiTheme="minorHAnsi"/>
          <w:b/>
          <w:bCs/>
          <w:sz w:val="28"/>
          <w:szCs w:val="28"/>
        </w:rPr>
        <w:t xml:space="preserve">ext of WTSA Resolutions relevant to </w:t>
      </w:r>
      <w:r w:rsidR="00BA657D">
        <w:rPr>
          <w:rFonts w:asciiTheme="minorHAnsi" w:hAnsiTheme="minorHAnsi"/>
          <w:b/>
          <w:bCs/>
          <w:sz w:val="28"/>
          <w:szCs w:val="28"/>
        </w:rPr>
        <w:t xml:space="preserve">the work of </w:t>
      </w:r>
      <w:r w:rsidR="006476BF">
        <w:rPr>
          <w:rFonts w:asciiTheme="minorHAnsi" w:hAnsiTheme="minorHAnsi"/>
          <w:b/>
          <w:bCs/>
          <w:sz w:val="28"/>
          <w:szCs w:val="28"/>
        </w:rPr>
        <w:t>ITU-D</w:t>
      </w:r>
    </w:p>
    <w:tbl>
      <w:tblPr>
        <w:tblStyle w:val="GridTable4-Accent1"/>
        <w:tblW w:w="0" w:type="auto"/>
        <w:tblLook w:val="04A0" w:firstRow="1" w:lastRow="0" w:firstColumn="1" w:lastColumn="0" w:noHBand="0" w:noVBand="1"/>
      </w:tblPr>
      <w:tblGrid>
        <w:gridCol w:w="3964"/>
        <w:gridCol w:w="10631"/>
      </w:tblGrid>
      <w:tr w:rsidR="00A665E6" w:rsidRPr="00272256"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rsidR="00A665E6" w:rsidRPr="00272256" w:rsidRDefault="00A665E6" w:rsidP="002E6F2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DE135E"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rsidR="00CA6907"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the Director of TSB in collaboration with Directors of the other Bureaux to take the </w:t>
            </w:r>
            <w:r w:rsidR="005C44D8" w:rsidRPr="00272256">
              <w:rPr>
                <w:rFonts w:asciiTheme="minorHAnsi" w:hAnsiTheme="minorHAnsi" w:cs="Calibri"/>
                <w:sz w:val="20"/>
                <w:szCs w:val="20"/>
              </w:rPr>
              <w:t>necessary</w:t>
            </w:r>
            <w:r w:rsidRPr="00272256">
              <w:rPr>
                <w:rFonts w:asciiTheme="minorHAnsi" w:hAnsiTheme="minorHAnsi" w:cs="Calibri"/>
                <w:sz w:val="20"/>
                <w:szCs w:val="20"/>
              </w:rPr>
              <w:t xml:space="preserve"> actions to assess the implementation of the WTSA Resolutions by all parties concerned</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Cs w:val="0"/>
                <w:sz w:val="20"/>
                <w:szCs w:val="20"/>
              </w:rPr>
              <w:t>ITU-T Study Group 13</w:t>
            </w:r>
            <w:r w:rsidRPr="00272256">
              <w:rPr>
                <w:rFonts w:asciiTheme="minorHAnsi" w:hAnsiTheme="minorHAnsi" w:cs="Calibri"/>
                <w:sz w:val="20"/>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D8581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initiatives, in collaboration with the Director of the Telecommunication Development Bureau (BDT), to raise awareness on the consumer’s benefits of lowering international mobile roaming rates;</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encourages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Directors of the three Bureaux to investigate new ways to improve the efficiency of ITU work on IMT,</w:t>
            </w:r>
          </w:p>
        </w:tc>
      </w:tr>
      <w:tr w:rsidR="007C4B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C4BAB" w:rsidRPr="00272256" w:rsidRDefault="007C4BAB"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C4BAB" w:rsidRPr="00272256" w:rsidRDefault="007C4BAB"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and communication technology services</w:t>
            </w:r>
          </w:p>
        </w:tc>
        <w:tc>
          <w:tcPr>
            <w:tcW w:w="10631" w:type="dxa"/>
          </w:tcPr>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the Director of the Telecommunication Development Bureau in the implementation of Resolution 196 (Busan, 2014)</w:t>
            </w:r>
          </w:p>
        </w:tc>
      </w:tr>
      <w:tr w:rsidR="003363BC"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63BC" w:rsidRPr="00272256" w:rsidRDefault="003363B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3363BC" w:rsidRPr="00272256" w:rsidRDefault="003363B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the other Bureaux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report on progress on the implementation of this resolution annually to the Council and to the 2020 world telecommunication standardization assembly;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63207D"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63207D" w:rsidRPr="00272256" w:rsidRDefault="006320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63207D" w:rsidRPr="00272256" w:rsidRDefault="006320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Communication Technologies devices</w:t>
            </w:r>
          </w:p>
        </w:tc>
        <w:tc>
          <w:tcPr>
            <w:tcW w:w="10631" w:type="dxa"/>
          </w:tcPr>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workshops and events across ITU regions to promote the work in this field, involving all stakeholders and raising awareness of the impact of counterfeit and tampered telecommunication/ICT devices;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developing countries in preparing human resources to combat the spread of counterfeit and tampered telecommunication/ICT devices, by providing capacity-building and training opportunities;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coordinate activities relating to combating counterfeit and tampered telecommunication/ICT devices through study groups, focus groups and other related groups.;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assist Member States in taking the necessary actions to apply relevant ITU-T Recommendations for combating counterfeit and tampered telecommunication/ICT devices, including use of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 </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TSB in close collaboration with the BDT and BR Directors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Member States in addressing their concerns with respect to counterfeit and tampered telecommunication/ICT devices, through information sharing at regional or global level, including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w:t>
            </w:r>
            <w:r w:rsidR="0074637D" w:rsidRPr="00272256">
              <w:rPr>
                <w:rFonts w:asciiTheme="minorHAnsi" w:hAnsiTheme="minorHAnsi" w:cs="Calibri"/>
                <w:sz w:val="20"/>
                <w:szCs w:val="20"/>
              </w:rPr>
              <w:t>ations related to these matters</w:t>
            </w:r>
          </w:p>
        </w:tc>
      </w:tr>
      <w:tr w:rsidR="0074637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4637D" w:rsidRPr="00272256" w:rsidRDefault="007463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4637D" w:rsidRPr="00272256" w:rsidRDefault="007463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establish mechanisms for collaboration and cooperation between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study groups and the Smart Africa office in the development of standards;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supporting the Smart Africa Manifesto in accordance with Resolution 195 (Busan, 2014);</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provide assistance to Smart Africa and Africa regional groups from within the assigned budget in order to support pilot projects aimed at speeding up the implementation of ITU standards and Recommendations;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strengthen training and guide Smart Africa member states, partner organizations and industries in their adoption of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standards</w:t>
            </w:r>
          </w:p>
        </w:tc>
      </w:tr>
      <w:tr w:rsidR="004F273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4F2734" w:rsidRPr="00272256" w:rsidRDefault="004F2734" w:rsidP="008E0E01">
            <w:pPr>
              <w:pStyle w:val="CEONormal"/>
              <w:spacing w:before="60" w:after="60"/>
              <w:rPr>
                <w:rFonts w:asciiTheme="minorHAnsi" w:hAnsiTheme="minorHAnsi" w:cs="Calibri"/>
                <w:sz w:val="20"/>
                <w:szCs w:val="20"/>
              </w:rPr>
            </w:pPr>
          </w:p>
          <w:p w:rsidR="004F2734" w:rsidRPr="00272256" w:rsidRDefault="004F2734"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4F2734" w:rsidRPr="00272256" w:rsidRDefault="004F2734"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w:t>
            </w:r>
            <w:r w:rsidR="009E2D78" w:rsidRPr="00272256">
              <w:rPr>
                <w:rFonts w:asciiTheme="minorHAnsi" w:hAnsiTheme="minorHAnsi" w:cs="Calibri"/>
                <w:b w:val="0"/>
                <w:bCs w:val="0"/>
                <w:sz w:val="20"/>
                <w:szCs w:val="20"/>
              </w:rPr>
              <w:t xml:space="preserve">rdization of Internet of things </w:t>
            </w:r>
            <w:r w:rsidRPr="00272256">
              <w:rPr>
                <w:rFonts w:asciiTheme="minorHAnsi" w:hAnsiTheme="minorHAnsi" w:cs="Calibri"/>
                <w:b w:val="0"/>
                <w:bCs w:val="0"/>
                <w:sz w:val="20"/>
                <w:szCs w:val="20"/>
              </w:rPr>
              <w:t>and Smart Cities and Communities for global development</w:t>
            </w:r>
          </w:p>
        </w:tc>
        <w:tc>
          <w:tcPr>
            <w:tcW w:w="10631" w:type="dxa"/>
          </w:tcPr>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 xml:space="preserve">instructs </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the Telecommunication Development Bureau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1</w:t>
            </w:r>
            <w:r w:rsidRPr="00272256">
              <w:rPr>
                <w:rFonts w:asciiTheme="minorHAnsi" w:hAnsiTheme="minorHAnsi" w:cs="Calibri"/>
                <w:sz w:val="20"/>
                <w:szCs w:val="20"/>
              </w:rPr>
              <w:tab/>
              <w:t xml:space="preserve">to prepare reports considering, in particular, the needs of developing countries in terms of the study of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and its applications, sensor networks, services and infrastructure;</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continue disseminating ITU publications on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and SC&amp;C, as well as organizing forums, seminars and workshops on the subject, taking into account the needs of developing countries, in particular,</w:t>
            </w:r>
          </w:p>
        </w:tc>
      </w:tr>
      <w:tr w:rsidR="00F43B9A"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43B9A" w:rsidRPr="00272256" w:rsidRDefault="00F43B9A"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43B9A" w:rsidRPr="00272256" w:rsidRDefault="00F43B9A" w:rsidP="009E2D78">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ITU Telecommunication Standardization Sector </w:t>
            </w:r>
            <w:r w:rsidR="009E2D78" w:rsidRPr="00272256">
              <w:rPr>
                <w:rFonts w:asciiTheme="minorHAnsi" w:hAnsiTheme="minorHAnsi" w:cs="Calibri"/>
                <w:b w:val="0"/>
                <w:bCs w:val="0"/>
                <w:sz w:val="20"/>
                <w:szCs w:val="20"/>
              </w:rPr>
              <w:t xml:space="preserve">initiatives to raise awareness </w:t>
            </w:r>
            <w:r w:rsidRPr="00272256">
              <w:rPr>
                <w:rFonts w:asciiTheme="minorHAnsi" w:hAnsiTheme="minorHAnsi" w:cs="Calibri"/>
                <w:b w:val="0"/>
                <w:bCs w:val="0"/>
                <w:sz w:val="20"/>
                <w:szCs w:val="20"/>
              </w:rPr>
              <w:t>on best practices and  policies related to service quality</w:t>
            </w:r>
          </w:p>
        </w:tc>
        <w:tc>
          <w:tcPr>
            <w:tcW w:w="10631" w:type="dxa"/>
          </w:tcPr>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developing and least developed countries in identifying human and institutional capacity-building opportunities for establishing national quality measurement frameworks;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conduct activities in each region in order to identify and prioritize the problems faced by developing and least developed countries related to the provision of acceptable service quality to users;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based on results of instructs 2 above, to assist developing and least developed countries in elaborating and implementing actions to improve service quality and keep users informed,</w:t>
            </w:r>
          </w:p>
        </w:tc>
      </w:tr>
      <w:tr w:rsidR="009E2D7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E2D78" w:rsidRPr="00272256" w:rsidRDefault="009E2D78"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9E2D78" w:rsidRPr="00272256" w:rsidRDefault="009E2D78" w:rsidP="00F43B9A">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to instruct the Director of the Telecommunication Standardization Bureau in collaboration with 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Telecommunication Development Bureau</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compile information on best practices developed by industry or governments and promising trends in combating mobile device theft;</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asciiTheme="minorHAnsi" w:hAnsiTheme="minorHAnsi" w:cs="Calibri"/>
                <w:sz w:val="20"/>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03722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3722D" w:rsidRPr="00272256" w:rsidRDefault="0003722D"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w:t>
            </w:r>
            <w:r w:rsidR="00D32ACD" w:rsidRPr="00272256">
              <w:rPr>
                <w:rFonts w:asciiTheme="minorHAnsi" w:hAnsiTheme="minorHAnsi" w:cs="Calibri"/>
                <w:sz w:val="20"/>
                <w:szCs w:val="20"/>
              </w:rPr>
              <w:t>ESOLUTION 2</w:t>
            </w:r>
          </w:p>
          <w:p w:rsidR="00D32ACD" w:rsidRPr="00272256" w:rsidRDefault="00D32ACD"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13</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sidR="007C381F">
              <w:rPr>
                <w:rFonts w:asciiTheme="minorHAnsi" w:hAnsiTheme="minorHAnsi" w:cs="Calibri"/>
                <w:sz w:val="20"/>
                <w:szCs w:val="20"/>
              </w:rPr>
              <w:t>-</w:t>
            </w:r>
            <w:r w:rsidRPr="00272256">
              <w:rPr>
                <w:rFonts w:asciiTheme="minorHAnsi" w:hAnsiTheme="minorHAnsi" w:cs="Calibri"/>
                <w:sz w:val="20"/>
                <w:szCs w:val="20"/>
              </w:rPr>
              <w:t>D.</w:t>
            </w:r>
          </w:p>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20</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Framework and roadmaps for the harmonized and coordinated development of Internet of things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including M2M communications, ubiquitous sensor networks and smart sustainable cities, in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and in close cooperation with ITU</w:t>
            </w:r>
            <w:r w:rsidR="007C381F">
              <w:rPr>
                <w:rFonts w:asciiTheme="minorHAnsi" w:hAnsiTheme="minorHAnsi" w:cs="Calibri"/>
                <w:sz w:val="20"/>
                <w:szCs w:val="20"/>
              </w:rPr>
              <w:t>-</w:t>
            </w:r>
            <w:r w:rsidRPr="00272256">
              <w:rPr>
                <w:rFonts w:asciiTheme="minorHAnsi" w:hAnsiTheme="minorHAnsi" w:cs="Calibri"/>
                <w:sz w:val="20"/>
                <w:szCs w:val="20"/>
              </w:rPr>
              <w:t>D and ITU</w:t>
            </w:r>
            <w:r w:rsidR="007C381F">
              <w:rPr>
                <w:rFonts w:asciiTheme="minorHAnsi" w:hAnsiTheme="minorHAnsi" w:cs="Calibri"/>
                <w:sz w:val="20"/>
                <w:szCs w:val="20"/>
              </w:rPr>
              <w:t>-</w:t>
            </w:r>
            <w:r w:rsidRPr="00272256">
              <w:rPr>
                <w:rFonts w:asciiTheme="minorHAnsi" w:hAnsiTheme="minorHAnsi" w:cs="Calibri"/>
                <w:sz w:val="20"/>
                <w:szCs w:val="20"/>
              </w:rPr>
              <w:t>R SGs and other regional and international standards organizations and industry forums;</w:t>
            </w:r>
          </w:p>
        </w:tc>
      </w:tr>
      <w:tr w:rsidR="00C91132"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91132" w:rsidRPr="00272256" w:rsidRDefault="00C91132"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18</w:t>
            </w:r>
          </w:p>
          <w:p w:rsidR="00C91132" w:rsidRPr="00272256" w:rsidRDefault="00C91132"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Principles and procedures for the allocation of work to, and  strengthening coordination and cooperation among, the ITU </w:t>
            </w:r>
            <w:proofErr w:type="spellStart"/>
            <w:r w:rsidRPr="00272256">
              <w:rPr>
                <w:rFonts w:asciiTheme="minorHAnsi" w:hAnsiTheme="minorHAnsi" w:cs="Calibri"/>
                <w:b w:val="0"/>
                <w:bCs w:val="0"/>
                <w:sz w:val="20"/>
                <w:szCs w:val="20"/>
              </w:rPr>
              <w:t>Radiocommunication</w:t>
            </w:r>
            <w:proofErr w:type="spellEnd"/>
            <w:r w:rsidRPr="00272256">
              <w:rPr>
                <w:rFonts w:asciiTheme="minorHAnsi" w:hAnsiTheme="minorHAnsi" w:cs="Calibri"/>
                <w:b w:val="0"/>
                <w:bCs w:val="0"/>
                <w:sz w:val="20"/>
                <w:szCs w:val="20"/>
              </w:rPr>
              <w:t>, ITU Telecommunication</w:t>
            </w:r>
            <w:r w:rsidR="007B0404" w:rsidRPr="00272256">
              <w:rPr>
                <w:rFonts w:asciiTheme="minorHAnsi" w:hAnsiTheme="minorHAnsi" w:cs="Calibri"/>
                <w:b w:val="0"/>
                <w:bCs w:val="0"/>
                <w:sz w:val="20"/>
                <w:szCs w:val="20"/>
              </w:rPr>
              <w:t xml:space="preserve"> Standardization </w:t>
            </w:r>
            <w:r w:rsidRPr="00272256">
              <w:rPr>
                <w:rFonts w:asciiTheme="minorHAnsi" w:hAnsiTheme="minorHAnsi" w:cs="Calibri"/>
                <w:b w:val="0"/>
                <w:bCs w:val="0"/>
                <w:sz w:val="20"/>
                <w:szCs w:val="20"/>
              </w:rPr>
              <w:t>and ITU Telec</w:t>
            </w:r>
            <w:r w:rsidR="00C774D3" w:rsidRPr="00272256">
              <w:rPr>
                <w:rFonts w:asciiTheme="minorHAnsi" w:hAnsiTheme="minorHAnsi" w:cs="Calibri"/>
                <w:b w:val="0"/>
                <w:bCs w:val="0"/>
                <w:sz w:val="20"/>
                <w:szCs w:val="20"/>
              </w:rPr>
              <w:t>ommunication Development Sector</w:t>
            </w:r>
          </w:p>
        </w:tc>
        <w:tc>
          <w:tcPr>
            <w:tcW w:w="10631" w:type="dxa"/>
          </w:tcPr>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invites</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 xml:space="preserve">RAG, TSAG and TDAG to continue to assist the </w:t>
            </w:r>
            <w:proofErr w:type="spellStart"/>
            <w:r w:rsidRPr="00272256">
              <w:rPr>
                <w:rFonts w:asciiTheme="minorHAnsi" w:hAnsiTheme="minorHAnsi" w:cs="Calibri"/>
                <w:sz w:val="20"/>
                <w:szCs w:val="20"/>
              </w:rPr>
              <w:t>Intersector</w:t>
            </w:r>
            <w:proofErr w:type="spellEnd"/>
            <w:r w:rsidRPr="00272256">
              <w:rPr>
                <w:rFonts w:asciiTheme="minorHAnsi" w:hAnsiTheme="minorHAnsi" w:cs="Calibri"/>
                <w:sz w:val="20"/>
                <w:szCs w:val="20"/>
              </w:rPr>
              <w:t xml:space="preserve"> Coordination Group on Matters of Mutual Interest in the identification of subjects common to the three Sectors and mechanisms to enhance cooperation and collaboration in all Sectors on matters of mutual interest;</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(BR), Telecommunication Standardization (TSB) and Telecommunication Development (BDT) Bureaux and ISC TF to report to the </w:t>
            </w:r>
            <w:proofErr w:type="spellStart"/>
            <w:r w:rsidRPr="00272256">
              <w:rPr>
                <w:rFonts w:asciiTheme="minorHAnsi" w:hAnsiTheme="minorHAnsi" w:cs="Calibri"/>
                <w:sz w:val="20"/>
                <w:szCs w:val="20"/>
              </w:rPr>
              <w:t>Intersector</w:t>
            </w:r>
            <w:proofErr w:type="spellEnd"/>
            <w:r w:rsidRPr="00272256">
              <w:rPr>
                <w:rFonts w:asciiTheme="minorHAnsi" w:hAnsiTheme="minorHAnsi" w:cs="Calibri"/>
                <w:sz w:val="20"/>
                <w:szCs w:val="20"/>
              </w:rPr>
              <w:t xml:space="preserve"> Coordination Group on Matters of Mutual Interest and the respective Sector advisory groups on options for improving cooperation at the secretariat level to ensure that close coordination is maximized,</w:t>
            </w:r>
          </w:p>
        </w:tc>
      </w:tr>
      <w:tr w:rsidR="001803C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803CE" w:rsidRPr="00272256" w:rsidRDefault="001803CE" w:rsidP="001803CE">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rsidR="001803CE" w:rsidRPr="00272256" w:rsidRDefault="001803CE"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rsidR="00D85814" w:rsidRPr="00272256" w:rsidRDefault="00D85814" w:rsidP="009E2D78">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009E2D78"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that ITU</w:t>
            </w:r>
            <w:r w:rsidR="00693F60">
              <w:rPr>
                <w:rFonts w:asciiTheme="minorHAnsi" w:hAnsiTheme="minorHAnsi" w:cs="Calibri"/>
                <w:sz w:val="20"/>
                <w:szCs w:val="20"/>
              </w:rPr>
              <w:t>-</w:t>
            </w:r>
            <w:r w:rsidRPr="00272256">
              <w:rPr>
                <w:rFonts w:asciiTheme="minorHAnsi" w:hAnsiTheme="minorHAnsi" w:cs="Calibri"/>
                <w:sz w:val="20"/>
                <w:szCs w:val="20"/>
              </w:rPr>
              <w:t>T, in collaboration with the other Sectors, especially the ITU Telecommunication Development Sector (ITU-D), as appropriate, shall develop a programme to:</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assist developing countries in developing strategies and methods that facilitate the process of linking innovations to the standardization process;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assist developing countries in developing means to align their national industrial and innovation strategies towards the goal of achieving highest impact on their socio-economic ecosystems;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iii)</w:t>
            </w:r>
            <w:r w:rsidRPr="00272256">
              <w:rPr>
                <w:rFonts w:asciiTheme="minorHAnsi" w:hAnsiTheme="minorHAnsi" w:cs="Calibri"/>
                <w:b/>
                <w:bCs w:val="0"/>
                <w:sz w:val="20"/>
                <w:szCs w:val="20"/>
              </w:rPr>
              <w:tab/>
            </w:r>
            <w:r w:rsidRPr="00272256">
              <w:rPr>
                <w:rFonts w:asciiTheme="minorHAnsi" w:hAnsiTheme="minorHAnsi" w:cs="Calibri"/>
                <w:sz w:val="20"/>
                <w:szCs w:val="20"/>
              </w:rPr>
              <w:t>assist developing countries on developing strategies in establishing national/international test laboratories for emerging technologies;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that, subject to Council approval, there should be free online access to the manuals, handbooks, directives and other ITU material related to understanding and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particularly in the area of developing planning, operation and maintenance of telecommunication equipment and networks;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support, within available or otherwise contributed resources, and on a case-by-case basis, the coordinated creation of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and encourage cooperation and collaboration of these groups with other regional standardization entities;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5</w:t>
            </w:r>
            <w:r w:rsidRPr="00272256">
              <w:rPr>
                <w:rFonts w:asciiTheme="minorHAnsi" w:hAnsiTheme="minorHAnsi" w:cs="Calibri"/>
                <w:sz w:val="20"/>
                <w:szCs w:val="20"/>
              </w:rPr>
              <w:tab/>
              <w:t xml:space="preserve">to maintain in the annual budget of the Union a separate expenditure line item for bridging the standardization gap activities, while at the same time voluntary contributions should be further encouraged;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that interpretation shall be provided, based on the requests of participants, and all study group and working party plenary meetings and the entire meeting of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further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that ITU regional offices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sidR="00693F60">
              <w:rPr>
                <w:rFonts w:asciiTheme="minorHAnsi" w:hAnsiTheme="minorHAnsi" w:cs="Calibri"/>
                <w:sz w:val="20"/>
                <w:szCs w:val="20"/>
              </w:rPr>
              <w:t>-</w:t>
            </w:r>
            <w:r w:rsidRPr="00272256">
              <w:rPr>
                <w:rFonts w:asciiTheme="minorHAnsi" w:hAnsiTheme="minorHAnsi" w:cs="Calibri"/>
                <w:sz w:val="20"/>
                <w:szCs w:val="20"/>
              </w:rPr>
              <w:t xml:space="preserve">T, and to provide the necessary assistance to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assist, within the offices' budgets, the vice-chairmen appointed with specific responsibilities, including, among others, the following: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closely work with ITU members in the region in order to mobilize them to participate in ITU standardization activities to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make mobilization and participation reports to the ITU body concerning the region;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iii)</w:t>
            </w:r>
            <w:r w:rsidRPr="00272256">
              <w:rPr>
                <w:rFonts w:asciiTheme="minorHAnsi" w:hAnsiTheme="minorHAnsi" w:cs="Calibri"/>
                <w:sz w:val="20"/>
                <w:szCs w:val="20"/>
              </w:rPr>
              <w:tab/>
              <w:t>prepare and submit a mobilization programme for the regions that they represent at the first meeting of TSAG or a study group and send a report to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inform ITU members of programmes and initiatives within ITU-D that could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organize and coordinate the activities of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Telecommunication Development Bureau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within available resources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and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assist developing countries with their studies, particularly in respect of their priority questions and towards developing and implementing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continue the activities of the implementation group established within TSB to organize, mobilize resources, coordinate efforts and monitor work related to this resolution and the associated action plan;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carry out the necessary studies on the role of innovation management and innovation stimulation programmes on bridging the standardization gap between the developed and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include in the TSB budget proposal to Council funds identified for the implementation of this resolution, taking into account financial constraints and existing and planned BDT activities;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 xml:space="preserve">to provide support and assistance to developing countries, if requested, in drafting/developing a set of guidelines on the application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 xml:space="preserve">Recommendations at the national level order to enhance their participation 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with the assistance of the ITU regional offices, for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10</w:t>
            </w:r>
            <w:r w:rsidRPr="00272256">
              <w:rPr>
                <w:rFonts w:asciiTheme="minorHAnsi" w:hAnsiTheme="minorHAnsi" w:cs="Calibri"/>
                <w:sz w:val="20"/>
                <w:szCs w:val="20"/>
              </w:rPr>
              <w:tab/>
              <w:t xml:space="preserve">to enhance use of electronic channels such as webinars or e-learning for education and training on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11</w:t>
            </w:r>
            <w:r w:rsidRPr="00272256">
              <w:rPr>
                <w:rFonts w:asciiTheme="minorHAnsi" w:hAnsiTheme="minorHAnsi" w:cs="Calibri"/>
                <w:b/>
                <w:bCs w:val="0"/>
                <w:sz w:val="20"/>
                <w:szCs w:val="20"/>
              </w:rPr>
              <w:tab/>
            </w:r>
            <w:r w:rsidRPr="00272256">
              <w:rPr>
                <w:rFonts w:asciiTheme="minorHAnsi" w:hAnsiTheme="minorHAnsi" w:cs="Calibri"/>
                <w:sz w:val="20"/>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12</w:t>
            </w:r>
            <w:r w:rsidRPr="00272256">
              <w:rPr>
                <w:rFonts w:asciiTheme="minorHAnsi" w:hAnsiTheme="minorHAnsi" w:cs="Calibri"/>
                <w:sz w:val="20"/>
                <w:szCs w:val="20"/>
              </w:rPr>
              <w:tab/>
              <w:t>to report on the effectiveness of the regional groups to Council;</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13</w:t>
            </w:r>
            <w:r w:rsidRPr="00272256">
              <w:rPr>
                <w:rFonts w:asciiTheme="minorHAnsi" w:hAnsiTheme="minorHAnsi" w:cs="Calibri"/>
                <w:sz w:val="20"/>
                <w:szCs w:val="20"/>
              </w:rPr>
              <w:tab/>
              <w:t>to conduct workshops and seminars, as appropriate, for disseminating information and increasing understanding of new Recommendations and implementation guidelines for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14</w:t>
            </w:r>
            <w:r w:rsidRPr="00272256">
              <w:rPr>
                <w:rFonts w:asciiTheme="minorHAnsi" w:hAnsiTheme="minorHAnsi" w:cs="Calibri"/>
                <w:sz w:val="20"/>
                <w:szCs w:val="20"/>
              </w:rPr>
              <w:tab/>
              <w:t xml:space="preserve">to provide remote participation, where possible, for more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workshops, seminars and forums, encouraging greater participation by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15</w:t>
            </w:r>
            <w:r w:rsidRPr="00272256">
              <w:rPr>
                <w:rFonts w:asciiTheme="minorHAnsi" w:hAnsiTheme="minorHAnsi" w:cs="Calibri"/>
                <w:sz w:val="20"/>
                <w:szCs w:val="20"/>
              </w:rPr>
              <w:tab/>
              <w:t xml:space="preserve">to leverage existing ITU-D platforms, such as the Global Innovation Platform, in order for developing countries to </w:t>
            </w:r>
            <w:r w:rsidR="0068197C" w:rsidRPr="00272256">
              <w:rPr>
                <w:rFonts w:asciiTheme="minorHAnsi" w:hAnsiTheme="minorHAnsi" w:cs="Calibri"/>
                <w:sz w:val="20"/>
                <w:szCs w:val="20"/>
              </w:rPr>
              <w:t>have greater involvement in ITU-</w:t>
            </w:r>
            <w:r w:rsidRPr="00272256">
              <w:rPr>
                <w:rFonts w:asciiTheme="minorHAnsi" w:hAnsiTheme="minorHAnsi" w:cs="Calibri"/>
                <w:sz w:val="20"/>
                <w:szCs w:val="20"/>
              </w:rPr>
              <w:t>T’s standardization work;</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16</w:t>
            </w:r>
            <w:r w:rsidRPr="00272256">
              <w:rPr>
                <w:rFonts w:asciiTheme="minorHAnsi" w:hAnsiTheme="minorHAnsi" w:cs="Calibri"/>
                <w:sz w:val="20"/>
                <w:szCs w:val="20"/>
              </w:rPr>
              <w:tab/>
              <w:t xml:space="preserve">to study the possibility of generating additional revenue for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activities on bridging the standardization gap, through identifying new financial resources not related to the voluntary contributions mentioned above,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further instructs the 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continue liaising with ITU</w:t>
            </w:r>
            <w:r w:rsidR="007C381F">
              <w:rPr>
                <w:rFonts w:asciiTheme="minorHAnsi" w:hAnsiTheme="minorHAnsi" w:cs="Calibri"/>
                <w:sz w:val="20"/>
                <w:szCs w:val="20"/>
              </w:rPr>
              <w:t>-</w:t>
            </w:r>
            <w:r w:rsidRPr="00272256">
              <w:rPr>
                <w:rFonts w:asciiTheme="minorHAnsi" w:hAnsiTheme="minorHAnsi" w:cs="Calibri"/>
                <w:sz w:val="20"/>
                <w:szCs w:val="20"/>
              </w:rPr>
              <w:t xml:space="preserve">D study groups, where appropriate, when developing new or revised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on the specific needs and requirements of developing countries, in order to broaden the appeal and applicability of the Recommendations in those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 xml:space="preserve">to work closely with the Directors of BDT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(BR) in order 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the action plan;</w:t>
            </w:r>
          </w:p>
          <w:p w:rsidR="00D85814"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spacing w:before="60" w:after="60"/>
              <w:rPr>
                <w:rFonts w:asciiTheme="minorHAnsi" w:hAnsiTheme="minorHAnsi" w:cs="Calibri"/>
                <w:bCs/>
                <w:sz w:val="20"/>
                <w:szCs w:val="20"/>
              </w:rPr>
            </w:pPr>
            <w:r w:rsidRPr="00272256">
              <w:rPr>
                <w:rFonts w:asciiTheme="minorHAnsi" w:hAnsiTheme="minorHAnsi" w:cs="Calibri"/>
                <w:bCs/>
                <w:sz w:val="20"/>
                <w:szCs w:val="20"/>
              </w:rPr>
              <w:lastRenderedPageBreak/>
              <w:t>RESOLUTION 45</w:t>
            </w:r>
          </w:p>
          <w:p w:rsidR="00A665E6" w:rsidRPr="00272256" w:rsidRDefault="00A665E6" w:rsidP="002E6F23">
            <w:pPr>
              <w:spacing w:before="60" w:after="60"/>
              <w:rPr>
                <w:rFonts w:asciiTheme="minorHAnsi" w:hAnsiTheme="minorHAnsi" w:cs="Calibri"/>
                <w:b w:val="0"/>
                <w:sz w:val="20"/>
                <w:szCs w:val="20"/>
              </w:rPr>
            </w:pPr>
            <w:r w:rsidRPr="00272256">
              <w:rPr>
                <w:rFonts w:asciiTheme="minorHAnsi" w:hAnsiTheme="minorHAnsi" w:cs="Calibri"/>
                <w:b w:val="0"/>
                <w:sz w:val="20"/>
                <w:szCs w:val="20"/>
              </w:rPr>
              <w:t>Effective coordination of standardization work across  study groups in the ITU Telecommunication Standardization  Sector and the role of the ITU Telecommunication  Standardization Advisory Group</w:t>
            </w:r>
          </w:p>
        </w:tc>
        <w:tc>
          <w:tcPr>
            <w:tcW w:w="10631" w:type="dxa"/>
          </w:tcPr>
          <w:p w:rsidR="00CA6907" w:rsidRPr="00272256" w:rsidRDefault="00BE56D3"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w:t>
            </w:r>
            <w:r w:rsidR="00A665E6" w:rsidRPr="00272256">
              <w:rPr>
                <w:rFonts w:asciiTheme="minorHAnsi" w:hAnsiTheme="minorHAnsi" w:cs="Calibri"/>
                <w:b/>
                <w:bCs/>
                <w:sz w:val="20"/>
                <w:szCs w:val="20"/>
              </w:rPr>
              <w:t>esolves</w:t>
            </w:r>
            <w:r w:rsidR="00A665E6" w:rsidRPr="00272256">
              <w:rPr>
                <w:rFonts w:asciiTheme="minorHAnsi" w:hAnsiTheme="minorHAnsi" w:cs="Calibri"/>
                <w:sz w:val="20"/>
                <w:szCs w:val="20"/>
              </w:rPr>
              <w:t xml:space="preserve"> </w:t>
            </w:r>
          </w:p>
          <w:p w:rsidR="0027225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V) cooperation and coordination with the ITU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and Telecommunication Development Sectors and with other, external, standardization bodies</w:t>
            </w:r>
          </w:p>
        </w:tc>
      </w:tr>
      <w:tr w:rsidR="00710509"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10509" w:rsidRPr="00272256" w:rsidRDefault="00710509" w:rsidP="002E6F23">
            <w:pPr>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50</w:t>
            </w:r>
          </w:p>
          <w:p w:rsidR="00710509" w:rsidRPr="00272256" w:rsidRDefault="00710509"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Cybersecurity</w:t>
            </w:r>
          </w:p>
        </w:tc>
        <w:tc>
          <w:tcPr>
            <w:tcW w:w="10631" w:type="dxa"/>
          </w:tcPr>
          <w:p w:rsidR="00710509" w:rsidRPr="00272256" w:rsidRDefault="00710509" w:rsidP="00CB30A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that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should work closely with ITU</w:t>
            </w:r>
            <w:r w:rsidR="007C381F">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sidR="00693F60">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CB30A7"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B30A7" w:rsidRPr="00272256" w:rsidRDefault="00CB30A7" w:rsidP="002E6F23">
            <w:pPr>
              <w:spacing w:before="60" w:after="60"/>
              <w:rPr>
                <w:rFonts w:asciiTheme="minorHAnsi" w:hAnsiTheme="minorHAnsi" w:cs="Calibri"/>
                <w:sz w:val="20"/>
                <w:szCs w:val="20"/>
              </w:rPr>
            </w:pPr>
            <w:r w:rsidRPr="00272256">
              <w:rPr>
                <w:rFonts w:asciiTheme="minorHAnsi" w:hAnsiTheme="minorHAnsi" w:cs="Calibri"/>
                <w:sz w:val="20"/>
                <w:szCs w:val="20"/>
              </w:rPr>
              <w:t>RESOLUTION 52</w:t>
            </w:r>
          </w:p>
          <w:p w:rsidR="00CB30A7" w:rsidRPr="00272256" w:rsidRDefault="00CB30A7"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Countering and combating spam</w:t>
            </w:r>
          </w:p>
        </w:tc>
        <w:tc>
          <w:tcPr>
            <w:tcW w:w="10631" w:type="dxa"/>
          </w:tcPr>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0226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0226AB" w:rsidRPr="00272256" w:rsidRDefault="00E0690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rsidR="00E0690C" w:rsidRPr="00272256" w:rsidRDefault="00E0690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 within the allocated or contributed resources that are available</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provide all necessary support for creating and ensuring the smooth functioning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holding, whenever possible,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the relevant regions, and vice versa;</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take all necessary measures to facilitate the organization of meetings and workshops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calls upon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to cooperate with the Director of the Telecommunication Development Bureau in order to:</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continue to provide specific assistance to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encourage the continuing development of computerized application tools related to their cost methodology by the members of the regional groups of Study Group 3;</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lastRenderedPageBreak/>
              <w:t>iii)</w:t>
            </w:r>
            <w:r w:rsidRPr="00272256">
              <w:rPr>
                <w:rFonts w:asciiTheme="minorHAnsi" w:hAnsiTheme="minorHAnsi" w:cs="Calibri"/>
                <w:sz w:val="20"/>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8627B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627BE" w:rsidRPr="00272256" w:rsidRDefault="008A12C1"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58</w:t>
            </w:r>
          </w:p>
          <w:p w:rsidR="008A12C1" w:rsidRPr="00272256" w:rsidRDefault="008A12C1" w:rsidP="008A12C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Encouraging the creation of </w:t>
            </w:r>
            <w:r w:rsidR="007B0404" w:rsidRPr="00272256">
              <w:rPr>
                <w:rFonts w:asciiTheme="minorHAnsi" w:hAnsiTheme="minorHAnsi" w:cs="Calibri"/>
                <w:b w:val="0"/>
                <w:bCs w:val="0"/>
                <w:sz w:val="20"/>
                <w:szCs w:val="20"/>
              </w:rPr>
              <w:t xml:space="preserve">national computer </w:t>
            </w:r>
            <w:r w:rsidRPr="00272256">
              <w:rPr>
                <w:rFonts w:asciiTheme="minorHAnsi" w:hAnsiTheme="minorHAnsi" w:cs="Calibri"/>
                <w:b w:val="0"/>
                <w:bCs w:val="0"/>
                <w:sz w:val="20"/>
                <w:szCs w:val="20"/>
              </w:rPr>
              <w:t>incident response teams, particularly for developing countries</w:t>
            </w:r>
          </w:p>
        </w:tc>
        <w:tc>
          <w:tcPr>
            <w:tcW w:w="10631" w:type="dxa"/>
          </w:tcPr>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Director of the Telecommunication Development Bureau</w:t>
            </w:r>
          </w:p>
          <w:p w:rsidR="008627BE" w:rsidRPr="00272256" w:rsidRDefault="008627BE" w:rsidP="009A5B4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 to identify best practices to establish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 to identify where CIRTs are needed;</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 to collaborate with international experts and bodies to establish national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 to provide support, as appropriate, within existing budgetary resources;</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 to facilitate collaboration between national CIRTs, such as capacity building and exchange of</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information, within an appropriate framework,</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w:t>
            </w:r>
            <w:r w:rsidR="0049789F" w:rsidRPr="00272256">
              <w:rPr>
                <w:rFonts w:asciiTheme="minorHAnsi" w:hAnsiTheme="minorHAnsi" w:cs="Calibri"/>
                <w:b w:val="0"/>
                <w:bCs w:val="0"/>
                <w:sz w:val="20"/>
                <w:szCs w:val="20"/>
              </w:rPr>
              <w:t>tion to and deployment of IPv6</w:t>
            </w:r>
          </w:p>
        </w:tc>
        <w:tc>
          <w:tcPr>
            <w:tcW w:w="10631" w:type="dxa"/>
          </w:tcPr>
          <w:p w:rsidR="00A665E6" w:rsidRPr="00272256" w:rsidRDefault="002E6F23"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w:t>
            </w:r>
            <w:r w:rsidR="00A665E6" w:rsidRPr="00272256">
              <w:rPr>
                <w:rFonts w:asciiTheme="minorHAnsi" w:hAnsiTheme="minorHAnsi" w:cs="Calibri"/>
                <w:b/>
                <w:bCs w:val="0"/>
                <w:sz w:val="20"/>
                <w:szCs w:val="20"/>
              </w:rPr>
              <w:t xml:space="preserve">ecognizing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future work on IPv6 human capacity building is to be continued and led by the Telecommunication Development Bureau (BDT), in collaboration with other relevant organizations, if required,</w:t>
            </w:r>
          </w:p>
          <w:p w:rsidR="00CA6907"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sz w:val="20"/>
                <w:szCs w:val="20"/>
              </w:rPr>
            </w:pPr>
            <w:r w:rsidRPr="00272256">
              <w:rPr>
                <w:rFonts w:asciiTheme="minorHAnsi" w:hAnsiTheme="minorHAnsi" w:cs="Calibri"/>
                <w:bCs w:val="0"/>
                <w:sz w:val="20"/>
                <w:szCs w:val="20"/>
              </w:rPr>
              <w:t xml:space="preserve">the Director of the Telecommunication Standardization Bureau, in close collaboration with the Director of the Telecommunication Development Bureau: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given the substantial demand for IP addresses for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devices;</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BDT in relevant IPv6 training for engineers, network operators and content providers which can enhance their skills and further apply at their respective organisations,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rsidR="00CA6907"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Directors of the Telecommunication Standardization Bureau,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Telecommunication Development Bureau</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contribute on the progress on resolution,</w:t>
            </w:r>
          </w:p>
        </w:tc>
      </w:tr>
      <w:tr w:rsidR="00C774D3"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774D3" w:rsidRPr="00272256" w:rsidRDefault="00C774D3" w:rsidP="00C774D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70</w:t>
            </w:r>
          </w:p>
          <w:p w:rsidR="00C774D3" w:rsidRPr="00272256" w:rsidRDefault="00C774D3" w:rsidP="00C774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contribute to the development of an ITU-wide internship programme for persons with disabilities who have expertise in the field of ICTs, so as to build capacity among persons with disabilities in the standards-making process and to raise awareness within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of the needs of persons with disabilities;</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invites 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work collaboratively on accessibility-related activities with 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(BR) and the Telecommunication Development Bureau (BDT), in particular concerning awareness and mainstreaming of telecommunication/ICT accessibility standards, reporting findings to the Council as appropriate;</w:t>
            </w:r>
          </w:p>
          <w:p w:rsidR="00C774D3" w:rsidRPr="00272256" w:rsidRDefault="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work collaboratively on accessibility-related activities with ITU</w:t>
            </w:r>
            <w:r w:rsidR="00693F60">
              <w:rPr>
                <w:rFonts w:asciiTheme="minorHAnsi" w:hAnsiTheme="minorHAnsi" w:cs="Calibri"/>
                <w:sz w:val="20"/>
                <w:szCs w:val="20"/>
              </w:rPr>
              <w:t>-</w:t>
            </w:r>
            <w:r w:rsidRPr="00272256">
              <w:rPr>
                <w:rFonts w:asciiTheme="minorHAnsi" w:hAnsiTheme="minorHAnsi" w:cs="Calibri"/>
                <w:sz w:val="20"/>
                <w:szCs w:val="20"/>
              </w:rPr>
              <w:t>D, in particular developing programmes that enable developing countries to introduce services that allow persons with disabilities to utilize telecommunication services effectively</w:t>
            </w:r>
          </w:p>
        </w:tc>
      </w:tr>
      <w:tr w:rsidR="003329B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29B4" w:rsidRPr="00272256" w:rsidRDefault="003329B4" w:rsidP="003329B4">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rsidR="003329B4" w:rsidRPr="00272256" w:rsidRDefault="003329B4" w:rsidP="003329B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631" w:type="dxa"/>
          </w:tcPr>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3329B4" w:rsidRPr="00272256" w:rsidRDefault="0068197C"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invite ITU-</w:t>
            </w:r>
            <w:r w:rsidR="003329B4" w:rsidRPr="00272256">
              <w:rPr>
                <w:rFonts w:asciiTheme="minorHAnsi" w:hAnsiTheme="minorHAnsi" w:cs="Calibri"/>
                <w:sz w:val="20"/>
                <w:szCs w:val="20"/>
              </w:rPr>
              <w:t xml:space="preserve">T, in particular Study Group 5, to expand and continue its work and support in this domain, including but not limited to: </w:t>
            </w:r>
          </w:p>
          <w:p w:rsidR="003329B4" w:rsidRPr="00272256" w:rsidRDefault="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cooperating on these issues with ITU</w:t>
            </w:r>
            <w:r w:rsidR="00693F60">
              <w:rPr>
                <w:rFonts w:asciiTheme="minorHAnsi" w:hAnsiTheme="minorHAnsi" w:cs="Calibri"/>
                <w:sz w:val="20"/>
                <w:szCs w:val="20"/>
              </w:rPr>
              <w:t>-</w:t>
            </w:r>
            <w:r w:rsidRPr="00272256">
              <w:rPr>
                <w:rFonts w:asciiTheme="minorHAnsi" w:hAnsiTheme="minorHAnsi" w:cs="Calibri"/>
                <w:sz w:val="20"/>
                <w:szCs w:val="20"/>
              </w:rPr>
              <w:t>R Study Groups 1 and 6, and with Study Group 2 of the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 the framework of Question 7/2;</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Directors of the other two Bureaux, and within the available financial resources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regularly update the ITU-T portal on EMF activities including, but not limited to, the ITU EMF guide, links to websites and flyers;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hold workshops in developing countries with presentations and training on the use of equipment employed in assessing human exposure to RF energy;</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asciiTheme="minorHAnsi" w:hAnsiTheme="minorHAnsi" w:cs="Calibri"/>
                <w:sz w:val="20"/>
                <w:szCs w:val="20"/>
              </w:rPr>
              <w:t>Hammamet</w:t>
            </w:r>
            <w:proofErr w:type="spellEnd"/>
            <w:r w:rsidRPr="00272256">
              <w:rPr>
                <w:rFonts w:asciiTheme="minorHAnsi" w:hAnsiTheme="minorHAnsi" w:cs="Calibri"/>
                <w:sz w:val="20"/>
                <w:szCs w:val="20"/>
              </w:rPr>
              <w:t xml:space="preserve">, 2016)] and [76 (Rev. </w:t>
            </w:r>
            <w:proofErr w:type="spellStart"/>
            <w:r w:rsidRPr="00272256">
              <w:rPr>
                <w:rFonts w:asciiTheme="minorHAnsi" w:hAnsiTheme="minorHAnsi" w:cs="Calibri"/>
                <w:sz w:val="20"/>
                <w:szCs w:val="20"/>
              </w:rPr>
              <w:t>Hammamet</w:t>
            </w:r>
            <w:proofErr w:type="spellEnd"/>
            <w:r w:rsidRPr="00272256">
              <w:rPr>
                <w:rFonts w:asciiTheme="minorHAnsi" w:hAnsiTheme="minorHAnsi" w:cs="Calibri"/>
                <w:sz w:val="20"/>
                <w:szCs w:val="20"/>
              </w:rPr>
              <w:t>, 2016)] of this assembly, in the context of the development of the regional test centres, and of Resolution 177 (Rev. Busan, 2014) of the Plenipotentiary Conference;</w:t>
            </w:r>
          </w:p>
          <w:p w:rsidR="003329B4" w:rsidRPr="00272256" w:rsidRDefault="003329B4" w:rsidP="003329B4">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report to the next world telecommunication standardization assembly on measures taken to implement this resolution,</w:t>
            </w:r>
          </w:p>
        </w:tc>
      </w:tr>
      <w:tr w:rsidR="009F044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F0448" w:rsidRPr="00272256" w:rsidRDefault="009F0448" w:rsidP="009F0448">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rsidR="009F0448" w:rsidRPr="00272256" w:rsidRDefault="009F0448" w:rsidP="009F0448">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lastRenderedPageBreak/>
              <w:t>Information and communication technologies, environment and climate change</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considering also</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b)</w:t>
            </w:r>
            <w:r w:rsidR="0068197C" w:rsidRPr="00272256">
              <w:rPr>
                <w:rFonts w:asciiTheme="minorHAnsi" w:hAnsiTheme="minorHAnsi" w:cs="Calibri"/>
                <w:sz w:val="20"/>
                <w:szCs w:val="20"/>
              </w:rPr>
              <w:tab/>
              <w:t>in addition to the work in ITU-</w:t>
            </w:r>
            <w:r w:rsidRPr="00272256">
              <w:rPr>
                <w:rFonts w:asciiTheme="minorHAnsi" w:hAnsiTheme="minorHAnsi" w:cs="Calibri"/>
                <w:sz w:val="20"/>
                <w:szCs w:val="20"/>
              </w:rPr>
              <w:t xml:space="preserve">T, the ITU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Sector (ITU</w:t>
            </w:r>
            <w:r w:rsidR="00693F60">
              <w:rPr>
                <w:rFonts w:asciiTheme="minorHAnsi" w:hAnsiTheme="minorHAnsi" w:cs="Calibri"/>
                <w:sz w:val="20"/>
                <w:szCs w:val="20"/>
              </w:rPr>
              <w:t>-</w:t>
            </w:r>
            <w:r w:rsidRPr="00272256">
              <w:rPr>
                <w:rFonts w:asciiTheme="minorHAnsi" w:hAnsiTheme="minorHAnsi" w:cs="Calibri"/>
                <w:sz w:val="20"/>
                <w:szCs w:val="20"/>
              </w:rPr>
              <w:t>R) and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initiatives in considering climate change and the role of ICTs;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all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liaise with the relevant ITU</w:t>
            </w:r>
            <w:r w:rsidR="00693F60">
              <w:rPr>
                <w:rFonts w:asciiTheme="minorHAnsi" w:hAnsiTheme="minorHAnsi" w:cs="Calibri"/>
                <w:sz w:val="20"/>
                <w:szCs w:val="20"/>
              </w:rPr>
              <w:t>-</w:t>
            </w:r>
            <w:r w:rsidRPr="00272256">
              <w:rPr>
                <w:rFonts w:asciiTheme="minorHAnsi" w:hAnsiTheme="minorHAnsi" w:cs="Calibri"/>
                <w:sz w:val="20"/>
                <w:szCs w:val="20"/>
              </w:rPr>
              <w:t>R and ITU</w:t>
            </w:r>
            <w:r w:rsidR="00693F60">
              <w:rPr>
                <w:rFonts w:asciiTheme="minorHAnsi" w:hAnsiTheme="minorHAnsi" w:cs="Calibri"/>
                <w:sz w:val="20"/>
                <w:szCs w:val="20"/>
              </w:rPr>
              <w:t>-</w:t>
            </w:r>
            <w:r w:rsidRPr="00272256">
              <w:rPr>
                <w:rFonts w:asciiTheme="minorHAnsi" w:hAnsiTheme="minorHAnsi" w:cs="Calibri"/>
                <w:sz w:val="20"/>
                <w:szCs w:val="20"/>
              </w:rPr>
              <w:t>D study groups and promote liaison with other standards development organizations and forums in order to avoid duplication of work, optimize the use of resources and accelerate the availability of global standards,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Directors of the other Bureaux</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report on progress on the application of this resolution annually to the ITU Council and to the next world telecommunication standardization assembly;</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keep up to date the calendar of events relevant to ICTs, the environment and climate change based on proposals by TSAG and in close collaboration with the other two Sectors;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launch pilot projects, aimed at bridging the standardization gap, on environmental sustainability issues, in particular in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organize forums, workshops and seminars for developing countries, to raise awareness and identify their particular needs and challenges on environment and climate-change issues;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 xml:space="preserve">to develop, promote and disseminate information and training programmes on ICTs, environment and circular economy;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report on progress of the ITU/WMO/UNESCO IOC Joint Task Force to investigate the potential of using submarine telecommunication cables for ocean and climate monitoring and disaster warning;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promote the ITU-T Global Portal on ICTs, environment and climate change and its use as an electronic forum for exchange and dissemination of ideas, experience and best practices on ICTs, the environment and climate change;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to report to TSAG on the progress regarding invites the Secretary-General below</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CA6907" w:rsidP="002E6F23">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rsidR="00A665E6" w:rsidRPr="00272256" w:rsidRDefault="00CA6907" w:rsidP="002E6F23">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631" w:type="dxa"/>
          </w:tcPr>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Member States and ITU-D Sector Members</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evaluate and assess the risks and various costs resulting from the lack of C&amp;I tests, particularly in developing countries, and share necessary information and recommendations to avoid losses, based on best practices,</w:t>
            </w:r>
          </w:p>
          <w:p w:rsidR="00BE56D3"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 xml:space="preserve">instructs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in cooperation with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A665E6"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in cooperation with the Director of BDT, to implement an ITU C&amp;I programme for possible introduction of a database identifying products’ conformance and origin;</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8518D9" w:rsidRPr="00272256" w:rsidRDefault="008518D9" w:rsidP="008518D9">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rsidR="00A665E6" w:rsidRPr="00272256" w:rsidRDefault="008518D9" w:rsidP="008518D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sidR="00312EDA">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noting</w:t>
            </w:r>
          </w:p>
          <w:p w:rsidR="00A665E6"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a)</w:t>
            </w:r>
            <w:r w:rsidRPr="00272256">
              <w:rPr>
                <w:rFonts w:asciiTheme="minorHAnsi" w:hAnsiTheme="minorHAnsi" w:cs="Calibri"/>
                <w:sz w:val="20"/>
                <w:szCs w:val="20"/>
              </w:rPr>
              <w:tab/>
              <w:t>ongoing work and studies in Study Group 2 of the ITU Telecommunication Development Sector (ITU-D) under Question 14-3/2, on information and telecommunications/ICT for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e)</w:t>
            </w:r>
            <w:r w:rsidRPr="00272256">
              <w:rPr>
                <w:rFonts w:asciiTheme="minorHAnsi" w:hAnsiTheme="minorHAnsi" w:cs="Calibri"/>
                <w:sz w:val="20"/>
                <w:szCs w:val="20"/>
              </w:rPr>
              <w:tab/>
              <w:t>ongoing work in ITU-D to reduce the digital divide in the area of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to instruct the Director of the Telecommunication Standardization Bureau, in collaboration with the Director of the Telecommunication Development Bureau and the Director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consider with priority the enhancement of telecommunication/ICT initiatives in e health and to coordinate their related standardization activities;</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and further develop ITU activities on telecommunication/ICT applications for e-health in order to contribute to the wider global efforts concerning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collaboratively with WHO, academia and other relevant organizations on activities related to e-health in general and to this resolution in particular;</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seminars and workshops on e-health for developing countries1 and gauge the needs of the developing countries, which are the countries with the greatest need for e-health applications,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rPr>
                <w:rFonts w:asciiTheme="minorHAnsi" w:hAnsiTheme="minorHAnsi" w:cs="Calibri"/>
                <w:sz w:val="20"/>
                <w:szCs w:val="20"/>
              </w:rPr>
            </w:pPr>
          </w:p>
        </w:tc>
        <w:tc>
          <w:tcPr>
            <w:tcW w:w="10631" w:type="dxa"/>
          </w:tcPr>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tc>
      </w:tr>
    </w:tbl>
    <w:p w:rsidR="00A665E6" w:rsidRPr="00272256" w:rsidRDefault="00A665E6" w:rsidP="00A665E6">
      <w:pPr>
        <w:pStyle w:val="CEONormal"/>
        <w:rPr>
          <w:rFonts w:asciiTheme="minorHAnsi" w:hAnsiTheme="minorHAnsi"/>
          <w:sz w:val="22"/>
          <w:szCs w:val="22"/>
        </w:rPr>
      </w:pPr>
    </w:p>
    <w:p w:rsidR="00D13634" w:rsidRPr="00272256" w:rsidRDefault="00D13634" w:rsidP="00D13634">
      <w:pPr>
        <w:pStyle w:val="CEONormal"/>
        <w:jc w:val="center"/>
        <w:rPr>
          <w:rFonts w:asciiTheme="minorHAnsi" w:hAnsiTheme="minorHAnsi"/>
          <w:sz w:val="22"/>
          <w:szCs w:val="22"/>
        </w:rPr>
      </w:pPr>
      <w:r w:rsidRPr="00272256">
        <w:rPr>
          <w:rFonts w:asciiTheme="minorHAnsi" w:hAnsiTheme="minorHAnsi"/>
          <w:sz w:val="22"/>
          <w:szCs w:val="22"/>
        </w:rPr>
        <w:t>_____________</w:t>
      </w:r>
    </w:p>
    <w:sectPr w:rsidR="00D13634" w:rsidRPr="00272256" w:rsidSect="00A665E6">
      <w:headerReference w:type="default" r:id="rId15"/>
      <w:headerReference w:type="first" r:id="rId16"/>
      <w:footerReference w:type="first" r:id="rId17"/>
      <w:pgSz w:w="16834" w:h="11909" w:orient="landscape" w:code="9"/>
      <w:pgMar w:top="851" w:right="953" w:bottom="851" w:left="1276" w:header="284" w:footer="6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DB" w:rsidRDefault="00C576DB">
      <w:r>
        <w:separator/>
      </w:r>
    </w:p>
  </w:endnote>
  <w:endnote w:type="continuationSeparator" w:id="0">
    <w:p w:rsidR="00C576DB" w:rsidRDefault="00C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800C8D" w:rsidRDefault="0070333D" w:rsidP="00800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0333D" w:rsidRPr="0070333D" w:rsidTr="0070333D">
      <w:tc>
        <w:tcPr>
          <w:tcW w:w="1526" w:type="dxa"/>
          <w:tcBorders>
            <w:top w:val="single" w:sz="4" w:space="0" w:color="000000"/>
          </w:tcBorders>
          <w:shd w:val="clear" w:color="auto" w:fill="auto"/>
        </w:tcPr>
        <w:p w:rsidR="0070333D" w:rsidRPr="0070333D" w:rsidRDefault="0070333D" w:rsidP="0070333D">
          <w:pPr>
            <w:pStyle w:val="FirstFooter"/>
            <w:tabs>
              <w:tab w:val="left" w:pos="1559"/>
              <w:tab w:val="left" w:pos="3828"/>
            </w:tabs>
            <w:rPr>
              <w:sz w:val="18"/>
              <w:szCs w:val="18"/>
            </w:rPr>
          </w:pPr>
          <w:r w:rsidRPr="0070333D">
            <w:rPr>
              <w:sz w:val="18"/>
              <w:szCs w:val="18"/>
              <w:lang w:val="en-US"/>
            </w:rPr>
            <w:t>Contact:</w:t>
          </w:r>
        </w:p>
      </w:tc>
      <w:tc>
        <w:tcPr>
          <w:tcW w:w="2302" w:type="dxa"/>
          <w:tcBorders>
            <w:top w:val="single" w:sz="4" w:space="0" w:color="000000"/>
          </w:tcBorders>
          <w:shd w:val="clear" w:color="auto" w:fill="auto"/>
        </w:tcPr>
        <w:p w:rsidR="0070333D" w:rsidRPr="0070333D" w:rsidRDefault="0070333D" w:rsidP="0070333D">
          <w:pPr>
            <w:pStyle w:val="FirstFooter"/>
            <w:tabs>
              <w:tab w:val="left" w:pos="2302"/>
            </w:tabs>
            <w:ind w:left="2302" w:hanging="2302"/>
            <w:rPr>
              <w:sz w:val="18"/>
              <w:szCs w:val="18"/>
              <w:lang w:val="en-US"/>
            </w:rPr>
          </w:pPr>
          <w:r w:rsidRPr="0070333D">
            <w:rPr>
              <w:sz w:val="18"/>
              <w:szCs w:val="18"/>
              <w:lang w:val="en-US"/>
            </w:rPr>
            <w:t xml:space="preserve">Name/Organization/Entity: </w:t>
          </w:r>
        </w:p>
      </w:tc>
      <w:tc>
        <w:tcPr>
          <w:tcW w:w="6520" w:type="dxa"/>
          <w:tcBorders>
            <w:top w:val="single" w:sz="4" w:space="0" w:color="000000"/>
          </w:tcBorders>
          <w:shd w:val="clear" w:color="auto" w:fill="auto"/>
        </w:tcPr>
        <w:p w:rsidR="0070333D" w:rsidRPr="0070333D" w:rsidRDefault="0070333D" w:rsidP="00E23659">
          <w:pPr>
            <w:pStyle w:val="FirstFooter"/>
            <w:tabs>
              <w:tab w:val="left" w:pos="2302"/>
            </w:tabs>
            <w:rPr>
              <w:sz w:val="18"/>
              <w:szCs w:val="18"/>
              <w:highlight w:val="yellow"/>
              <w:lang w:val="en-US"/>
            </w:rPr>
          </w:pPr>
          <w:proofErr w:type="spellStart"/>
          <w:r w:rsidRPr="0070333D">
            <w:rPr>
              <w:sz w:val="18"/>
              <w:szCs w:val="18"/>
              <w:lang w:val="en-US"/>
            </w:rPr>
            <w:t>M</w:t>
          </w:r>
          <w:r>
            <w:rPr>
              <w:sz w:val="18"/>
              <w:szCs w:val="18"/>
              <w:lang w:val="en-US"/>
            </w:rPr>
            <w:t>r</w:t>
          </w:r>
          <w:proofErr w:type="spellEnd"/>
          <w:r w:rsidRPr="0070333D">
            <w:rPr>
              <w:sz w:val="18"/>
              <w:szCs w:val="18"/>
              <w:lang w:val="en-US"/>
            </w:rPr>
            <w:t xml:space="preserve"> </w:t>
          </w:r>
          <w:r>
            <w:rPr>
              <w:sz w:val="18"/>
              <w:szCs w:val="18"/>
              <w:lang w:val="en-US"/>
            </w:rPr>
            <w:t>C</w:t>
          </w:r>
          <w:r w:rsidR="006F3285">
            <w:rPr>
              <w:sz w:val="18"/>
              <w:szCs w:val="18"/>
              <w:lang w:val="en-US"/>
            </w:rPr>
            <w:t>.</w:t>
          </w:r>
          <w:r>
            <w:rPr>
              <w:sz w:val="18"/>
              <w:szCs w:val="18"/>
              <w:lang w:val="en-US"/>
            </w:rPr>
            <w:t xml:space="preserve"> Zavazava</w:t>
          </w:r>
          <w:r w:rsidRPr="0070333D">
            <w:rPr>
              <w:sz w:val="18"/>
              <w:szCs w:val="18"/>
              <w:lang w:val="en-US"/>
            </w:rPr>
            <w:t xml:space="preserve">, Chief, </w:t>
          </w:r>
          <w:r>
            <w:rPr>
              <w:sz w:val="18"/>
              <w:szCs w:val="18"/>
              <w:lang w:val="en-US"/>
            </w:rPr>
            <w:t>Project</w:t>
          </w:r>
          <w:r w:rsidR="00E23659">
            <w:rPr>
              <w:sz w:val="18"/>
              <w:szCs w:val="18"/>
              <w:lang w:val="en-US"/>
            </w:rPr>
            <w:t>s</w:t>
          </w:r>
          <w:r>
            <w:rPr>
              <w:sz w:val="18"/>
              <w:szCs w:val="18"/>
              <w:lang w:val="en-US"/>
            </w:rPr>
            <w:t xml:space="preserve"> and Knowledge Management</w:t>
          </w:r>
          <w:r w:rsidRPr="0070333D">
            <w:rPr>
              <w:sz w:val="18"/>
              <w:szCs w:val="18"/>
              <w:lang w:val="en-US"/>
            </w:rPr>
            <w:t xml:space="preserve"> Department (</w:t>
          </w:r>
          <w:r>
            <w:rPr>
              <w:sz w:val="18"/>
              <w:szCs w:val="18"/>
              <w:lang w:val="en-US"/>
            </w:rPr>
            <w:t>PKM</w:t>
          </w:r>
          <w:r w:rsidRPr="0070333D">
            <w:rPr>
              <w:sz w:val="18"/>
              <w:szCs w:val="18"/>
              <w:lang w:val="en-US"/>
            </w:rPr>
            <w:t>), BDT</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Phone number: </w:t>
          </w:r>
        </w:p>
      </w:tc>
      <w:tc>
        <w:tcPr>
          <w:tcW w:w="6520" w:type="dxa"/>
          <w:shd w:val="clear" w:color="auto" w:fill="auto"/>
        </w:tcPr>
        <w:p w:rsidR="0070333D" w:rsidRPr="0070333D" w:rsidRDefault="001F22D4" w:rsidP="0070333D">
          <w:pPr>
            <w:pStyle w:val="FirstFooter"/>
            <w:tabs>
              <w:tab w:val="left" w:pos="2302"/>
            </w:tabs>
            <w:rPr>
              <w:sz w:val="18"/>
              <w:szCs w:val="18"/>
              <w:highlight w:val="yellow"/>
              <w:lang w:val="en-US"/>
            </w:rPr>
          </w:pPr>
          <w:r>
            <w:rPr>
              <w:sz w:val="18"/>
              <w:szCs w:val="18"/>
              <w:lang w:val="en-US"/>
            </w:rPr>
            <w:t>+41 22 730 5447</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E-mail: </w:t>
          </w:r>
        </w:p>
      </w:tc>
      <w:tc>
        <w:tcPr>
          <w:tcW w:w="6520" w:type="dxa"/>
          <w:shd w:val="clear" w:color="auto" w:fill="auto"/>
        </w:tcPr>
        <w:p w:rsidR="0070333D" w:rsidRPr="0070333D" w:rsidRDefault="0042250C" w:rsidP="0070333D">
          <w:pPr>
            <w:pStyle w:val="FirstFooter"/>
            <w:tabs>
              <w:tab w:val="left" w:pos="2302"/>
            </w:tabs>
            <w:rPr>
              <w:sz w:val="18"/>
              <w:szCs w:val="18"/>
              <w:highlight w:val="yellow"/>
              <w:lang w:val="en-US"/>
            </w:rPr>
          </w:pPr>
          <w:hyperlink r:id="rId1" w:history="1">
            <w:r w:rsidR="001F22D4" w:rsidRPr="00665DB5">
              <w:rPr>
                <w:rStyle w:val="Hyperlink"/>
                <w:rFonts w:ascii="Calibri" w:hAnsi="Calibri"/>
                <w:sz w:val="18"/>
                <w:szCs w:val="18"/>
                <w:lang w:val="en-US"/>
              </w:rPr>
              <w:t>cosmas.zavazava@itu.int</w:t>
            </w:r>
          </w:hyperlink>
          <w:r w:rsidR="0070333D" w:rsidRPr="0070333D">
            <w:rPr>
              <w:sz w:val="18"/>
              <w:szCs w:val="18"/>
              <w:lang w:val="en-US"/>
            </w:rPr>
            <w:t xml:space="preserve"> </w:t>
          </w:r>
        </w:p>
      </w:tc>
    </w:tr>
  </w:tbl>
  <w:p w:rsidR="0070333D" w:rsidRPr="0070333D" w:rsidRDefault="0042250C" w:rsidP="00690593">
    <w:pPr>
      <w:spacing w:after="0"/>
      <w:jc w:val="center"/>
      <w:rPr>
        <w:rFonts w:ascii="Calibri" w:hAnsi="Calibri"/>
      </w:rPr>
    </w:pPr>
    <w:hyperlink r:id="rId2" w:history="1">
      <w:r w:rsidR="0070333D" w:rsidRPr="0070333D">
        <w:rPr>
          <w:rStyle w:val="Hyperlink"/>
          <w:rFonts w:ascii="Calibri" w:hAnsi="Calibri"/>
          <w:sz w:val="20"/>
        </w:rPr>
        <w:t>http://www.itu.int/go/en/wtdc17rpm</w:t>
      </w:r>
    </w:hyperlink>
    <w:r w:rsidR="0070333D" w:rsidRPr="0070333D">
      <w:rPr>
        <w:rFonts w:ascii="Calibri" w:hAnsi="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0D242C" w:rsidRDefault="000D242C" w:rsidP="00690593">
    <w:pPr>
      <w:pStyle w:val="Footer"/>
    </w:pPr>
    <w:r w:rsidRPr="000D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DB" w:rsidRDefault="00C576DB">
      <w:r>
        <w:separator/>
      </w:r>
    </w:p>
  </w:footnote>
  <w:footnote w:type="continuationSeparator" w:id="0">
    <w:p w:rsidR="00C576DB" w:rsidRDefault="00C576DB">
      <w:r>
        <w:continuationSeparator/>
      </w:r>
    </w:p>
  </w:footnote>
  <w:footnote w:id="1">
    <w:p w:rsidR="0070333D" w:rsidRPr="009E2D78" w:rsidRDefault="0070333D">
      <w:pPr>
        <w:pStyle w:val="FootnoteText"/>
        <w:rPr>
          <w:rFonts w:asciiTheme="minorHAnsi" w:hAnsiTheme="minorHAnsi"/>
          <w:color w:val="000000" w:themeColor="text1"/>
          <w:sz w:val="20"/>
          <w:szCs w:val="20"/>
        </w:rPr>
      </w:pPr>
      <w:r w:rsidRPr="009E2D78">
        <w:rPr>
          <w:rStyle w:val="FootnoteReference"/>
          <w:rFonts w:asciiTheme="minorHAnsi" w:hAnsiTheme="minorHAnsi"/>
          <w:color w:val="000000" w:themeColor="text1"/>
          <w:sz w:val="20"/>
          <w:szCs w:val="20"/>
        </w:rPr>
        <w:footnoteRef/>
      </w:r>
      <w:r w:rsidRPr="009E2D78">
        <w:rPr>
          <w:rFonts w:asciiTheme="minorHAnsi" w:hAnsiTheme="minorHAnsi"/>
          <w:color w:val="000000" w:themeColor="text1"/>
          <w:sz w:val="20"/>
          <w:szCs w:val="20"/>
        </w:rPr>
        <w:t xml:space="preserve"> These include the least developed countries, </w:t>
      </w:r>
      <w:proofErr w:type="gramStart"/>
      <w:r w:rsidRPr="009E2D78">
        <w:rPr>
          <w:rFonts w:asciiTheme="minorHAnsi" w:hAnsiTheme="minorHAnsi"/>
          <w:color w:val="000000" w:themeColor="text1"/>
          <w:sz w:val="20"/>
          <w:szCs w:val="20"/>
        </w:rPr>
        <w:t>small island</w:t>
      </w:r>
      <w:proofErr w:type="gramEnd"/>
      <w:r w:rsidRPr="009E2D78">
        <w:rPr>
          <w:rFonts w:asciiTheme="minorHAnsi" w:hAnsiTheme="minorHAnsi"/>
          <w:color w:val="000000" w:themeColor="text1"/>
          <w:sz w:val="20"/>
          <w:szCs w:val="20"/>
        </w:rPr>
        <w:t xml:space="preserve"> developing states, landlocked developing countries and countries with economies in transition.</w:t>
      </w:r>
    </w:p>
  </w:footnote>
  <w:footnote w:id="2">
    <w:p w:rsidR="0070333D" w:rsidRDefault="0070333D" w:rsidP="00CA69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C53754" w:rsidRDefault="0070333D" w:rsidP="00C53754">
    <w:pPr>
      <w:tabs>
        <w:tab w:val="center" w:pos="5103"/>
        <w:tab w:val="right" w:pos="10206"/>
      </w:tabs>
      <w:ind w:right="1"/>
      <w:rPr>
        <w:smallCaps/>
        <w:spacing w:val="24"/>
        <w:sz w:val="18"/>
        <w:szCs w:val="18"/>
        <w:lang w:val="fr-CH"/>
      </w:rPr>
    </w:pPr>
    <w:r>
      <w:tab/>
    </w:r>
    <w:r w:rsidRPr="00C53754">
      <w:rPr>
        <w:lang w:val="fr-CH"/>
      </w:rPr>
      <w:t>ITU-D/</w:t>
    </w:r>
    <w:bookmarkStart w:id="7" w:name="DocRef2"/>
    <w:bookmarkEnd w:id="7"/>
    <w:r w:rsidRPr="00C53754">
      <w:rPr>
        <w:lang w:val="fr-CH"/>
      </w:rPr>
      <w:t>RPM-</w:t>
    </w:r>
    <w:r w:rsidR="00C53754" w:rsidRPr="00C53754">
      <w:rPr>
        <w:lang w:val="fr-CH"/>
      </w:rPr>
      <w:t>EUR17</w:t>
    </w:r>
    <w:r w:rsidRPr="00C53754">
      <w:rPr>
        <w:lang w:val="fr-CH"/>
      </w:rPr>
      <w:t>/</w:t>
    </w:r>
    <w:bookmarkStart w:id="8" w:name="DocNo2"/>
    <w:bookmarkEnd w:id="8"/>
    <w:r w:rsidR="001F22D4" w:rsidRPr="00C53754">
      <w:rPr>
        <w:lang w:val="fr-CH"/>
      </w:rPr>
      <w:t>5</w:t>
    </w:r>
    <w:r w:rsidRPr="00C53754">
      <w:rPr>
        <w:lang w:val="fr-CH"/>
      </w:rPr>
      <w:t>-E</w:t>
    </w:r>
    <w:r w:rsidRPr="00C53754">
      <w:rPr>
        <w:lang w:val="fr-CH"/>
      </w:rPr>
      <w:tab/>
      <w:t xml:space="preserve">Page </w:t>
    </w:r>
    <w:r>
      <w:fldChar w:fldCharType="begin"/>
    </w:r>
    <w:r w:rsidRPr="00C53754">
      <w:rPr>
        <w:lang w:val="fr-CH"/>
      </w:rPr>
      <w:instrText xml:space="preserve"> PAGE </w:instrText>
    </w:r>
    <w:r>
      <w:fldChar w:fldCharType="separate"/>
    </w:r>
    <w:r w:rsidR="0042250C">
      <w:rPr>
        <w:noProof/>
        <w:lang w:val="fr-CH"/>
      </w:rPr>
      <w:t>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42250C" w:rsidRDefault="000D242C" w:rsidP="00C53754">
    <w:pPr>
      <w:tabs>
        <w:tab w:val="center" w:pos="7371"/>
        <w:tab w:val="right" w:pos="14459"/>
      </w:tabs>
      <w:ind w:right="1"/>
      <w:rPr>
        <w:smallCaps/>
        <w:spacing w:val="24"/>
        <w:sz w:val="18"/>
        <w:szCs w:val="18"/>
        <w:lang w:val="fr-CH"/>
      </w:rPr>
    </w:pPr>
    <w:r>
      <w:tab/>
    </w:r>
    <w:r w:rsidRPr="0042250C">
      <w:rPr>
        <w:lang w:val="fr-CH"/>
      </w:rPr>
      <w:t>ITU-D/RPM-</w:t>
    </w:r>
    <w:r w:rsidR="00C53754" w:rsidRPr="0042250C">
      <w:rPr>
        <w:lang w:val="fr-CH"/>
      </w:rPr>
      <w:t>EUR17</w:t>
    </w:r>
    <w:r w:rsidRPr="0042250C">
      <w:rPr>
        <w:lang w:val="fr-CH"/>
      </w:rPr>
      <w:t>/5-E</w:t>
    </w:r>
    <w:r w:rsidRPr="0042250C">
      <w:rPr>
        <w:lang w:val="fr-CH"/>
      </w:rPr>
      <w:tab/>
      <w:t xml:space="preserve">Page </w:t>
    </w:r>
    <w:r>
      <w:fldChar w:fldCharType="begin"/>
    </w:r>
    <w:r w:rsidRPr="0042250C">
      <w:rPr>
        <w:lang w:val="fr-CH"/>
      </w:rPr>
      <w:instrText xml:space="preserve"> PAGE </w:instrText>
    </w:r>
    <w:r>
      <w:fldChar w:fldCharType="separate"/>
    </w:r>
    <w:r w:rsidR="0042250C">
      <w:rPr>
        <w:noProof/>
        <w:lang w:val="fr-CH"/>
      </w:rPr>
      <w:t>17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58" w:rsidRPr="00C53754" w:rsidRDefault="00755558" w:rsidP="00C53754">
    <w:pPr>
      <w:tabs>
        <w:tab w:val="center" w:pos="7088"/>
        <w:tab w:val="right" w:pos="14317"/>
      </w:tabs>
      <w:ind w:right="1"/>
      <w:rPr>
        <w:smallCaps/>
        <w:spacing w:val="24"/>
        <w:sz w:val="18"/>
        <w:szCs w:val="18"/>
        <w:lang w:val="fr-CH"/>
      </w:rPr>
    </w:pPr>
    <w:r>
      <w:tab/>
    </w:r>
    <w:r w:rsidRPr="00C53754">
      <w:rPr>
        <w:lang w:val="fr-CH"/>
      </w:rPr>
      <w:t>ITU-D/RPM-</w:t>
    </w:r>
    <w:r w:rsidR="00C53754" w:rsidRPr="00C53754">
      <w:rPr>
        <w:lang w:val="fr-CH"/>
      </w:rPr>
      <w:t>EUR17</w:t>
    </w:r>
    <w:r w:rsidRPr="00C53754">
      <w:rPr>
        <w:lang w:val="fr-CH"/>
      </w:rPr>
      <w:t>/5-E</w:t>
    </w:r>
    <w:r w:rsidRPr="00C53754">
      <w:rPr>
        <w:lang w:val="fr-CH"/>
      </w:rPr>
      <w:tab/>
      <w:t xml:space="preserve">Page </w:t>
    </w:r>
    <w:r>
      <w:fldChar w:fldCharType="begin"/>
    </w:r>
    <w:r w:rsidRPr="00C53754">
      <w:rPr>
        <w:lang w:val="fr-CH"/>
      </w:rPr>
      <w:instrText xml:space="preserve"> PAGE </w:instrText>
    </w:r>
    <w:r>
      <w:fldChar w:fldCharType="separate"/>
    </w:r>
    <w:r w:rsidR="0042250C">
      <w:rPr>
        <w:noProof/>
        <w:lang w:val="fr-CH"/>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BC083B"/>
    <w:multiLevelType w:val="hybridMultilevel"/>
    <w:tmpl w:val="ED1E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A67B7"/>
    <w:multiLevelType w:val="hybridMultilevel"/>
    <w:tmpl w:val="6914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03267"/>
    <w:multiLevelType w:val="hybridMultilevel"/>
    <w:tmpl w:val="BE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646F6"/>
    <w:multiLevelType w:val="hybridMultilevel"/>
    <w:tmpl w:val="1CE4A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8"/>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0"/>
  </w:num>
  <w:num w:numId="29">
    <w:abstractNumId w:val="11"/>
  </w:num>
  <w:num w:numId="30">
    <w:abstractNumId w:val="23"/>
  </w:num>
  <w:num w:numId="31">
    <w:abstractNumId w:val="31"/>
  </w:num>
  <w:num w:numId="32">
    <w:abstractNumId w:val="25"/>
  </w:num>
  <w:num w:numId="33">
    <w:abstractNumId w:val="32"/>
  </w:num>
  <w:num w:numId="34">
    <w:abstractNumId w:val="15"/>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7A"/>
    <w:rsid w:val="00003125"/>
    <w:rsid w:val="00005245"/>
    <w:rsid w:val="00006684"/>
    <w:rsid w:val="00014560"/>
    <w:rsid w:val="00017BEC"/>
    <w:rsid w:val="00017E7D"/>
    <w:rsid w:val="00017E82"/>
    <w:rsid w:val="0002146C"/>
    <w:rsid w:val="00021A72"/>
    <w:rsid w:val="000221F5"/>
    <w:rsid w:val="000226AB"/>
    <w:rsid w:val="00022BFD"/>
    <w:rsid w:val="00032DD2"/>
    <w:rsid w:val="000370A8"/>
    <w:rsid w:val="0003722D"/>
    <w:rsid w:val="00043340"/>
    <w:rsid w:val="0006050B"/>
    <w:rsid w:val="00080665"/>
    <w:rsid w:val="00085784"/>
    <w:rsid w:val="000A3328"/>
    <w:rsid w:val="000D0403"/>
    <w:rsid w:val="000D242C"/>
    <w:rsid w:val="000D6184"/>
    <w:rsid w:val="000D61A2"/>
    <w:rsid w:val="000D7961"/>
    <w:rsid w:val="000E0A99"/>
    <w:rsid w:val="000E397B"/>
    <w:rsid w:val="000F1580"/>
    <w:rsid w:val="000F399F"/>
    <w:rsid w:val="001065D4"/>
    <w:rsid w:val="001130B6"/>
    <w:rsid w:val="0011717E"/>
    <w:rsid w:val="00117860"/>
    <w:rsid w:val="001229F6"/>
    <w:rsid w:val="0012504F"/>
    <w:rsid w:val="00130D2B"/>
    <w:rsid w:val="0015553B"/>
    <w:rsid w:val="00161A5A"/>
    <w:rsid w:val="00164565"/>
    <w:rsid w:val="00170AB9"/>
    <w:rsid w:val="001803CE"/>
    <w:rsid w:val="00181928"/>
    <w:rsid w:val="00183AF3"/>
    <w:rsid w:val="001856D7"/>
    <w:rsid w:val="00187E51"/>
    <w:rsid w:val="00192DBD"/>
    <w:rsid w:val="0019399A"/>
    <w:rsid w:val="001A52E9"/>
    <w:rsid w:val="001B4B9B"/>
    <w:rsid w:val="001D2EC9"/>
    <w:rsid w:val="001D3694"/>
    <w:rsid w:val="001E33AB"/>
    <w:rsid w:val="001E3BCF"/>
    <w:rsid w:val="001F22D4"/>
    <w:rsid w:val="00201AE7"/>
    <w:rsid w:val="00233380"/>
    <w:rsid w:val="00235915"/>
    <w:rsid w:val="00252877"/>
    <w:rsid w:val="00253D5F"/>
    <w:rsid w:val="002600B7"/>
    <w:rsid w:val="00262B06"/>
    <w:rsid w:val="00270C45"/>
    <w:rsid w:val="00272256"/>
    <w:rsid w:val="00272B4F"/>
    <w:rsid w:val="002748B0"/>
    <w:rsid w:val="00275198"/>
    <w:rsid w:val="0028054C"/>
    <w:rsid w:val="002869AF"/>
    <w:rsid w:val="00286A28"/>
    <w:rsid w:val="002900F9"/>
    <w:rsid w:val="00295878"/>
    <w:rsid w:val="002A3A4E"/>
    <w:rsid w:val="002B02FE"/>
    <w:rsid w:val="002B1A8F"/>
    <w:rsid w:val="002B2265"/>
    <w:rsid w:val="002C385A"/>
    <w:rsid w:val="002C6079"/>
    <w:rsid w:val="002C67D8"/>
    <w:rsid w:val="002D0049"/>
    <w:rsid w:val="002D1297"/>
    <w:rsid w:val="002D45C5"/>
    <w:rsid w:val="002D4850"/>
    <w:rsid w:val="002E6F23"/>
    <w:rsid w:val="002E7D31"/>
    <w:rsid w:val="002F7C82"/>
    <w:rsid w:val="00301A76"/>
    <w:rsid w:val="003063DA"/>
    <w:rsid w:val="0030762F"/>
    <w:rsid w:val="00311BD3"/>
    <w:rsid w:val="00312685"/>
    <w:rsid w:val="00312EDA"/>
    <w:rsid w:val="00317A22"/>
    <w:rsid w:val="003329B4"/>
    <w:rsid w:val="00333926"/>
    <w:rsid w:val="00334C18"/>
    <w:rsid w:val="003363BC"/>
    <w:rsid w:val="003513DB"/>
    <w:rsid w:val="0036243F"/>
    <w:rsid w:val="00371192"/>
    <w:rsid w:val="0037239D"/>
    <w:rsid w:val="003810D2"/>
    <w:rsid w:val="00385ABF"/>
    <w:rsid w:val="00392AF3"/>
    <w:rsid w:val="00393B76"/>
    <w:rsid w:val="003B75F4"/>
    <w:rsid w:val="003C188A"/>
    <w:rsid w:val="003C78E4"/>
    <w:rsid w:val="003D5B9B"/>
    <w:rsid w:val="003D76BF"/>
    <w:rsid w:val="003E20FF"/>
    <w:rsid w:val="003F48F0"/>
    <w:rsid w:val="004077C9"/>
    <w:rsid w:val="00414E6F"/>
    <w:rsid w:val="00415F06"/>
    <w:rsid w:val="0042250C"/>
    <w:rsid w:val="004331DF"/>
    <w:rsid w:val="00433D02"/>
    <w:rsid w:val="00434566"/>
    <w:rsid w:val="0043566B"/>
    <w:rsid w:val="004430CE"/>
    <w:rsid w:val="00452049"/>
    <w:rsid w:val="00457453"/>
    <w:rsid w:val="00461745"/>
    <w:rsid w:val="0046327F"/>
    <w:rsid w:val="00472A03"/>
    <w:rsid w:val="00481684"/>
    <w:rsid w:val="00482925"/>
    <w:rsid w:val="00483313"/>
    <w:rsid w:val="00487A55"/>
    <w:rsid w:val="0049789F"/>
    <w:rsid w:val="004A0340"/>
    <w:rsid w:val="004A28F0"/>
    <w:rsid w:val="004A34DD"/>
    <w:rsid w:val="004A564F"/>
    <w:rsid w:val="004B4576"/>
    <w:rsid w:val="004B6E4F"/>
    <w:rsid w:val="004C4C2E"/>
    <w:rsid w:val="004D0AC9"/>
    <w:rsid w:val="004D2D58"/>
    <w:rsid w:val="004D3DC4"/>
    <w:rsid w:val="004D48E3"/>
    <w:rsid w:val="004E36F5"/>
    <w:rsid w:val="004E3824"/>
    <w:rsid w:val="004E6843"/>
    <w:rsid w:val="004F09F8"/>
    <w:rsid w:val="004F1686"/>
    <w:rsid w:val="004F2734"/>
    <w:rsid w:val="004F2DE6"/>
    <w:rsid w:val="004F40D7"/>
    <w:rsid w:val="004F5627"/>
    <w:rsid w:val="00502BFC"/>
    <w:rsid w:val="00511EDF"/>
    <w:rsid w:val="005219F4"/>
    <w:rsid w:val="00523237"/>
    <w:rsid w:val="00523E05"/>
    <w:rsid w:val="00527D68"/>
    <w:rsid w:val="005302F6"/>
    <w:rsid w:val="00542D84"/>
    <w:rsid w:val="005446A9"/>
    <w:rsid w:val="00545713"/>
    <w:rsid w:val="00547004"/>
    <w:rsid w:val="005612B3"/>
    <w:rsid w:val="00577280"/>
    <w:rsid w:val="0058604B"/>
    <w:rsid w:val="00593FD3"/>
    <w:rsid w:val="00597D8F"/>
    <w:rsid w:val="005A2E71"/>
    <w:rsid w:val="005B37AF"/>
    <w:rsid w:val="005B45E9"/>
    <w:rsid w:val="005C0E75"/>
    <w:rsid w:val="005C33BC"/>
    <w:rsid w:val="005C44D8"/>
    <w:rsid w:val="005D0011"/>
    <w:rsid w:val="005D12FD"/>
    <w:rsid w:val="005E07F1"/>
    <w:rsid w:val="005E4635"/>
    <w:rsid w:val="005E7C55"/>
    <w:rsid w:val="00621F08"/>
    <w:rsid w:val="006221B8"/>
    <w:rsid w:val="00622A8F"/>
    <w:rsid w:val="00624A05"/>
    <w:rsid w:val="0063207D"/>
    <w:rsid w:val="006354E9"/>
    <w:rsid w:val="0064011F"/>
    <w:rsid w:val="006444D5"/>
    <w:rsid w:val="006476BF"/>
    <w:rsid w:val="0065094C"/>
    <w:rsid w:val="006527BD"/>
    <w:rsid w:val="00663234"/>
    <w:rsid w:val="00667E12"/>
    <w:rsid w:val="00676C62"/>
    <w:rsid w:val="00677A58"/>
    <w:rsid w:val="0068197C"/>
    <w:rsid w:val="00685848"/>
    <w:rsid w:val="00690593"/>
    <w:rsid w:val="00693EB7"/>
    <w:rsid w:val="00693F60"/>
    <w:rsid w:val="006A6F8F"/>
    <w:rsid w:val="006C0E12"/>
    <w:rsid w:val="006C2BC5"/>
    <w:rsid w:val="006C7A7B"/>
    <w:rsid w:val="006F1CE9"/>
    <w:rsid w:val="006F3285"/>
    <w:rsid w:val="0070090A"/>
    <w:rsid w:val="00701277"/>
    <w:rsid w:val="0070333D"/>
    <w:rsid w:val="007064C4"/>
    <w:rsid w:val="0070796E"/>
    <w:rsid w:val="00710509"/>
    <w:rsid w:val="00735AC3"/>
    <w:rsid w:val="00735B54"/>
    <w:rsid w:val="00735C4A"/>
    <w:rsid w:val="00740215"/>
    <w:rsid w:val="0074637D"/>
    <w:rsid w:val="00753E41"/>
    <w:rsid w:val="00755558"/>
    <w:rsid w:val="00755605"/>
    <w:rsid w:val="00757AB2"/>
    <w:rsid w:val="00762A1E"/>
    <w:rsid w:val="00763C14"/>
    <w:rsid w:val="007679D2"/>
    <w:rsid w:val="00770299"/>
    <w:rsid w:val="00777B53"/>
    <w:rsid w:val="00781933"/>
    <w:rsid w:val="00782D7C"/>
    <w:rsid w:val="00784B52"/>
    <w:rsid w:val="00794FF3"/>
    <w:rsid w:val="00795647"/>
    <w:rsid w:val="007969DB"/>
    <w:rsid w:val="00797056"/>
    <w:rsid w:val="007979EA"/>
    <w:rsid w:val="007A255D"/>
    <w:rsid w:val="007B0404"/>
    <w:rsid w:val="007B145B"/>
    <w:rsid w:val="007B5E61"/>
    <w:rsid w:val="007B7C19"/>
    <w:rsid w:val="007C381F"/>
    <w:rsid w:val="007C4BAB"/>
    <w:rsid w:val="007E4ECD"/>
    <w:rsid w:val="00800C8D"/>
    <w:rsid w:val="00800D40"/>
    <w:rsid w:val="00810A21"/>
    <w:rsid w:val="00811068"/>
    <w:rsid w:val="00813980"/>
    <w:rsid w:val="00816B3D"/>
    <w:rsid w:val="00817846"/>
    <w:rsid w:val="0082087A"/>
    <w:rsid w:val="0082417C"/>
    <w:rsid w:val="00833A72"/>
    <w:rsid w:val="00833F2B"/>
    <w:rsid w:val="008340D6"/>
    <w:rsid w:val="0083540C"/>
    <w:rsid w:val="00835BBF"/>
    <w:rsid w:val="008518D9"/>
    <w:rsid w:val="00852966"/>
    <w:rsid w:val="00852CC6"/>
    <w:rsid w:val="00855A02"/>
    <w:rsid w:val="008627BE"/>
    <w:rsid w:val="00870D98"/>
    <w:rsid w:val="008740CF"/>
    <w:rsid w:val="008A12C1"/>
    <w:rsid w:val="008A357D"/>
    <w:rsid w:val="008B1649"/>
    <w:rsid w:val="008E0E01"/>
    <w:rsid w:val="008E1790"/>
    <w:rsid w:val="008E65CA"/>
    <w:rsid w:val="008F2196"/>
    <w:rsid w:val="009043C2"/>
    <w:rsid w:val="00906F38"/>
    <w:rsid w:val="009074FD"/>
    <w:rsid w:val="00912887"/>
    <w:rsid w:val="00915921"/>
    <w:rsid w:val="00937730"/>
    <w:rsid w:val="00941145"/>
    <w:rsid w:val="0094145C"/>
    <w:rsid w:val="00942ED4"/>
    <w:rsid w:val="0094711B"/>
    <w:rsid w:val="00951378"/>
    <w:rsid w:val="00953C7D"/>
    <w:rsid w:val="0096235E"/>
    <w:rsid w:val="0097038C"/>
    <w:rsid w:val="009767E2"/>
    <w:rsid w:val="009774D7"/>
    <w:rsid w:val="00981F48"/>
    <w:rsid w:val="009A5B42"/>
    <w:rsid w:val="009A5ED5"/>
    <w:rsid w:val="009B17EA"/>
    <w:rsid w:val="009B6F98"/>
    <w:rsid w:val="009C5EA5"/>
    <w:rsid w:val="009E2D78"/>
    <w:rsid w:val="009E3FEB"/>
    <w:rsid w:val="009E50D3"/>
    <w:rsid w:val="009F0448"/>
    <w:rsid w:val="00A04813"/>
    <w:rsid w:val="00A13179"/>
    <w:rsid w:val="00A140EB"/>
    <w:rsid w:val="00A264E8"/>
    <w:rsid w:val="00A37B68"/>
    <w:rsid w:val="00A61143"/>
    <w:rsid w:val="00A65745"/>
    <w:rsid w:val="00A665E6"/>
    <w:rsid w:val="00A752B8"/>
    <w:rsid w:val="00A824E0"/>
    <w:rsid w:val="00A840C6"/>
    <w:rsid w:val="00AA6816"/>
    <w:rsid w:val="00AB235A"/>
    <w:rsid w:val="00AB3F17"/>
    <w:rsid w:val="00AB4706"/>
    <w:rsid w:val="00AC3A1D"/>
    <w:rsid w:val="00AC7AC6"/>
    <w:rsid w:val="00AD1E86"/>
    <w:rsid w:val="00AD799C"/>
    <w:rsid w:val="00AE1C97"/>
    <w:rsid w:val="00AE2BCA"/>
    <w:rsid w:val="00AF0A2E"/>
    <w:rsid w:val="00AF4619"/>
    <w:rsid w:val="00B13550"/>
    <w:rsid w:val="00B154AD"/>
    <w:rsid w:val="00B2033A"/>
    <w:rsid w:val="00B20B08"/>
    <w:rsid w:val="00B22B6E"/>
    <w:rsid w:val="00B24401"/>
    <w:rsid w:val="00B25A48"/>
    <w:rsid w:val="00B34B6C"/>
    <w:rsid w:val="00B4143C"/>
    <w:rsid w:val="00B41935"/>
    <w:rsid w:val="00B4692E"/>
    <w:rsid w:val="00B46EC5"/>
    <w:rsid w:val="00B50E11"/>
    <w:rsid w:val="00B5267E"/>
    <w:rsid w:val="00B528E2"/>
    <w:rsid w:val="00B532C0"/>
    <w:rsid w:val="00B60B80"/>
    <w:rsid w:val="00B76B92"/>
    <w:rsid w:val="00B82C3B"/>
    <w:rsid w:val="00B830A9"/>
    <w:rsid w:val="00B854D2"/>
    <w:rsid w:val="00B8609C"/>
    <w:rsid w:val="00B87ED2"/>
    <w:rsid w:val="00BA657D"/>
    <w:rsid w:val="00BB67AF"/>
    <w:rsid w:val="00BB7ED4"/>
    <w:rsid w:val="00BC1350"/>
    <w:rsid w:val="00BC6A2F"/>
    <w:rsid w:val="00BE56D3"/>
    <w:rsid w:val="00C16199"/>
    <w:rsid w:val="00C26729"/>
    <w:rsid w:val="00C37B27"/>
    <w:rsid w:val="00C53754"/>
    <w:rsid w:val="00C53B38"/>
    <w:rsid w:val="00C53CE6"/>
    <w:rsid w:val="00C551FC"/>
    <w:rsid w:val="00C576DB"/>
    <w:rsid w:val="00C648E4"/>
    <w:rsid w:val="00C715E2"/>
    <w:rsid w:val="00C75DBB"/>
    <w:rsid w:val="00C76DE6"/>
    <w:rsid w:val="00C774D3"/>
    <w:rsid w:val="00C837F9"/>
    <w:rsid w:val="00C84158"/>
    <w:rsid w:val="00C84E60"/>
    <w:rsid w:val="00C91132"/>
    <w:rsid w:val="00CA0E4E"/>
    <w:rsid w:val="00CA6907"/>
    <w:rsid w:val="00CB30A7"/>
    <w:rsid w:val="00CF192C"/>
    <w:rsid w:val="00CF4A30"/>
    <w:rsid w:val="00CF63E1"/>
    <w:rsid w:val="00D00614"/>
    <w:rsid w:val="00D04C0E"/>
    <w:rsid w:val="00D13634"/>
    <w:rsid w:val="00D17DC5"/>
    <w:rsid w:val="00D17EE3"/>
    <w:rsid w:val="00D32ACD"/>
    <w:rsid w:val="00D35307"/>
    <w:rsid w:val="00D4563B"/>
    <w:rsid w:val="00D80072"/>
    <w:rsid w:val="00D8368B"/>
    <w:rsid w:val="00D85814"/>
    <w:rsid w:val="00D85FF0"/>
    <w:rsid w:val="00D92439"/>
    <w:rsid w:val="00DA1664"/>
    <w:rsid w:val="00DA2F6F"/>
    <w:rsid w:val="00DA3130"/>
    <w:rsid w:val="00DB3A26"/>
    <w:rsid w:val="00DB5B1B"/>
    <w:rsid w:val="00DB6C98"/>
    <w:rsid w:val="00DC04E6"/>
    <w:rsid w:val="00DC07A5"/>
    <w:rsid w:val="00DC34B3"/>
    <w:rsid w:val="00DC3897"/>
    <w:rsid w:val="00DD0D8C"/>
    <w:rsid w:val="00DD7F61"/>
    <w:rsid w:val="00DE135E"/>
    <w:rsid w:val="00DE2D91"/>
    <w:rsid w:val="00DE2E29"/>
    <w:rsid w:val="00DE3F2D"/>
    <w:rsid w:val="00DE460C"/>
    <w:rsid w:val="00E0078A"/>
    <w:rsid w:val="00E0690C"/>
    <w:rsid w:val="00E1020E"/>
    <w:rsid w:val="00E207C7"/>
    <w:rsid w:val="00E23659"/>
    <w:rsid w:val="00E2379D"/>
    <w:rsid w:val="00E244D1"/>
    <w:rsid w:val="00E7476B"/>
    <w:rsid w:val="00E74841"/>
    <w:rsid w:val="00E74A5F"/>
    <w:rsid w:val="00E75F73"/>
    <w:rsid w:val="00E80FF3"/>
    <w:rsid w:val="00E84413"/>
    <w:rsid w:val="00E97390"/>
    <w:rsid w:val="00E97800"/>
    <w:rsid w:val="00EA6520"/>
    <w:rsid w:val="00EA72D0"/>
    <w:rsid w:val="00EB12BD"/>
    <w:rsid w:val="00EE4444"/>
    <w:rsid w:val="00EF62C8"/>
    <w:rsid w:val="00F14E84"/>
    <w:rsid w:val="00F2157C"/>
    <w:rsid w:val="00F23BBE"/>
    <w:rsid w:val="00F2422E"/>
    <w:rsid w:val="00F3755F"/>
    <w:rsid w:val="00F40E2E"/>
    <w:rsid w:val="00F43B9A"/>
    <w:rsid w:val="00F60C15"/>
    <w:rsid w:val="00F620CA"/>
    <w:rsid w:val="00F72105"/>
    <w:rsid w:val="00F74154"/>
    <w:rsid w:val="00F842D3"/>
    <w:rsid w:val="00F87092"/>
    <w:rsid w:val="00FA08F1"/>
    <w:rsid w:val="00FB2765"/>
    <w:rsid w:val="00FC24C4"/>
    <w:rsid w:val="00FD076E"/>
    <w:rsid w:val="00FD281F"/>
    <w:rsid w:val="00FF2B4D"/>
    <w:rsid w:val="00FF4BC0"/>
    <w:rsid w:val="00FF5AFB"/>
    <w:rsid w:val="00FF6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C9B4-9979-4FA2-8643-DCD3C0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rPr>
  </w:style>
  <w:style w:type="paragraph" w:styleId="Heading4">
    <w:name w:val="heading 4"/>
    <w:basedOn w:val="Normal"/>
    <w:next w:val="Normal"/>
    <w:qFormat/>
    <w:pPr>
      <w:numPr>
        <w:ilvl w:val="3"/>
        <w:numId w:val="25"/>
      </w:numPr>
      <w:spacing w:before="0" w:after="0"/>
      <w:outlineLvl w:val="3"/>
    </w:pPr>
    <w:rPr>
      <w:sz w:val="24"/>
      <w:u w:val="single"/>
    </w:rPr>
  </w:style>
  <w:style w:type="paragraph" w:styleId="Heading5">
    <w:name w:val="heading 5"/>
    <w:basedOn w:val="Normal"/>
    <w:next w:val="Normal"/>
    <w:qFormat/>
    <w:pPr>
      <w:numPr>
        <w:ilvl w:val="4"/>
        <w:numId w:val="25"/>
      </w:numPr>
      <w:spacing w:before="0" w:after="0"/>
      <w:outlineLvl w:val="4"/>
    </w:pPr>
    <w:rPr>
      <w:b/>
    </w:rPr>
  </w:style>
  <w:style w:type="paragraph" w:styleId="Heading6">
    <w:name w:val="heading 6"/>
    <w:basedOn w:val="Normal"/>
    <w:next w:val="Normal"/>
    <w:qFormat/>
    <w:pPr>
      <w:numPr>
        <w:ilvl w:val="5"/>
        <w:numId w:val="25"/>
      </w:numPr>
      <w:spacing w:before="0" w:after="0"/>
      <w:outlineLvl w:val="5"/>
    </w:pPr>
    <w:rPr>
      <w:u w:val="single"/>
    </w:rPr>
  </w:style>
  <w:style w:type="paragraph" w:styleId="Heading7">
    <w:name w:val="heading 7"/>
    <w:basedOn w:val="Normal"/>
    <w:next w:val="Normal"/>
    <w:qFormat/>
    <w:pPr>
      <w:numPr>
        <w:ilvl w:val="6"/>
        <w:numId w:val="25"/>
      </w:numPr>
      <w:spacing w:before="0" w:after="0"/>
      <w:outlineLvl w:val="6"/>
    </w:pPr>
    <w:rPr>
      <w:i/>
    </w:rPr>
  </w:style>
  <w:style w:type="paragraph" w:styleId="Heading8">
    <w:name w:val="heading 8"/>
    <w:basedOn w:val="Normal"/>
    <w:next w:val="Normal"/>
    <w:qFormat/>
    <w:pPr>
      <w:numPr>
        <w:ilvl w:val="7"/>
        <w:numId w:val="25"/>
      </w:numPr>
      <w:spacing w:before="0" w:after="0"/>
      <w:outlineLvl w:val="7"/>
    </w:pPr>
    <w:rPr>
      <w:i/>
    </w:rPr>
  </w:style>
  <w:style w:type="paragraph" w:styleId="Heading9">
    <w:name w:val="heading 9"/>
    <w:basedOn w:val="Normal"/>
    <w:next w:val="Normal"/>
    <w:qFormat/>
    <w:pPr>
      <w:numPr>
        <w:ilvl w:val="8"/>
        <w:numId w:val="25"/>
      </w:numPr>
      <w:spacing w:before="0"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eastAsia="en-US"/>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val="0"/>
      <w:szCs w:val="19"/>
      <w:lang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eastAsia="en-US"/>
    </w:rPr>
  </w:style>
  <w:style w:type="paragraph" w:customStyle="1" w:styleId="CEODocNo">
    <w:name w:val="CEO_DocNo"/>
    <w:basedOn w:val="Normal"/>
    <w:next w:val="Normal"/>
    <w:pPr>
      <w:spacing w:before="0" w:after="0"/>
    </w:pPr>
    <w:rPr>
      <w:b/>
      <w:bCs w:val="0"/>
      <w:szCs w:val="19"/>
      <w:lang w:eastAsia="en-US"/>
    </w:rPr>
  </w:style>
  <w:style w:type="paragraph" w:customStyle="1" w:styleId="CEODocNoDetails">
    <w:name w:val="CEO_DocNoDetails"/>
    <w:basedOn w:val="Normal"/>
    <w:pPr>
      <w:spacing w:before="80" w:after="80"/>
      <w:jc w:val="center"/>
    </w:pPr>
    <w:rPr>
      <w:szCs w:val="19"/>
      <w:lang w:eastAsia="en-US"/>
    </w:rPr>
  </w:style>
  <w:style w:type="paragraph" w:customStyle="1" w:styleId="CEOFooter">
    <w:name w:val="CEO_Footer"/>
    <w:basedOn w:val="Normal"/>
    <w:pPr>
      <w:tabs>
        <w:tab w:val="right" w:pos="9072"/>
      </w:tabs>
      <w:spacing w:before="0" w:after="0"/>
    </w:pPr>
    <w:rPr>
      <w:sz w:val="16"/>
      <w:szCs w:val="19"/>
      <w:lang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eastAsia="en-US"/>
    </w:rPr>
  </w:style>
  <w:style w:type="paragraph" w:customStyle="1" w:styleId="CEOIndent-bulletsblackdot">
    <w:name w:val="CEO_Indent-bulletsblackdot"/>
    <w:basedOn w:val="Normal"/>
    <w:pPr>
      <w:numPr>
        <w:numId w:val="17"/>
      </w:numPr>
      <w:spacing w:before="60" w:after="60"/>
    </w:pPr>
    <w:rPr>
      <w:szCs w:val="19"/>
      <w:lang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eastAsia="en-US"/>
    </w:rPr>
  </w:style>
  <w:style w:type="paragraph" w:customStyle="1" w:styleId="CEOMeetingName">
    <w:name w:val="CEO_MeetingName"/>
    <w:basedOn w:val="Normal"/>
    <w:pPr>
      <w:spacing w:after="0"/>
    </w:pPr>
    <w:rPr>
      <w:b/>
      <w:bCs w:val="0"/>
      <w:szCs w:val="19"/>
      <w:lang w:eastAsia="en-US"/>
    </w:rPr>
  </w:style>
  <w:style w:type="paragraph" w:customStyle="1" w:styleId="CEOOriginalLanguage">
    <w:name w:val="CEO_OriginalLanguage"/>
    <w:basedOn w:val="Normal"/>
    <w:next w:val="Normal"/>
    <w:rPr>
      <w:b/>
      <w:bCs w:val="0"/>
      <w:szCs w:val="19"/>
      <w:lang w:eastAsia="en-US"/>
    </w:rPr>
  </w:style>
  <w:style w:type="paragraph" w:customStyle="1" w:styleId="CEOQuestion">
    <w:name w:val="CEO_Question"/>
    <w:basedOn w:val="CEOQuestionDetails"/>
    <w:pPr>
      <w:spacing w:before="40" w:after="40"/>
      <w:ind w:left="1843" w:hanging="1843"/>
    </w:pPr>
    <w:rPr>
      <w:bCs w:val="0"/>
      <w:szCs w:val="24"/>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eastAsia="en-US"/>
    </w:rPr>
  </w:style>
  <w:style w:type="paragraph" w:customStyle="1" w:styleId="CEOSignatureName">
    <w:name w:val="CEO_SignatureName"/>
    <w:basedOn w:val="Normal"/>
    <w:pPr>
      <w:spacing w:before="720" w:after="0"/>
    </w:pPr>
    <w:rPr>
      <w:szCs w:val="19"/>
      <w:lang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eastAsia="en-US"/>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ascii="Times New Roman" w:eastAsia="Times New Roman" w:hAnsi="Times New Roman" w:cs="Times New Roman"/>
      <w:bCs w:val="0"/>
      <w:sz w:val="18"/>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textAlignment w:val="baseline"/>
    </w:pPr>
    <w:rPr>
      <w:rFonts w:ascii="Times New Roman" w:eastAsia="Times New Roman" w:hAnsi="Times New Roman" w:cs="Times New Roman"/>
      <w:bCs w:val="0"/>
      <w:sz w:val="24"/>
      <w:szCs w:val="20"/>
      <w:lang w:eastAsia="en-U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after="0"/>
    </w:pPr>
  </w:style>
  <w:style w:type="paragraph" w:customStyle="1" w:styleId="CEOParagraph1">
    <w:name w:val="CEO_Paragraph 1."/>
    <w:basedOn w:val="CEONormal"/>
    <w:next w:val="CEONormal"/>
    <w:qFormat/>
    <w:rsid w:val="00F87092"/>
    <w:pPr>
      <w:spacing w:before="360"/>
    </w:pPr>
    <w:rPr>
      <w:b/>
      <w:bCs/>
      <w:lang w:val="fr-FR"/>
    </w:rPr>
  </w:style>
  <w:style w:type="paragraph" w:styleId="FootnoteText">
    <w:name w:val="footnote text"/>
    <w:basedOn w:val="Normal"/>
    <w:link w:val="FootnoteTextChar"/>
    <w:unhideWhenUsed/>
    <w:rsid w:val="004E6843"/>
    <w:pPr>
      <w:suppressAutoHyphens/>
      <w:spacing w:before="0" w:after="0"/>
    </w:pPr>
    <w:rPr>
      <w:rFonts w:ascii="Arial" w:eastAsia="Times New Roman" w:hAnsi="Arial" w:cs="Times New Roman"/>
      <w:bCs w:val="0"/>
      <w:color w:val="63666A"/>
      <w:sz w:val="24"/>
      <w:szCs w:val="24"/>
      <w:lang w:val="en-US" w:eastAsia="en-US"/>
    </w:rPr>
  </w:style>
  <w:style w:type="character" w:customStyle="1" w:styleId="FootnoteTextChar">
    <w:name w:val="Footnote Text Char"/>
    <w:basedOn w:val="DefaultParagraphFont"/>
    <w:link w:val="FootnoteText"/>
    <w:rsid w:val="004E6843"/>
    <w:rPr>
      <w:rFonts w:ascii="Arial" w:eastAsia="Times New Roman" w:hAnsi="Arial"/>
      <w:noProof w:val="0"/>
      <w:color w:val="63666A"/>
      <w:sz w:val="24"/>
      <w:szCs w:val="24"/>
      <w:lang w:val="en-US" w:eastAsia="en-US"/>
    </w:rPr>
  </w:style>
  <w:style w:type="character" w:styleId="FootnoteReference">
    <w:name w:val="footnote reference"/>
    <w:basedOn w:val="DefaultParagraphFont"/>
    <w:unhideWhenUsed/>
    <w:rsid w:val="004E6843"/>
    <w:rPr>
      <w:rFonts w:ascii="Trebuchet MS" w:hAnsi="Trebuchet MS"/>
      <w:noProof w:val="0"/>
      <w:vertAlign w:val="superscript"/>
      <w:lang w:val="en-GB"/>
    </w:rPr>
  </w:style>
  <w:style w:type="paragraph" w:styleId="ListParagraph">
    <w:name w:val="List Paragraph"/>
    <w:basedOn w:val="Normal"/>
    <w:uiPriority w:val="34"/>
    <w:qFormat/>
    <w:rsid w:val="004E6843"/>
    <w:pPr>
      <w:suppressAutoHyphens/>
      <w:spacing w:before="0" w:after="0" w:line="260" w:lineRule="atLeast"/>
      <w:ind w:left="720"/>
      <w:contextualSpacing/>
    </w:pPr>
    <w:rPr>
      <w:rFonts w:ascii="Arial" w:eastAsia="Times New Roman" w:hAnsi="Arial" w:cs="Times New Roman"/>
      <w:bCs w:val="0"/>
      <w:color w:val="63666A"/>
      <w:sz w:val="18"/>
      <w:szCs w:val="24"/>
      <w:lang w:val="en-US" w:eastAsia="en-US"/>
    </w:rPr>
  </w:style>
  <w:style w:type="character" w:styleId="CommentReference">
    <w:name w:val="annotation reference"/>
    <w:basedOn w:val="DefaultParagraphFont"/>
    <w:uiPriority w:val="99"/>
    <w:unhideWhenUsed/>
    <w:rsid w:val="004E6843"/>
    <w:rPr>
      <w:rFonts w:ascii="Trebuchet MS" w:hAnsi="Trebuchet MS"/>
      <w:noProof w:val="0"/>
      <w:sz w:val="18"/>
      <w:szCs w:val="18"/>
      <w:lang w:val="en-GB"/>
    </w:rPr>
  </w:style>
  <w:style w:type="paragraph" w:styleId="BalloonText">
    <w:name w:val="Balloon Text"/>
    <w:basedOn w:val="Normal"/>
    <w:link w:val="BalloonTextChar"/>
    <w:rsid w:val="007064C4"/>
    <w:pPr>
      <w:spacing w:before="0" w:after="0"/>
    </w:pPr>
    <w:rPr>
      <w:rFonts w:ascii="Tahoma" w:hAnsi="Tahoma" w:cs="Tahoma"/>
      <w:sz w:val="16"/>
      <w:szCs w:val="16"/>
    </w:rPr>
  </w:style>
  <w:style w:type="character" w:customStyle="1" w:styleId="BalloonTextChar">
    <w:name w:val="Balloon Text Char"/>
    <w:basedOn w:val="DefaultParagraphFont"/>
    <w:link w:val="BalloonText"/>
    <w:rsid w:val="007064C4"/>
    <w:rPr>
      <w:rFonts w:ascii="Tahoma" w:eastAsia="SimHei" w:hAnsi="Tahoma" w:cs="Tahoma"/>
      <w:bCs/>
      <w:sz w:val="16"/>
      <w:szCs w:val="16"/>
    </w:rPr>
  </w:style>
  <w:style w:type="character" w:customStyle="1" w:styleId="apple-converted-space">
    <w:name w:val="apple-converted-space"/>
    <w:basedOn w:val="DefaultParagraphFont"/>
    <w:rsid w:val="00EB12BD"/>
  </w:style>
  <w:style w:type="character" w:styleId="Strong">
    <w:name w:val="Strong"/>
    <w:basedOn w:val="DefaultParagraphFont"/>
    <w:uiPriority w:val="22"/>
    <w:qFormat/>
    <w:rsid w:val="00EB12BD"/>
    <w:rPr>
      <w:b/>
      <w:bCs/>
    </w:rPr>
  </w:style>
  <w:style w:type="paragraph" w:customStyle="1" w:styleId="Restitle">
    <w:name w:val="Res_title"/>
    <w:basedOn w:val="Normal"/>
    <w:next w:val="Normal"/>
    <w:rsid w:val="00CF192C"/>
    <w:pPr>
      <w:keepNext/>
      <w:keepLines/>
      <w:tabs>
        <w:tab w:val="left" w:pos="1134"/>
        <w:tab w:val="left" w:pos="1871"/>
        <w:tab w:val="left" w:pos="2268"/>
      </w:tabs>
      <w:overflowPunct w:val="0"/>
      <w:autoSpaceDE w:val="0"/>
      <w:autoSpaceDN w:val="0"/>
      <w:adjustRightInd w:val="0"/>
      <w:spacing w:before="240" w:after="0"/>
      <w:jc w:val="center"/>
    </w:pPr>
    <w:rPr>
      <w:rFonts w:ascii="Times New Roman Bold" w:eastAsia="Times New Roman" w:hAnsi="Times New Roman Bold" w:cs="Times New Roman Bold"/>
      <w:b/>
      <w:sz w:val="28"/>
      <w:szCs w:val="20"/>
      <w:lang w:eastAsia="en-US"/>
    </w:rPr>
  </w:style>
  <w:style w:type="paragraph" w:customStyle="1" w:styleId="Call">
    <w:name w:val="Call"/>
    <w:basedOn w:val="Normal"/>
    <w:next w:val="Normal"/>
    <w:rsid w:val="00014560"/>
    <w:pPr>
      <w:keepNext/>
      <w:keepLines/>
      <w:tabs>
        <w:tab w:val="left" w:pos="1134"/>
        <w:tab w:val="left" w:pos="1871"/>
        <w:tab w:val="left" w:pos="2268"/>
      </w:tabs>
      <w:overflowPunct w:val="0"/>
      <w:autoSpaceDE w:val="0"/>
      <w:autoSpaceDN w:val="0"/>
      <w:adjustRightInd w:val="0"/>
      <w:spacing w:before="160" w:after="0"/>
      <w:ind w:left="1134"/>
    </w:pPr>
    <w:rPr>
      <w:rFonts w:ascii="Times New Roman" w:eastAsia="Times New Roman" w:hAnsi="Times New Roman" w:cs="Times New Roman"/>
      <w:bCs w:val="0"/>
      <w:i/>
      <w:sz w:val="24"/>
      <w:szCs w:val="20"/>
      <w:lang w:eastAsia="en-US"/>
    </w:rPr>
  </w:style>
  <w:style w:type="paragraph" w:customStyle="1" w:styleId="ResNo">
    <w:name w:val="Res_No"/>
    <w:basedOn w:val="Normal"/>
    <w:next w:val="Normal"/>
    <w:rsid w:val="00014560"/>
    <w:pPr>
      <w:keepNext/>
      <w:keepLines/>
      <w:tabs>
        <w:tab w:val="left" w:pos="1134"/>
        <w:tab w:val="left" w:pos="1871"/>
        <w:tab w:val="left" w:pos="2268"/>
      </w:tabs>
      <w:overflowPunct w:val="0"/>
      <w:autoSpaceDE w:val="0"/>
      <w:autoSpaceDN w:val="0"/>
      <w:adjustRightInd w:val="0"/>
      <w:spacing w:before="480" w:after="0"/>
      <w:jc w:val="center"/>
    </w:pPr>
    <w:rPr>
      <w:rFonts w:ascii="Times New Roman" w:eastAsia="Times New Roman" w:hAnsi="Times New Roman Bold" w:cs="Times New Roman"/>
      <w:bCs w:val="0"/>
      <w:sz w:val="28"/>
      <w:szCs w:val="20"/>
      <w:lang w:eastAsia="en-US"/>
    </w:rPr>
  </w:style>
  <w:style w:type="paragraph" w:customStyle="1" w:styleId="Resref">
    <w:name w:val="Res_ref"/>
    <w:basedOn w:val="Normal"/>
    <w:qFormat/>
    <w:rsid w:val="00253D5F"/>
    <w:pPr>
      <w:keepNext/>
      <w:keepLines/>
      <w:tabs>
        <w:tab w:val="left" w:pos="1134"/>
        <w:tab w:val="left" w:pos="1871"/>
        <w:tab w:val="left" w:pos="2268"/>
      </w:tabs>
      <w:overflowPunct w:val="0"/>
      <w:autoSpaceDE w:val="0"/>
      <w:autoSpaceDN w:val="0"/>
      <w:adjustRightInd w:val="0"/>
      <w:spacing w:after="0"/>
      <w:jc w:val="center"/>
    </w:pPr>
    <w:rPr>
      <w:rFonts w:ascii="Times New Roman" w:eastAsia="Times New Roman" w:hAnsi="Times New Roman" w:cs="Times New Roman"/>
      <w:bCs w:val="0"/>
      <w:i/>
      <w:sz w:val="24"/>
      <w:szCs w:val="20"/>
      <w:lang w:eastAsia="en-US"/>
    </w:rPr>
  </w:style>
  <w:style w:type="paragraph" w:customStyle="1" w:styleId="enumlev1">
    <w:name w:val="enumlev1"/>
    <w:basedOn w:val="Normal"/>
    <w:qFormat/>
    <w:rsid w:val="00FA08F1"/>
    <w:pPr>
      <w:tabs>
        <w:tab w:val="left" w:pos="1134"/>
        <w:tab w:val="left" w:pos="1871"/>
        <w:tab w:val="left" w:pos="2608"/>
        <w:tab w:val="left" w:pos="3345"/>
      </w:tabs>
      <w:overflowPunct w:val="0"/>
      <w:autoSpaceDE w:val="0"/>
      <w:autoSpaceDN w:val="0"/>
      <w:adjustRightInd w:val="0"/>
      <w:spacing w:before="80" w:after="0"/>
      <w:ind w:left="1134" w:hanging="1134"/>
    </w:pPr>
    <w:rPr>
      <w:rFonts w:ascii="Times New Roman" w:eastAsia="Times New Roman" w:hAnsi="Times New Roman" w:cs="Times New Roman"/>
      <w:bCs w:val="0"/>
      <w:sz w:val="24"/>
      <w:szCs w:val="20"/>
      <w:lang w:eastAsia="en-US"/>
    </w:rPr>
  </w:style>
  <w:style w:type="table" w:styleId="PlainTable1">
    <w:name w:val="Plain Table 1"/>
    <w:basedOn w:val="TableNormal"/>
    <w:uiPriority w:val="41"/>
    <w:rsid w:val="00A665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66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Footer">
    <w:name w:val="FirstFooter"/>
    <w:basedOn w:val="Footer"/>
    <w:rsid w:val="0070333D"/>
    <w:pPr>
      <w:tabs>
        <w:tab w:val="clear" w:pos="4320"/>
        <w:tab w:val="clear" w:pos="8640"/>
      </w:tabs>
      <w:spacing w:before="40" w:after="0"/>
    </w:pPr>
    <w:rPr>
      <w:rFonts w:ascii="Calibri" w:eastAsia="Times New Roman" w:hAnsi="Calibri" w:cs="Times New Roman"/>
      <w:bCs w:val="0"/>
      <w:sz w:val="16"/>
      <w:szCs w:val="20"/>
      <w:lang w:val="fr-FR" w:eastAsia="en-US"/>
    </w:rPr>
  </w:style>
  <w:style w:type="paragraph" w:customStyle="1" w:styleId="Title1">
    <w:name w:val="Title 1"/>
    <w:basedOn w:val="Normal"/>
    <w:next w:val="Normal"/>
    <w:rsid w:val="00C53B38"/>
    <w:pPr>
      <w:tabs>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Calibri" w:eastAsia="Times New Roman" w:hAnsi="Calibri" w:cs="Times New Roman Bold"/>
      <w:b/>
      <w:bCs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75">
      <w:bodyDiv w:val="1"/>
      <w:marLeft w:val="0"/>
      <w:marRight w:val="0"/>
      <w:marTop w:val="0"/>
      <w:marBottom w:val="0"/>
      <w:divBdr>
        <w:top w:val="none" w:sz="0" w:space="0" w:color="auto"/>
        <w:left w:val="none" w:sz="0" w:space="0" w:color="auto"/>
        <w:bottom w:val="none" w:sz="0" w:space="0" w:color="auto"/>
        <w:right w:val="none" w:sz="0" w:space="0" w:color="auto"/>
      </w:divBdr>
    </w:div>
    <w:div w:id="111630138">
      <w:bodyDiv w:val="1"/>
      <w:marLeft w:val="0"/>
      <w:marRight w:val="0"/>
      <w:marTop w:val="0"/>
      <w:marBottom w:val="0"/>
      <w:divBdr>
        <w:top w:val="none" w:sz="0" w:space="0" w:color="auto"/>
        <w:left w:val="none" w:sz="0" w:space="0" w:color="auto"/>
        <w:bottom w:val="none" w:sz="0" w:space="0" w:color="auto"/>
        <w:right w:val="none" w:sz="0" w:space="0" w:color="auto"/>
      </w:divBdr>
    </w:div>
    <w:div w:id="222445562">
      <w:bodyDiv w:val="1"/>
      <w:marLeft w:val="0"/>
      <w:marRight w:val="0"/>
      <w:marTop w:val="0"/>
      <w:marBottom w:val="0"/>
      <w:divBdr>
        <w:top w:val="none" w:sz="0" w:space="0" w:color="auto"/>
        <w:left w:val="none" w:sz="0" w:space="0" w:color="auto"/>
        <w:bottom w:val="none" w:sz="0" w:space="0" w:color="auto"/>
        <w:right w:val="none" w:sz="0" w:space="0" w:color="auto"/>
      </w:divBdr>
    </w:div>
    <w:div w:id="234974052">
      <w:bodyDiv w:val="1"/>
      <w:marLeft w:val="0"/>
      <w:marRight w:val="0"/>
      <w:marTop w:val="0"/>
      <w:marBottom w:val="0"/>
      <w:divBdr>
        <w:top w:val="none" w:sz="0" w:space="0" w:color="auto"/>
        <w:left w:val="none" w:sz="0" w:space="0" w:color="auto"/>
        <w:bottom w:val="none" w:sz="0" w:space="0" w:color="auto"/>
        <w:right w:val="none" w:sz="0" w:space="0" w:color="auto"/>
      </w:divBdr>
    </w:div>
    <w:div w:id="297610554">
      <w:bodyDiv w:val="1"/>
      <w:marLeft w:val="0"/>
      <w:marRight w:val="0"/>
      <w:marTop w:val="0"/>
      <w:marBottom w:val="0"/>
      <w:divBdr>
        <w:top w:val="none" w:sz="0" w:space="0" w:color="auto"/>
        <w:left w:val="none" w:sz="0" w:space="0" w:color="auto"/>
        <w:bottom w:val="none" w:sz="0" w:space="0" w:color="auto"/>
        <w:right w:val="none" w:sz="0" w:space="0" w:color="auto"/>
      </w:divBdr>
    </w:div>
    <w:div w:id="333604846">
      <w:bodyDiv w:val="1"/>
      <w:marLeft w:val="0"/>
      <w:marRight w:val="0"/>
      <w:marTop w:val="0"/>
      <w:marBottom w:val="0"/>
      <w:divBdr>
        <w:top w:val="none" w:sz="0" w:space="0" w:color="auto"/>
        <w:left w:val="none" w:sz="0" w:space="0" w:color="auto"/>
        <w:bottom w:val="none" w:sz="0" w:space="0" w:color="auto"/>
        <w:right w:val="none" w:sz="0" w:space="0" w:color="auto"/>
      </w:divBdr>
    </w:div>
    <w:div w:id="450251474">
      <w:bodyDiv w:val="1"/>
      <w:marLeft w:val="0"/>
      <w:marRight w:val="0"/>
      <w:marTop w:val="0"/>
      <w:marBottom w:val="0"/>
      <w:divBdr>
        <w:top w:val="none" w:sz="0" w:space="0" w:color="auto"/>
        <w:left w:val="none" w:sz="0" w:space="0" w:color="auto"/>
        <w:bottom w:val="none" w:sz="0" w:space="0" w:color="auto"/>
        <w:right w:val="none" w:sz="0" w:space="0" w:color="auto"/>
      </w:divBdr>
    </w:div>
    <w:div w:id="458232629">
      <w:bodyDiv w:val="1"/>
      <w:marLeft w:val="0"/>
      <w:marRight w:val="0"/>
      <w:marTop w:val="0"/>
      <w:marBottom w:val="0"/>
      <w:divBdr>
        <w:top w:val="none" w:sz="0" w:space="0" w:color="auto"/>
        <w:left w:val="none" w:sz="0" w:space="0" w:color="auto"/>
        <w:bottom w:val="none" w:sz="0" w:space="0" w:color="auto"/>
        <w:right w:val="none" w:sz="0" w:space="0" w:color="auto"/>
      </w:divBdr>
    </w:div>
    <w:div w:id="471404571">
      <w:bodyDiv w:val="1"/>
      <w:marLeft w:val="0"/>
      <w:marRight w:val="0"/>
      <w:marTop w:val="0"/>
      <w:marBottom w:val="0"/>
      <w:divBdr>
        <w:top w:val="none" w:sz="0" w:space="0" w:color="auto"/>
        <w:left w:val="none" w:sz="0" w:space="0" w:color="auto"/>
        <w:bottom w:val="none" w:sz="0" w:space="0" w:color="auto"/>
        <w:right w:val="none" w:sz="0" w:space="0" w:color="auto"/>
      </w:divBdr>
    </w:div>
    <w:div w:id="512887601">
      <w:bodyDiv w:val="1"/>
      <w:marLeft w:val="0"/>
      <w:marRight w:val="0"/>
      <w:marTop w:val="0"/>
      <w:marBottom w:val="0"/>
      <w:divBdr>
        <w:top w:val="none" w:sz="0" w:space="0" w:color="auto"/>
        <w:left w:val="none" w:sz="0" w:space="0" w:color="auto"/>
        <w:bottom w:val="none" w:sz="0" w:space="0" w:color="auto"/>
        <w:right w:val="none" w:sz="0" w:space="0" w:color="auto"/>
      </w:divBdr>
    </w:div>
    <w:div w:id="642999875">
      <w:bodyDiv w:val="1"/>
      <w:marLeft w:val="0"/>
      <w:marRight w:val="0"/>
      <w:marTop w:val="0"/>
      <w:marBottom w:val="0"/>
      <w:divBdr>
        <w:top w:val="none" w:sz="0" w:space="0" w:color="auto"/>
        <w:left w:val="none" w:sz="0" w:space="0" w:color="auto"/>
        <w:bottom w:val="none" w:sz="0" w:space="0" w:color="auto"/>
        <w:right w:val="none" w:sz="0" w:space="0" w:color="auto"/>
      </w:divBdr>
    </w:div>
    <w:div w:id="757945398">
      <w:bodyDiv w:val="1"/>
      <w:marLeft w:val="0"/>
      <w:marRight w:val="0"/>
      <w:marTop w:val="0"/>
      <w:marBottom w:val="0"/>
      <w:divBdr>
        <w:top w:val="none" w:sz="0" w:space="0" w:color="auto"/>
        <w:left w:val="none" w:sz="0" w:space="0" w:color="auto"/>
        <w:bottom w:val="none" w:sz="0" w:space="0" w:color="auto"/>
        <w:right w:val="none" w:sz="0" w:space="0" w:color="auto"/>
      </w:divBdr>
    </w:div>
    <w:div w:id="914123708">
      <w:bodyDiv w:val="1"/>
      <w:marLeft w:val="0"/>
      <w:marRight w:val="0"/>
      <w:marTop w:val="0"/>
      <w:marBottom w:val="0"/>
      <w:divBdr>
        <w:top w:val="none" w:sz="0" w:space="0" w:color="auto"/>
        <w:left w:val="none" w:sz="0" w:space="0" w:color="auto"/>
        <w:bottom w:val="none" w:sz="0" w:space="0" w:color="auto"/>
        <w:right w:val="none" w:sz="0" w:space="0" w:color="auto"/>
      </w:divBdr>
    </w:div>
    <w:div w:id="961111977">
      <w:bodyDiv w:val="1"/>
      <w:marLeft w:val="0"/>
      <w:marRight w:val="0"/>
      <w:marTop w:val="0"/>
      <w:marBottom w:val="0"/>
      <w:divBdr>
        <w:top w:val="none" w:sz="0" w:space="0" w:color="auto"/>
        <w:left w:val="none" w:sz="0" w:space="0" w:color="auto"/>
        <w:bottom w:val="none" w:sz="0" w:space="0" w:color="auto"/>
        <w:right w:val="none" w:sz="0" w:space="0" w:color="auto"/>
      </w:divBdr>
    </w:div>
    <w:div w:id="1032413642">
      <w:bodyDiv w:val="1"/>
      <w:marLeft w:val="0"/>
      <w:marRight w:val="0"/>
      <w:marTop w:val="0"/>
      <w:marBottom w:val="0"/>
      <w:divBdr>
        <w:top w:val="none" w:sz="0" w:space="0" w:color="auto"/>
        <w:left w:val="none" w:sz="0" w:space="0" w:color="auto"/>
        <w:bottom w:val="none" w:sz="0" w:space="0" w:color="auto"/>
        <w:right w:val="none" w:sz="0" w:space="0" w:color="auto"/>
      </w:divBdr>
    </w:div>
    <w:div w:id="1050954344">
      <w:bodyDiv w:val="1"/>
      <w:marLeft w:val="0"/>
      <w:marRight w:val="0"/>
      <w:marTop w:val="0"/>
      <w:marBottom w:val="0"/>
      <w:divBdr>
        <w:top w:val="none" w:sz="0" w:space="0" w:color="auto"/>
        <w:left w:val="none" w:sz="0" w:space="0" w:color="auto"/>
        <w:bottom w:val="none" w:sz="0" w:space="0" w:color="auto"/>
        <w:right w:val="none" w:sz="0" w:space="0" w:color="auto"/>
      </w:divBdr>
    </w:div>
    <w:div w:id="1119371583">
      <w:bodyDiv w:val="1"/>
      <w:marLeft w:val="0"/>
      <w:marRight w:val="0"/>
      <w:marTop w:val="0"/>
      <w:marBottom w:val="0"/>
      <w:divBdr>
        <w:top w:val="none" w:sz="0" w:space="0" w:color="auto"/>
        <w:left w:val="none" w:sz="0" w:space="0" w:color="auto"/>
        <w:bottom w:val="none" w:sz="0" w:space="0" w:color="auto"/>
        <w:right w:val="none" w:sz="0" w:space="0" w:color="auto"/>
      </w:divBdr>
    </w:div>
    <w:div w:id="1155494428">
      <w:bodyDiv w:val="1"/>
      <w:marLeft w:val="0"/>
      <w:marRight w:val="0"/>
      <w:marTop w:val="0"/>
      <w:marBottom w:val="0"/>
      <w:divBdr>
        <w:top w:val="none" w:sz="0" w:space="0" w:color="auto"/>
        <w:left w:val="none" w:sz="0" w:space="0" w:color="auto"/>
        <w:bottom w:val="none" w:sz="0" w:space="0" w:color="auto"/>
        <w:right w:val="none" w:sz="0" w:space="0" w:color="auto"/>
      </w:divBdr>
    </w:div>
    <w:div w:id="1270815949">
      <w:bodyDiv w:val="1"/>
      <w:marLeft w:val="0"/>
      <w:marRight w:val="0"/>
      <w:marTop w:val="0"/>
      <w:marBottom w:val="0"/>
      <w:divBdr>
        <w:top w:val="none" w:sz="0" w:space="0" w:color="auto"/>
        <w:left w:val="none" w:sz="0" w:space="0" w:color="auto"/>
        <w:bottom w:val="none" w:sz="0" w:space="0" w:color="auto"/>
        <w:right w:val="none" w:sz="0" w:space="0" w:color="auto"/>
      </w:divBdr>
    </w:div>
    <w:div w:id="1578590378">
      <w:bodyDiv w:val="1"/>
      <w:marLeft w:val="0"/>
      <w:marRight w:val="0"/>
      <w:marTop w:val="0"/>
      <w:marBottom w:val="0"/>
      <w:divBdr>
        <w:top w:val="none" w:sz="0" w:space="0" w:color="auto"/>
        <w:left w:val="none" w:sz="0" w:space="0" w:color="auto"/>
        <w:bottom w:val="none" w:sz="0" w:space="0" w:color="auto"/>
        <w:right w:val="none" w:sz="0" w:space="0" w:color="auto"/>
      </w:divBdr>
    </w:div>
    <w:div w:id="1624337170">
      <w:bodyDiv w:val="1"/>
      <w:marLeft w:val="0"/>
      <w:marRight w:val="0"/>
      <w:marTop w:val="0"/>
      <w:marBottom w:val="0"/>
      <w:divBdr>
        <w:top w:val="none" w:sz="0" w:space="0" w:color="auto"/>
        <w:left w:val="none" w:sz="0" w:space="0" w:color="auto"/>
        <w:bottom w:val="none" w:sz="0" w:space="0" w:color="auto"/>
        <w:right w:val="none" w:sz="0" w:space="0" w:color="auto"/>
      </w:divBdr>
    </w:div>
    <w:div w:id="1643190711">
      <w:bodyDiv w:val="1"/>
      <w:marLeft w:val="0"/>
      <w:marRight w:val="0"/>
      <w:marTop w:val="0"/>
      <w:marBottom w:val="0"/>
      <w:divBdr>
        <w:top w:val="none" w:sz="0" w:space="0" w:color="auto"/>
        <w:left w:val="none" w:sz="0" w:space="0" w:color="auto"/>
        <w:bottom w:val="none" w:sz="0" w:space="0" w:color="auto"/>
        <w:right w:val="none" w:sz="0" w:space="0" w:color="auto"/>
      </w:divBdr>
    </w:div>
    <w:div w:id="1796287563">
      <w:bodyDiv w:val="1"/>
      <w:marLeft w:val="0"/>
      <w:marRight w:val="0"/>
      <w:marTop w:val="0"/>
      <w:marBottom w:val="0"/>
      <w:divBdr>
        <w:top w:val="none" w:sz="0" w:space="0" w:color="auto"/>
        <w:left w:val="none" w:sz="0" w:space="0" w:color="auto"/>
        <w:bottom w:val="none" w:sz="0" w:space="0" w:color="auto"/>
        <w:right w:val="none" w:sz="0" w:space="0" w:color="auto"/>
      </w:divBdr>
    </w:div>
    <w:div w:id="2083335936">
      <w:bodyDiv w:val="1"/>
      <w:marLeft w:val="0"/>
      <w:marRight w:val="0"/>
      <w:marTop w:val="0"/>
      <w:marBottom w:val="0"/>
      <w:divBdr>
        <w:top w:val="none" w:sz="0" w:space="0" w:color="auto"/>
        <w:left w:val="none" w:sz="0" w:space="0" w:color="auto"/>
        <w:bottom w:val="none" w:sz="0" w:space="0" w:color="auto"/>
        <w:right w:val="none" w:sz="0" w:space="0" w:color="auto"/>
      </w:divBdr>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7556-4316-4049-A59A-1D1B4D0E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7518</Words>
  <Characters>45779</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obiso</dc:creator>
  <cp:keywords/>
  <cp:lastModifiedBy>BDT DocsControl</cp:lastModifiedBy>
  <cp:revision>4</cp:revision>
  <cp:lastPrinted>2017-03-01T09:44:00Z</cp:lastPrinted>
  <dcterms:created xsi:type="dcterms:W3CDTF">2017-02-24T10:17:00Z</dcterms:created>
  <dcterms:modified xsi:type="dcterms:W3CDTF">2017-03-01T09:48:00Z</dcterms:modified>
</cp:coreProperties>
</file>