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4D3761" w:rsidP="00562A87">
            <w:pPr>
              <w:rPr>
                <w:b/>
                <w:bCs/>
                <w:sz w:val="28"/>
                <w:szCs w:val="28"/>
              </w:rPr>
            </w:pPr>
            <w:bookmarkStart w:id="0" w:name="Meeting"/>
            <w:bookmarkEnd w:id="0"/>
            <w:r w:rsidRPr="004D3761">
              <w:rPr>
                <w:b/>
                <w:bCs/>
                <w:sz w:val="28"/>
                <w:szCs w:val="28"/>
              </w:rPr>
              <w:t xml:space="preserve">Regional Preparatory Meeting </w:t>
            </w:r>
            <w:r>
              <w:rPr>
                <w:b/>
                <w:bCs/>
                <w:sz w:val="28"/>
                <w:szCs w:val="28"/>
              </w:rPr>
              <w:br/>
            </w:r>
            <w:r w:rsidRPr="004D3761">
              <w:rPr>
                <w:b/>
                <w:bCs/>
                <w:sz w:val="28"/>
                <w:szCs w:val="28"/>
              </w:rPr>
              <w:t>for WTDC-17 for Asia and the Pacific (RPM-ASP)</w:t>
            </w:r>
            <w:r w:rsidR="00562A87" w:rsidRPr="004D3761">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val="en-US"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D3761" w:rsidRDefault="004D3761" w:rsidP="00E20210">
            <w:pPr>
              <w:spacing w:before="0"/>
              <w:rPr>
                <w:b/>
                <w:bCs/>
                <w:sz w:val="26"/>
                <w:szCs w:val="26"/>
                <w:lang w:val="en-US"/>
              </w:rPr>
            </w:pPr>
            <w:bookmarkStart w:id="1" w:name="PlaceDate"/>
            <w:bookmarkEnd w:id="1"/>
            <w:r w:rsidRPr="004D3761">
              <w:rPr>
                <w:b/>
                <w:bCs/>
                <w:sz w:val="26"/>
                <w:szCs w:val="26"/>
                <w:lang w:val="en-US"/>
              </w:rPr>
              <w:t>Bali, Indonesia, 21-23 March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4D3761">
              <w:rPr>
                <w:b/>
                <w:bCs/>
                <w:szCs w:val="24"/>
                <w:lang w:val="fr-FR"/>
              </w:rPr>
              <w:t>RPM-ASP17</w:t>
            </w:r>
            <w:r w:rsidR="006527BD" w:rsidRPr="00930F7E">
              <w:rPr>
                <w:b/>
                <w:bCs/>
                <w:szCs w:val="24"/>
                <w:lang w:val="fr-FR"/>
              </w:rPr>
              <w:t>/</w:t>
            </w:r>
            <w:bookmarkStart w:id="3" w:name="DocNo1"/>
            <w:bookmarkEnd w:id="3"/>
            <w:r w:rsidR="004D3761">
              <w:rPr>
                <w:b/>
                <w:bCs/>
                <w:szCs w:val="24"/>
                <w:lang w:val="fr-FR"/>
              </w:rPr>
              <w:t>17-E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4D3761" w:rsidP="00BF1682">
            <w:pPr>
              <w:spacing w:before="0"/>
              <w:rPr>
                <w:b/>
                <w:bCs/>
                <w:szCs w:val="24"/>
                <w:lang w:val="fr-FR"/>
              </w:rPr>
            </w:pPr>
            <w:bookmarkStart w:id="4" w:name="CreationDate"/>
            <w:bookmarkEnd w:id="4"/>
            <w:r>
              <w:rPr>
                <w:b/>
                <w:bCs/>
                <w:szCs w:val="24"/>
                <w:lang w:val="fr-FR"/>
              </w:rPr>
              <w:t>3 March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4D3761">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4D3761" w:rsidRDefault="008B05DD" w:rsidP="00E20210">
            <w:pPr>
              <w:spacing w:after="120"/>
              <w:jc w:val="center"/>
              <w:rPr>
                <w:b/>
                <w:bCs/>
                <w:sz w:val="28"/>
                <w:szCs w:val="28"/>
              </w:rPr>
            </w:pPr>
            <w:bookmarkStart w:id="6" w:name="Source"/>
            <w:bookmarkEnd w:id="6"/>
            <w:r>
              <w:rPr>
                <w:b/>
                <w:bCs/>
                <w:sz w:val="28"/>
                <w:szCs w:val="28"/>
              </w:rPr>
              <w:t>Indonesia (Republic of)</w:t>
            </w:r>
          </w:p>
        </w:tc>
      </w:tr>
      <w:tr w:rsidR="00562A87" w:rsidRPr="00E20210" w:rsidTr="00E20210">
        <w:trPr>
          <w:gridAfter w:val="1"/>
          <w:wAfter w:w="12" w:type="dxa"/>
          <w:cantSplit/>
          <w:trHeight w:val="537"/>
          <w:jc w:val="center"/>
        </w:trPr>
        <w:tc>
          <w:tcPr>
            <w:tcW w:w="10021" w:type="dxa"/>
            <w:gridSpan w:val="3"/>
          </w:tcPr>
          <w:p w:rsidR="00562A87" w:rsidRPr="004D3761" w:rsidRDefault="004D3761" w:rsidP="004D3761">
            <w:pPr>
              <w:spacing w:after="120"/>
              <w:jc w:val="center"/>
              <w:rPr>
                <w:sz w:val="28"/>
                <w:szCs w:val="28"/>
              </w:rPr>
            </w:pPr>
            <w:bookmarkStart w:id="7" w:name="Title"/>
            <w:bookmarkEnd w:id="7"/>
            <w:r w:rsidRPr="004D3761">
              <w:rPr>
                <w:sz w:val="28"/>
                <w:szCs w:val="28"/>
              </w:rPr>
              <w:t xml:space="preserve">DRAFT </w:t>
            </w:r>
            <w:r w:rsidR="008B05DD">
              <w:rPr>
                <w:sz w:val="28"/>
                <w:szCs w:val="28"/>
              </w:rPr>
              <w:t xml:space="preserve">NEW RESOLUTION </w:t>
            </w:r>
            <w:bookmarkStart w:id="8" w:name="_GoBack"/>
            <w:bookmarkEnd w:id="8"/>
            <w:r w:rsidRPr="004D3761">
              <w:rPr>
                <w:sz w:val="28"/>
                <w:szCs w:val="28"/>
              </w:rPr>
              <w:t xml:space="preserve"> </w:t>
            </w:r>
            <w:r>
              <w:rPr>
                <w:sz w:val="28"/>
                <w:szCs w:val="28"/>
              </w:rPr>
              <w:br/>
            </w:r>
            <w:r w:rsidRPr="004D3761">
              <w:rPr>
                <w:sz w:val="28"/>
                <w:szCs w:val="28"/>
              </w:rPr>
              <w:t xml:space="preserve">CAPACITY BUILDING FOR MEMBER STATES ON CYBER SECURITY </w:t>
            </w:r>
            <w:r>
              <w:rPr>
                <w:sz w:val="28"/>
                <w:szCs w:val="28"/>
              </w:rPr>
              <w:br/>
            </w:r>
            <w:r w:rsidRPr="004D3761">
              <w:rPr>
                <w:sz w:val="28"/>
                <w:szCs w:val="28"/>
              </w:rPr>
              <w:t>STRATEGY PLANNING, POLICY AND LEADERSHIP</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Priority area:</w:t>
            </w:r>
          </w:p>
          <w:p w:rsidR="00C04537" w:rsidRPr="000824C7" w:rsidRDefault="004D3761" w:rsidP="005F2DA4">
            <w:pPr>
              <w:tabs>
                <w:tab w:val="clear" w:pos="794"/>
                <w:tab w:val="clear" w:pos="1191"/>
                <w:tab w:val="clear" w:pos="1588"/>
                <w:tab w:val="clear" w:pos="1985"/>
                <w:tab w:val="left" w:pos="1951"/>
              </w:tabs>
              <w:rPr>
                <w:szCs w:val="24"/>
              </w:rPr>
            </w:pPr>
            <w:bookmarkStart w:id="9" w:name="PriorityArea"/>
            <w:bookmarkEnd w:id="9"/>
            <w:r>
              <w:rPr>
                <w:szCs w:val="24"/>
              </w:rPr>
              <w:t>Other proposals</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Summary:</w:t>
            </w:r>
          </w:p>
          <w:p w:rsidR="00C04537" w:rsidRPr="000824C7" w:rsidRDefault="004D3761" w:rsidP="005F2DA4">
            <w:pPr>
              <w:tabs>
                <w:tab w:val="clear" w:pos="794"/>
                <w:tab w:val="clear" w:pos="1191"/>
                <w:tab w:val="clear" w:pos="1588"/>
                <w:tab w:val="clear" w:pos="1985"/>
                <w:tab w:val="left" w:pos="1951"/>
              </w:tabs>
              <w:spacing w:before="240"/>
              <w:rPr>
                <w:szCs w:val="24"/>
              </w:rPr>
            </w:pPr>
            <w:bookmarkStart w:id="10" w:name="Summary"/>
            <w:bookmarkEnd w:id="10"/>
            <w:r>
              <w:rPr>
                <w:szCs w:val="24"/>
              </w:rPr>
              <w:t>The contribution reflects Indonesia's proposal for assistance to ITU-D in establishing capacity building guidelines and activities/programs on national cyber security strategy planning, policy and leadership.</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Expected results:</w:t>
            </w:r>
          </w:p>
          <w:p w:rsidR="00C04537" w:rsidRPr="000824C7" w:rsidRDefault="004D3761" w:rsidP="005F2DA4">
            <w:pPr>
              <w:tabs>
                <w:tab w:val="clear" w:pos="794"/>
                <w:tab w:val="clear" w:pos="1191"/>
                <w:tab w:val="clear" w:pos="1588"/>
                <w:tab w:val="clear" w:pos="1985"/>
                <w:tab w:val="left" w:pos="1951"/>
              </w:tabs>
              <w:spacing w:before="240"/>
              <w:rPr>
                <w:szCs w:val="24"/>
              </w:rPr>
            </w:pPr>
            <w:bookmarkStart w:id="11" w:name="Results"/>
            <w:bookmarkEnd w:id="11"/>
            <w:r>
              <w:rPr>
                <w:szCs w:val="24"/>
              </w:rPr>
              <w:t xml:space="preserve">Approval of the Draft Resolution XX (WTDC-17) on "Capacity Building for Member States on National cyber security strategy planning, policy, and leadership", and its proper implementation. </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References:</w:t>
            </w:r>
          </w:p>
          <w:p w:rsidR="004D3761" w:rsidRDefault="004D3761" w:rsidP="004D3761">
            <w:pPr>
              <w:tabs>
                <w:tab w:val="clear" w:pos="794"/>
                <w:tab w:val="clear" w:pos="1191"/>
                <w:tab w:val="clear" w:pos="1588"/>
                <w:tab w:val="clear" w:pos="1985"/>
                <w:tab w:val="left" w:pos="1951"/>
              </w:tabs>
              <w:spacing w:after="120"/>
              <w:rPr>
                <w:szCs w:val="24"/>
              </w:rPr>
            </w:pPr>
            <w:bookmarkStart w:id="12" w:name="References"/>
            <w:bookmarkEnd w:id="12"/>
            <w:r>
              <w:rPr>
                <w:szCs w:val="24"/>
              </w:rPr>
              <w:t xml:space="preserve">1. ITU Global Cybersecurity Index and </w:t>
            </w:r>
            <w:proofErr w:type="spellStart"/>
            <w:r>
              <w:rPr>
                <w:szCs w:val="24"/>
              </w:rPr>
              <w:t>Cyberwellness</w:t>
            </w:r>
            <w:proofErr w:type="spellEnd"/>
            <w:r>
              <w:rPr>
                <w:szCs w:val="24"/>
              </w:rPr>
              <w:t xml:space="preserve"> profiles, April 2015;</w:t>
            </w:r>
          </w:p>
          <w:p w:rsidR="00C04537" w:rsidRPr="000824C7" w:rsidRDefault="004D3761" w:rsidP="004D3761">
            <w:pPr>
              <w:tabs>
                <w:tab w:val="clear" w:pos="794"/>
                <w:tab w:val="clear" w:pos="1191"/>
                <w:tab w:val="clear" w:pos="1588"/>
                <w:tab w:val="clear" w:pos="1985"/>
                <w:tab w:val="left" w:pos="1951"/>
              </w:tabs>
              <w:spacing w:after="120"/>
              <w:rPr>
                <w:szCs w:val="24"/>
              </w:rPr>
            </w:pPr>
            <w:r>
              <w:rPr>
                <w:szCs w:val="24"/>
              </w:rPr>
              <w:t>2. ITU National Cybersecurity Strategy Guide, September 2011.</w:t>
            </w:r>
          </w:p>
        </w:tc>
      </w:tr>
    </w:tbl>
    <w:p w:rsidR="009F7404" w:rsidRPr="00C04537" w:rsidRDefault="001B4B9B" w:rsidP="004D3761">
      <w:pPr>
        <w:tabs>
          <w:tab w:val="clear" w:pos="794"/>
          <w:tab w:val="clear" w:pos="1191"/>
          <w:tab w:val="clear" w:pos="1588"/>
          <w:tab w:val="clear" w:pos="1985"/>
          <w:tab w:val="left" w:pos="1951"/>
        </w:tabs>
        <w:spacing w:before="240"/>
        <w:rPr>
          <w:b/>
          <w:bCs/>
          <w:szCs w:val="24"/>
        </w:rPr>
      </w:pPr>
      <w:r w:rsidRPr="00C04537">
        <w:br w:type="page"/>
      </w:r>
    </w:p>
    <w:p w:rsidR="004D3761" w:rsidRDefault="004D3761" w:rsidP="004D3761">
      <w:pPr>
        <w:spacing w:before="240"/>
        <w:rPr>
          <w:szCs w:val="24"/>
        </w:rPr>
      </w:pPr>
      <w:bookmarkStart w:id="13" w:name="Proposal"/>
      <w:bookmarkEnd w:id="13"/>
    </w:p>
    <w:p w:rsidR="004D3761" w:rsidRPr="004D3761" w:rsidRDefault="004D3761" w:rsidP="004D3761">
      <w:pPr>
        <w:spacing w:before="240"/>
        <w:jc w:val="center"/>
        <w:rPr>
          <w:sz w:val="28"/>
          <w:szCs w:val="28"/>
        </w:rPr>
      </w:pPr>
      <w:r w:rsidRPr="004D3761">
        <w:rPr>
          <w:sz w:val="28"/>
          <w:szCs w:val="28"/>
        </w:rPr>
        <w:t>DRAFT NEW RESOLUTION [INS-1]</w:t>
      </w:r>
    </w:p>
    <w:p w:rsidR="004D3761" w:rsidRPr="004D3761" w:rsidRDefault="004D3761" w:rsidP="004D3761">
      <w:pPr>
        <w:jc w:val="center"/>
        <w:rPr>
          <w:b/>
          <w:bCs/>
          <w:szCs w:val="24"/>
        </w:rPr>
      </w:pPr>
      <w:r w:rsidRPr="004D3761">
        <w:rPr>
          <w:b/>
          <w:bCs/>
          <w:szCs w:val="24"/>
        </w:rPr>
        <w:t>Capacity Building for Member States on Cyber Security Strategy</w:t>
      </w:r>
    </w:p>
    <w:p w:rsidR="004D3761" w:rsidRPr="004D3761" w:rsidRDefault="004D3761" w:rsidP="004D3761">
      <w:pPr>
        <w:jc w:val="center"/>
        <w:rPr>
          <w:b/>
          <w:bCs/>
          <w:szCs w:val="24"/>
        </w:rPr>
      </w:pPr>
      <w:r w:rsidRPr="004D3761">
        <w:rPr>
          <w:b/>
          <w:bCs/>
          <w:szCs w:val="24"/>
        </w:rPr>
        <w:t>Planning, Policy and Leadership</w:t>
      </w:r>
    </w:p>
    <w:p w:rsidR="004D3761" w:rsidRDefault="004D3761" w:rsidP="00A140EB">
      <w:pPr>
        <w:rPr>
          <w:szCs w:val="24"/>
        </w:rPr>
      </w:pPr>
    </w:p>
    <w:p w:rsidR="004D3761" w:rsidRDefault="004D3761" w:rsidP="00A140EB">
      <w:pPr>
        <w:rPr>
          <w:szCs w:val="24"/>
        </w:rPr>
      </w:pPr>
      <w:r>
        <w:rPr>
          <w:szCs w:val="24"/>
        </w:rPr>
        <w:t>The World Telecommunication Development Conference (Buenos Aires, 2017),</w:t>
      </w:r>
    </w:p>
    <w:p w:rsidR="004D3761" w:rsidRDefault="004D3761" w:rsidP="004D3761">
      <w:pPr>
        <w:pStyle w:val="Call"/>
      </w:pPr>
      <w:r>
        <w:t>recalling</w:t>
      </w:r>
    </w:p>
    <w:p w:rsidR="004D3761" w:rsidRDefault="004D3761" w:rsidP="00A140EB">
      <w:pPr>
        <w:rPr>
          <w:szCs w:val="24"/>
        </w:rPr>
      </w:pPr>
      <w:r>
        <w:rPr>
          <w:szCs w:val="24"/>
        </w:rPr>
        <w:tab/>
        <w:t>UN General Assembly Resolution 57/239, on Creation of a global culture of cybersecurity;</w:t>
      </w:r>
    </w:p>
    <w:p w:rsidR="004D3761" w:rsidRDefault="004D3761" w:rsidP="004D3761">
      <w:pPr>
        <w:pStyle w:val="Call"/>
      </w:pPr>
      <w:r>
        <w:t>considering</w:t>
      </w:r>
    </w:p>
    <w:p w:rsidR="004D3761" w:rsidRDefault="004D3761" w:rsidP="00A140EB">
      <w:pPr>
        <w:rPr>
          <w:szCs w:val="24"/>
        </w:rPr>
      </w:pPr>
      <w:r>
        <w:rPr>
          <w:szCs w:val="24"/>
        </w:rPr>
        <w:t>a)</w:t>
      </w:r>
      <w:r>
        <w:rPr>
          <w:szCs w:val="24"/>
        </w:rPr>
        <w:tab/>
        <w:t>Resolution 181 (Guadalajara, 2010), on Definitions and terminology relating to building confidence and security in the use of information and communication technologies;</w:t>
      </w:r>
    </w:p>
    <w:p w:rsidR="004D3761" w:rsidRDefault="004D3761" w:rsidP="00A140EB">
      <w:pPr>
        <w:rPr>
          <w:szCs w:val="24"/>
        </w:rPr>
      </w:pPr>
      <w:r>
        <w:rPr>
          <w:szCs w:val="24"/>
        </w:rPr>
        <w:t>b)</w:t>
      </w:r>
      <w:r>
        <w:rPr>
          <w:szCs w:val="24"/>
        </w:rPr>
        <w:tab/>
        <w:t>WTSA Resolution 50 (Dubai, 2012), on Cybersecurity;</w:t>
      </w:r>
    </w:p>
    <w:p w:rsidR="004D3761" w:rsidRDefault="004D3761" w:rsidP="00A140EB">
      <w:pPr>
        <w:rPr>
          <w:szCs w:val="24"/>
        </w:rPr>
      </w:pPr>
      <w:r>
        <w:rPr>
          <w:szCs w:val="24"/>
        </w:rPr>
        <w:t>c)</w:t>
      </w:r>
      <w:r>
        <w:rPr>
          <w:szCs w:val="24"/>
        </w:rPr>
        <w:tab/>
        <w:t>WTSA Resolution 52 (Dubai, 2012), on Countering and combating spam;</w:t>
      </w:r>
    </w:p>
    <w:p w:rsidR="004D3761" w:rsidRDefault="004D3761" w:rsidP="00A140EB">
      <w:pPr>
        <w:rPr>
          <w:szCs w:val="24"/>
        </w:rPr>
      </w:pPr>
      <w:r>
        <w:rPr>
          <w:szCs w:val="24"/>
        </w:rPr>
        <w:t>d)</w:t>
      </w:r>
      <w:r>
        <w:rPr>
          <w:szCs w:val="24"/>
        </w:rPr>
        <w:tab/>
        <w:t xml:space="preserve">WTDC Resolution 69 (Rev. Dubai, 2014), on Facilitating creation of national computer incident response teams, </w:t>
      </w:r>
      <w:proofErr w:type="spellStart"/>
      <w:r>
        <w:rPr>
          <w:szCs w:val="24"/>
        </w:rPr>
        <w:t>particlualrly</w:t>
      </w:r>
      <w:proofErr w:type="spellEnd"/>
      <w:r>
        <w:rPr>
          <w:szCs w:val="24"/>
        </w:rPr>
        <w:t xml:space="preserve"> for developing countries, and cooperation </w:t>
      </w:r>
      <w:proofErr w:type="spellStart"/>
      <w:r>
        <w:rPr>
          <w:szCs w:val="24"/>
        </w:rPr>
        <w:t>betwen</w:t>
      </w:r>
      <w:proofErr w:type="spellEnd"/>
      <w:r>
        <w:rPr>
          <w:szCs w:val="24"/>
        </w:rPr>
        <w:t xml:space="preserve"> them;</w:t>
      </w:r>
    </w:p>
    <w:p w:rsidR="004D3761" w:rsidRDefault="004D3761" w:rsidP="00A140EB">
      <w:pPr>
        <w:rPr>
          <w:szCs w:val="24"/>
        </w:rPr>
      </w:pPr>
      <w:r>
        <w:rPr>
          <w:szCs w:val="24"/>
        </w:rPr>
        <w:t>e)</w:t>
      </w:r>
      <w:r>
        <w:rPr>
          <w:szCs w:val="24"/>
        </w:rPr>
        <w:tab/>
        <w:t>Resolution 130 (Rev. Busan, 2014), on Strengthening the role of ITU in building confidence and security in the use of information and communication technologies;</w:t>
      </w:r>
    </w:p>
    <w:p w:rsidR="004D3761" w:rsidRDefault="004D3761" w:rsidP="004D3761">
      <w:pPr>
        <w:pStyle w:val="Call"/>
      </w:pPr>
      <w:r>
        <w:t>recognizing</w:t>
      </w:r>
    </w:p>
    <w:p w:rsidR="004D3761" w:rsidRDefault="004D3761" w:rsidP="00A140EB">
      <w:pPr>
        <w:rPr>
          <w:szCs w:val="24"/>
        </w:rPr>
      </w:pPr>
      <w:r>
        <w:rPr>
          <w:szCs w:val="24"/>
        </w:rPr>
        <w:t>a)</w:t>
      </w:r>
      <w:r>
        <w:rPr>
          <w:szCs w:val="24"/>
        </w:rPr>
        <w:tab/>
        <w:t>Dubai Action Plan No. 4: Strengthening cybersecurity seen as a global challenge;</w:t>
      </w:r>
    </w:p>
    <w:p w:rsidR="004D3761" w:rsidRDefault="004D3761" w:rsidP="00A140EB">
      <w:pPr>
        <w:rPr>
          <w:szCs w:val="24"/>
        </w:rPr>
      </w:pPr>
      <w:r>
        <w:rPr>
          <w:szCs w:val="24"/>
        </w:rPr>
        <w:t>b)</w:t>
      </w:r>
      <w:r>
        <w:rPr>
          <w:szCs w:val="24"/>
        </w:rPr>
        <w:tab/>
        <w:t>Draft Buenos Aires Action Plan 2018-2021, Section 2, Objective 2, Output 2.2, 2, Programme: Cybersecurity;</w:t>
      </w:r>
    </w:p>
    <w:p w:rsidR="004D3761" w:rsidRDefault="004D3761" w:rsidP="004D3761">
      <w:pPr>
        <w:pStyle w:val="Call"/>
      </w:pPr>
      <w:r>
        <w:t>noting</w:t>
      </w:r>
    </w:p>
    <w:p w:rsidR="004D3761" w:rsidRDefault="004D3761" w:rsidP="00A140EB">
      <w:pPr>
        <w:rPr>
          <w:szCs w:val="24"/>
        </w:rPr>
      </w:pPr>
      <w:r>
        <w:rPr>
          <w:szCs w:val="24"/>
        </w:rPr>
        <w:t>a)</w:t>
      </w:r>
      <w:r>
        <w:rPr>
          <w:szCs w:val="24"/>
        </w:rPr>
        <w:tab/>
        <w:t>Asia Pacific Regional Initiatives number 3: harnessing the benefits of new technologies,</w:t>
      </w:r>
    </w:p>
    <w:p w:rsidR="004D3761" w:rsidRDefault="004D3761" w:rsidP="004D3761">
      <w:pPr>
        <w:pStyle w:val="Call"/>
      </w:pPr>
      <w:r>
        <w:t>resolves to instruct the Director of the Telecommunication Development Bureau</w:t>
      </w:r>
    </w:p>
    <w:p w:rsidR="004D3761" w:rsidRDefault="004D3761" w:rsidP="00A140EB">
      <w:pPr>
        <w:rPr>
          <w:szCs w:val="24"/>
        </w:rPr>
      </w:pPr>
      <w:r>
        <w:rPr>
          <w:szCs w:val="24"/>
        </w:rPr>
        <w:t>1</w:t>
      </w:r>
      <w:r>
        <w:rPr>
          <w:szCs w:val="24"/>
        </w:rPr>
        <w:tab/>
        <w:t>to support and provide ITU Member States with programs and activities (workshops, seminars, or trainings) aimed at particularly building the capacity of policy makers  and experts in cybersecurity strategy planning, policy and leadership;</w:t>
      </w:r>
    </w:p>
    <w:p w:rsidR="004D3761" w:rsidRDefault="004D3761" w:rsidP="00A140EB">
      <w:pPr>
        <w:rPr>
          <w:szCs w:val="24"/>
        </w:rPr>
      </w:pPr>
      <w:r>
        <w:rPr>
          <w:szCs w:val="24"/>
        </w:rPr>
        <w:t>2</w:t>
      </w:r>
      <w:r>
        <w:rPr>
          <w:szCs w:val="24"/>
        </w:rPr>
        <w:tab/>
        <w:t>to provide crucial support for these cybersecurity programs and activities, in cooperation with global organizations, donors, sponsors and or Member States;</w:t>
      </w:r>
    </w:p>
    <w:p w:rsidR="004D3761" w:rsidRDefault="004D3761" w:rsidP="00A140EB">
      <w:pPr>
        <w:rPr>
          <w:szCs w:val="24"/>
        </w:rPr>
      </w:pPr>
      <w:r>
        <w:rPr>
          <w:szCs w:val="24"/>
        </w:rPr>
        <w:t>3</w:t>
      </w:r>
      <w:r>
        <w:rPr>
          <w:szCs w:val="24"/>
        </w:rPr>
        <w:tab/>
        <w:t>upon request of Member States, to dispatch relevant expert(s) to assist in establishing and or evaluating said cyber security strategic planning and policy;</w:t>
      </w:r>
    </w:p>
    <w:p w:rsidR="004D3761" w:rsidRDefault="004D3761" w:rsidP="00A140EB">
      <w:pPr>
        <w:rPr>
          <w:szCs w:val="24"/>
        </w:rPr>
      </w:pPr>
      <w:r>
        <w:rPr>
          <w:szCs w:val="24"/>
        </w:rPr>
        <w:t>4</w:t>
      </w:r>
      <w:r>
        <w:rPr>
          <w:szCs w:val="24"/>
        </w:rPr>
        <w:tab/>
        <w:t>to provide proper monitoring and evaluation mechanism for the implementation of these programs and activities, and follow up for any further studies, programs and activities which would particularly sustain and enhance capacity building of policy makers and or experts in the field of cybersecurity.</w:t>
      </w:r>
    </w:p>
    <w:p w:rsidR="004D3761" w:rsidRDefault="004D3761" w:rsidP="004D3761">
      <w:pPr>
        <w:spacing w:before="480"/>
        <w:rPr>
          <w:b/>
          <w:bCs/>
          <w:szCs w:val="24"/>
        </w:rPr>
      </w:pPr>
    </w:p>
    <w:p w:rsidR="004D3761" w:rsidRPr="004D3761" w:rsidRDefault="004D3761" w:rsidP="004D3761">
      <w:pPr>
        <w:spacing w:before="480"/>
        <w:rPr>
          <w:b/>
          <w:bCs/>
          <w:szCs w:val="24"/>
        </w:rPr>
      </w:pPr>
      <w:r w:rsidRPr="004D3761">
        <w:rPr>
          <w:b/>
          <w:bCs/>
          <w:szCs w:val="24"/>
        </w:rPr>
        <w:lastRenderedPageBreak/>
        <w:t>Reasons:</w:t>
      </w:r>
    </w:p>
    <w:p w:rsidR="004D3761" w:rsidRDefault="004D3761" w:rsidP="00A140EB">
      <w:pPr>
        <w:rPr>
          <w:szCs w:val="24"/>
        </w:rPr>
      </w:pPr>
      <w:r>
        <w:rPr>
          <w:szCs w:val="24"/>
        </w:rPr>
        <w:t xml:space="preserve">Indonesia views that there have been many capacity building trainings/seminars/workshops provided by ITU on ICTs, yet none have been given in the field of national cyber security strategy planning, policy and leadership. Furthermore, ITU has also established a National Cyber Security Strategy Guide (2011) which is planned to be updated in 2016. Indonesia seeks ITU to disseminate this updated guide, and provide capacity building programs/activities on national cybersecurity strategy, in particular its planning, policy, and leadership aspects. </w:t>
      </w:r>
    </w:p>
    <w:p w:rsidR="004D3761" w:rsidRDefault="004D3761" w:rsidP="00A140EB">
      <w:pPr>
        <w:rPr>
          <w:szCs w:val="24"/>
        </w:rPr>
      </w:pPr>
      <w:r>
        <w:rPr>
          <w:szCs w:val="24"/>
        </w:rPr>
        <w:t>Indonesia proposes such Resolution to build the capacity of senior officials in formulating and implementing long term cyber security strategy and specific topics and areas which include:</w:t>
      </w:r>
    </w:p>
    <w:p w:rsidR="004D3761" w:rsidRDefault="004D3761" w:rsidP="00A140EB">
      <w:pPr>
        <w:rPr>
          <w:szCs w:val="24"/>
        </w:rPr>
      </w:pPr>
      <w:r>
        <w:rPr>
          <w:szCs w:val="24"/>
        </w:rPr>
        <w:t>1.</w:t>
      </w:r>
      <w:r>
        <w:rPr>
          <w:szCs w:val="24"/>
        </w:rPr>
        <w:tab/>
        <w:t>How to Develop Strategic Plans that resonate with other IT and business leaders</w:t>
      </w:r>
    </w:p>
    <w:p w:rsidR="004D3761" w:rsidRDefault="004D3761" w:rsidP="00A140EB">
      <w:pPr>
        <w:rPr>
          <w:szCs w:val="24"/>
        </w:rPr>
      </w:pPr>
      <w:r>
        <w:rPr>
          <w:szCs w:val="24"/>
        </w:rPr>
        <w:t>2.</w:t>
      </w:r>
      <w:r>
        <w:rPr>
          <w:szCs w:val="24"/>
        </w:rPr>
        <w:tab/>
        <w:t>Create Effective Cybersecurity Policy: break down the steps towards policy development and building the ability to design and assess policies that can successfully guide the public sector organization</w:t>
      </w:r>
    </w:p>
    <w:p w:rsidR="004D3761" w:rsidRDefault="004D3761" w:rsidP="00A140EB">
      <w:pPr>
        <w:rPr>
          <w:szCs w:val="24"/>
        </w:rPr>
      </w:pPr>
      <w:r>
        <w:rPr>
          <w:szCs w:val="24"/>
        </w:rPr>
        <w:t>3.</w:t>
      </w:r>
      <w:r>
        <w:rPr>
          <w:szCs w:val="24"/>
        </w:rPr>
        <w:tab/>
        <w:t>Develop Management and Leadership Skills: management tools and frameworks to better lead, inspire, and motivate the teams</w:t>
      </w:r>
    </w:p>
    <w:p w:rsidR="004D3761" w:rsidRDefault="004D3761" w:rsidP="00A140EB">
      <w:pPr>
        <w:rPr>
          <w:szCs w:val="24"/>
        </w:rPr>
      </w:pPr>
      <w:r>
        <w:rPr>
          <w:szCs w:val="24"/>
        </w:rPr>
        <w:t>4.</w:t>
      </w:r>
      <w:r>
        <w:rPr>
          <w:szCs w:val="24"/>
        </w:rPr>
        <w:tab/>
        <w:t>Gaining insight from ITU Cybersecurity guide approaches to cybersecurity policy including but not limited to subjects of: cybersecurity, and cyber resilience</w:t>
      </w:r>
    </w:p>
    <w:p w:rsidR="004D3761" w:rsidRDefault="004D3761" w:rsidP="00A140EB">
      <w:pPr>
        <w:rPr>
          <w:szCs w:val="24"/>
        </w:rPr>
      </w:pPr>
      <w:r>
        <w:rPr>
          <w:szCs w:val="24"/>
        </w:rPr>
        <w:t>5.</w:t>
      </w:r>
      <w:r>
        <w:rPr>
          <w:szCs w:val="24"/>
        </w:rPr>
        <w:tab/>
        <w:t>Case studies from various critical sectors</w:t>
      </w:r>
    </w:p>
    <w:p w:rsidR="004D3761" w:rsidRDefault="004D3761" w:rsidP="00A140EB">
      <w:pPr>
        <w:rPr>
          <w:szCs w:val="24"/>
        </w:rPr>
      </w:pPr>
      <w:r>
        <w:rPr>
          <w:szCs w:val="24"/>
        </w:rPr>
        <w:t>6.</w:t>
      </w:r>
      <w:r>
        <w:rPr>
          <w:szCs w:val="24"/>
        </w:rPr>
        <w:tab/>
        <w:t xml:space="preserve">Develop a guideline on cyber norms, rules, and principles for the responsible </w:t>
      </w:r>
      <w:proofErr w:type="spellStart"/>
      <w:r>
        <w:rPr>
          <w:szCs w:val="24"/>
        </w:rPr>
        <w:t>behavior</w:t>
      </w:r>
      <w:proofErr w:type="spellEnd"/>
      <w:r>
        <w:rPr>
          <w:szCs w:val="24"/>
        </w:rPr>
        <w:t xml:space="preserve"> of States.</w:t>
      </w:r>
    </w:p>
    <w:p w:rsidR="004D3761" w:rsidRDefault="004D3761" w:rsidP="00A140EB">
      <w:pPr>
        <w:rPr>
          <w:szCs w:val="24"/>
        </w:rPr>
      </w:pPr>
      <w:r>
        <w:rPr>
          <w:szCs w:val="24"/>
        </w:rPr>
        <w:t>Therefore, Indonesia seeks to propose this Resolution for capacity building assistance for Member States in the field mentioned above, and hopes that this draft Resolution could be accepted.</w:t>
      </w:r>
    </w:p>
    <w:p w:rsidR="0070796E" w:rsidRPr="00C04537" w:rsidRDefault="00A15370" w:rsidP="00A15370">
      <w:pPr>
        <w:jc w:val="center"/>
        <w:rPr>
          <w:szCs w:val="24"/>
        </w:rPr>
      </w:pPr>
      <w:r>
        <w:rPr>
          <w:szCs w:val="24"/>
        </w:rPr>
        <w:t>_________________</w:t>
      </w:r>
    </w:p>
    <w:sectPr w:rsidR="0070796E" w:rsidRPr="00C04537">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761" w:rsidRDefault="004D3761">
      <w:r>
        <w:separator/>
      </w:r>
    </w:p>
  </w:endnote>
  <w:endnote w:type="continuationSeparator" w:id="0">
    <w:p w:rsidR="004D3761" w:rsidRDefault="004D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4D3761" w:rsidP="004D495C">
          <w:pPr>
            <w:pStyle w:val="FirstFooter"/>
            <w:tabs>
              <w:tab w:val="left" w:pos="2302"/>
            </w:tabs>
            <w:ind w:left="2302" w:hanging="2302"/>
            <w:rPr>
              <w:sz w:val="18"/>
              <w:szCs w:val="18"/>
              <w:lang w:val="en-US"/>
            </w:rPr>
          </w:pPr>
          <w:bookmarkStart w:id="16" w:name="OrgName"/>
          <w:bookmarkEnd w:id="16"/>
          <w:r>
            <w:rPr>
              <w:sz w:val="18"/>
              <w:szCs w:val="18"/>
              <w:lang w:val="en-US"/>
            </w:rPr>
            <w:t xml:space="preserve">Ms. </w:t>
          </w:r>
          <w:proofErr w:type="spellStart"/>
          <w:r>
            <w:rPr>
              <w:sz w:val="18"/>
              <w:szCs w:val="18"/>
              <w:lang w:val="en-US"/>
            </w:rPr>
            <w:t>Intan</w:t>
          </w:r>
          <w:proofErr w:type="spellEnd"/>
          <w:r>
            <w:rPr>
              <w:sz w:val="18"/>
              <w:szCs w:val="18"/>
              <w:lang w:val="en-US"/>
            </w:rPr>
            <w:t xml:space="preserve"> </w:t>
          </w:r>
          <w:proofErr w:type="spellStart"/>
          <w:r>
            <w:rPr>
              <w:sz w:val="18"/>
              <w:szCs w:val="18"/>
              <w:lang w:val="en-US"/>
            </w:rPr>
            <w:t>Rahayu</w:t>
          </w:r>
          <w:proofErr w:type="spellEnd"/>
          <w:r>
            <w:rPr>
              <w:sz w:val="18"/>
              <w:szCs w:val="18"/>
              <w:lang w:val="en-US"/>
            </w:rPr>
            <w:t xml:space="preserve"> , Delegation of Indonesia, Indonesia</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4D3761" w:rsidP="004D3761">
          <w:pPr>
            <w:pStyle w:val="FirstFooter"/>
            <w:tabs>
              <w:tab w:val="left" w:pos="2302"/>
            </w:tabs>
            <w:rPr>
              <w:sz w:val="18"/>
              <w:szCs w:val="18"/>
              <w:lang w:val="en-US"/>
            </w:rPr>
          </w:pPr>
          <w:bookmarkStart w:id="17" w:name="PhoneNo"/>
          <w:bookmarkEnd w:id="17"/>
          <w:r>
            <w:rPr>
              <w:sz w:val="18"/>
              <w:szCs w:val="18"/>
              <w:lang w:val="en-US"/>
            </w:rPr>
            <w:t>+62 213845786</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18" w:name="Email"/>
      <w:bookmarkEnd w:id="18"/>
      <w:tc>
        <w:tcPr>
          <w:tcW w:w="5919" w:type="dxa"/>
          <w:shd w:val="clear" w:color="auto" w:fill="auto"/>
        </w:tcPr>
        <w:p w:rsidR="00C04537" w:rsidRPr="00103886" w:rsidRDefault="004D3761"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"mailto:intan.rahayu@kominfo.go.id" </w:instrText>
          </w:r>
          <w:r>
            <w:rPr>
              <w:sz w:val="18"/>
              <w:szCs w:val="18"/>
              <w:lang w:val="en-US"/>
            </w:rPr>
            <w:fldChar w:fldCharType="separate"/>
          </w:r>
          <w:r w:rsidRPr="00F14AD9">
            <w:rPr>
              <w:rStyle w:val="Hyperlink"/>
              <w:sz w:val="18"/>
              <w:szCs w:val="18"/>
              <w:lang w:val="en-US"/>
            </w:rPr>
            <w:t>intan.rahayu@kominfo.go.id</w:t>
          </w:r>
          <w:r>
            <w:rPr>
              <w:sz w:val="18"/>
              <w:szCs w:val="18"/>
              <w:lang w:val="en-US"/>
            </w:rPr>
            <w:fldChar w:fldCharType="end"/>
          </w:r>
          <w:r>
            <w:rPr>
              <w:sz w:val="18"/>
              <w:szCs w:val="18"/>
              <w:lang w:val="en-US"/>
            </w:rPr>
            <w:t xml:space="preserve"> </w:t>
          </w:r>
        </w:p>
      </w:tc>
    </w:tr>
  </w:tbl>
  <w:bookmarkStart w:id="19" w:name="URL"/>
  <w:bookmarkEnd w:id="19"/>
  <w:p w:rsidR="00C04537" w:rsidRPr="006F4EA2" w:rsidRDefault="004D3761" w:rsidP="009F7404">
    <w:pPr>
      <w:jc w:val="center"/>
      <w:rPr>
        <w:sz w:val="18"/>
        <w:szCs w:val="18"/>
        <w:lang w:val="en-US"/>
      </w:rPr>
    </w:pPr>
    <w:r>
      <w:fldChar w:fldCharType="begin"/>
    </w:r>
    <w:r>
      <w:instrText xml:space="preserve"> HYPERLINK "http://www.itu.int/go/en/wtdc17rpm" </w:instrText>
    </w:r>
    <w:r>
      <w:fldChar w:fldCharType="separate"/>
    </w:r>
    <w:r w:rsidRPr="00784E03">
      <w:rPr>
        <w:rStyle w:val="Hyperlink"/>
        <w:sz w:val="20"/>
      </w:rPr>
      <w:t>http://www.itu.int/go/en/wtdc17rpm</w:t>
    </w:r>
    <w:r>
      <w:rPr>
        <w:rStyle w:val="Hyperlink"/>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761" w:rsidRDefault="004D3761">
      <w:r>
        <w:separator/>
      </w:r>
    </w:p>
  </w:footnote>
  <w:footnote w:type="continuationSeparator" w:id="0">
    <w:p w:rsidR="004D3761" w:rsidRDefault="004D3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4D3761" w:rsidRDefault="00C04537" w:rsidP="004D3761">
    <w:pPr>
      <w:tabs>
        <w:tab w:val="clear" w:pos="794"/>
        <w:tab w:val="clear" w:pos="1191"/>
        <w:tab w:val="clear" w:pos="1588"/>
        <w:tab w:val="clear" w:pos="1985"/>
        <w:tab w:val="center" w:pos="5103"/>
        <w:tab w:val="right" w:pos="10206"/>
      </w:tabs>
      <w:spacing w:before="0" w:after="240"/>
      <w:rPr>
        <w:smallCaps/>
        <w:spacing w:val="24"/>
        <w:sz w:val="22"/>
        <w:szCs w:val="22"/>
        <w:lang w:val="es-ES_tradnl"/>
      </w:rPr>
    </w:pPr>
    <w:r w:rsidRPr="004D495C">
      <w:rPr>
        <w:sz w:val="22"/>
        <w:szCs w:val="22"/>
      </w:rPr>
      <w:tab/>
    </w:r>
    <w:r w:rsidRPr="004D3761">
      <w:rPr>
        <w:sz w:val="22"/>
        <w:szCs w:val="22"/>
        <w:lang w:val="es-ES_tradnl"/>
      </w:rPr>
      <w:t>ITU-D/</w:t>
    </w:r>
    <w:bookmarkStart w:id="14" w:name="DocRef2"/>
    <w:bookmarkEnd w:id="14"/>
    <w:r w:rsidR="004D3761" w:rsidRPr="004D3761">
      <w:rPr>
        <w:sz w:val="22"/>
        <w:szCs w:val="22"/>
        <w:lang w:val="es-ES_tradnl"/>
      </w:rPr>
      <w:t>RPM-ASP17</w:t>
    </w:r>
    <w:r w:rsidRPr="004D3761">
      <w:rPr>
        <w:sz w:val="22"/>
        <w:szCs w:val="22"/>
        <w:lang w:val="es-ES_tradnl"/>
      </w:rPr>
      <w:t>/</w:t>
    </w:r>
    <w:bookmarkStart w:id="15" w:name="DocNo2"/>
    <w:bookmarkEnd w:id="15"/>
    <w:r w:rsidR="004D3761" w:rsidRPr="004D3761">
      <w:rPr>
        <w:sz w:val="22"/>
        <w:szCs w:val="22"/>
        <w:lang w:val="es-ES_tradnl"/>
      </w:rPr>
      <w:t>17-E</w:t>
    </w:r>
    <w:r w:rsidRPr="004D3761">
      <w:rPr>
        <w:sz w:val="22"/>
        <w:szCs w:val="22"/>
        <w:lang w:val="es-ES_tradnl"/>
      </w:rPr>
      <w:tab/>
      <w:t xml:space="preserve">Page </w:t>
    </w:r>
    <w:r w:rsidRPr="004D495C">
      <w:rPr>
        <w:sz w:val="22"/>
        <w:szCs w:val="22"/>
      </w:rPr>
      <w:fldChar w:fldCharType="begin"/>
    </w:r>
    <w:r w:rsidRPr="004D3761">
      <w:rPr>
        <w:sz w:val="22"/>
        <w:szCs w:val="22"/>
        <w:lang w:val="es-ES_tradnl"/>
      </w:rPr>
      <w:instrText xml:space="preserve"> PAGE </w:instrText>
    </w:r>
    <w:r w:rsidRPr="004D495C">
      <w:rPr>
        <w:sz w:val="22"/>
        <w:szCs w:val="22"/>
      </w:rPr>
      <w:fldChar w:fldCharType="separate"/>
    </w:r>
    <w:r w:rsidR="008B05DD">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761"/>
    <w:rsid w:val="00003125"/>
    <w:rsid w:val="00005245"/>
    <w:rsid w:val="00006684"/>
    <w:rsid w:val="00017BEC"/>
    <w:rsid w:val="00017E7D"/>
    <w:rsid w:val="00017E82"/>
    <w:rsid w:val="00021A72"/>
    <w:rsid w:val="000221F5"/>
    <w:rsid w:val="00022BFD"/>
    <w:rsid w:val="00032DD2"/>
    <w:rsid w:val="000370A8"/>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761"/>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C0E12"/>
    <w:rsid w:val="006C3164"/>
    <w:rsid w:val="006C7A7B"/>
    <w:rsid w:val="006D0B95"/>
    <w:rsid w:val="006F1CE9"/>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B05D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15370"/>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2EF7DB8-1837-4E79-838B-876F7283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97EA5-708D-4A1E-AA5E-8DC4ED76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RPM-WebContribution-en.dotm</Template>
  <TotalTime>13</TotalTime>
  <Pages>3</Pages>
  <Words>669</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 DocsControl</dc:creator>
  <cp:keywords/>
  <cp:lastModifiedBy>Dion, Brigitte</cp:lastModifiedBy>
  <cp:revision>2</cp:revision>
  <cp:lastPrinted>2009-02-13T19:37:00Z</cp:lastPrinted>
  <dcterms:created xsi:type="dcterms:W3CDTF">2017-03-03T13:01:00Z</dcterms:created>
  <dcterms:modified xsi:type="dcterms:W3CDTF">2017-03-03T21:30:00Z</dcterms:modified>
</cp:coreProperties>
</file>