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83BF5" w:rsidRPr="00D80402">
        <w:trPr>
          <w:cantSplit/>
        </w:trPr>
        <w:tc>
          <w:tcPr>
            <w:tcW w:w="6911" w:type="dxa"/>
          </w:tcPr>
          <w:p w:rsidR="00D83BF5" w:rsidRPr="0038661F" w:rsidRDefault="00D83BF5" w:rsidP="0038661F">
            <w:pPr>
              <w:spacing w:before="180"/>
              <w:rPr>
                <w:b/>
                <w:bCs/>
                <w:color w:val="000000" w:themeColor="text1"/>
                <w:sz w:val="28"/>
                <w:szCs w:val="28"/>
              </w:rPr>
            </w:pPr>
            <w:r w:rsidRPr="0038661F">
              <w:rPr>
                <w:b/>
                <w:bCs/>
                <w:color w:val="000000" w:themeColor="text1"/>
                <w:sz w:val="28"/>
                <w:szCs w:val="28"/>
              </w:rPr>
              <w:t xml:space="preserve">Regional Preparatory Meeting </w:t>
            </w:r>
            <w:r w:rsidRPr="0038661F">
              <w:rPr>
                <w:b/>
                <w:bCs/>
                <w:color w:val="000000" w:themeColor="text1"/>
                <w:sz w:val="28"/>
                <w:szCs w:val="28"/>
              </w:rPr>
              <w:br/>
              <w:t xml:space="preserve">for WTDC-17 for </w:t>
            </w:r>
            <w:r w:rsidR="0038661F">
              <w:rPr>
                <w:b/>
                <w:bCs/>
                <w:sz w:val="32"/>
                <w:szCs w:val="32"/>
              </w:rPr>
              <w:t xml:space="preserve"> Arab Region </w:t>
            </w:r>
            <w:r w:rsidRPr="0038661F">
              <w:rPr>
                <w:b/>
                <w:bCs/>
                <w:color w:val="000000" w:themeColor="text1"/>
                <w:sz w:val="28"/>
                <w:szCs w:val="28"/>
              </w:rPr>
              <w:t>(RPM-</w:t>
            </w:r>
            <w:r w:rsidR="0038661F">
              <w:rPr>
                <w:b/>
                <w:bCs/>
                <w:color w:val="000000" w:themeColor="text1"/>
                <w:sz w:val="28"/>
                <w:szCs w:val="28"/>
              </w:rPr>
              <w:t>ARAB</w:t>
            </w:r>
            <w:r w:rsidRPr="0038661F">
              <w:rPr>
                <w:b/>
                <w:bCs/>
                <w:color w:val="000000" w:themeColor="text1"/>
                <w:sz w:val="28"/>
                <w:szCs w:val="28"/>
              </w:rPr>
              <w:t>)</w:t>
            </w:r>
          </w:p>
        </w:tc>
        <w:tc>
          <w:tcPr>
            <w:tcW w:w="3120" w:type="dxa"/>
          </w:tcPr>
          <w:p w:rsidR="00D83BF5" w:rsidRPr="00D80402" w:rsidRDefault="00D83BF5" w:rsidP="00D83BF5">
            <w:pPr>
              <w:spacing w:before="0" w:line="240" w:lineRule="atLeast"/>
              <w:jc w:val="right"/>
              <w:rPr>
                <w:rFonts w:cstheme="minorHAnsi"/>
              </w:rPr>
            </w:pPr>
            <w:bookmarkStart w:id="0" w:name="ditulogo"/>
            <w:bookmarkEnd w:id="0"/>
            <w:r w:rsidRPr="00D80402">
              <w:rPr>
                <w:noProof/>
                <w:lang w:eastAsia="zh-CN"/>
              </w:rPr>
              <w:drawing>
                <wp:inline distT="0" distB="0" distL="0" distR="0">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D83BF5" w:rsidRPr="00D80402">
        <w:trPr>
          <w:cantSplit/>
        </w:trPr>
        <w:tc>
          <w:tcPr>
            <w:tcW w:w="6911" w:type="dxa"/>
            <w:tcBorders>
              <w:bottom w:val="single" w:sz="12" w:space="0" w:color="auto"/>
            </w:tcBorders>
          </w:tcPr>
          <w:p w:rsidR="00D83BF5" w:rsidRPr="00D80402" w:rsidRDefault="00527C2F" w:rsidP="007658FE">
            <w:pPr>
              <w:spacing w:before="0" w:after="48" w:line="240" w:lineRule="atLeast"/>
              <w:rPr>
                <w:rFonts w:cstheme="minorHAnsi"/>
                <w:b/>
                <w:smallCaps/>
                <w:szCs w:val="24"/>
              </w:rPr>
            </w:pPr>
            <w:bookmarkStart w:id="1" w:name="dhead"/>
            <w:r>
              <w:rPr>
                <w:b/>
                <w:bCs/>
                <w:sz w:val="26"/>
                <w:szCs w:val="26"/>
              </w:rPr>
              <w:t>Khartoum, Sudan, 30 January – 1 February 2017</w:t>
            </w:r>
          </w:p>
        </w:tc>
        <w:tc>
          <w:tcPr>
            <w:tcW w:w="3120" w:type="dxa"/>
            <w:tcBorders>
              <w:bottom w:val="single" w:sz="12" w:space="0" w:color="auto"/>
            </w:tcBorders>
          </w:tcPr>
          <w:p w:rsidR="00D83BF5" w:rsidRPr="00D80402" w:rsidRDefault="00D83BF5" w:rsidP="00D83BF5">
            <w:pPr>
              <w:spacing w:before="0" w:line="240" w:lineRule="atLeast"/>
              <w:rPr>
                <w:rFonts w:cstheme="minorHAnsi"/>
                <w:szCs w:val="24"/>
              </w:rPr>
            </w:pPr>
          </w:p>
        </w:tc>
      </w:tr>
      <w:tr w:rsidR="00D83BF5" w:rsidRPr="00D80402">
        <w:trPr>
          <w:cantSplit/>
        </w:trPr>
        <w:tc>
          <w:tcPr>
            <w:tcW w:w="6911" w:type="dxa"/>
            <w:tcBorders>
              <w:top w:val="single" w:sz="12" w:space="0" w:color="auto"/>
            </w:tcBorders>
          </w:tcPr>
          <w:p w:rsidR="00D83BF5" w:rsidRPr="00D80402" w:rsidRDefault="00D83BF5" w:rsidP="00D83BF5">
            <w:pPr>
              <w:spacing w:before="0" w:after="48" w:line="240" w:lineRule="atLeast"/>
              <w:rPr>
                <w:rFonts w:cstheme="minorHAnsi"/>
                <w:b/>
                <w:smallCaps/>
                <w:sz w:val="20"/>
              </w:rPr>
            </w:pPr>
          </w:p>
        </w:tc>
        <w:tc>
          <w:tcPr>
            <w:tcW w:w="3120" w:type="dxa"/>
            <w:tcBorders>
              <w:top w:val="single" w:sz="12" w:space="0" w:color="auto"/>
            </w:tcBorders>
          </w:tcPr>
          <w:p w:rsidR="00D83BF5" w:rsidRPr="00D80402" w:rsidRDefault="00D83BF5" w:rsidP="00D83BF5">
            <w:pPr>
              <w:spacing w:before="0" w:line="240" w:lineRule="atLeast"/>
              <w:rPr>
                <w:rFonts w:cstheme="minorHAnsi"/>
                <w:sz w:val="20"/>
              </w:rPr>
            </w:pPr>
          </w:p>
        </w:tc>
      </w:tr>
      <w:tr w:rsidR="00D83BF5" w:rsidRPr="00D80402">
        <w:trPr>
          <w:cantSplit/>
          <w:trHeight w:val="23"/>
        </w:trPr>
        <w:tc>
          <w:tcPr>
            <w:tcW w:w="6911" w:type="dxa"/>
            <w:shd w:val="clear" w:color="auto" w:fill="auto"/>
          </w:tcPr>
          <w:p w:rsidR="00D83BF5" w:rsidRPr="00D80402" w:rsidRDefault="00D83BF5" w:rsidP="00D83BF5">
            <w:pPr>
              <w:pStyle w:val="Committee"/>
              <w:framePr w:hSpace="0" w:wrap="auto" w:hAnchor="text" w:yAlign="inline"/>
            </w:pPr>
            <w:bookmarkStart w:id="2" w:name="dnum" w:colFirst="1" w:colLast="1"/>
            <w:bookmarkStart w:id="3" w:name="dmeeting" w:colFirst="0" w:colLast="0"/>
            <w:bookmarkEnd w:id="1"/>
          </w:p>
        </w:tc>
        <w:tc>
          <w:tcPr>
            <w:tcW w:w="3120" w:type="dxa"/>
          </w:tcPr>
          <w:p w:rsidR="00D83BF5" w:rsidRPr="00D80402" w:rsidRDefault="00D83BF5" w:rsidP="00EB4CAF">
            <w:pPr>
              <w:tabs>
                <w:tab w:val="left" w:pos="851"/>
              </w:tabs>
              <w:spacing w:before="0" w:line="240" w:lineRule="atLeast"/>
              <w:rPr>
                <w:rFonts w:cstheme="minorHAnsi"/>
                <w:szCs w:val="24"/>
              </w:rPr>
            </w:pPr>
            <w:r w:rsidRPr="00D80402">
              <w:rPr>
                <w:b/>
                <w:bCs/>
                <w:szCs w:val="24"/>
              </w:rPr>
              <w:t xml:space="preserve">Document </w:t>
            </w:r>
            <w:bookmarkStart w:id="4" w:name="DocRef1"/>
            <w:bookmarkEnd w:id="4"/>
            <w:r w:rsidRPr="0038661F">
              <w:rPr>
                <w:b/>
                <w:bCs/>
                <w:szCs w:val="24"/>
              </w:rPr>
              <w:t>RPM-</w:t>
            </w:r>
            <w:r w:rsidR="00527C2F">
              <w:rPr>
                <w:b/>
                <w:bCs/>
                <w:szCs w:val="24"/>
              </w:rPr>
              <w:t>ARB17/26-E</w:t>
            </w:r>
          </w:p>
        </w:tc>
      </w:tr>
      <w:tr w:rsidR="00D83BF5" w:rsidRPr="00D80402">
        <w:trPr>
          <w:cantSplit/>
          <w:trHeight w:val="23"/>
        </w:trPr>
        <w:tc>
          <w:tcPr>
            <w:tcW w:w="6911" w:type="dxa"/>
            <w:shd w:val="clear" w:color="auto" w:fill="auto"/>
          </w:tcPr>
          <w:p w:rsidR="00D83BF5" w:rsidRPr="00D80402" w:rsidRDefault="00D83BF5" w:rsidP="00D83BF5">
            <w:pPr>
              <w:tabs>
                <w:tab w:val="left" w:pos="851"/>
              </w:tabs>
              <w:spacing w:before="0" w:line="240" w:lineRule="atLeast"/>
              <w:rPr>
                <w:rFonts w:cstheme="minorHAnsi"/>
                <w:b/>
                <w:szCs w:val="24"/>
              </w:rPr>
            </w:pPr>
            <w:bookmarkStart w:id="5" w:name="ddate" w:colFirst="1" w:colLast="1"/>
            <w:bookmarkStart w:id="6" w:name="dblank" w:colFirst="0" w:colLast="0"/>
            <w:bookmarkEnd w:id="2"/>
            <w:bookmarkEnd w:id="3"/>
          </w:p>
        </w:tc>
        <w:tc>
          <w:tcPr>
            <w:tcW w:w="3120" w:type="dxa"/>
          </w:tcPr>
          <w:p w:rsidR="00D83BF5" w:rsidRPr="00D80402" w:rsidRDefault="00527C2F" w:rsidP="007658FE">
            <w:pPr>
              <w:spacing w:before="0" w:line="240" w:lineRule="atLeast"/>
              <w:rPr>
                <w:rFonts w:cstheme="minorHAnsi"/>
                <w:szCs w:val="24"/>
              </w:rPr>
            </w:pPr>
            <w:r>
              <w:rPr>
                <w:b/>
                <w:bCs/>
                <w:szCs w:val="24"/>
              </w:rPr>
              <w:t>16 January</w:t>
            </w:r>
            <w:r w:rsidR="00EB4CAF" w:rsidRPr="00D80402">
              <w:rPr>
                <w:b/>
                <w:bCs/>
                <w:szCs w:val="24"/>
              </w:rPr>
              <w:t xml:space="preserve"> 201</w:t>
            </w:r>
            <w:r w:rsidR="007658FE">
              <w:rPr>
                <w:b/>
                <w:bCs/>
                <w:szCs w:val="24"/>
              </w:rPr>
              <w:t>7</w:t>
            </w:r>
          </w:p>
        </w:tc>
      </w:tr>
      <w:tr w:rsidR="00D83BF5" w:rsidRPr="00D80402">
        <w:trPr>
          <w:cantSplit/>
          <w:trHeight w:val="23"/>
        </w:trPr>
        <w:tc>
          <w:tcPr>
            <w:tcW w:w="6911" w:type="dxa"/>
            <w:shd w:val="clear" w:color="auto" w:fill="auto"/>
          </w:tcPr>
          <w:p w:rsidR="00D83BF5" w:rsidRPr="00D80402" w:rsidRDefault="00D83BF5" w:rsidP="00D83BF5">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20" w:type="dxa"/>
          </w:tcPr>
          <w:p w:rsidR="00D83BF5" w:rsidRPr="00D80402" w:rsidRDefault="00D83BF5" w:rsidP="00527C2F">
            <w:pPr>
              <w:tabs>
                <w:tab w:val="left" w:pos="993"/>
              </w:tabs>
              <w:spacing w:before="0"/>
              <w:rPr>
                <w:rFonts w:cstheme="minorHAnsi"/>
                <w:b/>
                <w:szCs w:val="24"/>
              </w:rPr>
            </w:pPr>
            <w:r w:rsidRPr="00D80402">
              <w:rPr>
                <w:b/>
                <w:bCs/>
                <w:szCs w:val="24"/>
              </w:rPr>
              <w:t xml:space="preserve">Original: </w:t>
            </w:r>
            <w:r w:rsidR="00527C2F">
              <w:rPr>
                <w:b/>
                <w:bCs/>
                <w:szCs w:val="24"/>
              </w:rPr>
              <w:t>English</w:t>
            </w:r>
          </w:p>
        </w:tc>
      </w:tr>
      <w:tr w:rsidR="00D83BF5" w:rsidRPr="00D80402" w:rsidTr="005D3F58">
        <w:trPr>
          <w:cantSplit/>
          <w:trHeight w:val="23"/>
        </w:trPr>
        <w:tc>
          <w:tcPr>
            <w:tcW w:w="10031" w:type="dxa"/>
            <w:gridSpan w:val="2"/>
            <w:shd w:val="clear" w:color="auto" w:fill="auto"/>
          </w:tcPr>
          <w:p w:rsidR="00D83BF5" w:rsidRPr="00D80402" w:rsidRDefault="00EB4CAF" w:rsidP="007658FE">
            <w:pPr>
              <w:pStyle w:val="Source"/>
            </w:pPr>
            <w:r w:rsidRPr="00D80402">
              <w:t xml:space="preserve">Republic of </w:t>
            </w:r>
            <w:r w:rsidR="00FE4291">
              <w:t xml:space="preserve">the </w:t>
            </w:r>
            <w:r w:rsidR="007658FE">
              <w:t>Sudan</w:t>
            </w:r>
          </w:p>
        </w:tc>
      </w:tr>
      <w:tr w:rsidR="00D83BF5" w:rsidRPr="00D80402" w:rsidTr="005D3F58">
        <w:trPr>
          <w:cantSplit/>
          <w:trHeight w:val="23"/>
        </w:trPr>
        <w:tc>
          <w:tcPr>
            <w:tcW w:w="10031" w:type="dxa"/>
            <w:gridSpan w:val="2"/>
            <w:shd w:val="clear" w:color="auto" w:fill="auto"/>
          </w:tcPr>
          <w:p w:rsidR="00D83BF5" w:rsidRPr="00D80402" w:rsidRDefault="00EB4CAF" w:rsidP="006325CB">
            <w:pPr>
              <w:pStyle w:val="Title1"/>
            </w:pPr>
            <w:r w:rsidRPr="0038661F">
              <w:t xml:space="preserve">INITIATIVE FOR THE COUNTRIES OF </w:t>
            </w:r>
            <w:r w:rsidR="003364A1" w:rsidRPr="0038661F">
              <w:t>arab re</w:t>
            </w:r>
            <w:r w:rsidR="00DC0775" w:rsidRPr="0038661F">
              <w:t>gion</w:t>
            </w:r>
            <w:r w:rsidRPr="0038661F">
              <w:br/>
              <w:t>“</w:t>
            </w:r>
            <w:r w:rsidR="006325CB" w:rsidRPr="006325CB">
              <w:t>Big Data for Development - Monitoring of key development indicators through data</w:t>
            </w:r>
            <w:r w:rsidRPr="0038661F">
              <w:t>”</w:t>
            </w:r>
          </w:p>
        </w:tc>
      </w:tr>
      <w:tr w:rsidR="00D83BF5" w:rsidRPr="00D80402" w:rsidTr="005D3F58">
        <w:trPr>
          <w:cantSplit/>
          <w:trHeight w:val="23"/>
        </w:trPr>
        <w:tc>
          <w:tcPr>
            <w:tcW w:w="10031" w:type="dxa"/>
            <w:gridSpan w:val="2"/>
            <w:shd w:val="clear" w:color="auto" w:fill="auto"/>
          </w:tcPr>
          <w:p w:rsidR="00D83BF5" w:rsidRPr="00D80402" w:rsidRDefault="00D83BF5" w:rsidP="00D83BF5">
            <w:pPr>
              <w:pStyle w:val="Title1"/>
              <w:rPr>
                <w:szCs w:val="28"/>
              </w:rPr>
            </w:pPr>
          </w:p>
        </w:tc>
      </w:tr>
    </w:tbl>
    <w:bookmarkEnd w:id="7"/>
    <w:bookmarkEnd w:id="8"/>
    <w:p w:rsidR="00D83BF5" w:rsidRPr="00D80402" w:rsidRDefault="00D83BF5" w:rsidP="00EB4CAF">
      <w:pPr>
        <w:pStyle w:val="Normalaftertitle"/>
        <w:pBdr>
          <w:top w:val="single" w:sz="4" w:space="1" w:color="auto"/>
          <w:left w:val="single" w:sz="4" w:space="12" w:color="auto"/>
          <w:bottom w:val="single" w:sz="4" w:space="1" w:color="auto"/>
          <w:right w:val="single" w:sz="4" w:space="19" w:color="auto"/>
        </w:pBdr>
        <w:spacing w:before="120"/>
        <w:ind w:left="284"/>
        <w:rPr>
          <w:b/>
          <w:bCs/>
        </w:rPr>
      </w:pPr>
      <w:r w:rsidRPr="00D80402">
        <w:rPr>
          <w:b/>
          <w:bCs/>
        </w:rPr>
        <w:t>Priority area</w:t>
      </w:r>
    </w:p>
    <w:p w:rsidR="00D83BF5" w:rsidRPr="00D80402" w:rsidRDefault="00D83BF5" w:rsidP="0057148B">
      <w:pPr>
        <w:pStyle w:val="Normalaftertitle"/>
        <w:pBdr>
          <w:top w:val="single" w:sz="4" w:space="1" w:color="auto"/>
          <w:left w:val="single" w:sz="4" w:space="12" w:color="auto"/>
          <w:bottom w:val="single" w:sz="4" w:space="1" w:color="auto"/>
          <w:right w:val="single" w:sz="4" w:space="19" w:color="auto"/>
        </w:pBdr>
        <w:tabs>
          <w:tab w:val="clear" w:pos="1134"/>
          <w:tab w:val="clear" w:pos="1871"/>
          <w:tab w:val="clear" w:pos="2268"/>
          <w:tab w:val="left" w:pos="567"/>
          <w:tab w:val="left" w:pos="3119"/>
          <w:tab w:val="left" w:pos="3402"/>
        </w:tabs>
        <w:spacing w:before="60"/>
        <w:ind w:left="284"/>
      </w:pPr>
      <w:r w:rsidRPr="00D80402">
        <w:t>Regional Initiatives</w:t>
      </w:r>
    </w:p>
    <w:p w:rsidR="00D83BF5" w:rsidRPr="00D80402" w:rsidRDefault="0057148B" w:rsidP="008801D3">
      <w:pPr>
        <w:pStyle w:val="Normalaftertitle"/>
        <w:pBdr>
          <w:top w:val="single" w:sz="4" w:space="1" w:color="auto"/>
          <w:left w:val="single" w:sz="4" w:space="12" w:color="auto"/>
          <w:bottom w:val="single" w:sz="4" w:space="1" w:color="auto"/>
          <w:right w:val="single" w:sz="4" w:space="19" w:color="auto"/>
        </w:pBdr>
        <w:spacing w:before="120"/>
        <w:ind w:left="284"/>
        <w:rPr>
          <w:b/>
          <w:bCs/>
        </w:rPr>
      </w:pPr>
      <w:r>
        <w:rPr>
          <w:b/>
          <w:bCs/>
        </w:rPr>
        <w:t>Summary</w:t>
      </w:r>
    </w:p>
    <w:p w:rsidR="00D83BF5" w:rsidRPr="00D80402" w:rsidRDefault="00EB4CAF" w:rsidP="00023394">
      <w:pPr>
        <w:pStyle w:val="Normalaftertitle"/>
        <w:pBdr>
          <w:top w:val="single" w:sz="4" w:space="1" w:color="auto"/>
          <w:left w:val="single" w:sz="4" w:space="12" w:color="auto"/>
          <w:bottom w:val="single" w:sz="4" w:space="1" w:color="auto"/>
          <w:right w:val="single" w:sz="4" w:space="19" w:color="auto"/>
        </w:pBdr>
        <w:spacing w:before="60"/>
        <w:ind w:left="284"/>
      </w:pPr>
      <w:bookmarkStart w:id="9" w:name="Abstract"/>
      <w:bookmarkEnd w:id="9"/>
      <w:r w:rsidRPr="00D80402">
        <w:t xml:space="preserve">This document contains a proposal from the Republic of </w:t>
      </w:r>
      <w:r w:rsidR="007658FE">
        <w:t>Sudan</w:t>
      </w:r>
      <w:r w:rsidRPr="00D80402">
        <w:t xml:space="preserve"> for a subregional initiative for the </w:t>
      </w:r>
      <w:r w:rsidR="007658FE">
        <w:t xml:space="preserve">Arab </w:t>
      </w:r>
      <w:r w:rsidRPr="00373F9E">
        <w:t>countries, entitled “</w:t>
      </w:r>
      <w:r w:rsidR="00023394" w:rsidRPr="00023394">
        <w:t xml:space="preserve">Big Data </w:t>
      </w:r>
      <w:proofErr w:type="gramStart"/>
      <w:r w:rsidR="00023394" w:rsidRPr="00023394">
        <w:t>For</w:t>
      </w:r>
      <w:proofErr w:type="gramEnd"/>
      <w:r w:rsidR="00023394" w:rsidRPr="00023394">
        <w:t xml:space="preserve"> Development - Monitoring Of Key Development Indicators Through Data</w:t>
      </w:r>
      <w:r w:rsidRPr="00373F9E">
        <w:t>”.</w:t>
      </w:r>
    </w:p>
    <w:p w:rsidR="00D83BF5" w:rsidRPr="00D80402" w:rsidRDefault="0057148B" w:rsidP="008801D3">
      <w:pPr>
        <w:pStyle w:val="Normalaftertitle"/>
        <w:pBdr>
          <w:top w:val="single" w:sz="4" w:space="1" w:color="auto"/>
          <w:left w:val="single" w:sz="4" w:space="12" w:color="auto"/>
          <w:bottom w:val="single" w:sz="4" w:space="1" w:color="auto"/>
          <w:right w:val="single" w:sz="4" w:space="19" w:color="auto"/>
        </w:pBdr>
        <w:spacing w:before="120"/>
        <w:ind w:left="284"/>
        <w:rPr>
          <w:b/>
          <w:bCs/>
        </w:rPr>
      </w:pPr>
      <w:r>
        <w:rPr>
          <w:b/>
          <w:bCs/>
        </w:rPr>
        <w:t>Expected results</w:t>
      </w:r>
    </w:p>
    <w:p w:rsidR="00373F9E" w:rsidRDefault="001259DF" w:rsidP="00824866">
      <w:pPr>
        <w:pStyle w:val="Normalaftertitle"/>
        <w:pBdr>
          <w:top w:val="single" w:sz="4" w:space="1" w:color="auto"/>
          <w:left w:val="single" w:sz="4" w:space="12" w:color="auto"/>
          <w:bottom w:val="single" w:sz="4" w:space="1" w:color="auto"/>
          <w:right w:val="single" w:sz="4" w:space="19" w:color="auto"/>
        </w:pBdr>
        <w:spacing w:before="60"/>
        <w:ind w:left="284"/>
      </w:pPr>
      <w:r>
        <w:t>N/A</w:t>
      </w:r>
    </w:p>
    <w:p w:rsidR="00373F9E" w:rsidRPr="00373F9E" w:rsidRDefault="00373F9E" w:rsidP="00373F9E">
      <w:pPr>
        <w:pStyle w:val="Normalaftertitle"/>
        <w:pBdr>
          <w:top w:val="single" w:sz="4" w:space="1" w:color="auto"/>
          <w:left w:val="single" w:sz="4" w:space="12" w:color="auto"/>
          <w:bottom w:val="single" w:sz="4" w:space="1" w:color="auto"/>
          <w:right w:val="single" w:sz="4" w:space="19" w:color="auto"/>
        </w:pBdr>
        <w:spacing w:before="120"/>
        <w:ind w:left="284"/>
        <w:rPr>
          <w:b/>
          <w:bCs/>
        </w:rPr>
      </w:pPr>
      <w:proofErr w:type="spellStart"/>
      <w:r w:rsidRPr="00373F9E">
        <w:rPr>
          <w:b/>
          <w:bCs/>
        </w:rPr>
        <w:t>Referenece</w:t>
      </w:r>
      <w:proofErr w:type="spellEnd"/>
    </w:p>
    <w:p w:rsidR="00373F9E" w:rsidRDefault="001259DF" w:rsidP="00023394">
      <w:pPr>
        <w:pStyle w:val="Normalaftertitle"/>
        <w:pBdr>
          <w:top w:val="single" w:sz="4" w:space="1" w:color="auto"/>
          <w:left w:val="single" w:sz="4" w:space="12" w:color="auto"/>
          <w:bottom w:val="single" w:sz="4" w:space="1" w:color="auto"/>
          <w:right w:val="single" w:sz="4" w:space="19" w:color="auto"/>
        </w:pBdr>
        <w:spacing w:before="60"/>
        <w:ind w:left="284"/>
      </w:pPr>
      <w:r>
        <w:t>N/A</w:t>
      </w:r>
    </w:p>
    <w:p w:rsidR="00D83BF5" w:rsidRPr="00D80402" w:rsidRDefault="00D83BF5" w:rsidP="00D83BF5"/>
    <w:p w:rsidR="00EB4CAF" w:rsidRPr="002854B3" w:rsidRDefault="00EB4CAF">
      <w:pPr>
        <w:tabs>
          <w:tab w:val="clear" w:pos="1134"/>
          <w:tab w:val="clear" w:pos="1871"/>
          <w:tab w:val="clear" w:pos="2268"/>
        </w:tabs>
        <w:overflowPunct/>
        <w:autoSpaceDE/>
        <w:autoSpaceDN/>
        <w:adjustRightInd/>
        <w:spacing w:before="0"/>
        <w:textAlignment w:val="auto"/>
        <w:rPr>
          <w:b/>
          <w:bCs/>
          <w:sz w:val="26"/>
          <w:lang w:val="en-US"/>
        </w:rPr>
      </w:pPr>
      <w:r w:rsidRPr="00D80402">
        <w:rPr>
          <w:b/>
          <w:bCs/>
          <w:sz w:val="26"/>
        </w:rPr>
        <w:br w:type="page"/>
      </w:r>
      <w:bookmarkStart w:id="10" w:name="_GoBack"/>
      <w:bookmarkEnd w:id="10"/>
    </w:p>
    <w:p w:rsidR="005C0C44" w:rsidRPr="00AB53A5" w:rsidRDefault="00AB53A5" w:rsidP="00AB53A5">
      <w:pPr>
        <w:pStyle w:val="ListParagraph"/>
        <w:numPr>
          <w:ilvl w:val="0"/>
          <w:numId w:val="9"/>
        </w:numPr>
        <w:rPr>
          <w:b/>
          <w:bCs/>
        </w:rPr>
      </w:pPr>
      <w:r>
        <w:rPr>
          <w:b/>
          <w:bCs/>
        </w:rPr>
        <w:lastRenderedPageBreak/>
        <w:t>Introduction</w:t>
      </w:r>
    </w:p>
    <w:p w:rsidR="005C0C44" w:rsidRPr="00003FFE" w:rsidRDefault="005C0C44" w:rsidP="005C0C44">
      <w:r w:rsidRPr="00003FFE">
        <w:t xml:space="preserve">In most Arab countries, there are multiple challenges in acquiring frequent and adequate data to measure effective implementation of development goals resulting in data gaps to periodically measure development progress. To fill such data gaps, there is capitalised on alternative big data sources such as mobile phone call records to measure socio economic variables as a proxy for development indicators. In 2015, UN Statistical Commission has leveraged the use of big data for sustainable development goals (SDG) monitoring, by identifying and encouraging the use of big data sources (such as mobile phone, social media data and satellite imagery) to complement official statistics. </w:t>
      </w:r>
    </w:p>
    <w:p w:rsidR="005C0C44" w:rsidRPr="00003FFE" w:rsidRDefault="005C0C44" w:rsidP="005C0C44">
      <w:r w:rsidRPr="00003FFE">
        <w:t xml:space="preserve">In Arab region, mobile phone market penetration rate in 2016 is estimated to be around 109.9 which generate a huge stock of call details records that could potentially reveal socio economic patterns in the country. Referring to this facts, the initiative aims to establish a regional lab as a centric ecosystem in order to </w:t>
      </w:r>
      <w:proofErr w:type="spellStart"/>
      <w:r w:rsidRPr="00003FFE">
        <w:t>analyze</w:t>
      </w:r>
      <w:proofErr w:type="spellEnd"/>
      <w:r w:rsidRPr="00003FFE">
        <w:t xml:space="preserve"> this mobile phone call data reserve, test its potential to measure development indicators on a regular basis, and build capacity of regional institutions to handle big data for regular measurement of key development indicators thereby fulfilling data gaps in monitoring development progress in a regional base.</w:t>
      </w:r>
    </w:p>
    <w:p w:rsidR="00EB4CAF" w:rsidRPr="00D80402" w:rsidRDefault="005C0C44" w:rsidP="00AB53A5">
      <w:pPr>
        <w:pStyle w:val="Headingb"/>
        <w:numPr>
          <w:ilvl w:val="0"/>
          <w:numId w:val="9"/>
        </w:numPr>
        <w:rPr>
          <w:lang w:val="en-GB"/>
        </w:rPr>
      </w:pPr>
      <w:r>
        <w:rPr>
          <w:lang w:val="en-GB"/>
        </w:rPr>
        <w:t>Purpose</w:t>
      </w:r>
    </w:p>
    <w:p w:rsidR="005C0C44" w:rsidRPr="00003FFE" w:rsidRDefault="005C0C44" w:rsidP="005C0C44">
      <w:r w:rsidRPr="00003FFE">
        <w:t xml:space="preserve">In most countries, there are multiple challenges in acquiring frequent and adequate data to assess situation changes and measure effective implementation of development goals. Household surveys and censuses are usually expensive, time consuming, demanding elaborate processes and resources for data collection and analysis which result in data gaps to frequently measure overall and geographically disaggregated development progress. At the same time, instability in many parts of the region hinders the accessibility of data collection via conventional methods; in the meantime, these parts are in urgent need for development assistance. </w:t>
      </w:r>
    </w:p>
    <w:p w:rsidR="005C0C44" w:rsidRPr="00003FFE" w:rsidRDefault="005C0C44" w:rsidP="005C0C44">
      <w:r w:rsidRPr="00003FFE">
        <w:t>New systems and technologies in telecommunication with its vast outreach &amp; coverage are increasingly generating large volumes of user data in a variety of formats at extremely fast rate. It is common in the private sector to use this stock of big data to inform business progress and strategic decisions. Development sector is following this successful trend of using big data to complement official statistics and inform planning decisions. Electricity consumption, social media, media reports, purchase transactions, cellular phone use are examples of big data sources being explored to identify potential application in measuring as a proxy ,key economic&amp; social variables in real time and at highly disaggregated levels. Proven studies and practices demonstrate that big data such as mobile phone call records has high predictive confidence to monitor socio economic variables as a proxy SDGS measure ( recommendation Y-3600 ).Additionally, UN Statistical Commission under Economic and Social Council’s (ECOSOC) Forty -sixth session report</w:t>
      </w:r>
      <w:r w:rsidRPr="00003FFE">
        <w:footnoteReference w:id="1"/>
      </w:r>
      <w:r w:rsidRPr="00003FFE">
        <w:t xml:space="preserve"> links big data and the sustainable development goals(SDG),which identifies and encourages the use of big data sources (mobile phone, social media data and satellite imagery) for official statistics.</w:t>
      </w:r>
    </w:p>
    <w:p w:rsidR="005C0C44" w:rsidRPr="00003FFE" w:rsidRDefault="005C0C44" w:rsidP="005C0C44">
      <w:r w:rsidRPr="00003FFE">
        <w:t xml:space="preserve">In Arab region, mobile phone market penetration rate in 2016 is estimated to be around109.9. Telecom operators automatically record phone activities such as calls and SMS within their network. This digital record represents a significant source of data due to its staggering volume, which is timely updated. In light of the challenges in measuring statistics, analysis of mobile phone </w:t>
      </w:r>
      <w:r w:rsidRPr="00003FFE">
        <w:lastRenderedPageBreak/>
        <w:t>call data has substantial potential to reveal socio economic patterns .Based on this; big data project of a regional central lab is highly demanded.</w:t>
      </w:r>
    </w:p>
    <w:p w:rsidR="005C0C44" w:rsidRPr="006B6C14" w:rsidRDefault="005C0C44" w:rsidP="005C0C44">
      <w:pPr>
        <w:rPr>
          <w:sz w:val="28"/>
          <w:szCs w:val="28"/>
        </w:rPr>
      </w:pPr>
      <w:r w:rsidRPr="00003FFE">
        <w:t>To capitalize on this window of opportunity, it is crucial to confirm the predictive capability of mobile phone usage data for the region’s key development indicators. The project that allows analysis of this data reserve, verification of its potential using standard statistics, formulation of a mathematical model and methods, establishes regional capacity to regularly derive proxy measurements of indicators based on a standardised method is hence fundamental to use it as an alternative but complementary evidence that could inform adjustments to ongoing development programmes and interventions. The purpose of the project is to determine the potential of mobile phone usage as big data to inform development planning and progress monitoring by three undertakings:</w:t>
      </w:r>
    </w:p>
    <w:p w:rsidR="005C0C44" w:rsidRPr="00003FFE" w:rsidRDefault="005C0C44" w:rsidP="005C0C44">
      <w:pPr>
        <w:numPr>
          <w:ilvl w:val="0"/>
          <w:numId w:val="6"/>
        </w:numPr>
        <w:tabs>
          <w:tab w:val="clear" w:pos="1134"/>
          <w:tab w:val="clear" w:pos="1871"/>
          <w:tab w:val="clear" w:pos="2268"/>
        </w:tabs>
        <w:overflowPunct/>
        <w:autoSpaceDE/>
        <w:autoSpaceDN/>
        <w:adjustRightInd/>
        <w:spacing w:before="0" w:after="60" w:line="276" w:lineRule="auto"/>
        <w:textAlignment w:val="auto"/>
        <w:rPr>
          <w:rFonts w:cstheme="minorHAnsi"/>
          <w:szCs w:val="24"/>
        </w:rPr>
      </w:pPr>
      <w:proofErr w:type="spellStart"/>
      <w:r w:rsidRPr="00003FFE">
        <w:rPr>
          <w:rFonts w:cstheme="minorHAnsi"/>
          <w:szCs w:val="24"/>
        </w:rPr>
        <w:t>Analyze</w:t>
      </w:r>
      <w:proofErr w:type="spellEnd"/>
      <w:r w:rsidRPr="00003FFE">
        <w:rPr>
          <w:rFonts w:cstheme="minorHAnsi"/>
          <w:szCs w:val="24"/>
        </w:rPr>
        <w:t xml:space="preserve"> and verify the prospects of mobile phone usage data to measure and monitor development indicators through formulation of standardised model and method.</w:t>
      </w:r>
    </w:p>
    <w:p w:rsidR="005C0C44" w:rsidRPr="00003FFE" w:rsidRDefault="005C0C44" w:rsidP="005C0C44">
      <w:pPr>
        <w:numPr>
          <w:ilvl w:val="0"/>
          <w:numId w:val="6"/>
        </w:numPr>
        <w:tabs>
          <w:tab w:val="clear" w:pos="1134"/>
          <w:tab w:val="clear" w:pos="1871"/>
          <w:tab w:val="clear" w:pos="2268"/>
        </w:tabs>
        <w:overflowPunct/>
        <w:autoSpaceDE/>
        <w:autoSpaceDN/>
        <w:adjustRightInd/>
        <w:spacing w:before="0" w:after="60" w:line="276" w:lineRule="auto"/>
        <w:textAlignment w:val="auto"/>
        <w:rPr>
          <w:rFonts w:cstheme="minorHAnsi"/>
          <w:szCs w:val="24"/>
        </w:rPr>
      </w:pPr>
      <w:r w:rsidRPr="00003FFE">
        <w:rPr>
          <w:rFonts w:cstheme="minorHAnsi"/>
          <w:szCs w:val="24"/>
        </w:rPr>
        <w:t>Strengthen the capacities of key regional stakeholders to implement the model, analyse big data for measuring key development indicators.</w:t>
      </w:r>
    </w:p>
    <w:p w:rsidR="005C0C44" w:rsidRPr="00003FFE" w:rsidRDefault="005C0C44" w:rsidP="005C0C44">
      <w:pPr>
        <w:numPr>
          <w:ilvl w:val="0"/>
          <w:numId w:val="6"/>
        </w:numPr>
        <w:tabs>
          <w:tab w:val="clear" w:pos="1134"/>
          <w:tab w:val="clear" w:pos="1871"/>
          <w:tab w:val="clear" w:pos="2268"/>
        </w:tabs>
        <w:overflowPunct/>
        <w:autoSpaceDE/>
        <w:autoSpaceDN/>
        <w:adjustRightInd/>
        <w:spacing w:before="0" w:after="60" w:line="276" w:lineRule="auto"/>
        <w:textAlignment w:val="auto"/>
        <w:rPr>
          <w:rFonts w:cstheme="minorHAnsi"/>
          <w:szCs w:val="24"/>
        </w:rPr>
      </w:pPr>
      <w:r w:rsidRPr="00003FFE">
        <w:rPr>
          <w:rFonts w:cstheme="minorHAnsi"/>
          <w:szCs w:val="24"/>
        </w:rPr>
        <w:t xml:space="preserve">Sensitize and raise big data awareness of relevant stakeholders for upscaling on its usage to </w:t>
      </w:r>
      <w:r w:rsidRPr="00003FFE">
        <w:rPr>
          <w:rFonts w:cstheme="minorHAnsi"/>
          <w:szCs w:val="24"/>
          <w:lang w:val="en-US"/>
        </w:rPr>
        <w:t>monitor socio economic variables for regional planning.</w:t>
      </w:r>
    </w:p>
    <w:p w:rsidR="005C0C44" w:rsidRPr="00003FFE" w:rsidRDefault="005C0C44" w:rsidP="005C0C44">
      <w:r w:rsidRPr="00003FFE">
        <w:t>The results of such undertaking could generate regional proxy indicator measurements in shorter time intervals, at lower cost, from a large sample; leading to a step-change in real-time steering of development programmes. From the innovation lens, this will be the first endeavour for the Arab region to use big data source and approach in tracking its development progress that will potentially inform development policy and decision making. Measurements of key indicators generated on a shorter interval will have significant contribution in regional SDG monitoring, assessing and enhancing decision mechanism.</w:t>
      </w:r>
    </w:p>
    <w:p w:rsidR="00023394" w:rsidRPr="00AB53A5" w:rsidRDefault="00023394" w:rsidP="00AB53A5">
      <w:pPr>
        <w:pStyle w:val="ListParagraph"/>
        <w:numPr>
          <w:ilvl w:val="0"/>
          <w:numId w:val="9"/>
        </w:numPr>
        <w:rPr>
          <w:b/>
          <w:bCs/>
        </w:rPr>
      </w:pPr>
      <w:r w:rsidRPr="00AB53A5">
        <w:rPr>
          <w:b/>
          <w:bCs/>
        </w:rPr>
        <w:t>Expected Output</w:t>
      </w:r>
    </w:p>
    <w:p w:rsidR="00023394" w:rsidRPr="00030A3A" w:rsidRDefault="00023394" w:rsidP="00023394">
      <w:r w:rsidRPr="00030A3A">
        <w:t xml:space="preserve">The overall objective of this project is to utilize the mobile phone usage as big data source and the extent to which it provides reliable data for the regions development monitoring. Through the pilot, strengthen capacity of regional counterparts to regularly monitor progress of key development indicators through the analysis of mobile phone usage as big data source to fill development indicator data gaps. </w:t>
      </w:r>
    </w:p>
    <w:p w:rsidR="00023394" w:rsidRPr="00030A3A" w:rsidRDefault="00023394" w:rsidP="00023394">
      <w:pPr>
        <w:rPr>
          <w:rFonts w:cstheme="minorHAnsi"/>
          <w:szCs w:val="24"/>
        </w:rPr>
      </w:pPr>
      <w:r w:rsidRPr="00030A3A">
        <w:rPr>
          <w:rFonts w:cstheme="minorHAnsi"/>
          <w:szCs w:val="24"/>
        </w:rPr>
        <w:t xml:space="preserve">The expected output of the project shall be: </w:t>
      </w:r>
    </w:p>
    <w:p w:rsidR="00023394" w:rsidRPr="00030A3A" w:rsidRDefault="00023394" w:rsidP="00023394">
      <w:pPr>
        <w:numPr>
          <w:ilvl w:val="0"/>
          <w:numId w:val="8"/>
        </w:numPr>
        <w:tabs>
          <w:tab w:val="clear" w:pos="1134"/>
          <w:tab w:val="clear" w:pos="1871"/>
          <w:tab w:val="clear" w:pos="2268"/>
        </w:tabs>
        <w:overflowPunct/>
        <w:autoSpaceDE/>
        <w:autoSpaceDN/>
        <w:adjustRightInd/>
        <w:spacing w:before="0" w:after="60" w:line="276" w:lineRule="auto"/>
        <w:textAlignment w:val="auto"/>
        <w:rPr>
          <w:rFonts w:cstheme="minorHAnsi"/>
          <w:szCs w:val="24"/>
        </w:rPr>
      </w:pPr>
      <w:r w:rsidRPr="00030A3A">
        <w:rPr>
          <w:rFonts w:cstheme="minorHAnsi"/>
          <w:szCs w:val="24"/>
        </w:rPr>
        <w:t>Key development indicator proxies developed, measured and published on a central regional basis.</w:t>
      </w:r>
    </w:p>
    <w:p w:rsidR="00023394" w:rsidRPr="00030A3A" w:rsidRDefault="00023394" w:rsidP="00023394">
      <w:pPr>
        <w:numPr>
          <w:ilvl w:val="0"/>
          <w:numId w:val="8"/>
        </w:numPr>
        <w:tabs>
          <w:tab w:val="clear" w:pos="1134"/>
          <w:tab w:val="clear" w:pos="1871"/>
          <w:tab w:val="clear" w:pos="2268"/>
        </w:tabs>
        <w:overflowPunct/>
        <w:autoSpaceDE/>
        <w:autoSpaceDN/>
        <w:adjustRightInd/>
        <w:spacing w:before="0" w:after="60" w:line="276" w:lineRule="auto"/>
        <w:textAlignment w:val="auto"/>
        <w:rPr>
          <w:rFonts w:cstheme="minorHAnsi"/>
          <w:szCs w:val="24"/>
        </w:rPr>
      </w:pPr>
      <w:r w:rsidRPr="00030A3A">
        <w:rPr>
          <w:rFonts w:cstheme="minorHAnsi"/>
          <w:szCs w:val="24"/>
        </w:rPr>
        <w:t>Establishment of a long-term regional capacity to measure selected development indicators in a shorter time intervals thereby strengthening regular monitoring of SDGs.</w:t>
      </w:r>
    </w:p>
    <w:p w:rsidR="00023394" w:rsidRPr="00030A3A" w:rsidRDefault="00023394" w:rsidP="00023394">
      <w:pPr>
        <w:numPr>
          <w:ilvl w:val="0"/>
          <w:numId w:val="8"/>
        </w:numPr>
        <w:tabs>
          <w:tab w:val="clear" w:pos="1134"/>
          <w:tab w:val="clear" w:pos="1871"/>
          <w:tab w:val="clear" w:pos="2268"/>
        </w:tabs>
        <w:overflowPunct/>
        <w:autoSpaceDE/>
        <w:autoSpaceDN/>
        <w:adjustRightInd/>
        <w:spacing w:before="0" w:after="60" w:line="276" w:lineRule="auto"/>
        <w:textAlignment w:val="auto"/>
        <w:rPr>
          <w:rFonts w:cstheme="minorHAnsi"/>
          <w:szCs w:val="24"/>
        </w:rPr>
      </w:pPr>
      <w:r w:rsidRPr="00030A3A">
        <w:rPr>
          <w:rFonts w:cstheme="minorHAnsi"/>
          <w:szCs w:val="24"/>
        </w:rPr>
        <w:t>Increased awareness of big data as an alternative (complementary) and low cost source to measure development indicators.</w:t>
      </w:r>
    </w:p>
    <w:p w:rsidR="00D83BF5" w:rsidRPr="00D80402" w:rsidRDefault="00D83BF5" w:rsidP="00D83BF5">
      <w:pPr>
        <w:jc w:val="center"/>
        <w:rPr>
          <w:szCs w:val="24"/>
        </w:rPr>
      </w:pPr>
      <w:r w:rsidRPr="00D80402">
        <w:rPr>
          <w:szCs w:val="24"/>
        </w:rPr>
        <w:t>_______________</w:t>
      </w:r>
    </w:p>
    <w:sectPr w:rsidR="00D83BF5" w:rsidRPr="00D80402" w:rsidSect="0039169B">
      <w:headerReference w:type="default" r:id="rId13"/>
      <w:footerReference w:type="even" r:id="rId14"/>
      <w:footerReference w:type="first" r:id="rId15"/>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B74" w:rsidRDefault="006D6B74">
      <w:r>
        <w:separator/>
      </w:r>
    </w:p>
  </w:endnote>
  <w:endnote w:type="continuationSeparator" w:id="0">
    <w:p w:rsidR="006D6B74" w:rsidRDefault="006D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312EB6">
    <w:pPr>
      <w:framePr w:wrap="around" w:vAnchor="text" w:hAnchor="margin" w:xAlign="right" w:y="1"/>
    </w:pPr>
    <w:r>
      <w:fldChar w:fldCharType="begin"/>
    </w:r>
    <w:r w:rsidR="00E45D05">
      <w:instrText xml:space="preserve">PAGE  </w:instrText>
    </w:r>
    <w:r>
      <w:fldChar w:fldCharType="end"/>
    </w:r>
  </w:p>
  <w:p w:rsidR="00E45D05" w:rsidRPr="0041348E" w:rsidRDefault="006E47CF">
    <w:pPr>
      <w:ind w:right="360"/>
      <w:rPr>
        <w:lang w:val="en-US"/>
      </w:rPr>
    </w:pPr>
    <w:r>
      <w:fldChar w:fldCharType="begin"/>
    </w:r>
    <w:r>
      <w:instrText xml:space="preserve"> FILENAME \p  \* MERGEFORMAT </w:instrText>
    </w:r>
    <w:r>
      <w:fldChar w:fldCharType="separate"/>
    </w:r>
    <w:r w:rsidRPr="006E47CF">
      <w:rPr>
        <w:noProof/>
        <w:lang w:val="en-US"/>
      </w:rPr>
      <w:t>P:\SUP\Meetings\RPMs\2016-2017\ARB\Documents\RPM-ARB17_026E_sudan-big</w:t>
    </w:r>
    <w:r>
      <w:rPr>
        <w:noProof/>
      </w:rPr>
      <w:t>_data_V2.docx</w:t>
    </w:r>
    <w:r>
      <w:rPr>
        <w:noProof/>
        <w:lang w:val="en-US"/>
      </w:rPr>
      <w:fldChar w:fldCharType="end"/>
    </w:r>
    <w:r w:rsidR="00E45D05" w:rsidRPr="0041348E">
      <w:rPr>
        <w:lang w:val="en-US"/>
      </w:rPr>
      <w:tab/>
    </w:r>
    <w:r w:rsidR="00312EB6">
      <w:fldChar w:fldCharType="begin"/>
    </w:r>
    <w:r w:rsidR="00E45D05">
      <w:instrText xml:space="preserve"> SAVEDATE \@ DD.MM.YY </w:instrText>
    </w:r>
    <w:r w:rsidR="00312EB6">
      <w:fldChar w:fldCharType="separate"/>
    </w:r>
    <w:r>
      <w:rPr>
        <w:noProof/>
      </w:rPr>
      <w:t>19.01.17</w:t>
    </w:r>
    <w:r w:rsidR="00312EB6">
      <w:fldChar w:fldCharType="end"/>
    </w:r>
    <w:r w:rsidR="00E45D05" w:rsidRPr="0041348E">
      <w:rPr>
        <w:lang w:val="en-US"/>
      </w:rPr>
      <w:tab/>
    </w:r>
    <w:r w:rsidR="00312EB6">
      <w:fldChar w:fldCharType="begin"/>
    </w:r>
    <w:r w:rsidR="00E45D05">
      <w:instrText xml:space="preserve"> PRINTDATE \@ DD.MM.YY </w:instrText>
    </w:r>
    <w:r w:rsidR="00312EB6">
      <w:fldChar w:fldCharType="separate"/>
    </w:r>
    <w:r>
      <w:rPr>
        <w:noProof/>
      </w:rPr>
      <w:t>19.01.17</w:t>
    </w:r>
    <w:r w:rsidR="00312EB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4B3" w:rsidRDefault="002854B3" w:rsidP="002854B3"/>
  <w:tbl>
    <w:tblPr>
      <w:tblW w:w="0" w:type="auto"/>
      <w:tblLayout w:type="fixed"/>
      <w:tblLook w:val="04A0" w:firstRow="1" w:lastRow="0" w:firstColumn="1" w:lastColumn="0" w:noHBand="0" w:noVBand="1"/>
    </w:tblPr>
    <w:tblGrid>
      <w:gridCol w:w="1526"/>
      <w:gridCol w:w="2410"/>
      <w:gridCol w:w="5919"/>
    </w:tblGrid>
    <w:tr w:rsidR="002854B3" w:rsidTr="002854B3">
      <w:tc>
        <w:tcPr>
          <w:tcW w:w="1526" w:type="dxa"/>
          <w:tcBorders>
            <w:top w:val="single" w:sz="4" w:space="0" w:color="000000"/>
            <w:left w:val="nil"/>
            <w:bottom w:val="nil"/>
            <w:right w:val="nil"/>
          </w:tcBorders>
          <w:hideMark/>
        </w:tcPr>
        <w:p w:rsidR="002854B3" w:rsidRDefault="002854B3">
          <w:pPr>
            <w:pStyle w:val="FirstFooter"/>
            <w:tabs>
              <w:tab w:val="left" w:pos="1559"/>
              <w:tab w:val="left" w:pos="3828"/>
            </w:tabs>
            <w:rPr>
              <w:sz w:val="18"/>
              <w:szCs w:val="18"/>
            </w:rPr>
          </w:pPr>
          <w:r>
            <w:rPr>
              <w:sz w:val="18"/>
              <w:szCs w:val="18"/>
              <w:lang w:val="en-US"/>
            </w:rPr>
            <w:t>Contact:</w:t>
          </w:r>
        </w:p>
      </w:tc>
      <w:tc>
        <w:tcPr>
          <w:tcW w:w="2410" w:type="dxa"/>
          <w:tcBorders>
            <w:top w:val="single" w:sz="4" w:space="0" w:color="000000"/>
            <w:left w:val="nil"/>
            <w:bottom w:val="nil"/>
            <w:right w:val="nil"/>
          </w:tcBorders>
          <w:hideMark/>
        </w:tcPr>
        <w:p w:rsidR="002854B3" w:rsidRDefault="002854B3">
          <w:pPr>
            <w:pStyle w:val="FirstFooter"/>
            <w:tabs>
              <w:tab w:val="left" w:pos="2302"/>
            </w:tabs>
            <w:ind w:left="2302" w:hanging="2302"/>
            <w:rPr>
              <w:sz w:val="18"/>
              <w:szCs w:val="18"/>
              <w:lang w:val="en-US"/>
            </w:rPr>
          </w:pPr>
          <w:r>
            <w:rPr>
              <w:sz w:val="18"/>
              <w:szCs w:val="18"/>
              <w:lang w:val="en-US"/>
            </w:rPr>
            <w:t>Name/Organization/Entity:</w:t>
          </w:r>
        </w:p>
      </w:tc>
      <w:tc>
        <w:tcPr>
          <w:tcW w:w="5919" w:type="dxa"/>
          <w:tcBorders>
            <w:top w:val="single" w:sz="4" w:space="0" w:color="000000"/>
            <w:left w:val="nil"/>
            <w:bottom w:val="nil"/>
            <w:right w:val="nil"/>
          </w:tcBorders>
          <w:hideMark/>
        </w:tcPr>
        <w:p w:rsidR="002854B3" w:rsidRDefault="001A2D90" w:rsidP="006E47CF">
          <w:pPr>
            <w:pStyle w:val="FirstFooter"/>
            <w:tabs>
              <w:tab w:val="left" w:pos="2302"/>
            </w:tabs>
            <w:rPr>
              <w:sz w:val="18"/>
              <w:szCs w:val="18"/>
              <w:lang w:val="fr-CH"/>
            </w:rPr>
          </w:pPr>
          <w:bookmarkStart w:id="11" w:name="OrgName"/>
          <w:bookmarkEnd w:id="11"/>
          <w:r>
            <w:rPr>
              <w:sz w:val="18"/>
              <w:szCs w:val="18"/>
              <w:lang w:val="fr-CH"/>
            </w:rPr>
            <w:t xml:space="preserve">Mr </w:t>
          </w:r>
          <w:r w:rsidR="00CE7C62">
            <w:rPr>
              <w:sz w:val="18"/>
              <w:szCs w:val="18"/>
              <w:lang w:val="fr-CH"/>
            </w:rPr>
            <w:t xml:space="preserve">Gamal Amin / </w:t>
          </w:r>
          <w:r w:rsidR="002854B3">
            <w:rPr>
              <w:sz w:val="18"/>
              <w:szCs w:val="18"/>
              <w:lang w:val="fr-CH"/>
            </w:rPr>
            <w:t xml:space="preserve">National </w:t>
          </w:r>
          <w:proofErr w:type="spellStart"/>
          <w:r w:rsidR="002854B3">
            <w:rPr>
              <w:sz w:val="18"/>
              <w:szCs w:val="18"/>
              <w:lang w:val="fr-CH"/>
            </w:rPr>
            <w:t>Telecommunication</w:t>
          </w:r>
          <w:proofErr w:type="spellEnd"/>
          <w:r w:rsidR="002854B3">
            <w:rPr>
              <w:sz w:val="18"/>
              <w:szCs w:val="18"/>
              <w:lang w:val="fr-CH"/>
            </w:rPr>
            <w:t xml:space="preserve"> Corporation</w:t>
          </w:r>
        </w:p>
      </w:tc>
    </w:tr>
    <w:tr w:rsidR="002854B3" w:rsidTr="002854B3">
      <w:tc>
        <w:tcPr>
          <w:tcW w:w="1526" w:type="dxa"/>
        </w:tcPr>
        <w:p w:rsidR="002854B3" w:rsidRDefault="002854B3">
          <w:pPr>
            <w:pStyle w:val="FirstFooter"/>
            <w:tabs>
              <w:tab w:val="left" w:pos="1559"/>
              <w:tab w:val="left" w:pos="3828"/>
            </w:tabs>
            <w:rPr>
              <w:sz w:val="20"/>
              <w:lang w:val="fr-CH"/>
            </w:rPr>
          </w:pPr>
        </w:p>
      </w:tc>
      <w:tc>
        <w:tcPr>
          <w:tcW w:w="2410" w:type="dxa"/>
          <w:hideMark/>
        </w:tcPr>
        <w:p w:rsidR="002854B3" w:rsidRDefault="002854B3">
          <w:pPr>
            <w:pStyle w:val="FirstFooter"/>
            <w:tabs>
              <w:tab w:val="left" w:pos="2302"/>
            </w:tabs>
            <w:rPr>
              <w:sz w:val="18"/>
              <w:szCs w:val="18"/>
              <w:lang w:val="en-US"/>
            </w:rPr>
          </w:pPr>
          <w:r>
            <w:rPr>
              <w:sz w:val="18"/>
              <w:szCs w:val="18"/>
              <w:lang w:val="en-US"/>
            </w:rPr>
            <w:t>Phone number:</w:t>
          </w:r>
        </w:p>
      </w:tc>
      <w:tc>
        <w:tcPr>
          <w:tcW w:w="5919" w:type="dxa"/>
          <w:hideMark/>
        </w:tcPr>
        <w:p w:rsidR="002854B3" w:rsidRDefault="002854B3">
          <w:pPr>
            <w:pStyle w:val="FirstFooter"/>
            <w:tabs>
              <w:tab w:val="left" w:pos="2302"/>
            </w:tabs>
            <w:rPr>
              <w:sz w:val="18"/>
              <w:szCs w:val="18"/>
              <w:lang w:val="en-US"/>
            </w:rPr>
          </w:pPr>
          <w:bookmarkStart w:id="12" w:name="PhoneNo"/>
          <w:bookmarkEnd w:id="12"/>
          <w:r>
            <w:rPr>
              <w:sz w:val="18"/>
              <w:szCs w:val="18"/>
              <w:lang w:val="en-US"/>
            </w:rPr>
            <w:t>+249</w:t>
          </w:r>
          <w:r w:rsidR="001A2D90">
            <w:rPr>
              <w:sz w:val="18"/>
              <w:szCs w:val="18"/>
              <w:lang w:val="en-US"/>
            </w:rPr>
            <w:t xml:space="preserve"> </w:t>
          </w:r>
          <w:r>
            <w:rPr>
              <w:sz w:val="18"/>
              <w:szCs w:val="18"/>
              <w:lang w:val="en-US"/>
            </w:rPr>
            <w:t>187171236</w:t>
          </w:r>
        </w:p>
      </w:tc>
    </w:tr>
    <w:tr w:rsidR="002854B3" w:rsidTr="002854B3">
      <w:tc>
        <w:tcPr>
          <w:tcW w:w="1526" w:type="dxa"/>
        </w:tcPr>
        <w:p w:rsidR="002854B3" w:rsidRDefault="002854B3">
          <w:pPr>
            <w:pStyle w:val="FirstFooter"/>
            <w:tabs>
              <w:tab w:val="left" w:pos="1559"/>
              <w:tab w:val="left" w:pos="3828"/>
            </w:tabs>
            <w:rPr>
              <w:sz w:val="20"/>
              <w:lang w:val="en-US"/>
            </w:rPr>
          </w:pPr>
        </w:p>
      </w:tc>
      <w:tc>
        <w:tcPr>
          <w:tcW w:w="2410" w:type="dxa"/>
          <w:hideMark/>
        </w:tcPr>
        <w:p w:rsidR="002854B3" w:rsidRDefault="002854B3">
          <w:pPr>
            <w:pStyle w:val="FirstFooter"/>
            <w:tabs>
              <w:tab w:val="left" w:pos="2302"/>
            </w:tabs>
            <w:rPr>
              <w:sz w:val="18"/>
              <w:szCs w:val="18"/>
              <w:lang w:val="en-US"/>
            </w:rPr>
          </w:pPr>
          <w:r>
            <w:rPr>
              <w:sz w:val="18"/>
              <w:szCs w:val="18"/>
              <w:lang w:val="en-US"/>
            </w:rPr>
            <w:t>E-mail:</w:t>
          </w:r>
        </w:p>
      </w:tc>
      <w:tc>
        <w:tcPr>
          <w:tcW w:w="5919" w:type="dxa"/>
          <w:hideMark/>
        </w:tcPr>
        <w:p w:rsidR="002854B3" w:rsidRPr="001A2D90" w:rsidRDefault="006E47CF">
          <w:pPr>
            <w:pStyle w:val="FirstFooter"/>
            <w:tabs>
              <w:tab w:val="left" w:pos="2302"/>
            </w:tabs>
            <w:rPr>
              <w:sz w:val="18"/>
              <w:szCs w:val="18"/>
              <w:lang w:val="en-US"/>
            </w:rPr>
          </w:pPr>
          <w:hyperlink r:id="rId1" w:history="1">
            <w:r w:rsidR="001A2D90" w:rsidRPr="00005B4B">
              <w:rPr>
                <w:rStyle w:val="Hyperlink"/>
                <w:sz w:val="18"/>
                <w:szCs w:val="18"/>
                <w:lang w:val="en-US"/>
              </w:rPr>
              <w:t>gamal@ntc.gov.sd</w:t>
            </w:r>
          </w:hyperlink>
          <w:r w:rsidR="001A2D90">
            <w:rPr>
              <w:sz w:val="18"/>
              <w:szCs w:val="18"/>
              <w:lang w:val="en-US"/>
            </w:rPr>
            <w:t xml:space="preserve"> </w:t>
          </w:r>
        </w:p>
      </w:tc>
    </w:tr>
  </w:tbl>
  <w:p w:rsidR="002854B3" w:rsidRPr="004B153A" w:rsidRDefault="004B153A" w:rsidP="004B153A">
    <w:pPr>
      <w:jc w:val="center"/>
      <w:rPr>
        <w:sz w:val="20"/>
      </w:rPr>
    </w:pPr>
    <w:hyperlink r:id="rId2" w:history="1">
      <w:r w:rsidRPr="00784E03">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B74" w:rsidRDefault="006D6B74">
      <w:r>
        <w:rPr>
          <w:b/>
        </w:rPr>
        <w:t>_______________</w:t>
      </w:r>
    </w:p>
  </w:footnote>
  <w:footnote w:type="continuationSeparator" w:id="0">
    <w:p w:rsidR="006D6B74" w:rsidRDefault="006D6B74">
      <w:r>
        <w:continuationSeparator/>
      </w:r>
    </w:p>
  </w:footnote>
  <w:footnote w:id="1">
    <w:p w:rsidR="005C0C44" w:rsidRPr="001A2D90" w:rsidRDefault="005C0C44" w:rsidP="005C0C44">
      <w:pPr>
        <w:pStyle w:val="FootnoteText"/>
      </w:pPr>
      <w:r w:rsidRPr="001A2D90">
        <w:rPr>
          <w:rStyle w:val="FootnoteReference"/>
        </w:rPr>
        <w:footnoteRef/>
      </w:r>
      <w:hyperlink r:id="rId1" w:history="1">
        <w:r w:rsidRPr="001A2D90">
          <w:rPr>
            <w:rFonts w:ascii="Trebuchet MS" w:hAnsi="Trebuchet MS"/>
            <w:sz w:val="16"/>
            <w:szCs w:val="16"/>
          </w:rPr>
          <w:t>http://unstats.un.org/unsd/statcom/doc15/2015-4-BigData-E.pdf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D90" w:rsidRPr="004F0D25" w:rsidRDefault="001A2D90" w:rsidP="001A2D90">
    <w:pPr>
      <w:pStyle w:val="Header"/>
      <w:tabs>
        <w:tab w:val="clear" w:pos="1134"/>
        <w:tab w:val="clear" w:pos="1871"/>
        <w:tab w:val="clear" w:pos="2268"/>
        <w:tab w:val="left" w:pos="3544"/>
        <w:tab w:val="left" w:pos="8789"/>
        <w:tab w:val="right" w:pos="14459"/>
      </w:tabs>
      <w:spacing w:after="120"/>
      <w:jc w:val="left"/>
      <w:rPr>
        <w:rFonts w:eastAsia="SimHei" w:cs="Simplified Arabic"/>
        <w:bCs/>
        <w:smallCaps/>
        <w:spacing w:val="24"/>
        <w:sz w:val="22"/>
        <w:szCs w:val="22"/>
        <w:lang w:val="de-CH" w:eastAsia="zh-CN"/>
      </w:rPr>
    </w:pPr>
    <w:r>
      <w:tab/>
    </w:r>
    <w:r w:rsidRPr="00E34941">
      <w:rPr>
        <w:sz w:val="22"/>
        <w:szCs w:val="22"/>
        <w:lang w:val="es-ES_tradnl"/>
      </w:rPr>
      <w:t>ITU-D/</w:t>
    </w:r>
    <w:r>
      <w:rPr>
        <w:rFonts w:eastAsia="SimHei" w:cs="Simplified Arabic"/>
        <w:bCs/>
        <w:smallCaps/>
        <w:spacing w:val="24"/>
        <w:sz w:val="22"/>
        <w:szCs w:val="22"/>
        <w:lang w:val="de-CH" w:eastAsia="zh-CN"/>
      </w:rPr>
      <w:t>RPM-ARB17/26</w:t>
    </w:r>
    <w:r w:rsidRPr="004F0D25">
      <w:rPr>
        <w:rFonts w:eastAsia="SimHei" w:cs="Simplified Arabic"/>
        <w:bCs/>
        <w:smallCaps/>
        <w:spacing w:val="24"/>
        <w:sz w:val="22"/>
        <w:szCs w:val="22"/>
        <w:lang w:val="de-CH" w:eastAsia="zh-CN"/>
      </w:rPr>
      <w:t>-</w:t>
    </w:r>
    <w:r>
      <w:rPr>
        <w:rFonts w:eastAsia="SimHei" w:cs="Simplified Arabic"/>
        <w:bCs/>
        <w:smallCaps/>
        <w:spacing w:val="24"/>
        <w:sz w:val="22"/>
        <w:szCs w:val="22"/>
        <w:lang w:val="de-CH" w:eastAsia="zh-CN"/>
      </w:rPr>
      <w:t>E</w:t>
    </w:r>
    <w:r w:rsidRPr="004F0D25">
      <w:rPr>
        <w:rFonts w:eastAsia="SimHei" w:cs="Simplified Arabic"/>
        <w:bCs/>
        <w:smallCaps/>
        <w:spacing w:val="24"/>
        <w:sz w:val="22"/>
        <w:szCs w:val="22"/>
        <w:lang w:val="de-CH" w:eastAsia="zh-CN"/>
      </w:rPr>
      <w:t xml:space="preserve"> </w:t>
    </w:r>
    <w:r>
      <w:rPr>
        <w:rFonts w:eastAsia="SimHei" w:cs="Simplified Arabic"/>
        <w:bCs/>
        <w:smallCaps/>
        <w:spacing w:val="24"/>
        <w:sz w:val="22"/>
        <w:szCs w:val="22"/>
        <w:lang w:val="de-CH" w:eastAsia="zh-CN"/>
      </w:rPr>
      <w:tab/>
    </w:r>
    <w:r>
      <w:rPr>
        <w:rFonts w:eastAsia="SimHei" w:cs="Simplified Arabic"/>
        <w:bCs/>
        <w:smallCaps/>
        <w:spacing w:val="24"/>
        <w:sz w:val="22"/>
        <w:szCs w:val="22"/>
        <w:lang w:val="de-CH" w:eastAsia="zh-CN"/>
      </w:rPr>
      <w:tab/>
    </w:r>
    <w:r w:rsidRPr="004F0D25">
      <w:rPr>
        <w:rFonts w:eastAsia="SimHei" w:cs="Simplified Arabic"/>
        <w:bCs/>
        <w:smallCaps/>
        <w:spacing w:val="24"/>
        <w:sz w:val="22"/>
        <w:szCs w:val="22"/>
        <w:lang w:val="de-CH" w:eastAsia="zh-CN"/>
      </w:rPr>
      <w:t xml:space="preserve">Page </w:t>
    </w:r>
    <w:sdt>
      <w:sdtPr>
        <w:rPr>
          <w:rFonts w:eastAsia="SimHei" w:cs="Simplified Arabic"/>
          <w:bCs/>
          <w:smallCaps/>
          <w:spacing w:val="24"/>
          <w:sz w:val="22"/>
          <w:szCs w:val="22"/>
          <w:lang w:val="en-US" w:eastAsia="zh-CN"/>
        </w:rPr>
        <w:id w:val="2142842732"/>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6E47CF">
          <w:rPr>
            <w:rFonts w:eastAsia="SimHei" w:cs="Simplified Arabic"/>
            <w:bCs/>
            <w:smallCaps/>
            <w:noProof/>
            <w:spacing w:val="24"/>
            <w:sz w:val="22"/>
            <w:szCs w:val="22"/>
            <w:lang w:val="de-CH" w:eastAsia="zh-CN"/>
          </w:rPr>
          <w:t>2</w:t>
        </w:r>
        <w:r w:rsidRPr="00E5018B">
          <w:rPr>
            <w:rFonts w:eastAsia="SimHei" w:cs="Simplified Arabic"/>
            <w:bCs/>
            <w:smallCaps/>
            <w:spacing w:val="24"/>
            <w:sz w:val="22"/>
            <w:szCs w:val="22"/>
            <w:lang w:val="en-US"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C836B12"/>
    <w:multiLevelType w:val="hybridMultilevel"/>
    <w:tmpl w:val="B100F4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C023E"/>
    <w:multiLevelType w:val="hybridMultilevel"/>
    <w:tmpl w:val="45CAC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F4171B1"/>
    <w:multiLevelType w:val="hybridMultilevel"/>
    <w:tmpl w:val="D3C4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4E7681"/>
    <w:multiLevelType w:val="multilevel"/>
    <w:tmpl w:val="74A4511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3B42DF4"/>
    <w:multiLevelType w:val="multilevel"/>
    <w:tmpl w:val="4726DD76"/>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8"/>
  </w:num>
  <w:num w:numId="4">
    <w:abstractNumId w:val="2"/>
  </w:num>
  <w:num w:numId="5">
    <w:abstractNumId w:val="5"/>
  </w:num>
  <w:num w:numId="6">
    <w:abstractNumId w:val="4"/>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23394"/>
    <w:rsid w:val="000258D7"/>
    <w:rsid w:val="000355FD"/>
    <w:rsid w:val="00051E39"/>
    <w:rsid w:val="00077239"/>
    <w:rsid w:val="000822BE"/>
    <w:rsid w:val="00086491"/>
    <w:rsid w:val="00091346"/>
    <w:rsid w:val="000F73FF"/>
    <w:rsid w:val="00114CF7"/>
    <w:rsid w:val="00123B68"/>
    <w:rsid w:val="001259DF"/>
    <w:rsid w:val="00126F2E"/>
    <w:rsid w:val="001316DD"/>
    <w:rsid w:val="00136553"/>
    <w:rsid w:val="00146F6F"/>
    <w:rsid w:val="00152957"/>
    <w:rsid w:val="00172997"/>
    <w:rsid w:val="00187BD9"/>
    <w:rsid w:val="00190B55"/>
    <w:rsid w:val="00194CFB"/>
    <w:rsid w:val="001A2D90"/>
    <w:rsid w:val="001B2ED3"/>
    <w:rsid w:val="001C3B5F"/>
    <w:rsid w:val="001D058F"/>
    <w:rsid w:val="002009EA"/>
    <w:rsid w:val="00202CA0"/>
    <w:rsid w:val="002154A6"/>
    <w:rsid w:val="0021723D"/>
    <w:rsid w:val="002255B3"/>
    <w:rsid w:val="00245873"/>
    <w:rsid w:val="00271316"/>
    <w:rsid w:val="002854B3"/>
    <w:rsid w:val="002C43C7"/>
    <w:rsid w:val="002D58BE"/>
    <w:rsid w:val="002E7D89"/>
    <w:rsid w:val="003013EE"/>
    <w:rsid w:val="00312EB6"/>
    <w:rsid w:val="003364A1"/>
    <w:rsid w:val="0035624A"/>
    <w:rsid w:val="00373F9E"/>
    <w:rsid w:val="00377BD3"/>
    <w:rsid w:val="00384088"/>
    <w:rsid w:val="0038661F"/>
    <w:rsid w:val="0039169B"/>
    <w:rsid w:val="003A7F8C"/>
    <w:rsid w:val="003B532E"/>
    <w:rsid w:val="003B6F14"/>
    <w:rsid w:val="003D0F8B"/>
    <w:rsid w:val="003E1CFD"/>
    <w:rsid w:val="004131D4"/>
    <w:rsid w:val="0041348E"/>
    <w:rsid w:val="00447308"/>
    <w:rsid w:val="004528E8"/>
    <w:rsid w:val="004765FF"/>
    <w:rsid w:val="00486FD1"/>
    <w:rsid w:val="00492075"/>
    <w:rsid w:val="004969AD"/>
    <w:rsid w:val="004B13CB"/>
    <w:rsid w:val="004B153A"/>
    <w:rsid w:val="004B4FDF"/>
    <w:rsid w:val="004D205E"/>
    <w:rsid w:val="004D5D5C"/>
    <w:rsid w:val="0050139F"/>
    <w:rsid w:val="00515EAC"/>
    <w:rsid w:val="00521223"/>
    <w:rsid w:val="00525CB9"/>
    <w:rsid w:val="00527C2F"/>
    <w:rsid w:val="0055140B"/>
    <w:rsid w:val="0057148B"/>
    <w:rsid w:val="005964AB"/>
    <w:rsid w:val="005C099A"/>
    <w:rsid w:val="005C0C44"/>
    <w:rsid w:val="005C31A5"/>
    <w:rsid w:val="005D3F58"/>
    <w:rsid w:val="005E10C9"/>
    <w:rsid w:val="005E61DD"/>
    <w:rsid w:val="005E6321"/>
    <w:rsid w:val="0060027B"/>
    <w:rsid w:val="006023DF"/>
    <w:rsid w:val="006325CB"/>
    <w:rsid w:val="00657DE0"/>
    <w:rsid w:val="0067199F"/>
    <w:rsid w:val="00685313"/>
    <w:rsid w:val="0068655E"/>
    <w:rsid w:val="006A3C84"/>
    <w:rsid w:val="006A6E9B"/>
    <w:rsid w:val="006B7C2A"/>
    <w:rsid w:val="006C23DA"/>
    <w:rsid w:val="006D6B74"/>
    <w:rsid w:val="006E3D45"/>
    <w:rsid w:val="006E47CF"/>
    <w:rsid w:val="007149F9"/>
    <w:rsid w:val="007322AA"/>
    <w:rsid w:val="00733A30"/>
    <w:rsid w:val="00736C14"/>
    <w:rsid w:val="00745AEE"/>
    <w:rsid w:val="007479EA"/>
    <w:rsid w:val="00750F10"/>
    <w:rsid w:val="007658FE"/>
    <w:rsid w:val="007742CA"/>
    <w:rsid w:val="007D06F0"/>
    <w:rsid w:val="007D45E3"/>
    <w:rsid w:val="007D5320"/>
    <w:rsid w:val="00800972"/>
    <w:rsid w:val="00804475"/>
    <w:rsid w:val="00811633"/>
    <w:rsid w:val="00821CEF"/>
    <w:rsid w:val="00824866"/>
    <w:rsid w:val="00832828"/>
    <w:rsid w:val="0083645A"/>
    <w:rsid w:val="00872FC8"/>
    <w:rsid w:val="008801D3"/>
    <w:rsid w:val="008845D0"/>
    <w:rsid w:val="008B43F2"/>
    <w:rsid w:val="008B6CFF"/>
    <w:rsid w:val="00910B26"/>
    <w:rsid w:val="009274B4"/>
    <w:rsid w:val="00934EA2"/>
    <w:rsid w:val="00944A5C"/>
    <w:rsid w:val="00952A66"/>
    <w:rsid w:val="00997F29"/>
    <w:rsid w:val="009C56E5"/>
    <w:rsid w:val="009E5FC8"/>
    <w:rsid w:val="009E687A"/>
    <w:rsid w:val="009E6D67"/>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AB53A5"/>
    <w:rsid w:val="00B004E5"/>
    <w:rsid w:val="00B639E9"/>
    <w:rsid w:val="00B817CD"/>
    <w:rsid w:val="00BB3A95"/>
    <w:rsid w:val="00C0018F"/>
    <w:rsid w:val="00C20466"/>
    <w:rsid w:val="00C214ED"/>
    <w:rsid w:val="00C234E6"/>
    <w:rsid w:val="00C31FE2"/>
    <w:rsid w:val="00C324A8"/>
    <w:rsid w:val="00C54517"/>
    <w:rsid w:val="00C64CD8"/>
    <w:rsid w:val="00C97C68"/>
    <w:rsid w:val="00CA1A47"/>
    <w:rsid w:val="00CC247A"/>
    <w:rsid w:val="00CD6962"/>
    <w:rsid w:val="00CE5E47"/>
    <w:rsid w:val="00CE7C62"/>
    <w:rsid w:val="00CF020F"/>
    <w:rsid w:val="00CF2B5B"/>
    <w:rsid w:val="00D14CE0"/>
    <w:rsid w:val="00D5651D"/>
    <w:rsid w:val="00D74898"/>
    <w:rsid w:val="00D801ED"/>
    <w:rsid w:val="00D80402"/>
    <w:rsid w:val="00D83BF5"/>
    <w:rsid w:val="00D925C2"/>
    <w:rsid w:val="00D936BC"/>
    <w:rsid w:val="00D96530"/>
    <w:rsid w:val="00D96B4B"/>
    <w:rsid w:val="00DA7078"/>
    <w:rsid w:val="00DC0775"/>
    <w:rsid w:val="00DD08B4"/>
    <w:rsid w:val="00DD44AF"/>
    <w:rsid w:val="00DE2AC3"/>
    <w:rsid w:val="00DE434C"/>
    <w:rsid w:val="00DE5692"/>
    <w:rsid w:val="00DF6F8E"/>
    <w:rsid w:val="00E03C94"/>
    <w:rsid w:val="00E05F13"/>
    <w:rsid w:val="00E26226"/>
    <w:rsid w:val="00E45D05"/>
    <w:rsid w:val="00E55816"/>
    <w:rsid w:val="00E55AEF"/>
    <w:rsid w:val="00E976C1"/>
    <w:rsid w:val="00EA12E5"/>
    <w:rsid w:val="00EB4CAF"/>
    <w:rsid w:val="00EF11A0"/>
    <w:rsid w:val="00F02766"/>
    <w:rsid w:val="00F04067"/>
    <w:rsid w:val="00F05BD4"/>
    <w:rsid w:val="00F140BC"/>
    <w:rsid w:val="00F21A1D"/>
    <w:rsid w:val="00F228B0"/>
    <w:rsid w:val="00F65C19"/>
    <w:rsid w:val="00F7464C"/>
    <w:rsid w:val="00F85F86"/>
    <w:rsid w:val="00FD2546"/>
    <w:rsid w:val="00FD43A8"/>
    <w:rsid w:val="00FD772E"/>
    <w:rsid w:val="00FE4291"/>
    <w:rsid w:val="00FE78C7"/>
    <w:rsid w:val="00FF43A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07AB57-CFF9-47F0-95CD-B9E7B25B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D6962"/>
    <w:pPr>
      <w:keepNext/>
      <w:keepLines/>
      <w:spacing w:before="280"/>
      <w:ind w:left="1134" w:hanging="1134"/>
      <w:outlineLvl w:val="0"/>
    </w:pPr>
    <w:rPr>
      <w:b/>
      <w:sz w:val="28"/>
    </w:rPr>
  </w:style>
  <w:style w:type="paragraph" w:styleId="Heading2">
    <w:name w:val="heading 2"/>
    <w:basedOn w:val="Heading1"/>
    <w:next w:val="Normal"/>
    <w:qFormat/>
    <w:rsid w:val="00CD6962"/>
    <w:pPr>
      <w:spacing w:before="200"/>
      <w:outlineLvl w:val="1"/>
    </w:pPr>
    <w:rPr>
      <w:sz w:val="24"/>
    </w:rPr>
  </w:style>
  <w:style w:type="paragraph" w:styleId="Heading3">
    <w:name w:val="heading 3"/>
    <w:basedOn w:val="Heading1"/>
    <w:next w:val="Normal"/>
    <w:qFormat/>
    <w:rsid w:val="00CD6962"/>
    <w:pPr>
      <w:tabs>
        <w:tab w:val="clear" w:pos="1134"/>
      </w:tabs>
      <w:spacing w:before="200"/>
      <w:outlineLvl w:val="2"/>
    </w:pPr>
    <w:rPr>
      <w:sz w:val="24"/>
    </w:rPr>
  </w:style>
  <w:style w:type="paragraph" w:styleId="Heading4">
    <w:name w:val="heading 4"/>
    <w:basedOn w:val="Heading3"/>
    <w:next w:val="Normal"/>
    <w:qFormat/>
    <w:rsid w:val="00CD6962"/>
    <w:pPr>
      <w:outlineLvl w:val="3"/>
    </w:pPr>
  </w:style>
  <w:style w:type="paragraph" w:styleId="Heading5">
    <w:name w:val="heading 5"/>
    <w:basedOn w:val="Heading4"/>
    <w:next w:val="Normal"/>
    <w:qFormat/>
    <w:rsid w:val="00CD6962"/>
    <w:pPr>
      <w:outlineLvl w:val="4"/>
    </w:pPr>
  </w:style>
  <w:style w:type="paragraph" w:styleId="Heading6">
    <w:name w:val="heading 6"/>
    <w:basedOn w:val="Heading4"/>
    <w:next w:val="Normal"/>
    <w:qFormat/>
    <w:rsid w:val="00CD6962"/>
    <w:pPr>
      <w:outlineLvl w:val="5"/>
    </w:pPr>
  </w:style>
  <w:style w:type="paragraph" w:styleId="Heading7">
    <w:name w:val="heading 7"/>
    <w:basedOn w:val="Heading6"/>
    <w:next w:val="Normal"/>
    <w:qFormat/>
    <w:rsid w:val="00CD6962"/>
    <w:pPr>
      <w:outlineLvl w:val="6"/>
    </w:pPr>
  </w:style>
  <w:style w:type="paragraph" w:styleId="Heading8">
    <w:name w:val="heading 8"/>
    <w:basedOn w:val="Heading6"/>
    <w:next w:val="Normal"/>
    <w:qFormat/>
    <w:rsid w:val="00CD6962"/>
    <w:pPr>
      <w:outlineLvl w:val="7"/>
    </w:pPr>
  </w:style>
  <w:style w:type="paragraph" w:styleId="Heading9">
    <w:name w:val="heading 9"/>
    <w:basedOn w:val="Heading6"/>
    <w:next w:val="Normal"/>
    <w:qFormat/>
    <w:rsid w:val="00CD69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4540">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61537394">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gamal@ntc.gov.s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unstats.un.org/unsd/statcom/doc15/2015-4-BigData-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C67D6-CEFE-4AFE-8EC3-4585BFEF5BAE}">
  <ds:schemaRefs>
    <ds:schemaRef ds:uri="http://www.w3.org/XML/1998/namespace"/>
    <ds:schemaRef ds:uri="http://schemas.microsoft.com/office/2006/metadata/properties"/>
    <ds:schemaRef ds:uri="32a1a8c5-2265-4ebc-b7a0-2071e2c5c9bb"/>
    <ds:schemaRef ds:uri="http://purl.org/dc/elements/1.1/"/>
    <ds:schemaRef ds:uri="996b2e75-67fd-4955-a3b0-5ab9934cb50b"/>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B0C85580-420F-4E0B-B4AF-FD098C9E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1042</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7091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dc:creator>
  <cp:keywords/>
  <dc:description/>
  <cp:lastModifiedBy>Dion, Brigitte</cp:lastModifiedBy>
  <cp:revision>7</cp:revision>
  <cp:lastPrinted>2017-01-19T12:36:00Z</cp:lastPrinted>
  <dcterms:created xsi:type="dcterms:W3CDTF">2017-01-17T09:28:00Z</dcterms:created>
  <dcterms:modified xsi:type="dcterms:W3CDTF">2017-01-19T12:43:00Z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