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371"/>
        <w:gridCol w:w="3642"/>
        <w:gridCol w:w="12"/>
      </w:tblGrid>
      <w:tr w:rsidR="0070796E" w:rsidRPr="00AE2BCA" w:rsidTr="009E1557">
        <w:trPr>
          <w:gridBefore w:val="1"/>
          <w:wBefore w:w="8" w:type="dxa"/>
          <w:cantSplit/>
          <w:jc w:val="center"/>
        </w:trPr>
        <w:tc>
          <w:tcPr>
            <w:tcW w:w="6371" w:type="dxa"/>
          </w:tcPr>
          <w:p w:rsidR="0070796E" w:rsidRPr="00A82D92" w:rsidRDefault="00501504" w:rsidP="00562A87">
            <w:pPr>
              <w:rPr>
                <w:b/>
                <w:bCs/>
                <w:sz w:val="28"/>
                <w:szCs w:val="28"/>
              </w:rPr>
            </w:pPr>
            <w:bookmarkStart w:id="0" w:name="Meeting"/>
            <w:bookmarkEnd w:id="0"/>
            <w:r w:rsidRPr="00A82D92">
              <w:rPr>
                <w:b/>
                <w:bCs/>
                <w:sz w:val="28"/>
                <w:szCs w:val="28"/>
              </w:rPr>
              <w:t xml:space="preserve">Regional Preparatory Meeting </w:t>
            </w:r>
            <w:r w:rsidR="00A82D92" w:rsidRPr="00A82D92">
              <w:rPr>
                <w:b/>
                <w:bCs/>
                <w:sz w:val="28"/>
                <w:szCs w:val="28"/>
              </w:rPr>
              <w:br/>
            </w:r>
            <w:r w:rsidRPr="00A82D92">
              <w:rPr>
                <w:b/>
                <w:bCs/>
                <w:sz w:val="28"/>
                <w:szCs w:val="28"/>
              </w:rPr>
              <w:t>for WTDC-17 for Americas (RPM-AMS)</w:t>
            </w:r>
            <w:r w:rsidR="00562A87" w:rsidRPr="00A82D92">
              <w:rPr>
                <w:b/>
                <w:bCs/>
                <w:sz w:val="28"/>
                <w:szCs w:val="28"/>
              </w:rPr>
              <w:t xml:space="preserve"> </w:t>
            </w:r>
          </w:p>
        </w:tc>
        <w:tc>
          <w:tcPr>
            <w:tcW w:w="3654"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A82D92" w:rsidTr="00A82D92">
        <w:trPr>
          <w:gridAfter w:val="1"/>
          <w:wAfter w:w="12" w:type="dxa"/>
          <w:cantSplit/>
          <w:trHeight w:val="300"/>
          <w:jc w:val="center"/>
        </w:trPr>
        <w:tc>
          <w:tcPr>
            <w:tcW w:w="10021" w:type="dxa"/>
            <w:gridSpan w:val="3"/>
            <w:tcBorders>
              <w:bottom w:val="single" w:sz="12" w:space="0" w:color="auto"/>
            </w:tcBorders>
          </w:tcPr>
          <w:p w:rsidR="006D0B95" w:rsidRPr="00A82D92" w:rsidRDefault="00501504" w:rsidP="00A82D92">
            <w:pPr>
              <w:spacing w:before="0"/>
              <w:rPr>
                <w:b/>
                <w:bCs/>
                <w:sz w:val="26"/>
                <w:szCs w:val="26"/>
                <w:lang w:val="en-US"/>
              </w:rPr>
            </w:pPr>
            <w:bookmarkStart w:id="1" w:name="PlaceDate"/>
            <w:bookmarkEnd w:id="1"/>
            <w:r w:rsidRPr="00A82D92">
              <w:rPr>
                <w:b/>
                <w:bCs/>
                <w:sz w:val="26"/>
                <w:szCs w:val="26"/>
                <w:lang w:val="en-US"/>
              </w:rPr>
              <w:t>Asuncion, Paraguay, 22-24 February 2017</w:t>
            </w:r>
          </w:p>
        </w:tc>
      </w:tr>
      <w:tr w:rsidR="0070796E" w:rsidRPr="002D0049" w:rsidTr="009E1557">
        <w:trPr>
          <w:gridBefore w:val="1"/>
          <w:wBefore w:w="8" w:type="dxa"/>
          <w:cantSplit/>
          <w:trHeight w:val="238"/>
          <w:jc w:val="center"/>
        </w:trPr>
        <w:tc>
          <w:tcPr>
            <w:tcW w:w="6371" w:type="dxa"/>
            <w:tcBorders>
              <w:top w:val="single" w:sz="12" w:space="0" w:color="auto"/>
            </w:tcBorders>
          </w:tcPr>
          <w:p w:rsidR="0070796E" w:rsidRPr="002D0049" w:rsidRDefault="0070796E" w:rsidP="006D0B95">
            <w:pPr>
              <w:spacing w:before="0"/>
              <w:rPr>
                <w:lang w:val="en-US"/>
              </w:rPr>
            </w:pPr>
          </w:p>
        </w:tc>
        <w:tc>
          <w:tcPr>
            <w:tcW w:w="3654" w:type="dxa"/>
            <w:gridSpan w:val="2"/>
            <w:tcBorders>
              <w:top w:val="single" w:sz="12" w:space="0" w:color="auto"/>
            </w:tcBorders>
          </w:tcPr>
          <w:p w:rsidR="0070796E" w:rsidRPr="002D0049" w:rsidRDefault="0070796E" w:rsidP="006D0B95">
            <w:pPr>
              <w:spacing w:before="0"/>
              <w:rPr>
                <w:lang w:val="en-US"/>
              </w:rPr>
            </w:pPr>
          </w:p>
        </w:tc>
      </w:tr>
      <w:tr w:rsidR="0070796E" w:rsidRPr="00AE2BCA" w:rsidTr="009E1557">
        <w:trPr>
          <w:gridBefore w:val="1"/>
          <w:wBefore w:w="8" w:type="dxa"/>
          <w:cantSplit/>
          <w:trHeight w:val="20"/>
          <w:jc w:val="center"/>
        </w:trPr>
        <w:tc>
          <w:tcPr>
            <w:tcW w:w="6371" w:type="dxa"/>
            <w:vMerge w:val="restart"/>
          </w:tcPr>
          <w:p w:rsidR="0070796E" w:rsidRPr="002D0049" w:rsidRDefault="0070796E">
            <w:pPr>
              <w:rPr>
                <w:lang w:val="en-US"/>
              </w:rPr>
            </w:pPr>
          </w:p>
        </w:tc>
        <w:tc>
          <w:tcPr>
            <w:tcW w:w="3654" w:type="dxa"/>
            <w:gridSpan w:val="2"/>
          </w:tcPr>
          <w:p w:rsidR="0070796E" w:rsidRPr="00930F7E" w:rsidRDefault="0070796E" w:rsidP="000D6321">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A82D92">
              <w:rPr>
                <w:b/>
                <w:bCs/>
                <w:szCs w:val="24"/>
                <w:lang w:val="fr-FR"/>
              </w:rPr>
              <w:t>RPM-AMS17</w:t>
            </w:r>
            <w:r w:rsidR="009E1557">
              <w:rPr>
                <w:b/>
                <w:bCs/>
                <w:szCs w:val="24"/>
                <w:lang w:val="fr-FR"/>
              </w:rPr>
              <w:t>/INF</w:t>
            </w:r>
            <w:r w:rsidR="006527BD" w:rsidRPr="00930F7E">
              <w:rPr>
                <w:b/>
                <w:bCs/>
                <w:szCs w:val="24"/>
                <w:lang w:val="fr-FR"/>
              </w:rPr>
              <w:t>/</w:t>
            </w:r>
            <w:bookmarkStart w:id="3" w:name="DocNo1"/>
            <w:bookmarkEnd w:id="3"/>
            <w:r w:rsidR="000D6321">
              <w:rPr>
                <w:b/>
                <w:bCs/>
                <w:szCs w:val="24"/>
                <w:lang w:val="fr-FR"/>
              </w:rPr>
              <w:t>10</w:t>
            </w:r>
            <w:r w:rsidR="00501504">
              <w:rPr>
                <w:b/>
                <w:bCs/>
                <w:szCs w:val="24"/>
                <w:lang w:val="fr-FR"/>
              </w:rPr>
              <w:t>-E</w:t>
            </w:r>
          </w:p>
        </w:tc>
      </w:tr>
      <w:tr w:rsidR="0070796E" w:rsidRPr="00AE2BCA" w:rsidTr="009E1557">
        <w:trPr>
          <w:gridBefore w:val="1"/>
          <w:wBefore w:w="8" w:type="dxa"/>
          <w:cantSplit/>
          <w:trHeight w:val="23"/>
          <w:jc w:val="center"/>
        </w:trPr>
        <w:tc>
          <w:tcPr>
            <w:tcW w:w="6371" w:type="dxa"/>
            <w:vMerge/>
          </w:tcPr>
          <w:p w:rsidR="0070796E" w:rsidRPr="00AE2BCA" w:rsidRDefault="0070796E">
            <w:pPr>
              <w:tabs>
                <w:tab w:val="left" w:pos="851"/>
              </w:tabs>
              <w:spacing w:line="240" w:lineRule="atLeast"/>
              <w:rPr>
                <w:b/>
              </w:rPr>
            </w:pPr>
          </w:p>
        </w:tc>
        <w:tc>
          <w:tcPr>
            <w:tcW w:w="3654" w:type="dxa"/>
            <w:gridSpan w:val="2"/>
          </w:tcPr>
          <w:p w:rsidR="0070796E" w:rsidRPr="00930F7E" w:rsidRDefault="000D6321" w:rsidP="00BF1682">
            <w:pPr>
              <w:spacing w:before="0"/>
              <w:rPr>
                <w:b/>
                <w:bCs/>
                <w:szCs w:val="24"/>
                <w:lang w:val="fr-FR"/>
              </w:rPr>
            </w:pPr>
            <w:bookmarkStart w:id="4" w:name="CreationDate"/>
            <w:bookmarkEnd w:id="4"/>
            <w:r>
              <w:rPr>
                <w:b/>
                <w:bCs/>
                <w:szCs w:val="24"/>
                <w:lang w:val="fr-FR"/>
              </w:rPr>
              <w:t>22</w:t>
            </w:r>
            <w:r w:rsidR="00501504">
              <w:rPr>
                <w:b/>
                <w:bCs/>
                <w:szCs w:val="24"/>
                <w:lang w:val="fr-FR"/>
              </w:rPr>
              <w:t xml:space="preserve"> </w:t>
            </w:r>
            <w:proofErr w:type="spellStart"/>
            <w:r w:rsidR="00501504">
              <w:rPr>
                <w:b/>
                <w:bCs/>
                <w:szCs w:val="24"/>
                <w:lang w:val="fr-FR"/>
              </w:rPr>
              <w:t>February</w:t>
            </w:r>
            <w:proofErr w:type="spellEnd"/>
            <w:r w:rsidR="00501504">
              <w:rPr>
                <w:b/>
                <w:bCs/>
                <w:szCs w:val="24"/>
                <w:lang w:val="fr-FR"/>
              </w:rPr>
              <w:t xml:space="preserve"> 2017</w:t>
            </w:r>
          </w:p>
        </w:tc>
      </w:tr>
      <w:tr w:rsidR="0070796E" w:rsidRPr="00AE2BCA" w:rsidTr="009E1557">
        <w:trPr>
          <w:gridBefore w:val="1"/>
          <w:wBefore w:w="8" w:type="dxa"/>
          <w:cantSplit/>
          <w:trHeight w:val="333"/>
          <w:jc w:val="center"/>
        </w:trPr>
        <w:tc>
          <w:tcPr>
            <w:tcW w:w="6371" w:type="dxa"/>
            <w:vMerge/>
          </w:tcPr>
          <w:p w:rsidR="0070796E" w:rsidRPr="00AE2BCA" w:rsidRDefault="0070796E">
            <w:pPr>
              <w:tabs>
                <w:tab w:val="left" w:pos="851"/>
              </w:tabs>
              <w:spacing w:line="240" w:lineRule="atLeast"/>
              <w:rPr>
                <w:b/>
              </w:rPr>
            </w:pPr>
          </w:p>
        </w:tc>
        <w:tc>
          <w:tcPr>
            <w:tcW w:w="3654" w:type="dxa"/>
            <w:gridSpan w:val="2"/>
          </w:tcPr>
          <w:p w:rsidR="0070796E" w:rsidRPr="00930F7E" w:rsidRDefault="00117A8A" w:rsidP="000D6321">
            <w:pPr>
              <w:spacing w:before="0" w:after="120"/>
              <w:rPr>
                <w:b/>
                <w:bCs/>
                <w:szCs w:val="24"/>
                <w:lang w:val="fr-FR"/>
              </w:rPr>
            </w:pPr>
            <w:bookmarkStart w:id="5" w:name="Original"/>
            <w:bookmarkEnd w:id="5"/>
            <w:r>
              <w:rPr>
                <w:b/>
                <w:bCs/>
                <w:szCs w:val="24"/>
                <w:lang w:val="fr-FR"/>
              </w:rPr>
              <w:t>E</w:t>
            </w:r>
            <w:r w:rsidR="00501504">
              <w:rPr>
                <w:b/>
                <w:bCs/>
                <w:szCs w:val="24"/>
                <w:lang w:val="fr-FR"/>
              </w:rPr>
              <w:t>nglish</w:t>
            </w:r>
            <w:r>
              <w:rPr>
                <w:b/>
                <w:bCs/>
                <w:szCs w:val="24"/>
                <w:lang w:val="fr-FR"/>
              </w:rPr>
              <w:t xml:space="preserve"> </w:t>
            </w:r>
            <w:proofErr w:type="spellStart"/>
            <w:r>
              <w:rPr>
                <w:b/>
                <w:bCs/>
                <w:szCs w:val="24"/>
                <w:lang w:val="fr-FR"/>
              </w:rPr>
              <w:t>only</w:t>
            </w:r>
            <w:proofErr w:type="spellEnd"/>
          </w:p>
        </w:tc>
      </w:tr>
      <w:tr w:rsidR="0070796E" w:rsidRPr="00AE2BCA" w:rsidTr="00A82D92">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A82D92">
        <w:trPr>
          <w:gridAfter w:val="1"/>
          <w:wAfter w:w="12" w:type="dxa"/>
          <w:cantSplit/>
          <w:trHeight w:val="23"/>
          <w:jc w:val="center"/>
        </w:trPr>
        <w:tc>
          <w:tcPr>
            <w:tcW w:w="10021" w:type="dxa"/>
            <w:gridSpan w:val="3"/>
          </w:tcPr>
          <w:p w:rsidR="00562A87" w:rsidRPr="008D1768" w:rsidRDefault="000D6321" w:rsidP="003F1BAA">
            <w:pPr>
              <w:spacing w:after="120"/>
              <w:jc w:val="center"/>
              <w:rPr>
                <w:b/>
                <w:bCs/>
                <w:sz w:val="28"/>
                <w:szCs w:val="28"/>
                <w:lang w:val="fr-FR"/>
              </w:rPr>
            </w:pPr>
            <w:bookmarkStart w:id="6" w:name="Source"/>
            <w:bookmarkEnd w:id="6"/>
            <w:r>
              <w:rPr>
                <w:b/>
                <w:bCs/>
                <w:sz w:val="28"/>
                <w:szCs w:val="28"/>
                <w:lang w:val="fr-FR"/>
              </w:rPr>
              <w:t xml:space="preserve">Director, </w:t>
            </w:r>
            <w:proofErr w:type="spellStart"/>
            <w:r>
              <w:rPr>
                <w:b/>
                <w:bCs/>
                <w:sz w:val="28"/>
                <w:szCs w:val="28"/>
                <w:lang w:val="fr-FR"/>
              </w:rPr>
              <w:t>Telecommunication</w:t>
            </w:r>
            <w:proofErr w:type="spellEnd"/>
            <w:r>
              <w:rPr>
                <w:b/>
                <w:bCs/>
                <w:sz w:val="28"/>
                <w:szCs w:val="28"/>
                <w:lang w:val="fr-FR"/>
              </w:rPr>
              <w:t xml:space="preserve"> </w:t>
            </w:r>
            <w:proofErr w:type="spellStart"/>
            <w:r>
              <w:rPr>
                <w:b/>
                <w:bCs/>
                <w:sz w:val="28"/>
                <w:szCs w:val="28"/>
                <w:lang w:val="fr-FR"/>
              </w:rPr>
              <w:t>Development</w:t>
            </w:r>
            <w:proofErr w:type="spellEnd"/>
            <w:r>
              <w:rPr>
                <w:b/>
                <w:bCs/>
                <w:sz w:val="28"/>
                <w:szCs w:val="28"/>
                <w:lang w:val="fr-FR"/>
              </w:rPr>
              <w:t xml:space="preserve"> Bureau</w:t>
            </w:r>
          </w:p>
        </w:tc>
      </w:tr>
      <w:tr w:rsidR="00562A87" w:rsidRPr="008D1768" w:rsidTr="00A82D92">
        <w:trPr>
          <w:gridAfter w:val="1"/>
          <w:wAfter w:w="12" w:type="dxa"/>
          <w:cantSplit/>
          <w:trHeight w:val="537"/>
          <w:jc w:val="center"/>
        </w:trPr>
        <w:tc>
          <w:tcPr>
            <w:tcW w:w="10021" w:type="dxa"/>
            <w:gridSpan w:val="3"/>
          </w:tcPr>
          <w:p w:rsidR="00562A87" w:rsidRPr="000D6321" w:rsidRDefault="00C17018" w:rsidP="00C17018">
            <w:pPr>
              <w:bidi/>
              <w:spacing w:after="120"/>
              <w:jc w:val="center"/>
              <w:rPr>
                <w:sz w:val="28"/>
                <w:szCs w:val="28"/>
              </w:rPr>
            </w:pPr>
            <w:bookmarkStart w:id="7" w:name="Title"/>
            <w:bookmarkEnd w:id="7"/>
            <w:r>
              <w:rPr>
                <w:sz w:val="28"/>
                <w:szCs w:val="28"/>
                <w:lang w:val="en-US"/>
              </w:rPr>
              <w:t xml:space="preserve">STATUS OF THE </w:t>
            </w:r>
            <w:r w:rsidR="000D6321" w:rsidRPr="000D6321">
              <w:rPr>
                <w:sz w:val="28"/>
                <w:szCs w:val="28"/>
                <w:lang w:val="en-US"/>
              </w:rPr>
              <w:t xml:space="preserve">DRAFT </w:t>
            </w:r>
            <w:r>
              <w:rPr>
                <w:sz w:val="28"/>
                <w:szCs w:val="28"/>
                <w:lang w:val="en-US"/>
              </w:rPr>
              <w:t xml:space="preserve">BIENNIAL </w:t>
            </w:r>
            <w:r w:rsidR="000D6321" w:rsidRPr="000D6321">
              <w:rPr>
                <w:sz w:val="28"/>
                <w:szCs w:val="28"/>
                <w:lang w:val="en-US"/>
              </w:rPr>
              <w:t xml:space="preserve">BUDGET OF </w:t>
            </w:r>
            <w:r>
              <w:rPr>
                <w:sz w:val="28"/>
                <w:szCs w:val="28"/>
                <w:lang w:val="en-US"/>
              </w:rPr>
              <w:t>THE UNION</w:t>
            </w:r>
            <w:r w:rsidR="000D6321" w:rsidRPr="000D6321">
              <w:rPr>
                <w:sz w:val="28"/>
                <w:szCs w:val="28"/>
                <w:lang w:val="en-US"/>
              </w:rPr>
              <w:t xml:space="preserve"> </w:t>
            </w:r>
            <w:r>
              <w:rPr>
                <w:sz w:val="28"/>
                <w:szCs w:val="28"/>
                <w:lang w:val="en-US"/>
              </w:rPr>
              <w:t xml:space="preserve">FOR 2018-2019 </w:t>
            </w:r>
            <w:r>
              <w:rPr>
                <w:sz w:val="28"/>
                <w:szCs w:val="28"/>
                <w:lang w:val="en-US"/>
              </w:rPr>
              <w:br/>
            </w:r>
            <w:r w:rsidR="000D6321" w:rsidRPr="000D6321">
              <w:rPr>
                <w:sz w:val="28"/>
                <w:szCs w:val="28"/>
                <w:lang w:val="en-US"/>
              </w:rPr>
              <w:t>AS PRESENTED TO THE C</w:t>
            </w:r>
            <w:r>
              <w:rPr>
                <w:sz w:val="28"/>
                <w:szCs w:val="28"/>
                <w:lang w:val="en-US"/>
              </w:rPr>
              <w:t>OUNCIL WORKING GROUP</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Default="00C04537" w:rsidP="00172815">
            <w:pPr>
              <w:keepNext/>
              <w:tabs>
                <w:tab w:val="clear" w:pos="794"/>
                <w:tab w:val="clear" w:pos="1191"/>
                <w:tab w:val="clear" w:pos="1588"/>
                <w:tab w:val="clear" w:pos="1985"/>
                <w:tab w:val="left" w:pos="1951"/>
              </w:tabs>
              <w:rPr>
                <w:b/>
                <w:bCs/>
                <w:szCs w:val="24"/>
              </w:rPr>
            </w:pPr>
            <w:r w:rsidRPr="005F2DA4">
              <w:rPr>
                <w:b/>
                <w:bCs/>
                <w:szCs w:val="24"/>
              </w:rPr>
              <w:t>Summary:</w:t>
            </w:r>
          </w:p>
          <w:p w:rsidR="00172815" w:rsidRPr="00172815" w:rsidRDefault="00172815" w:rsidP="00C17018">
            <w:pPr>
              <w:tabs>
                <w:tab w:val="clear" w:pos="794"/>
                <w:tab w:val="clear" w:pos="1191"/>
                <w:tab w:val="clear" w:pos="1588"/>
                <w:tab w:val="clear" w:pos="1985"/>
                <w:tab w:val="left" w:pos="1951"/>
              </w:tabs>
              <w:rPr>
                <w:szCs w:val="24"/>
              </w:rPr>
            </w:pPr>
            <w:r>
              <w:rPr>
                <w:szCs w:val="24"/>
              </w:rPr>
              <w:t xml:space="preserve">As requested by the Heads of Delegation meeting, this information document contains the document submitted by the Secretariat to the Council Working Group on Financial and Human Resources at its </w:t>
            </w:r>
            <w:bookmarkStart w:id="8" w:name="_GoBack"/>
            <w:r w:rsidR="00C17018">
              <w:rPr>
                <w:szCs w:val="24"/>
              </w:rPr>
              <w:t xml:space="preserve">meeting in </w:t>
            </w:r>
            <w:bookmarkEnd w:id="8"/>
            <w:r>
              <w:rPr>
                <w:szCs w:val="24"/>
              </w:rPr>
              <w:t>January 2017, detailing the status of the draft biennial Budget for the years 2018-2019.</w:t>
            </w:r>
          </w:p>
          <w:p w:rsidR="00C04537" w:rsidRPr="005F2DA4" w:rsidRDefault="00C04537" w:rsidP="00172815">
            <w:pPr>
              <w:keepNext/>
              <w:tabs>
                <w:tab w:val="clear" w:pos="794"/>
                <w:tab w:val="clear" w:pos="1191"/>
                <w:tab w:val="clear" w:pos="1588"/>
                <w:tab w:val="clear" w:pos="1985"/>
                <w:tab w:val="left" w:pos="1951"/>
              </w:tabs>
              <w:rPr>
                <w:b/>
                <w:bCs/>
                <w:szCs w:val="24"/>
              </w:rPr>
            </w:pPr>
            <w:bookmarkStart w:id="9" w:name="Summary"/>
            <w:bookmarkEnd w:id="9"/>
            <w:r w:rsidRPr="005F2DA4">
              <w:rPr>
                <w:b/>
                <w:bCs/>
                <w:szCs w:val="24"/>
              </w:rPr>
              <w:t>Expected results:</w:t>
            </w:r>
          </w:p>
          <w:p w:rsidR="00C04537" w:rsidRPr="000824C7" w:rsidRDefault="00E028B1" w:rsidP="00E028B1">
            <w:pPr>
              <w:tabs>
                <w:tab w:val="clear" w:pos="794"/>
                <w:tab w:val="clear" w:pos="1191"/>
                <w:tab w:val="clear" w:pos="1588"/>
                <w:tab w:val="clear" w:pos="1985"/>
                <w:tab w:val="left" w:pos="1951"/>
              </w:tabs>
              <w:rPr>
                <w:szCs w:val="24"/>
              </w:rPr>
            </w:pPr>
            <w:bookmarkStart w:id="10" w:name="Results"/>
            <w:bookmarkEnd w:id="10"/>
            <w:r>
              <w:rPr>
                <w:szCs w:val="24"/>
              </w:rPr>
              <w:t xml:space="preserve">To be used as information for participants in </w:t>
            </w:r>
            <w:r w:rsidR="00172815">
              <w:rPr>
                <w:szCs w:val="24"/>
              </w:rPr>
              <w:t>RPM-AMS.</w:t>
            </w:r>
          </w:p>
          <w:p w:rsidR="00C04537" w:rsidRPr="005F2DA4" w:rsidRDefault="00C04537" w:rsidP="00172815">
            <w:pPr>
              <w:keepNext/>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172815" w:rsidP="00BE3121">
            <w:pPr>
              <w:tabs>
                <w:tab w:val="clear" w:pos="794"/>
                <w:tab w:val="clear" w:pos="1191"/>
                <w:tab w:val="clear" w:pos="1588"/>
                <w:tab w:val="clear" w:pos="1985"/>
                <w:tab w:val="left" w:pos="1951"/>
              </w:tabs>
              <w:rPr>
                <w:szCs w:val="24"/>
              </w:rPr>
            </w:pPr>
            <w:bookmarkStart w:id="11" w:name="References"/>
            <w:bookmarkEnd w:id="11"/>
            <w:r>
              <w:rPr>
                <w:szCs w:val="24"/>
              </w:rPr>
              <w:t>N/A</w:t>
            </w:r>
          </w:p>
        </w:tc>
      </w:tr>
    </w:tbl>
    <w:p w:rsidR="000D6321" w:rsidRDefault="000D6321" w:rsidP="00DB2849">
      <w:pPr>
        <w:tabs>
          <w:tab w:val="clear" w:pos="794"/>
          <w:tab w:val="clear" w:pos="1191"/>
          <w:tab w:val="clear" w:pos="1588"/>
          <w:tab w:val="clear" w:pos="1985"/>
          <w:tab w:val="center" w:pos="5103"/>
        </w:tabs>
        <w:spacing w:before="240"/>
        <w:sectPr w:rsidR="000D6321">
          <w:headerReference w:type="default" r:id="rId9"/>
          <w:footerReference w:type="first" r:id="rId10"/>
          <w:pgSz w:w="11909" w:h="16834" w:code="9"/>
          <w:pgMar w:top="567" w:right="851" w:bottom="1276" w:left="851" w:header="720" w:footer="613" w:gutter="0"/>
          <w:cols w:space="720"/>
          <w:titlePg/>
        </w:sectPr>
      </w:pPr>
    </w:p>
    <w:p w:rsidR="0070796E" w:rsidRDefault="0070796E" w:rsidP="00DB2849">
      <w:pPr>
        <w:tabs>
          <w:tab w:val="clear" w:pos="794"/>
          <w:tab w:val="clear" w:pos="1191"/>
          <w:tab w:val="clear" w:pos="1588"/>
          <w:tab w:val="clear" w:pos="1985"/>
          <w:tab w:val="center" w:pos="5103"/>
        </w:tabs>
        <w:spacing w:before="240"/>
      </w:pP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0D6321" w:rsidRPr="00F06027" w:rsidTr="00162243">
        <w:trPr>
          <w:cantSplit/>
        </w:trPr>
        <w:tc>
          <w:tcPr>
            <w:tcW w:w="6629" w:type="dxa"/>
          </w:tcPr>
          <w:p w:rsidR="000D6321" w:rsidRPr="00D22F40" w:rsidRDefault="000D6321" w:rsidP="00162243">
            <w:pPr>
              <w:spacing w:before="360" w:after="48"/>
              <w:rPr>
                <w:b/>
                <w:position w:val="6"/>
                <w:sz w:val="26"/>
                <w:szCs w:val="26"/>
              </w:rPr>
            </w:pPr>
            <w:bookmarkStart w:id="14" w:name="dc06"/>
            <w:bookmarkEnd w:id="14"/>
            <w:r w:rsidRPr="00D22F40">
              <w:rPr>
                <w:b/>
                <w:position w:val="6"/>
                <w:sz w:val="26"/>
                <w:szCs w:val="26"/>
                <w:lang w:val="en-US"/>
              </w:rPr>
              <w:t>COUNCIL WORKING GROUP ON</w:t>
            </w:r>
            <w:r w:rsidRPr="00D22F40">
              <w:rPr>
                <w:b/>
                <w:position w:val="6"/>
                <w:sz w:val="26"/>
                <w:szCs w:val="26"/>
                <w:lang w:val="en-US"/>
              </w:rPr>
              <w:br/>
              <w:t>FINANCIAL AND HUMAN RESOURCES</w:t>
            </w:r>
            <w:r w:rsidRPr="00D22F40">
              <w:rPr>
                <w:b/>
                <w:position w:val="6"/>
                <w:sz w:val="26"/>
                <w:szCs w:val="26"/>
                <w:lang w:val="en-US"/>
              </w:rPr>
              <w:br/>
            </w:r>
            <w:r w:rsidRPr="00D22F40">
              <w:rPr>
                <w:rFonts w:cs="Times New Roman Bold"/>
                <w:bCs/>
                <w:szCs w:val="24"/>
                <w:lang w:val="en-US"/>
              </w:rPr>
              <w:t>7</w:t>
            </w:r>
            <w:proofErr w:type="spellStart"/>
            <w:r w:rsidRPr="00D22F40">
              <w:rPr>
                <w:rFonts w:cs="Times New Roman Bold"/>
                <w:bCs/>
                <w:szCs w:val="24"/>
                <w:vertAlign w:val="superscript"/>
              </w:rPr>
              <w:t>th</w:t>
            </w:r>
            <w:proofErr w:type="spellEnd"/>
            <w:r w:rsidRPr="00D22F40">
              <w:rPr>
                <w:rFonts w:cs="Times New Roman Bold"/>
                <w:bCs/>
                <w:szCs w:val="24"/>
              </w:rPr>
              <w:t xml:space="preserve"> meeting, Geneva, 30 January - 1 February 2017</w:t>
            </w:r>
          </w:p>
        </w:tc>
        <w:tc>
          <w:tcPr>
            <w:tcW w:w="3685" w:type="dxa"/>
          </w:tcPr>
          <w:p w:rsidR="000D6321" w:rsidRPr="00F06027" w:rsidRDefault="000D6321" w:rsidP="00162243">
            <w:pPr>
              <w:spacing w:before="0" w:line="240" w:lineRule="atLeast"/>
            </w:pPr>
            <w:bookmarkStart w:id="15" w:name="ditulogo"/>
            <w:bookmarkEnd w:id="15"/>
          </w:p>
        </w:tc>
      </w:tr>
      <w:tr w:rsidR="000D6321" w:rsidRPr="00F06027" w:rsidTr="00162243">
        <w:trPr>
          <w:cantSplit/>
        </w:trPr>
        <w:tc>
          <w:tcPr>
            <w:tcW w:w="6629" w:type="dxa"/>
            <w:tcBorders>
              <w:bottom w:val="single" w:sz="12" w:space="0" w:color="auto"/>
            </w:tcBorders>
          </w:tcPr>
          <w:p w:rsidR="000D6321" w:rsidRPr="00D22F40" w:rsidRDefault="000D6321" w:rsidP="00162243">
            <w:pPr>
              <w:spacing w:before="0" w:after="48" w:line="240" w:lineRule="atLeast"/>
              <w:rPr>
                <w:b/>
                <w:smallCaps/>
                <w:szCs w:val="24"/>
              </w:rPr>
            </w:pPr>
            <w:r w:rsidRPr="00D22F40">
              <w:rPr>
                <w:rFonts w:cs="Times New Roman Bold"/>
                <w:bCs/>
                <w:szCs w:val="24"/>
              </w:rPr>
              <w:t>INTERNATIONAL TELECOMMUNICATION UNION</w:t>
            </w:r>
          </w:p>
        </w:tc>
        <w:tc>
          <w:tcPr>
            <w:tcW w:w="3685" w:type="dxa"/>
            <w:tcBorders>
              <w:bottom w:val="single" w:sz="12" w:space="0" w:color="auto"/>
            </w:tcBorders>
          </w:tcPr>
          <w:p w:rsidR="000D6321" w:rsidRPr="00F06027" w:rsidRDefault="000D6321" w:rsidP="00162243">
            <w:pPr>
              <w:spacing w:before="0" w:line="240" w:lineRule="atLeast"/>
              <w:rPr>
                <w:rFonts w:ascii="Verdana" w:hAnsi="Verdana"/>
                <w:szCs w:val="24"/>
              </w:rPr>
            </w:pPr>
          </w:p>
        </w:tc>
      </w:tr>
      <w:tr w:rsidR="000D6321" w:rsidRPr="00F06027" w:rsidTr="00162243">
        <w:trPr>
          <w:cantSplit/>
        </w:trPr>
        <w:tc>
          <w:tcPr>
            <w:tcW w:w="6629" w:type="dxa"/>
            <w:tcBorders>
              <w:top w:val="single" w:sz="12" w:space="0" w:color="auto"/>
            </w:tcBorders>
          </w:tcPr>
          <w:p w:rsidR="000D6321" w:rsidRPr="00F06027" w:rsidRDefault="000D6321" w:rsidP="00162243">
            <w:pPr>
              <w:spacing w:before="0" w:after="48" w:line="240" w:lineRule="atLeast"/>
              <w:rPr>
                <w:b/>
                <w:smallCaps/>
                <w:szCs w:val="24"/>
              </w:rPr>
            </w:pPr>
          </w:p>
        </w:tc>
        <w:tc>
          <w:tcPr>
            <w:tcW w:w="3685" w:type="dxa"/>
            <w:tcBorders>
              <w:top w:val="single" w:sz="12" w:space="0" w:color="auto"/>
            </w:tcBorders>
          </w:tcPr>
          <w:p w:rsidR="000D6321" w:rsidRPr="00F06027" w:rsidRDefault="000D6321" w:rsidP="00162243">
            <w:pPr>
              <w:spacing w:before="0" w:line="240" w:lineRule="atLeast"/>
              <w:rPr>
                <w:rFonts w:ascii="Verdana" w:hAnsi="Verdana"/>
                <w:szCs w:val="24"/>
              </w:rPr>
            </w:pPr>
          </w:p>
        </w:tc>
      </w:tr>
      <w:tr w:rsidR="000D6321" w:rsidRPr="00F06027" w:rsidTr="00162243">
        <w:trPr>
          <w:cantSplit/>
          <w:trHeight w:val="23"/>
        </w:trPr>
        <w:tc>
          <w:tcPr>
            <w:tcW w:w="6629" w:type="dxa"/>
            <w:vMerge w:val="restart"/>
          </w:tcPr>
          <w:p w:rsidR="000D6321" w:rsidRPr="00F06027" w:rsidRDefault="000D6321" w:rsidP="00162243">
            <w:pPr>
              <w:tabs>
                <w:tab w:val="left" w:pos="851"/>
              </w:tabs>
              <w:spacing w:line="240" w:lineRule="atLeast"/>
              <w:rPr>
                <w:b/>
                <w:szCs w:val="24"/>
              </w:rPr>
            </w:pPr>
            <w:bookmarkStart w:id="16" w:name="dmeeting" w:colFirst="0" w:colLast="0"/>
            <w:bookmarkStart w:id="17" w:name="dnum" w:colFirst="1" w:colLast="1"/>
          </w:p>
        </w:tc>
        <w:tc>
          <w:tcPr>
            <w:tcW w:w="3685" w:type="dxa"/>
          </w:tcPr>
          <w:p w:rsidR="000D6321" w:rsidRPr="00A92A6A" w:rsidRDefault="000D6321" w:rsidP="00162243">
            <w:pPr>
              <w:tabs>
                <w:tab w:val="left" w:pos="851"/>
              </w:tabs>
              <w:spacing w:before="0" w:line="240" w:lineRule="atLeast"/>
              <w:rPr>
                <w:b/>
                <w:szCs w:val="24"/>
                <w:lang w:val="de-CH"/>
              </w:rPr>
            </w:pPr>
            <w:r w:rsidRPr="00A92A6A">
              <w:rPr>
                <w:b/>
                <w:szCs w:val="24"/>
                <w:lang w:val="de-CH"/>
              </w:rPr>
              <w:t>Document CWG-FHR 4/14</w:t>
            </w:r>
          </w:p>
        </w:tc>
      </w:tr>
      <w:tr w:rsidR="000D6321" w:rsidRPr="00F06027" w:rsidTr="00162243">
        <w:trPr>
          <w:cantSplit/>
          <w:trHeight w:val="23"/>
        </w:trPr>
        <w:tc>
          <w:tcPr>
            <w:tcW w:w="6629" w:type="dxa"/>
            <w:vMerge/>
          </w:tcPr>
          <w:p w:rsidR="000D6321" w:rsidRPr="00F06027" w:rsidRDefault="000D6321" w:rsidP="00162243">
            <w:pPr>
              <w:tabs>
                <w:tab w:val="left" w:pos="851"/>
              </w:tabs>
              <w:spacing w:line="240" w:lineRule="atLeast"/>
              <w:rPr>
                <w:b/>
                <w:szCs w:val="24"/>
                <w:lang w:val="de-CH"/>
              </w:rPr>
            </w:pPr>
            <w:bookmarkStart w:id="18" w:name="ddate" w:colFirst="1" w:colLast="1"/>
            <w:bookmarkEnd w:id="16"/>
            <w:bookmarkEnd w:id="17"/>
          </w:p>
        </w:tc>
        <w:tc>
          <w:tcPr>
            <w:tcW w:w="3685" w:type="dxa"/>
          </w:tcPr>
          <w:p w:rsidR="000D6321" w:rsidRPr="00A92A6A" w:rsidRDefault="000D6321" w:rsidP="00162243">
            <w:pPr>
              <w:tabs>
                <w:tab w:val="left" w:pos="993"/>
              </w:tabs>
              <w:spacing w:before="0"/>
              <w:rPr>
                <w:b/>
                <w:szCs w:val="24"/>
              </w:rPr>
            </w:pPr>
            <w:r w:rsidRPr="00A92A6A">
              <w:rPr>
                <w:b/>
                <w:szCs w:val="24"/>
              </w:rPr>
              <w:t>16 December 2016</w:t>
            </w:r>
          </w:p>
        </w:tc>
      </w:tr>
      <w:tr w:rsidR="000D6321" w:rsidRPr="00F06027" w:rsidTr="00162243">
        <w:trPr>
          <w:cantSplit/>
          <w:trHeight w:val="80"/>
        </w:trPr>
        <w:tc>
          <w:tcPr>
            <w:tcW w:w="6629" w:type="dxa"/>
            <w:vMerge/>
          </w:tcPr>
          <w:p w:rsidR="000D6321" w:rsidRPr="00F06027" w:rsidRDefault="000D6321" w:rsidP="00162243">
            <w:pPr>
              <w:tabs>
                <w:tab w:val="left" w:pos="851"/>
              </w:tabs>
              <w:spacing w:line="240" w:lineRule="atLeast"/>
              <w:rPr>
                <w:b/>
                <w:szCs w:val="24"/>
              </w:rPr>
            </w:pPr>
            <w:bookmarkStart w:id="19" w:name="dorlang" w:colFirst="1" w:colLast="1"/>
            <w:bookmarkEnd w:id="18"/>
          </w:p>
        </w:tc>
        <w:tc>
          <w:tcPr>
            <w:tcW w:w="3685" w:type="dxa"/>
          </w:tcPr>
          <w:p w:rsidR="000D6321" w:rsidRPr="00A92A6A" w:rsidRDefault="000D6321" w:rsidP="00162243">
            <w:pPr>
              <w:tabs>
                <w:tab w:val="left" w:pos="993"/>
              </w:tabs>
              <w:spacing w:before="0"/>
              <w:rPr>
                <w:b/>
                <w:szCs w:val="24"/>
              </w:rPr>
            </w:pPr>
            <w:r w:rsidRPr="00A92A6A">
              <w:rPr>
                <w:b/>
                <w:szCs w:val="24"/>
              </w:rPr>
              <w:t>English only</w:t>
            </w:r>
          </w:p>
        </w:tc>
      </w:tr>
      <w:bookmarkEnd w:id="19"/>
    </w:tbl>
    <w:p w:rsidR="000D6321" w:rsidRPr="00F06027" w:rsidRDefault="000D6321" w:rsidP="0016224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szCs w:val="24"/>
          <w:lang w:val="en-CA"/>
        </w:rPr>
      </w:pPr>
    </w:p>
    <w:p w:rsidR="000D6321" w:rsidRPr="002760A6" w:rsidRDefault="000D6321" w:rsidP="00162243">
      <w:pPr>
        <w:jc w:val="center"/>
        <w:rPr>
          <w:rFonts w:asciiTheme="minorHAnsi" w:hAnsiTheme="minorHAnsi" w:cstheme="minorHAnsi"/>
          <w:b/>
          <w:sz w:val="28"/>
          <w:szCs w:val="28"/>
        </w:rPr>
      </w:pPr>
      <w:r w:rsidRPr="002760A6">
        <w:rPr>
          <w:rFonts w:asciiTheme="minorHAnsi" w:hAnsiTheme="minorHAnsi" w:cstheme="minorHAnsi"/>
          <w:b/>
          <w:sz w:val="28"/>
          <w:szCs w:val="28"/>
          <w:lang w:val="en-CA"/>
        </w:rPr>
        <w:t>CONTRIBUTION BY THE SECRETARIAT</w:t>
      </w:r>
    </w:p>
    <w:p w:rsidR="000D6321" w:rsidRPr="00CD5A06" w:rsidRDefault="000D6321" w:rsidP="00162243">
      <w:pPr>
        <w:jc w:val="center"/>
        <w:rPr>
          <w:rFonts w:asciiTheme="minorHAnsi" w:hAnsiTheme="minorHAnsi" w:cstheme="minorHAnsi"/>
          <w:b/>
          <w:bCs/>
          <w:sz w:val="28"/>
          <w:szCs w:val="28"/>
        </w:rPr>
      </w:pPr>
      <w:r w:rsidRPr="00CD5A06">
        <w:rPr>
          <w:rFonts w:asciiTheme="minorHAnsi" w:hAnsiTheme="minorHAnsi" w:cstheme="minorHAnsi"/>
          <w:b/>
          <w:bCs/>
          <w:sz w:val="28"/>
          <w:szCs w:val="28"/>
        </w:rPr>
        <w:t>Preparation of the draft biennial Budget of the Union for 2018-2019</w:t>
      </w:r>
    </w:p>
    <w:p w:rsidR="000D6321" w:rsidRDefault="000D6321" w:rsidP="00162243">
      <w:pPr>
        <w:pStyle w:val="NormalWeb"/>
        <w:spacing w:before="0" w:beforeAutospacing="0" w:after="0" w:afterAutospacing="0"/>
        <w:rPr>
          <w:rFonts w:asciiTheme="minorBidi" w:eastAsia="Times New Roman" w:hAnsiTheme="minorBidi" w:cstheme="minorBidi"/>
          <w:b/>
          <w:bCs/>
          <w:sz w:val="22"/>
          <w:szCs w:val="22"/>
          <w:lang w:val="en-GB" w:eastAsia="en-US"/>
        </w:rPr>
      </w:pPr>
    </w:p>
    <w:p w:rsidR="000D6321" w:rsidRPr="000D6321" w:rsidRDefault="000D6321" w:rsidP="00162243">
      <w:pPr>
        <w:pStyle w:val="NormalWeb"/>
        <w:spacing w:before="0" w:beforeAutospacing="0" w:after="0" w:afterAutospacing="0"/>
        <w:rPr>
          <w:rFonts w:ascii="Calibri" w:hAnsi="Calibri"/>
          <w:lang w:val="en-GB"/>
        </w:rPr>
      </w:pPr>
    </w:p>
    <w:p w:rsidR="000D6321" w:rsidRPr="000D6321" w:rsidRDefault="000D6321" w:rsidP="00162243">
      <w:pPr>
        <w:pStyle w:val="NormalWeb"/>
        <w:spacing w:before="0" w:beforeAutospacing="0" w:after="0" w:afterAutospacing="0"/>
        <w:rPr>
          <w:rFonts w:ascii="Calibri" w:hAnsi="Calibri"/>
          <w:lang w:val="en-GB"/>
        </w:rPr>
      </w:pPr>
    </w:p>
    <w:p w:rsidR="000D6321" w:rsidRPr="000D6321" w:rsidRDefault="000D6321" w:rsidP="000D6321">
      <w:pPr>
        <w:pStyle w:val="NormalWeb"/>
        <w:numPr>
          <w:ilvl w:val="0"/>
          <w:numId w:val="37"/>
        </w:numPr>
        <w:spacing w:before="0" w:beforeAutospacing="0" w:after="0" w:afterAutospacing="0"/>
        <w:ind w:left="0" w:firstLine="0"/>
        <w:jc w:val="both"/>
        <w:rPr>
          <w:rFonts w:ascii="Calibri" w:hAnsi="Calibri"/>
          <w:lang w:val="en-GB"/>
        </w:rPr>
      </w:pPr>
      <w:r w:rsidRPr="000D6321">
        <w:rPr>
          <w:rFonts w:asciiTheme="minorHAnsi" w:hAnsiTheme="minorHAnsi" w:cstheme="minorBidi"/>
          <w:lang w:val="en-GB"/>
        </w:rPr>
        <w:t>This document presents the status of the draft biennial Budget for the years 2018-2019, which has been prepared on the basis of Decision 5 (Rev. Busan, 2014) and associated guidelines. Revenue and expenses are balanced, without withdrawal from the Reserve Account.</w:t>
      </w:r>
    </w:p>
    <w:p w:rsidR="000D6321" w:rsidRPr="000D6321" w:rsidRDefault="000D6321" w:rsidP="00162243">
      <w:pPr>
        <w:pStyle w:val="NormalWeb"/>
        <w:spacing w:before="0" w:beforeAutospacing="0" w:after="0" w:afterAutospacing="0"/>
        <w:jc w:val="both"/>
        <w:rPr>
          <w:rFonts w:ascii="Calibri" w:hAnsi="Calibri"/>
          <w:lang w:val="en-GB"/>
        </w:rPr>
      </w:pPr>
    </w:p>
    <w:p w:rsidR="000D6321" w:rsidRPr="007F5F69" w:rsidRDefault="000D6321" w:rsidP="00162243">
      <w:pPr>
        <w:spacing w:before="0"/>
        <w:jc w:val="both"/>
        <w:rPr>
          <w:rFonts w:asciiTheme="minorHAnsi" w:hAnsiTheme="minorHAnsi" w:cstheme="minorBidi"/>
          <w:b/>
        </w:rPr>
      </w:pPr>
      <w:r w:rsidRPr="007F5F69">
        <w:rPr>
          <w:rFonts w:asciiTheme="minorHAnsi" w:hAnsiTheme="minorHAnsi" w:cstheme="minorBidi"/>
          <w:b/>
        </w:rPr>
        <w:t>Background</w:t>
      </w:r>
    </w:p>
    <w:p w:rsidR="000D6321" w:rsidRDefault="000D6321" w:rsidP="00162243">
      <w:pPr>
        <w:pStyle w:val="NormalWeb"/>
        <w:spacing w:before="0" w:beforeAutospacing="0" w:after="0" w:afterAutospacing="0"/>
        <w:jc w:val="both"/>
        <w:rPr>
          <w:rFonts w:ascii="Calibri" w:hAnsi="Calibri"/>
        </w:rPr>
      </w:pPr>
    </w:p>
    <w:p w:rsidR="000D6321" w:rsidRPr="000D6321" w:rsidRDefault="000D6321" w:rsidP="000D6321">
      <w:pPr>
        <w:pStyle w:val="NormalWeb"/>
        <w:numPr>
          <w:ilvl w:val="0"/>
          <w:numId w:val="37"/>
        </w:numPr>
        <w:spacing w:before="0" w:beforeAutospacing="0" w:after="0" w:afterAutospacing="0"/>
        <w:ind w:left="0" w:firstLine="0"/>
        <w:contextualSpacing/>
        <w:jc w:val="both"/>
        <w:rPr>
          <w:rFonts w:asciiTheme="minorHAnsi" w:hAnsiTheme="minorHAnsi" w:cstheme="minorBidi"/>
          <w:lang w:val="en-GB"/>
        </w:rPr>
      </w:pPr>
      <w:r w:rsidRPr="000D6321">
        <w:rPr>
          <w:rFonts w:asciiTheme="minorHAnsi" w:hAnsiTheme="minorHAnsi" w:cstheme="minorHAnsi"/>
          <w:lang w:val="en-GB"/>
        </w:rPr>
        <w:t>In</w:t>
      </w:r>
      <w:r w:rsidRPr="000D6321">
        <w:rPr>
          <w:rFonts w:asciiTheme="minorHAnsi" w:hAnsiTheme="minorHAnsi" w:cstheme="minorBidi"/>
          <w:bCs/>
          <w:lang w:val="en-GB"/>
        </w:rPr>
        <w:t xml:space="preserve"> accordance with number 100 of </w:t>
      </w:r>
      <w:r w:rsidRPr="000D6321">
        <w:rPr>
          <w:rFonts w:asciiTheme="minorHAnsi" w:hAnsiTheme="minorHAnsi" w:cstheme="minorBidi"/>
          <w:bCs/>
          <w:u w:val="single"/>
          <w:lang w:val="en-GB"/>
        </w:rPr>
        <w:t>Article 5 of the Convention</w:t>
      </w:r>
      <w:r w:rsidRPr="000D6321">
        <w:rPr>
          <w:rFonts w:asciiTheme="minorHAnsi" w:hAnsiTheme="minorHAnsi" w:cstheme="minorBidi"/>
          <w:bCs/>
          <w:lang w:val="en-GB"/>
        </w:rPr>
        <w:t xml:space="preserve">, </w:t>
      </w:r>
      <w:r w:rsidRPr="000D6321">
        <w:rPr>
          <w:rFonts w:asciiTheme="minorHAnsi" w:hAnsiTheme="minorHAnsi" w:cstheme="minorBidi"/>
          <w:lang w:val="en-GB"/>
        </w:rPr>
        <w:t>a biennial draft Budget covering the expenditures of the Union has been prepared and will be submitted to Council after consultation with the Coordination Committee, ensuring that all possible economies are made and taking into account the financial limits laid down by the Plenipotentiary Conference.</w:t>
      </w:r>
    </w:p>
    <w:p w:rsidR="000D6321" w:rsidRPr="000D6321" w:rsidRDefault="000D6321" w:rsidP="00162243">
      <w:pPr>
        <w:pStyle w:val="NormalWeb"/>
        <w:spacing w:before="0" w:beforeAutospacing="0" w:after="0" w:afterAutospacing="0"/>
        <w:contextualSpacing/>
        <w:jc w:val="both"/>
        <w:rPr>
          <w:rFonts w:asciiTheme="minorHAnsi" w:hAnsiTheme="minorHAnsi" w:cstheme="minorBidi"/>
          <w:lang w:val="en-GB"/>
        </w:rPr>
      </w:pPr>
    </w:p>
    <w:p w:rsidR="000D6321" w:rsidRPr="000D6321" w:rsidRDefault="000D6321" w:rsidP="000D6321">
      <w:pPr>
        <w:pStyle w:val="NormalWeb"/>
        <w:numPr>
          <w:ilvl w:val="0"/>
          <w:numId w:val="37"/>
        </w:numPr>
        <w:spacing w:before="0" w:beforeAutospacing="0" w:after="0" w:afterAutospacing="0"/>
        <w:ind w:left="0" w:firstLine="0"/>
        <w:contextualSpacing/>
        <w:jc w:val="both"/>
        <w:rPr>
          <w:rFonts w:asciiTheme="minorHAnsi" w:hAnsiTheme="minorHAnsi" w:cstheme="minorBidi"/>
          <w:lang w:val="en-GB"/>
        </w:rPr>
      </w:pPr>
      <w:r w:rsidRPr="000D6321">
        <w:rPr>
          <w:rFonts w:asciiTheme="minorHAnsi" w:hAnsiTheme="minorHAnsi" w:cstheme="minorBidi"/>
          <w:lang w:val="en-GB"/>
        </w:rPr>
        <w:t xml:space="preserve">By </w:t>
      </w:r>
      <w:r w:rsidRPr="000D6321">
        <w:rPr>
          <w:rFonts w:asciiTheme="minorHAnsi" w:hAnsiTheme="minorHAnsi" w:cstheme="minorBidi"/>
          <w:u w:val="single"/>
          <w:lang w:val="en-GB"/>
        </w:rPr>
        <w:t>Decision 5 (Rev. Busan, 2014)</w:t>
      </w:r>
      <w:r w:rsidRPr="000D6321">
        <w:rPr>
          <w:rFonts w:asciiTheme="minorHAnsi" w:hAnsiTheme="minorHAnsi" w:cstheme="minorBidi"/>
          <w:lang w:val="en-GB"/>
        </w:rPr>
        <w:t xml:space="preserve"> on revenue and expenses for the Union for the period 2016-2019, the Plenipotentiary Conference established the framework and the directives under which the Budget of the Union for 2018-2019 has been elaborated.</w:t>
      </w:r>
    </w:p>
    <w:p w:rsidR="000D6321" w:rsidRPr="000D6321" w:rsidRDefault="000D6321" w:rsidP="00162243">
      <w:pPr>
        <w:pStyle w:val="NormalWeb"/>
        <w:spacing w:before="0" w:beforeAutospacing="0" w:after="0" w:afterAutospacing="0"/>
        <w:jc w:val="both"/>
        <w:rPr>
          <w:rFonts w:asciiTheme="minorHAnsi" w:hAnsiTheme="minorHAnsi" w:cstheme="minorBidi"/>
          <w:lang w:val="en-GB"/>
        </w:rPr>
      </w:pPr>
    </w:p>
    <w:p w:rsidR="000D6321" w:rsidRPr="000D6321" w:rsidRDefault="000D6321" w:rsidP="000D6321">
      <w:pPr>
        <w:pStyle w:val="NormalWeb"/>
        <w:numPr>
          <w:ilvl w:val="0"/>
          <w:numId w:val="37"/>
        </w:numPr>
        <w:spacing w:before="0" w:beforeAutospacing="0" w:after="0" w:afterAutospacing="0"/>
        <w:ind w:left="0" w:firstLine="0"/>
        <w:jc w:val="both"/>
        <w:rPr>
          <w:rFonts w:ascii="Calibri" w:hAnsi="Calibri"/>
          <w:lang w:val="en-GB"/>
        </w:rPr>
      </w:pPr>
      <w:r w:rsidRPr="000D6321">
        <w:rPr>
          <w:rFonts w:asciiTheme="minorHAnsi" w:hAnsiTheme="minorHAnsi" w:cstheme="minorBidi"/>
          <w:lang w:val="en-GB"/>
        </w:rPr>
        <w:t xml:space="preserve">With reference to </w:t>
      </w:r>
      <w:r w:rsidRPr="000D6321">
        <w:rPr>
          <w:rFonts w:asciiTheme="minorHAnsi" w:hAnsiTheme="minorHAnsi" w:cstheme="minorBidi"/>
          <w:u w:val="single"/>
          <w:lang w:val="en-GB"/>
        </w:rPr>
        <w:t>Resolution 151 (Rev. Busan, 2014)</w:t>
      </w:r>
      <w:r w:rsidRPr="000D6321">
        <w:rPr>
          <w:rFonts w:asciiTheme="minorHAnsi" w:hAnsiTheme="minorHAnsi" w:cstheme="minorBidi"/>
          <w:lang w:val="en-GB"/>
        </w:rPr>
        <w:t xml:space="preserve"> on the implementation of Results-Based Management (RBM) in ITU, the Budget of the Union shall be presented in a format which is consistent with the Strategic Plan of the Union and which supports the results-based framework. The Results-Based Budget (RBB) format shall therefore show estimated expense by strategic Goals and Objectives as per Resolution 71 (Rev. Busan, 2014) on the Strategic plan for the Union for 2018-2019. </w:t>
      </w:r>
    </w:p>
    <w:p w:rsidR="000D6321" w:rsidRPr="00403119" w:rsidRDefault="000D6321" w:rsidP="00162243">
      <w:pPr>
        <w:pStyle w:val="NormalWeb"/>
        <w:spacing w:before="0" w:beforeAutospacing="0" w:after="0" w:afterAutospacing="0"/>
        <w:jc w:val="both"/>
        <w:rPr>
          <w:rFonts w:asciiTheme="minorHAnsi" w:hAnsiTheme="minorHAnsi" w:cstheme="minorBidi"/>
          <w:lang w:val="en-GB"/>
        </w:rPr>
      </w:pPr>
    </w:p>
    <w:p w:rsidR="000D6321" w:rsidRDefault="000D6321" w:rsidP="00162243">
      <w:pPr>
        <w:pStyle w:val="NormalWeb"/>
        <w:spacing w:before="0" w:beforeAutospacing="0" w:after="0" w:afterAutospacing="0"/>
        <w:jc w:val="both"/>
        <w:rPr>
          <w:rFonts w:asciiTheme="minorHAnsi" w:hAnsiTheme="minorHAnsi"/>
          <w:b/>
          <w:bCs/>
        </w:rPr>
      </w:pPr>
      <w:proofErr w:type="spellStart"/>
      <w:r w:rsidRPr="007F5F69">
        <w:rPr>
          <w:rFonts w:asciiTheme="minorHAnsi" w:hAnsiTheme="minorHAnsi"/>
          <w:b/>
          <w:bCs/>
        </w:rPr>
        <w:t>Revenue</w:t>
      </w:r>
      <w:proofErr w:type="spellEnd"/>
      <w:r w:rsidRPr="007F5F69">
        <w:rPr>
          <w:rFonts w:asciiTheme="minorHAnsi" w:hAnsiTheme="minorHAnsi"/>
          <w:b/>
          <w:bCs/>
        </w:rPr>
        <w:t xml:space="preserve"> and </w:t>
      </w:r>
      <w:r>
        <w:rPr>
          <w:rFonts w:asciiTheme="minorHAnsi" w:hAnsiTheme="minorHAnsi"/>
          <w:b/>
          <w:bCs/>
        </w:rPr>
        <w:t>e</w:t>
      </w:r>
      <w:r w:rsidRPr="007F5F69">
        <w:rPr>
          <w:rFonts w:asciiTheme="minorHAnsi" w:hAnsiTheme="minorHAnsi"/>
          <w:b/>
          <w:bCs/>
        </w:rPr>
        <w:t>xpense</w:t>
      </w:r>
      <w:r>
        <w:rPr>
          <w:rFonts w:asciiTheme="minorHAnsi" w:hAnsiTheme="minorHAnsi"/>
          <w:b/>
          <w:bCs/>
        </w:rPr>
        <w:t>s</w:t>
      </w:r>
      <w:r w:rsidRPr="007F5F69">
        <w:rPr>
          <w:rFonts w:asciiTheme="minorHAnsi" w:hAnsiTheme="minorHAnsi"/>
          <w:b/>
          <w:bCs/>
        </w:rPr>
        <w:t xml:space="preserve"> </w:t>
      </w:r>
      <w:proofErr w:type="spellStart"/>
      <w:r>
        <w:rPr>
          <w:rFonts w:asciiTheme="minorHAnsi" w:hAnsiTheme="minorHAnsi"/>
          <w:b/>
          <w:bCs/>
        </w:rPr>
        <w:t>estimates</w:t>
      </w:r>
      <w:proofErr w:type="spellEnd"/>
      <w:r>
        <w:rPr>
          <w:rFonts w:asciiTheme="minorHAnsi" w:hAnsiTheme="minorHAnsi"/>
          <w:b/>
          <w:bCs/>
        </w:rPr>
        <w:t xml:space="preserve"> - </w:t>
      </w:r>
      <w:proofErr w:type="spellStart"/>
      <w:r>
        <w:rPr>
          <w:rFonts w:asciiTheme="minorHAnsi" w:hAnsiTheme="minorHAnsi"/>
          <w:b/>
          <w:bCs/>
        </w:rPr>
        <w:t>Overview</w:t>
      </w:r>
      <w:proofErr w:type="spellEnd"/>
    </w:p>
    <w:p w:rsidR="000D6321" w:rsidRDefault="000D6321" w:rsidP="00162243">
      <w:pPr>
        <w:pStyle w:val="NormalWeb"/>
        <w:spacing w:before="0" w:beforeAutospacing="0" w:after="0" w:afterAutospacing="0"/>
        <w:jc w:val="both"/>
        <w:rPr>
          <w:rFonts w:asciiTheme="minorHAnsi" w:hAnsiTheme="minorHAnsi"/>
          <w:b/>
          <w:bCs/>
        </w:rPr>
      </w:pPr>
    </w:p>
    <w:p w:rsidR="000D6321" w:rsidRPr="000D6321" w:rsidRDefault="000D6321" w:rsidP="000D6321">
      <w:pPr>
        <w:pStyle w:val="NormalWeb"/>
        <w:numPr>
          <w:ilvl w:val="0"/>
          <w:numId w:val="37"/>
        </w:numPr>
        <w:spacing w:before="0" w:beforeAutospacing="0" w:after="0" w:afterAutospacing="0"/>
        <w:ind w:left="0" w:firstLine="0"/>
        <w:jc w:val="both"/>
        <w:rPr>
          <w:lang w:val="en-GB"/>
        </w:rPr>
      </w:pPr>
      <w:r w:rsidRPr="000D6321">
        <w:rPr>
          <w:rFonts w:ascii="Calibri" w:hAnsi="Calibri"/>
          <w:lang w:val="en-GB"/>
        </w:rPr>
        <w:t>Table 1 below presents an overview of the draft Budget for 2018-2019.  The draft Budget is based on the programme of activities of the Union, which includes two major events, the Plenipotentiary Conference in 2018 and the World Radiocommunication Conference in 2019.</w:t>
      </w:r>
    </w:p>
    <w:p w:rsidR="000D6321" w:rsidRPr="000D6321" w:rsidRDefault="000D6321" w:rsidP="00162243">
      <w:pPr>
        <w:pStyle w:val="NormalWeb"/>
        <w:spacing w:before="0" w:beforeAutospacing="0" w:after="0" w:afterAutospacing="0"/>
        <w:jc w:val="both"/>
        <w:rPr>
          <w:rFonts w:asciiTheme="minorHAnsi" w:eastAsia="Calibri" w:hAnsiTheme="minorHAnsi" w:cstheme="minorHAnsi"/>
          <w:lang w:val="en-GB"/>
        </w:rPr>
      </w:pPr>
    </w:p>
    <w:p w:rsidR="000D6321" w:rsidRPr="000D6321" w:rsidRDefault="000D6321" w:rsidP="000D6321">
      <w:pPr>
        <w:pStyle w:val="NormalWeb"/>
        <w:numPr>
          <w:ilvl w:val="0"/>
          <w:numId w:val="37"/>
        </w:numPr>
        <w:spacing w:before="0" w:beforeAutospacing="0" w:after="0" w:afterAutospacing="0"/>
        <w:ind w:left="0" w:firstLine="0"/>
        <w:jc w:val="both"/>
        <w:rPr>
          <w:rFonts w:ascii="Calibri" w:hAnsi="Calibri"/>
          <w:lang w:val="en-GB"/>
        </w:rPr>
      </w:pPr>
      <w:r w:rsidRPr="000D6321">
        <w:rPr>
          <w:rFonts w:asciiTheme="minorHAnsi" w:hAnsiTheme="minorHAnsi" w:cstheme="minorBidi"/>
          <w:lang w:val="en-GB"/>
        </w:rPr>
        <w:t>The value of the contributory unit of Member States has been maintained at CHF 318,000 as per Decision 5 (Rev. Busan, 2014), i.e. zero nominal growth since the year 2006.</w:t>
      </w:r>
    </w:p>
    <w:p w:rsidR="000D6321" w:rsidRPr="000D6321" w:rsidRDefault="000D6321" w:rsidP="00162243">
      <w:pPr>
        <w:pStyle w:val="NormalWeb"/>
        <w:spacing w:before="0" w:beforeAutospacing="0" w:after="0" w:afterAutospacing="0"/>
        <w:jc w:val="both"/>
        <w:rPr>
          <w:rFonts w:ascii="Calibri" w:hAnsi="Calibri"/>
          <w:lang w:val="en-GB"/>
        </w:rPr>
      </w:pPr>
    </w:p>
    <w:p w:rsidR="000D6321" w:rsidRPr="000D6321" w:rsidRDefault="000D6321" w:rsidP="000D6321">
      <w:pPr>
        <w:pStyle w:val="NormalWeb"/>
        <w:numPr>
          <w:ilvl w:val="0"/>
          <w:numId w:val="37"/>
        </w:numPr>
        <w:spacing w:before="0" w:beforeAutospacing="0" w:after="0" w:afterAutospacing="0"/>
        <w:ind w:left="0" w:firstLine="0"/>
        <w:rPr>
          <w:rFonts w:asciiTheme="minorHAnsi" w:eastAsia="Calibri" w:hAnsiTheme="minorHAnsi" w:cstheme="minorHAnsi"/>
          <w:b/>
          <w:bCs/>
          <w:lang w:val="en-GB"/>
        </w:rPr>
      </w:pPr>
      <w:r w:rsidRPr="000D6321">
        <w:rPr>
          <w:rFonts w:ascii="Calibri" w:hAnsi="Calibri"/>
          <w:lang w:val="en-GB"/>
        </w:rPr>
        <w:t xml:space="preserve">Revenue and expenses are break even at CHF 319.7 million.  In comparison with the 2016-2017 Budget, 2018-2019 is lower by </w:t>
      </w:r>
      <w:r w:rsidRPr="000D6321">
        <w:rPr>
          <w:rFonts w:asciiTheme="minorHAnsi" w:eastAsia="Calibri" w:hAnsiTheme="minorHAnsi" w:cstheme="minorHAnsi"/>
          <w:lang w:val="en-GB"/>
        </w:rPr>
        <w:t>CHF 1.6 million. A detailed breakdown is provided in Annex 3.  8.</w:t>
      </w:r>
      <w:r w:rsidRPr="000D6321">
        <w:rPr>
          <w:rFonts w:asciiTheme="minorHAnsi" w:eastAsia="Calibri" w:hAnsiTheme="minorHAnsi" w:cstheme="minorHAnsi"/>
          <w:lang w:val="en-GB"/>
        </w:rPr>
        <w:tab/>
        <w:t xml:space="preserve">In order to achieve a balanced Budget, strong efficiency measures have been applied as well as a limited increase in revenue. </w:t>
      </w:r>
    </w:p>
    <w:p w:rsidR="000D6321" w:rsidRPr="000D6321" w:rsidRDefault="000D6321" w:rsidP="00162243">
      <w:pPr>
        <w:pStyle w:val="NormalWeb"/>
        <w:spacing w:before="0" w:beforeAutospacing="0" w:after="0" w:afterAutospacing="0"/>
        <w:rPr>
          <w:rFonts w:asciiTheme="minorHAnsi" w:eastAsia="Calibri" w:hAnsiTheme="minorHAnsi" w:cstheme="minorHAnsi"/>
          <w:b/>
          <w:bCs/>
          <w:lang w:val="en-GB"/>
        </w:rPr>
      </w:pPr>
    </w:p>
    <w:p w:rsidR="000D6321" w:rsidRDefault="000D6321" w:rsidP="00162243">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Calibri" w:hAnsiTheme="minorHAnsi" w:cstheme="minorHAnsi"/>
          <w:b/>
          <w:bCs/>
          <w:szCs w:val="24"/>
          <w:lang w:val="en-US"/>
        </w:rPr>
      </w:pPr>
      <w:r w:rsidRPr="00A607D0">
        <w:rPr>
          <w:rFonts w:asciiTheme="minorHAnsi" w:eastAsia="Calibri" w:hAnsiTheme="minorHAnsi" w:cstheme="minorHAnsi"/>
          <w:b/>
          <w:bCs/>
          <w:szCs w:val="24"/>
          <w:lang w:val="en-US"/>
        </w:rPr>
        <w:t>Table 1</w:t>
      </w:r>
    </w:p>
    <w:p w:rsidR="000D6321" w:rsidRDefault="000D6321" w:rsidP="00162243">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Calibri" w:hAnsiTheme="minorHAnsi" w:cstheme="minorHAnsi"/>
          <w:b/>
          <w:bCs/>
          <w:szCs w:val="24"/>
          <w:lang w:val="en-US"/>
        </w:rPr>
      </w:pPr>
      <w:r>
        <w:rPr>
          <w:rFonts w:asciiTheme="minorHAnsi" w:eastAsia="Calibri" w:hAnsiTheme="minorHAnsi" w:cstheme="minorHAnsi"/>
          <w:b/>
          <w:bCs/>
          <w:szCs w:val="24"/>
          <w:lang w:val="en-US"/>
        </w:rPr>
        <w:t>Overview</w:t>
      </w:r>
    </w:p>
    <w:p w:rsidR="000D6321" w:rsidRDefault="000D6321" w:rsidP="00162243">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eastAsia="Calibri" w:hAnsiTheme="minorHAnsi" w:cstheme="minorHAnsi"/>
          <w:b/>
          <w:bCs/>
          <w:szCs w:val="24"/>
          <w:lang w:val="en-US"/>
        </w:rPr>
      </w:pPr>
      <w:r w:rsidRPr="00BC4CB4">
        <w:rPr>
          <w:rFonts w:eastAsia="Calibri"/>
          <w:noProof/>
          <w:lang w:val="en-US" w:eastAsia="zh-CN"/>
        </w:rPr>
        <w:drawing>
          <wp:inline distT="0" distB="0" distL="0" distR="0">
            <wp:extent cx="3964838" cy="20423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2658" cy="2046371"/>
                    </a:xfrm>
                    <a:prstGeom prst="rect">
                      <a:avLst/>
                    </a:prstGeom>
                    <a:noFill/>
                    <a:ln>
                      <a:noFill/>
                    </a:ln>
                  </pic:spPr>
                </pic:pic>
              </a:graphicData>
            </a:graphic>
          </wp:inline>
        </w:drawing>
      </w:r>
    </w:p>
    <w:p w:rsidR="000D6321" w:rsidRPr="000D6321" w:rsidRDefault="000D6321" w:rsidP="00162243">
      <w:pPr>
        <w:pStyle w:val="NormalWeb"/>
        <w:spacing w:before="240" w:beforeAutospacing="0" w:after="0" w:afterAutospacing="0"/>
        <w:jc w:val="both"/>
        <w:rPr>
          <w:rFonts w:asciiTheme="minorHAnsi" w:eastAsia="Calibri" w:hAnsiTheme="minorHAnsi" w:cstheme="minorHAnsi"/>
          <w:lang w:val="en-GB"/>
        </w:rPr>
      </w:pPr>
      <w:r w:rsidRPr="000D6321">
        <w:rPr>
          <w:rFonts w:ascii="Calibri" w:hAnsi="Calibri"/>
          <w:lang w:val="en-GB"/>
        </w:rPr>
        <w:t>9</w:t>
      </w:r>
      <w:r w:rsidRPr="000D6321">
        <w:rPr>
          <w:rFonts w:ascii="Calibri" w:hAnsi="Calibri"/>
          <w:lang w:val="en-GB"/>
        </w:rPr>
        <w:tab/>
        <w:t>Table 2 provides a comparison between the draft Budget for 2018-2019 and the Financial Plan as approved by the Plenipotentiary Conference in Decision 5 (Rev. Busan, 2014).</w:t>
      </w:r>
    </w:p>
    <w:p w:rsidR="000D6321" w:rsidRDefault="000D6321">
      <w:pPr>
        <w:tabs>
          <w:tab w:val="clear" w:pos="794"/>
          <w:tab w:val="clear" w:pos="1191"/>
          <w:tab w:val="clear" w:pos="1588"/>
          <w:tab w:val="clear" w:pos="1985"/>
        </w:tabs>
        <w:overflowPunct/>
        <w:autoSpaceDE/>
        <w:autoSpaceDN/>
        <w:adjustRightInd/>
        <w:spacing w:before="0"/>
        <w:textAlignment w:val="auto"/>
        <w:rPr>
          <w:rFonts w:asciiTheme="minorHAnsi" w:eastAsia="Calibri" w:hAnsiTheme="minorHAnsi" w:cstheme="minorHAnsi"/>
          <w:b/>
          <w:bCs/>
          <w:szCs w:val="24"/>
          <w:lang w:val="en-US"/>
        </w:rPr>
      </w:pPr>
    </w:p>
    <w:p w:rsidR="000D6321" w:rsidRDefault="000D6321" w:rsidP="00162243">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Calibri" w:hAnsiTheme="minorHAnsi" w:cstheme="minorHAnsi"/>
          <w:b/>
          <w:bCs/>
          <w:szCs w:val="24"/>
          <w:lang w:val="en-US"/>
        </w:rPr>
      </w:pPr>
      <w:r>
        <w:rPr>
          <w:rFonts w:asciiTheme="minorHAnsi" w:eastAsia="Calibri" w:hAnsiTheme="minorHAnsi" w:cstheme="minorHAnsi"/>
          <w:b/>
          <w:bCs/>
          <w:szCs w:val="24"/>
          <w:lang w:val="en-US"/>
        </w:rPr>
        <w:t>Table 2</w:t>
      </w:r>
    </w:p>
    <w:p w:rsidR="000D6321" w:rsidRDefault="000D6321" w:rsidP="00162243">
      <w:pPr>
        <w:tabs>
          <w:tab w:val="clear" w:pos="794"/>
          <w:tab w:val="clear" w:pos="1191"/>
          <w:tab w:val="clear" w:pos="1588"/>
          <w:tab w:val="clear" w:pos="1985"/>
        </w:tabs>
        <w:overflowPunct/>
        <w:autoSpaceDE/>
        <w:autoSpaceDN/>
        <w:adjustRightInd/>
        <w:spacing w:before="0" w:line="276" w:lineRule="auto"/>
        <w:jc w:val="center"/>
        <w:textAlignment w:val="auto"/>
        <w:rPr>
          <w:rFonts w:eastAsia="Calibri"/>
          <w:noProof/>
          <w:lang w:val="en-US" w:eastAsia="zh-CN"/>
        </w:rPr>
      </w:pPr>
      <w:r>
        <w:rPr>
          <w:rFonts w:asciiTheme="minorHAnsi" w:eastAsia="Calibri" w:hAnsiTheme="minorHAnsi" w:cstheme="minorHAnsi"/>
          <w:b/>
          <w:bCs/>
          <w:szCs w:val="24"/>
          <w:lang w:val="en-US"/>
        </w:rPr>
        <w:t>Revenue and Expense Forecast for 2018-2019</w:t>
      </w:r>
    </w:p>
    <w:p w:rsidR="000D6321" w:rsidRDefault="000D6321" w:rsidP="00162243">
      <w:pPr>
        <w:tabs>
          <w:tab w:val="clear" w:pos="794"/>
          <w:tab w:val="clear" w:pos="1191"/>
          <w:tab w:val="clear" w:pos="1588"/>
          <w:tab w:val="clear" w:pos="1985"/>
        </w:tabs>
        <w:overflowPunct/>
        <w:autoSpaceDE/>
        <w:autoSpaceDN/>
        <w:adjustRightInd/>
        <w:spacing w:before="0" w:after="200" w:line="276" w:lineRule="auto"/>
        <w:jc w:val="center"/>
        <w:textAlignment w:val="auto"/>
        <w:rPr>
          <w:rFonts w:asciiTheme="minorHAnsi" w:eastAsia="Calibri" w:hAnsiTheme="minorHAnsi" w:cstheme="minorHAnsi"/>
          <w:b/>
          <w:bCs/>
          <w:szCs w:val="24"/>
          <w:lang w:val="en-US"/>
        </w:rPr>
      </w:pPr>
      <w:r w:rsidRPr="00FE50B5">
        <w:rPr>
          <w:rFonts w:eastAsia="Calibri"/>
          <w:noProof/>
          <w:lang w:val="en-US" w:eastAsia="zh-CN"/>
        </w:rPr>
        <w:drawing>
          <wp:inline distT="0" distB="0" distL="0" distR="0">
            <wp:extent cx="6120765" cy="389993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899930"/>
                    </a:xfrm>
                    <a:prstGeom prst="rect">
                      <a:avLst/>
                    </a:prstGeom>
                    <a:noFill/>
                    <a:ln>
                      <a:noFill/>
                    </a:ln>
                  </pic:spPr>
                </pic:pic>
              </a:graphicData>
            </a:graphic>
          </wp:inline>
        </w:drawing>
      </w:r>
    </w:p>
    <w:p w:rsidR="000D6321" w:rsidRPr="004544CD" w:rsidRDefault="000D6321" w:rsidP="00162243">
      <w:pPr>
        <w:pStyle w:val="NormalWeb"/>
        <w:spacing w:before="0" w:beforeAutospacing="0" w:after="0" w:afterAutospacing="0"/>
        <w:rPr>
          <w:rFonts w:asciiTheme="minorHAnsi" w:eastAsia="Calibri" w:hAnsiTheme="minorHAnsi" w:cstheme="minorHAnsi"/>
        </w:rPr>
      </w:pPr>
    </w:p>
    <w:p w:rsidR="000D6321" w:rsidRPr="000D6321" w:rsidRDefault="000D6321" w:rsidP="00162243">
      <w:pPr>
        <w:pStyle w:val="NormalWeb"/>
        <w:spacing w:before="0" w:beforeAutospacing="0" w:after="0" w:afterAutospacing="0"/>
        <w:jc w:val="both"/>
        <w:rPr>
          <w:rFonts w:asciiTheme="minorHAnsi" w:eastAsia="Calibri" w:hAnsiTheme="minorHAnsi" w:cstheme="minorHAnsi"/>
          <w:lang w:val="en-GB"/>
        </w:rPr>
      </w:pPr>
      <w:r w:rsidRPr="000D6321">
        <w:rPr>
          <w:rFonts w:ascii="Calibri" w:hAnsi="Calibri"/>
          <w:lang w:val="en-GB"/>
        </w:rPr>
        <w:t>10.</w:t>
      </w:r>
      <w:r w:rsidRPr="000D6321">
        <w:rPr>
          <w:rFonts w:ascii="Calibri" w:hAnsi="Calibri"/>
          <w:lang w:val="en-GB"/>
        </w:rPr>
        <w:tab/>
        <w:t>The draft Budget for 2018-2019 forecasts a payment to the Reserve Account of CHF 1.15 million. Another payment of CHF 1.3 million will be made in 2017 which corresponds to the savings resulting from the implementation of the voluntary separation programme in 2017. The total of the two deposits will wipe off the CHF 2.45 million withdrawal approved in the 2016-2017 Budget to finance the WTDC-17.  In total, there will be no withdrawal from the Reserve Account over the 2016-2019 period of the Financial Plan.</w:t>
      </w:r>
    </w:p>
    <w:p w:rsidR="000D6321" w:rsidRPr="000D6321" w:rsidRDefault="000D6321" w:rsidP="00162243">
      <w:pPr>
        <w:pStyle w:val="NormalWeb"/>
        <w:spacing w:before="0" w:beforeAutospacing="0" w:after="0" w:afterAutospacing="0"/>
        <w:jc w:val="both"/>
        <w:rPr>
          <w:rFonts w:asciiTheme="minorHAnsi" w:eastAsia="Calibri" w:hAnsiTheme="minorHAnsi" w:cstheme="minorHAnsi"/>
          <w:lang w:val="en-GB"/>
        </w:rPr>
      </w:pPr>
    </w:p>
    <w:p w:rsidR="000D6321" w:rsidRPr="000D6321" w:rsidRDefault="000D6321" w:rsidP="00162243">
      <w:pPr>
        <w:pStyle w:val="NormalWeb"/>
        <w:spacing w:before="0" w:beforeAutospacing="0" w:after="0" w:afterAutospacing="0"/>
        <w:jc w:val="both"/>
        <w:rPr>
          <w:rFonts w:asciiTheme="minorHAnsi" w:eastAsia="Calibri" w:hAnsiTheme="minorHAnsi" w:cstheme="minorHAnsi"/>
          <w:lang w:val="en-GB"/>
        </w:rPr>
      </w:pPr>
      <w:r w:rsidRPr="000D6321">
        <w:rPr>
          <w:rFonts w:ascii="Calibri" w:hAnsi="Calibri"/>
          <w:lang w:val="en-GB"/>
        </w:rPr>
        <w:t>11.</w:t>
      </w:r>
      <w:r w:rsidRPr="000D6321">
        <w:rPr>
          <w:rFonts w:ascii="Calibri" w:hAnsi="Calibri"/>
          <w:lang w:val="en-GB"/>
        </w:rPr>
        <w:tab/>
        <w:t>The draft Budget under the Results-based budgeting format will be presented to Council at its 2017 session. Linkage with the Goals and Objectives of the Strategic Plan for the Union for 2016-2019 necessitates time surveys which are on-going.</w:t>
      </w:r>
    </w:p>
    <w:p w:rsidR="000D6321" w:rsidRDefault="000D6321" w:rsidP="00162243">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cs="Arial"/>
          <w:b/>
          <w:bCs/>
          <w:szCs w:val="24"/>
          <w:lang w:val="en-US"/>
        </w:rPr>
      </w:pPr>
    </w:p>
    <w:p w:rsidR="000D6321" w:rsidRPr="002155B5" w:rsidRDefault="000D6321" w:rsidP="00162243">
      <w:pPr>
        <w:pStyle w:val="ListParagraph"/>
        <w:ind w:left="0"/>
        <w:jc w:val="both"/>
        <w:rPr>
          <w:rFonts w:eastAsia="Calibri" w:cs="Arial"/>
          <w:b/>
          <w:bCs/>
          <w:szCs w:val="24"/>
        </w:rPr>
      </w:pPr>
      <w:r w:rsidRPr="002155B5">
        <w:rPr>
          <w:rFonts w:eastAsia="Calibri" w:cs="Arial"/>
          <w:szCs w:val="24"/>
        </w:rPr>
        <w:t>12</w:t>
      </w:r>
      <w:r w:rsidRPr="002155B5">
        <w:rPr>
          <w:rFonts w:eastAsia="Calibri" w:cs="Arial"/>
          <w:b/>
          <w:bCs/>
          <w:szCs w:val="24"/>
        </w:rPr>
        <w:t>.</w:t>
      </w:r>
      <w:r w:rsidRPr="002155B5">
        <w:rPr>
          <w:rFonts w:eastAsia="Calibri" w:cs="Arial"/>
          <w:b/>
          <w:bCs/>
          <w:szCs w:val="24"/>
        </w:rPr>
        <w:tab/>
        <w:t>Annex 1</w:t>
      </w:r>
      <w:r w:rsidRPr="002155B5">
        <w:rPr>
          <w:rFonts w:eastAsia="Calibri" w:cs="Arial"/>
          <w:szCs w:val="24"/>
        </w:rPr>
        <w:t xml:space="preserve"> contains the revenue forecast for 2018-2019 of </w:t>
      </w:r>
      <w:bookmarkStart w:id="20" w:name="OLE_LINK1"/>
      <w:bookmarkStart w:id="21" w:name="OLE_LINK2"/>
      <w:r w:rsidRPr="002155B5">
        <w:rPr>
          <w:rFonts w:eastAsia="Calibri" w:cs="Arial"/>
          <w:szCs w:val="24"/>
        </w:rPr>
        <w:t xml:space="preserve">CHF </w:t>
      </w:r>
      <w:r w:rsidRPr="002155B5">
        <w:rPr>
          <w:rFonts w:eastAsia="Calibri" w:cstheme="minorHAnsi"/>
          <w:szCs w:val="24"/>
        </w:rPr>
        <w:t xml:space="preserve">319.7 </w:t>
      </w:r>
      <w:r w:rsidRPr="002155B5">
        <w:rPr>
          <w:rFonts w:eastAsia="Calibri" w:cs="Arial"/>
          <w:szCs w:val="24"/>
        </w:rPr>
        <w:t>million.</w:t>
      </w:r>
      <w:bookmarkEnd w:id="20"/>
      <w:bookmarkEnd w:id="21"/>
      <w:r w:rsidRPr="002155B5">
        <w:rPr>
          <w:rFonts w:eastAsia="Calibri" w:cs="Arial"/>
          <w:szCs w:val="24"/>
        </w:rPr>
        <w:t xml:space="preserve"> Revenue for Satellite Network Filings is expected to increase by CHF 1 million a year, in line with the 2016 actuals.</w:t>
      </w:r>
    </w:p>
    <w:p w:rsidR="000D6321" w:rsidRPr="002155B5" w:rsidRDefault="000D6321" w:rsidP="00162243">
      <w:pPr>
        <w:pStyle w:val="ListParagraph"/>
        <w:ind w:left="0"/>
        <w:jc w:val="both"/>
        <w:rPr>
          <w:rFonts w:eastAsia="Calibri" w:cs="Arial"/>
          <w:b/>
          <w:bCs/>
          <w:szCs w:val="24"/>
        </w:rPr>
      </w:pPr>
    </w:p>
    <w:p w:rsidR="000D6321" w:rsidRPr="002155B5" w:rsidRDefault="000D6321" w:rsidP="00162243">
      <w:pPr>
        <w:tabs>
          <w:tab w:val="clear" w:pos="794"/>
          <w:tab w:val="left" w:pos="709"/>
        </w:tabs>
        <w:jc w:val="both"/>
        <w:rPr>
          <w:rFonts w:eastAsia="Calibri" w:cs="Arial"/>
          <w:szCs w:val="24"/>
        </w:rPr>
      </w:pPr>
      <w:r w:rsidRPr="002155B5">
        <w:rPr>
          <w:rFonts w:eastAsia="Calibri" w:cs="Arial"/>
          <w:szCs w:val="24"/>
        </w:rPr>
        <w:t>13</w:t>
      </w:r>
      <w:r w:rsidRPr="002155B5">
        <w:rPr>
          <w:rFonts w:eastAsia="Calibri" w:cs="Arial"/>
          <w:b/>
          <w:bCs/>
          <w:szCs w:val="24"/>
        </w:rPr>
        <w:t>.</w:t>
      </w:r>
      <w:r w:rsidRPr="002155B5">
        <w:rPr>
          <w:rFonts w:eastAsia="Calibri" w:cs="Arial"/>
          <w:b/>
          <w:bCs/>
          <w:szCs w:val="24"/>
        </w:rPr>
        <w:tab/>
        <w:t>Annex 2</w:t>
      </w:r>
      <w:r w:rsidRPr="002155B5">
        <w:rPr>
          <w:rFonts w:eastAsia="Calibri" w:cs="Arial"/>
          <w:szCs w:val="24"/>
        </w:rPr>
        <w:t xml:space="preserve"> contains the detailed expense forecast for the 2018-2019 as submitted by Sectors and Departments.  Comparison is provided with previous biennia.</w:t>
      </w:r>
    </w:p>
    <w:p w:rsidR="000D6321" w:rsidRPr="002155B5" w:rsidRDefault="000D6321" w:rsidP="00162243">
      <w:pPr>
        <w:pStyle w:val="ListParagraph"/>
        <w:ind w:left="0"/>
        <w:jc w:val="both"/>
        <w:rPr>
          <w:rFonts w:eastAsia="Calibri" w:cs="Arial"/>
          <w:szCs w:val="24"/>
        </w:rPr>
      </w:pPr>
    </w:p>
    <w:p w:rsidR="000D6321" w:rsidRDefault="000D6321" w:rsidP="00162243">
      <w:pPr>
        <w:pStyle w:val="ListParagraph"/>
        <w:ind w:left="0"/>
        <w:jc w:val="both"/>
        <w:rPr>
          <w:rFonts w:eastAsia="Calibri" w:cs="Arial"/>
          <w:szCs w:val="24"/>
        </w:rPr>
      </w:pPr>
      <w:r w:rsidRPr="00222039">
        <w:rPr>
          <w:rFonts w:eastAsia="Calibri" w:cs="Arial"/>
          <w:szCs w:val="24"/>
        </w:rPr>
        <w:t>14</w:t>
      </w:r>
      <w:r>
        <w:rPr>
          <w:rFonts w:eastAsia="Calibri" w:cs="Arial"/>
          <w:b/>
          <w:bCs/>
          <w:szCs w:val="24"/>
        </w:rPr>
        <w:t>.</w:t>
      </w:r>
      <w:r>
        <w:rPr>
          <w:rFonts w:eastAsia="Calibri" w:cs="Arial"/>
          <w:b/>
          <w:bCs/>
          <w:szCs w:val="24"/>
        </w:rPr>
        <w:tab/>
      </w:r>
      <w:r w:rsidRPr="00B532C6">
        <w:rPr>
          <w:rFonts w:eastAsia="Calibri" w:cs="Arial"/>
          <w:b/>
          <w:bCs/>
          <w:szCs w:val="24"/>
        </w:rPr>
        <w:t>Annex 3</w:t>
      </w:r>
      <w:r>
        <w:rPr>
          <w:rFonts w:eastAsia="Calibri" w:cs="Arial"/>
          <w:szCs w:val="24"/>
        </w:rPr>
        <w:t xml:space="preserve"> provides the analysis of variance between the draft Budget for 2018-2019 and the approved Budget for 2016-2017, which amounts to CHF - 1.6 million.   It </w:t>
      </w:r>
      <w:r w:rsidRPr="004B2F04">
        <w:rPr>
          <w:rFonts w:eastAsia="Calibri" w:cs="Arial"/>
          <w:szCs w:val="24"/>
        </w:rPr>
        <w:t xml:space="preserve">can be </w:t>
      </w:r>
      <w:r>
        <w:rPr>
          <w:rFonts w:eastAsia="Calibri" w:cs="Arial"/>
          <w:szCs w:val="24"/>
        </w:rPr>
        <w:t xml:space="preserve">summarized </w:t>
      </w:r>
      <w:r w:rsidRPr="004B2F04">
        <w:rPr>
          <w:rFonts w:eastAsia="Calibri" w:cs="Arial"/>
          <w:szCs w:val="24"/>
        </w:rPr>
        <w:t>as follows:</w:t>
      </w:r>
    </w:p>
    <w:p w:rsidR="000D6321" w:rsidRDefault="000D6321" w:rsidP="00162243">
      <w:pPr>
        <w:tabs>
          <w:tab w:val="clear" w:pos="794"/>
          <w:tab w:val="clear" w:pos="1191"/>
          <w:tab w:val="clear" w:pos="1588"/>
          <w:tab w:val="clear" w:pos="1985"/>
        </w:tabs>
        <w:overflowPunct/>
        <w:autoSpaceDE/>
        <w:autoSpaceDN/>
        <w:adjustRightInd/>
        <w:spacing w:before="0"/>
        <w:jc w:val="both"/>
        <w:textAlignment w:val="auto"/>
        <w:rPr>
          <w:rFonts w:asciiTheme="minorHAnsi" w:eastAsia="Calibri" w:hAnsiTheme="minorHAnsi" w:cs="Arial"/>
          <w:szCs w:val="24"/>
          <w:lang w:val="en-US" w:eastAsia="zh-CN"/>
        </w:rPr>
      </w:pPr>
    </w:p>
    <w:p w:rsidR="000D6321" w:rsidRDefault="000D6321" w:rsidP="00162243">
      <w:pPr>
        <w:pStyle w:val="ListParagraph"/>
        <w:tabs>
          <w:tab w:val="left" w:pos="709"/>
        </w:tabs>
        <w:ind w:left="0"/>
        <w:jc w:val="both"/>
        <w:rPr>
          <w:rFonts w:eastAsia="Calibri" w:cs="Arial"/>
          <w:szCs w:val="24"/>
        </w:rPr>
      </w:pPr>
      <w:r>
        <w:rPr>
          <w:rFonts w:eastAsia="Calibri" w:cs="Arial"/>
          <w:szCs w:val="24"/>
        </w:rPr>
        <w:t>15.</w:t>
      </w:r>
      <w:r>
        <w:rPr>
          <w:rFonts w:eastAsia="Calibri" w:cs="Arial"/>
          <w:szCs w:val="24"/>
        </w:rPr>
        <w:tab/>
        <w:t>Program variation:</w:t>
      </w:r>
      <w:r>
        <w:rPr>
          <w:rFonts w:eastAsia="Calibri" w:cs="Arial"/>
          <w:szCs w:val="24"/>
        </w:rPr>
        <w:tab/>
      </w:r>
      <w:r>
        <w:rPr>
          <w:rFonts w:eastAsia="Calibri" w:cs="Arial"/>
          <w:szCs w:val="24"/>
        </w:rPr>
        <w:tab/>
        <w:t xml:space="preserve">CHF + 1.3 million </w:t>
      </w:r>
    </w:p>
    <w:p w:rsidR="000D6321" w:rsidRDefault="000D6321" w:rsidP="00162243">
      <w:pPr>
        <w:pStyle w:val="ListParagraph"/>
        <w:ind w:left="0"/>
        <w:jc w:val="both"/>
        <w:rPr>
          <w:rFonts w:eastAsia="Calibri" w:cs="Arial"/>
          <w:szCs w:val="24"/>
        </w:rPr>
      </w:pPr>
    </w:p>
    <w:p w:rsidR="000D6321" w:rsidRDefault="000D6321" w:rsidP="00162243">
      <w:pPr>
        <w:pStyle w:val="ListParagraph"/>
        <w:snapToGrid w:val="0"/>
        <w:spacing w:after="60"/>
        <w:ind w:left="1134" w:hanging="414"/>
        <w:contextualSpacing w:val="0"/>
        <w:jc w:val="both"/>
        <w:rPr>
          <w:rFonts w:eastAsia="Calibri" w:cs="Arial"/>
          <w:szCs w:val="24"/>
        </w:rPr>
      </w:pPr>
      <w:r>
        <w:rPr>
          <w:rFonts w:eastAsia="Calibri" w:cs="Arial"/>
          <w:szCs w:val="24"/>
        </w:rPr>
        <w:t>a)</w:t>
      </w:r>
      <w:r>
        <w:rPr>
          <w:rFonts w:eastAsia="Calibri" w:cs="Arial"/>
          <w:szCs w:val="24"/>
        </w:rPr>
        <w:tab/>
        <w:t>Two major conferences, PP-18 and WRC-19, are planned in 2018-2019. Additional primary costs compared with WTSA-16 and WTDC-17 amount to CHF 2.2 million.</w:t>
      </w:r>
    </w:p>
    <w:p w:rsidR="000D6321" w:rsidRDefault="000D6321" w:rsidP="00162243">
      <w:pPr>
        <w:pStyle w:val="ListParagraph"/>
        <w:snapToGrid w:val="0"/>
        <w:spacing w:after="60"/>
        <w:ind w:left="1134" w:hanging="414"/>
        <w:contextualSpacing w:val="0"/>
        <w:jc w:val="both"/>
        <w:rPr>
          <w:rFonts w:eastAsia="Calibri" w:cs="Arial"/>
          <w:szCs w:val="24"/>
        </w:rPr>
      </w:pPr>
      <w:r>
        <w:rPr>
          <w:rFonts w:eastAsia="Calibri" w:cs="Arial"/>
          <w:szCs w:val="24"/>
        </w:rPr>
        <w:t>b)</w:t>
      </w:r>
      <w:r>
        <w:rPr>
          <w:rFonts w:eastAsia="Calibri" w:cs="Arial"/>
          <w:szCs w:val="24"/>
        </w:rPr>
        <w:tab/>
        <w:t>All possible savings were made to reduce other Sector’s Outputs for an amount of CHF 0.9 million.</w:t>
      </w:r>
    </w:p>
    <w:p w:rsidR="000D6321" w:rsidRDefault="000D6321" w:rsidP="00162243">
      <w:pPr>
        <w:spacing w:before="0"/>
        <w:jc w:val="both"/>
        <w:rPr>
          <w:rFonts w:eastAsia="Calibri" w:cs="Arial"/>
          <w:szCs w:val="24"/>
        </w:rPr>
      </w:pPr>
    </w:p>
    <w:p w:rsidR="000D6321" w:rsidRDefault="000D6321" w:rsidP="00162243">
      <w:pPr>
        <w:pStyle w:val="ListParagraph"/>
        <w:ind w:left="0"/>
        <w:jc w:val="both"/>
        <w:rPr>
          <w:rFonts w:eastAsia="Calibri" w:cs="Arial"/>
          <w:szCs w:val="24"/>
        </w:rPr>
      </w:pPr>
      <w:r>
        <w:rPr>
          <w:rFonts w:eastAsia="Calibri" w:cs="Arial"/>
          <w:szCs w:val="24"/>
        </w:rPr>
        <w:t>16.</w:t>
      </w:r>
      <w:r>
        <w:rPr>
          <w:rFonts w:eastAsia="Calibri" w:cs="Arial"/>
          <w:szCs w:val="24"/>
        </w:rPr>
        <w:tab/>
        <w:t>Bureaux and Departments:</w:t>
      </w:r>
      <w:r>
        <w:rPr>
          <w:rFonts w:eastAsia="Calibri" w:cs="Arial"/>
          <w:szCs w:val="24"/>
        </w:rPr>
        <w:tab/>
        <w:t xml:space="preserve">CHF - 2.9 million </w:t>
      </w:r>
    </w:p>
    <w:p w:rsidR="000D6321" w:rsidRDefault="000D6321" w:rsidP="00162243">
      <w:pPr>
        <w:pStyle w:val="ListParagraph"/>
        <w:ind w:left="0"/>
        <w:jc w:val="both"/>
        <w:rPr>
          <w:rFonts w:eastAsia="Calibri" w:cs="Arial"/>
          <w:szCs w:val="24"/>
        </w:rPr>
      </w:pPr>
    </w:p>
    <w:p w:rsidR="000D6321" w:rsidRDefault="000D6321" w:rsidP="00162243">
      <w:pPr>
        <w:pStyle w:val="ListParagraph"/>
        <w:ind w:left="709" w:firstLine="11"/>
        <w:jc w:val="both"/>
        <w:rPr>
          <w:rFonts w:eastAsia="Calibri" w:cs="Arial"/>
          <w:szCs w:val="24"/>
        </w:rPr>
      </w:pPr>
      <w:r>
        <w:rPr>
          <w:rFonts w:eastAsia="Calibri" w:cs="Arial"/>
          <w:szCs w:val="24"/>
        </w:rPr>
        <w:t>ITU management made utmost efforts to reduce costs related to staff.</w:t>
      </w:r>
    </w:p>
    <w:p w:rsidR="000D6321" w:rsidRDefault="000D6321" w:rsidP="00162243">
      <w:pPr>
        <w:pStyle w:val="ListParagraph"/>
        <w:ind w:left="709" w:firstLine="11"/>
        <w:jc w:val="both"/>
        <w:rPr>
          <w:rFonts w:eastAsia="Calibri" w:cs="Arial"/>
          <w:szCs w:val="24"/>
        </w:rPr>
      </w:pPr>
    </w:p>
    <w:p w:rsidR="000D6321" w:rsidRDefault="000D6321" w:rsidP="00162243">
      <w:pPr>
        <w:pStyle w:val="ListParagraph"/>
        <w:ind w:left="709" w:firstLine="11"/>
        <w:jc w:val="both"/>
        <w:rPr>
          <w:rFonts w:eastAsia="Calibri" w:cs="Arial"/>
          <w:szCs w:val="24"/>
        </w:rPr>
      </w:pPr>
      <w:r>
        <w:rPr>
          <w:rFonts w:eastAsia="Calibri" w:cs="Arial"/>
          <w:szCs w:val="24"/>
        </w:rPr>
        <w:t>As agreed by Council 2016, a voluntary separation programme has been implemented to compensate the cost of the increase in the mandatory age of retirement at 65. As from December 2016 to December 2017, 29 staff members will benefit from early retirement. 13 of them are planned to be replaced at a lower grade. Net reduction is 16 posts.  8 other posts have not been budgeted in 2018-2019 as a result of restructuring. In total, there are 24 posts less in the draft budget compared to 2016-2017, and 70 compared to 2014.  Table 3 below provides the breakdown of post reductions.</w:t>
      </w:r>
    </w:p>
    <w:p w:rsidR="000D6321" w:rsidRDefault="000D6321" w:rsidP="00162243">
      <w:pPr>
        <w:pStyle w:val="ListParagraph"/>
        <w:ind w:left="709" w:firstLine="11"/>
        <w:jc w:val="both"/>
        <w:rPr>
          <w:rFonts w:eastAsia="Calibri" w:cs="Arial"/>
          <w:szCs w:val="24"/>
        </w:rPr>
      </w:pPr>
    </w:p>
    <w:p w:rsidR="000D6321" w:rsidRDefault="000D6321" w:rsidP="00162243">
      <w:pPr>
        <w:pStyle w:val="ListParagraph"/>
        <w:ind w:left="709" w:firstLine="11"/>
        <w:jc w:val="both"/>
        <w:rPr>
          <w:rFonts w:eastAsia="Calibri" w:cs="Arial"/>
          <w:b/>
          <w:bCs/>
          <w:szCs w:val="24"/>
        </w:rPr>
      </w:pPr>
      <w:r>
        <w:rPr>
          <w:rFonts w:eastAsia="Calibri" w:cs="Arial"/>
          <w:szCs w:val="24"/>
        </w:rPr>
        <w:t>A 5% vacancy rate has also been applied, which results from an assessed combination of recruitment delays, part-time staff and leaves without pay.  The implementation of the vacancy rate is a significant challenge in the management of vacant positions and the recruitment process.</w:t>
      </w:r>
    </w:p>
    <w:p w:rsidR="000D6321" w:rsidRDefault="000D6321" w:rsidP="00162243">
      <w:pPr>
        <w:tabs>
          <w:tab w:val="clear" w:pos="794"/>
          <w:tab w:val="clear" w:pos="1191"/>
          <w:tab w:val="clear" w:pos="1588"/>
          <w:tab w:val="clear" w:pos="1985"/>
        </w:tabs>
        <w:overflowPunct/>
        <w:autoSpaceDE/>
        <w:autoSpaceDN/>
        <w:adjustRightInd/>
        <w:spacing w:before="0" w:line="276" w:lineRule="auto"/>
        <w:ind w:left="720"/>
        <w:contextualSpacing/>
        <w:jc w:val="center"/>
        <w:textAlignment w:val="auto"/>
        <w:rPr>
          <w:rFonts w:asciiTheme="minorHAnsi" w:eastAsia="Calibri" w:hAnsiTheme="minorHAnsi" w:cs="Arial"/>
          <w:b/>
          <w:bCs/>
          <w:szCs w:val="24"/>
          <w:lang w:val="en-US"/>
        </w:rPr>
      </w:pPr>
    </w:p>
    <w:p w:rsidR="000D6321" w:rsidRDefault="000D6321" w:rsidP="00162243">
      <w:pPr>
        <w:tabs>
          <w:tab w:val="clear" w:pos="794"/>
          <w:tab w:val="clear" w:pos="1191"/>
          <w:tab w:val="clear" w:pos="1588"/>
          <w:tab w:val="clear" w:pos="1985"/>
        </w:tabs>
        <w:overflowPunct/>
        <w:autoSpaceDE/>
        <w:autoSpaceDN/>
        <w:adjustRightInd/>
        <w:spacing w:before="0" w:line="276" w:lineRule="auto"/>
        <w:ind w:left="720"/>
        <w:contextualSpacing/>
        <w:jc w:val="center"/>
        <w:textAlignment w:val="auto"/>
        <w:rPr>
          <w:rFonts w:asciiTheme="minorHAnsi" w:eastAsia="Calibri" w:hAnsiTheme="minorHAnsi" w:cs="Arial"/>
          <w:b/>
          <w:bCs/>
          <w:szCs w:val="24"/>
          <w:lang w:val="en-US"/>
        </w:rPr>
      </w:pPr>
    </w:p>
    <w:p w:rsidR="000D6321" w:rsidRDefault="000D6321">
      <w:pPr>
        <w:tabs>
          <w:tab w:val="clear" w:pos="794"/>
          <w:tab w:val="clear" w:pos="1191"/>
          <w:tab w:val="clear" w:pos="1588"/>
          <w:tab w:val="clear" w:pos="1985"/>
        </w:tabs>
        <w:overflowPunct/>
        <w:autoSpaceDE/>
        <w:autoSpaceDN/>
        <w:adjustRightInd/>
        <w:spacing w:before="0"/>
        <w:textAlignment w:val="auto"/>
        <w:rPr>
          <w:rFonts w:asciiTheme="minorHAnsi" w:eastAsia="Calibri" w:hAnsiTheme="minorHAnsi" w:cs="Arial"/>
          <w:b/>
          <w:bCs/>
          <w:szCs w:val="24"/>
          <w:lang w:val="en-US"/>
        </w:rPr>
      </w:pPr>
      <w:r>
        <w:rPr>
          <w:rFonts w:asciiTheme="minorHAnsi" w:eastAsia="Calibri" w:hAnsiTheme="minorHAnsi" w:cs="Arial"/>
          <w:b/>
          <w:bCs/>
          <w:szCs w:val="24"/>
          <w:lang w:val="en-US"/>
        </w:rPr>
        <w:br w:type="page"/>
      </w:r>
    </w:p>
    <w:p w:rsidR="000D6321" w:rsidRDefault="000D6321" w:rsidP="00162243">
      <w:pPr>
        <w:tabs>
          <w:tab w:val="clear" w:pos="794"/>
          <w:tab w:val="clear" w:pos="1191"/>
          <w:tab w:val="clear" w:pos="1588"/>
          <w:tab w:val="clear" w:pos="1985"/>
        </w:tabs>
        <w:overflowPunct/>
        <w:autoSpaceDE/>
        <w:autoSpaceDN/>
        <w:adjustRightInd/>
        <w:spacing w:before="0" w:line="276" w:lineRule="auto"/>
        <w:contextualSpacing/>
        <w:jc w:val="center"/>
        <w:textAlignment w:val="auto"/>
        <w:rPr>
          <w:rFonts w:asciiTheme="minorHAnsi" w:eastAsia="Calibri" w:hAnsiTheme="minorHAnsi" w:cs="Arial"/>
          <w:b/>
          <w:bCs/>
          <w:szCs w:val="24"/>
          <w:lang w:val="en-US"/>
        </w:rPr>
      </w:pPr>
    </w:p>
    <w:p w:rsidR="000D6321" w:rsidRDefault="000D6321" w:rsidP="00162243">
      <w:pPr>
        <w:tabs>
          <w:tab w:val="clear" w:pos="794"/>
          <w:tab w:val="clear" w:pos="1191"/>
          <w:tab w:val="clear" w:pos="1588"/>
          <w:tab w:val="clear" w:pos="1985"/>
        </w:tabs>
        <w:overflowPunct/>
        <w:autoSpaceDE/>
        <w:autoSpaceDN/>
        <w:adjustRightInd/>
        <w:spacing w:before="0" w:line="276" w:lineRule="auto"/>
        <w:contextualSpacing/>
        <w:jc w:val="center"/>
        <w:textAlignment w:val="auto"/>
        <w:rPr>
          <w:rFonts w:asciiTheme="minorHAnsi" w:eastAsia="Calibri" w:hAnsiTheme="minorHAnsi" w:cs="Arial"/>
          <w:b/>
          <w:bCs/>
          <w:szCs w:val="24"/>
          <w:lang w:val="en-US"/>
        </w:rPr>
      </w:pPr>
      <w:r w:rsidRPr="00A607D0">
        <w:rPr>
          <w:rFonts w:asciiTheme="minorHAnsi" w:eastAsia="Calibri" w:hAnsiTheme="minorHAnsi" w:cs="Arial"/>
          <w:b/>
          <w:bCs/>
          <w:szCs w:val="24"/>
          <w:lang w:val="en-US"/>
        </w:rPr>
        <w:t xml:space="preserve">Table </w:t>
      </w:r>
      <w:r>
        <w:rPr>
          <w:rFonts w:asciiTheme="minorHAnsi" w:eastAsia="Calibri" w:hAnsiTheme="minorHAnsi" w:cs="Arial"/>
          <w:b/>
          <w:bCs/>
          <w:szCs w:val="24"/>
          <w:lang w:val="en-US"/>
        </w:rPr>
        <w:t>3</w:t>
      </w:r>
    </w:p>
    <w:p w:rsidR="000D6321" w:rsidRPr="00CA4C0C" w:rsidRDefault="000D6321" w:rsidP="00162243">
      <w:pPr>
        <w:tabs>
          <w:tab w:val="clear" w:pos="794"/>
          <w:tab w:val="clear" w:pos="1191"/>
          <w:tab w:val="clear" w:pos="1588"/>
          <w:tab w:val="clear" w:pos="1985"/>
        </w:tabs>
        <w:overflowPunct/>
        <w:autoSpaceDE/>
        <w:autoSpaceDN/>
        <w:adjustRightInd/>
        <w:spacing w:before="0" w:line="276" w:lineRule="auto"/>
        <w:contextualSpacing/>
        <w:jc w:val="center"/>
        <w:textAlignment w:val="auto"/>
        <w:rPr>
          <w:rFonts w:asciiTheme="minorHAnsi" w:eastAsia="Calibri" w:hAnsiTheme="minorHAnsi" w:cs="Arial"/>
          <w:b/>
          <w:bCs/>
          <w:szCs w:val="24"/>
          <w:lang w:val="en-US"/>
        </w:rPr>
      </w:pPr>
      <w:r>
        <w:rPr>
          <w:rFonts w:asciiTheme="minorHAnsi" w:eastAsia="Calibri" w:hAnsiTheme="minorHAnsi" w:cs="Arial"/>
          <w:b/>
          <w:bCs/>
          <w:szCs w:val="24"/>
          <w:lang w:val="en-US"/>
        </w:rPr>
        <w:t>Budgeted posts</w:t>
      </w:r>
    </w:p>
    <w:p w:rsidR="000D6321" w:rsidRDefault="000D6321" w:rsidP="00162243">
      <w:pPr>
        <w:tabs>
          <w:tab w:val="clear" w:pos="794"/>
          <w:tab w:val="clear" w:pos="1191"/>
          <w:tab w:val="clear" w:pos="1588"/>
          <w:tab w:val="clear" w:pos="1985"/>
        </w:tabs>
        <w:overflowPunct/>
        <w:autoSpaceDE/>
        <w:autoSpaceDN/>
        <w:adjustRightInd/>
        <w:spacing w:before="0"/>
        <w:ind w:left="709"/>
        <w:jc w:val="center"/>
        <w:textAlignment w:val="auto"/>
        <w:rPr>
          <w:rFonts w:asciiTheme="minorHAnsi" w:eastAsia="Calibri" w:hAnsiTheme="minorHAnsi" w:cs="Arial"/>
          <w:b/>
          <w:bCs/>
          <w:szCs w:val="24"/>
          <w:lang w:val="en-US"/>
        </w:rPr>
      </w:pPr>
      <w:r w:rsidRPr="00401D6E">
        <w:rPr>
          <w:rFonts w:eastAsia="Calibri"/>
          <w:noProof/>
          <w:lang w:val="en-US" w:eastAsia="zh-CN"/>
        </w:rPr>
        <w:drawing>
          <wp:inline distT="0" distB="0" distL="0" distR="0">
            <wp:extent cx="5502337" cy="2209191"/>
            <wp:effectExtent l="0" t="0" r="317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513" cy="2213678"/>
                    </a:xfrm>
                    <a:prstGeom prst="rect">
                      <a:avLst/>
                    </a:prstGeom>
                    <a:noFill/>
                    <a:ln>
                      <a:noFill/>
                    </a:ln>
                  </pic:spPr>
                </pic:pic>
              </a:graphicData>
            </a:graphic>
          </wp:inline>
        </w:drawing>
      </w:r>
    </w:p>
    <w:p w:rsidR="000D6321" w:rsidRDefault="000D6321" w:rsidP="00162243">
      <w:pPr>
        <w:tabs>
          <w:tab w:val="clear" w:pos="794"/>
          <w:tab w:val="clear" w:pos="1191"/>
          <w:tab w:val="clear" w:pos="1588"/>
          <w:tab w:val="clear" w:pos="1985"/>
          <w:tab w:val="left" w:pos="0"/>
        </w:tabs>
        <w:overflowPunct/>
        <w:autoSpaceDE/>
        <w:autoSpaceDN/>
        <w:adjustRightInd/>
        <w:spacing w:before="0"/>
        <w:contextualSpacing/>
        <w:textAlignment w:val="auto"/>
        <w:rPr>
          <w:rFonts w:asciiTheme="minorHAnsi" w:eastAsia="Calibri" w:hAnsiTheme="minorHAnsi" w:cs="Arial"/>
          <w:szCs w:val="24"/>
          <w:lang w:val="en-US"/>
        </w:rPr>
      </w:pPr>
    </w:p>
    <w:p w:rsidR="000D6321" w:rsidRDefault="000D6321" w:rsidP="00162243">
      <w:pPr>
        <w:pStyle w:val="ListParagraph"/>
        <w:tabs>
          <w:tab w:val="left" w:pos="0"/>
        </w:tabs>
        <w:ind w:left="0"/>
        <w:jc w:val="both"/>
        <w:rPr>
          <w:rFonts w:eastAsia="Calibri" w:cs="Arial"/>
          <w:szCs w:val="24"/>
        </w:rPr>
      </w:pPr>
      <w:r>
        <w:rPr>
          <w:rFonts w:eastAsia="Calibri" w:cs="Arial"/>
          <w:szCs w:val="24"/>
        </w:rPr>
        <w:t>17.</w:t>
      </w:r>
      <w:r>
        <w:rPr>
          <w:rFonts w:eastAsia="Calibri" w:cs="Arial"/>
          <w:szCs w:val="24"/>
        </w:rPr>
        <w:tab/>
        <w:t>The decrease in posts comes from IS, C&amp;P, BR, HRMD, FRMD, BDT and SPM.  The increase in SGO (Internal Audit) is explained by a transfer from IS.</w:t>
      </w:r>
    </w:p>
    <w:p w:rsidR="000D6321" w:rsidRDefault="000D6321" w:rsidP="00162243">
      <w:pPr>
        <w:pStyle w:val="ListParagraph"/>
        <w:tabs>
          <w:tab w:val="left" w:pos="0"/>
        </w:tabs>
        <w:ind w:left="0"/>
        <w:jc w:val="both"/>
        <w:rPr>
          <w:rFonts w:eastAsia="Calibri" w:cs="Arial"/>
          <w:szCs w:val="24"/>
        </w:rPr>
      </w:pPr>
    </w:p>
    <w:p w:rsidR="000D6321" w:rsidRDefault="000D6321" w:rsidP="00162243">
      <w:pPr>
        <w:pStyle w:val="ListParagraph"/>
        <w:tabs>
          <w:tab w:val="left" w:pos="0"/>
        </w:tabs>
        <w:ind w:left="0"/>
        <w:jc w:val="both"/>
        <w:rPr>
          <w:rFonts w:eastAsia="Calibri" w:cs="Arial"/>
          <w:szCs w:val="24"/>
        </w:rPr>
      </w:pPr>
      <w:r>
        <w:rPr>
          <w:rFonts w:eastAsia="Calibri" w:cs="Arial"/>
          <w:szCs w:val="24"/>
        </w:rPr>
        <w:t>18.</w:t>
      </w:r>
      <w:r>
        <w:rPr>
          <w:rFonts w:eastAsia="Calibri" w:cs="Arial"/>
          <w:szCs w:val="24"/>
        </w:rPr>
        <w:tab/>
        <w:t>Table 4 provides a comparison of documentation workload between 2018-2019 and 2016-2017.</w:t>
      </w:r>
    </w:p>
    <w:p w:rsidR="000D6321" w:rsidRPr="00FE50B5" w:rsidRDefault="000D6321" w:rsidP="00162243">
      <w:pPr>
        <w:tabs>
          <w:tab w:val="clear" w:pos="794"/>
          <w:tab w:val="clear" w:pos="1191"/>
          <w:tab w:val="clear" w:pos="1588"/>
          <w:tab w:val="clear" w:pos="1985"/>
          <w:tab w:val="left" w:pos="1134"/>
        </w:tabs>
        <w:overflowPunct/>
        <w:autoSpaceDE/>
        <w:autoSpaceDN/>
        <w:adjustRightInd/>
        <w:spacing w:before="0" w:line="276" w:lineRule="auto"/>
        <w:ind w:left="709" w:hanging="709"/>
        <w:contextualSpacing/>
        <w:jc w:val="center"/>
        <w:textAlignment w:val="auto"/>
        <w:rPr>
          <w:rFonts w:asciiTheme="minorHAnsi" w:eastAsia="Calibri" w:hAnsiTheme="minorHAnsi" w:cs="Arial"/>
          <w:b/>
          <w:bCs/>
          <w:szCs w:val="24"/>
          <w:lang w:val="en-US"/>
        </w:rPr>
      </w:pPr>
      <w:r w:rsidRPr="00FE50B5">
        <w:rPr>
          <w:rFonts w:asciiTheme="minorHAnsi" w:eastAsia="Calibri" w:hAnsiTheme="minorHAnsi" w:cs="Arial"/>
          <w:b/>
          <w:bCs/>
          <w:szCs w:val="24"/>
          <w:lang w:val="en-US"/>
        </w:rPr>
        <w:t>Table 4</w:t>
      </w:r>
    </w:p>
    <w:p w:rsidR="000D6321" w:rsidRDefault="000D6321" w:rsidP="00162243">
      <w:pPr>
        <w:pStyle w:val="ListParagraph"/>
        <w:ind w:left="0"/>
        <w:jc w:val="center"/>
        <w:rPr>
          <w:rFonts w:eastAsia="Calibri" w:cs="Arial"/>
          <w:szCs w:val="24"/>
        </w:rPr>
      </w:pPr>
      <w:r w:rsidRPr="00FE50B5">
        <w:rPr>
          <w:rFonts w:eastAsia="Calibri" w:cs="Arial"/>
          <w:b/>
          <w:bCs/>
          <w:szCs w:val="24"/>
        </w:rPr>
        <w:t>Documentation</w:t>
      </w:r>
    </w:p>
    <w:p w:rsidR="000D6321" w:rsidRDefault="000D6321" w:rsidP="00162243">
      <w:pPr>
        <w:pStyle w:val="ListParagraph"/>
        <w:ind w:left="0"/>
        <w:jc w:val="center"/>
        <w:rPr>
          <w:rFonts w:eastAsia="Calibri" w:cs="Arial"/>
          <w:szCs w:val="24"/>
        </w:rPr>
      </w:pPr>
      <w:r w:rsidRPr="00564C1C">
        <w:rPr>
          <w:noProof/>
          <w:lang w:val="en-US" w:eastAsia="zh-CN"/>
        </w:rPr>
        <w:drawing>
          <wp:inline distT="0" distB="0" distL="0" distR="0">
            <wp:extent cx="4825631" cy="846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7142" cy="860454"/>
                    </a:xfrm>
                    <a:prstGeom prst="rect">
                      <a:avLst/>
                    </a:prstGeom>
                    <a:noFill/>
                    <a:ln>
                      <a:noFill/>
                    </a:ln>
                  </pic:spPr>
                </pic:pic>
              </a:graphicData>
            </a:graphic>
          </wp:inline>
        </w:drawing>
      </w:r>
    </w:p>
    <w:p w:rsidR="000D6321" w:rsidRDefault="000D6321">
      <w:pPr>
        <w:tabs>
          <w:tab w:val="clear" w:pos="794"/>
          <w:tab w:val="clear" w:pos="1191"/>
          <w:tab w:val="clear" w:pos="1588"/>
          <w:tab w:val="clear" w:pos="1985"/>
        </w:tabs>
        <w:overflowPunct/>
        <w:autoSpaceDE/>
        <w:autoSpaceDN/>
        <w:adjustRightInd/>
        <w:spacing w:before="0"/>
        <w:textAlignment w:val="auto"/>
        <w:rPr>
          <w:rFonts w:asciiTheme="minorHAnsi" w:eastAsia="Calibri" w:hAnsiTheme="minorHAnsi" w:cs="Arial"/>
          <w:szCs w:val="24"/>
          <w:lang w:val="en-US" w:eastAsia="zh-CN"/>
        </w:rPr>
      </w:pPr>
    </w:p>
    <w:p w:rsidR="000D6321" w:rsidRDefault="000D6321" w:rsidP="00162243">
      <w:pPr>
        <w:pStyle w:val="ListParagraph"/>
        <w:ind w:left="0"/>
        <w:rPr>
          <w:rFonts w:eastAsia="Calibri" w:cs="Arial"/>
          <w:szCs w:val="24"/>
        </w:rPr>
      </w:pPr>
    </w:p>
    <w:p w:rsidR="000D6321" w:rsidRPr="001B76F3" w:rsidRDefault="000D6321" w:rsidP="00162243">
      <w:pPr>
        <w:pStyle w:val="ListParagraph"/>
        <w:tabs>
          <w:tab w:val="left" w:pos="0"/>
        </w:tabs>
        <w:ind w:left="0"/>
        <w:jc w:val="both"/>
        <w:rPr>
          <w:rFonts w:eastAsia="Calibri" w:cs="Arial"/>
          <w:b/>
          <w:bCs/>
          <w:szCs w:val="24"/>
        </w:rPr>
      </w:pPr>
      <w:r>
        <w:rPr>
          <w:rFonts w:eastAsia="Calibri" w:cs="Arial"/>
          <w:szCs w:val="24"/>
        </w:rPr>
        <w:t>19.</w:t>
      </w:r>
      <w:r>
        <w:rPr>
          <w:rFonts w:eastAsia="Calibri" w:cs="Arial"/>
          <w:szCs w:val="24"/>
        </w:rPr>
        <w:tab/>
      </w:r>
      <w:r w:rsidRPr="001B76F3">
        <w:rPr>
          <w:rFonts w:eastAsia="Calibri" w:cs="Arial"/>
          <w:szCs w:val="24"/>
        </w:rPr>
        <w:t>Table 5 provides the estimate</w:t>
      </w:r>
      <w:r>
        <w:rPr>
          <w:rFonts w:eastAsia="Calibri" w:cs="Arial"/>
          <w:szCs w:val="24"/>
        </w:rPr>
        <w:t>d</w:t>
      </w:r>
      <w:r w:rsidRPr="001B76F3">
        <w:rPr>
          <w:rFonts w:eastAsia="Calibri" w:cs="Arial"/>
          <w:szCs w:val="24"/>
        </w:rPr>
        <w:t xml:space="preserve"> expenses for interpretation, translation and text processing in the official languages of the Union. Language costs including interpretation amount to CHF 33.2 million.</w:t>
      </w:r>
    </w:p>
    <w:p w:rsidR="000D6321" w:rsidRPr="009929FB" w:rsidRDefault="000D6321" w:rsidP="00162243">
      <w:pPr>
        <w:tabs>
          <w:tab w:val="clear" w:pos="794"/>
          <w:tab w:val="clear" w:pos="1191"/>
          <w:tab w:val="clear" w:pos="1588"/>
          <w:tab w:val="clear" w:pos="1985"/>
        </w:tabs>
        <w:overflowPunct/>
        <w:autoSpaceDE/>
        <w:autoSpaceDN/>
        <w:adjustRightInd/>
        <w:spacing w:before="0" w:line="276" w:lineRule="auto"/>
        <w:contextualSpacing/>
        <w:jc w:val="center"/>
        <w:textAlignment w:val="auto"/>
        <w:rPr>
          <w:rFonts w:asciiTheme="minorHAnsi" w:eastAsia="Calibri" w:hAnsiTheme="minorHAnsi" w:cs="Arial"/>
          <w:b/>
          <w:bCs/>
          <w:szCs w:val="24"/>
          <w:lang w:val="en-US"/>
        </w:rPr>
      </w:pPr>
      <w:r w:rsidRPr="009929FB">
        <w:rPr>
          <w:rFonts w:asciiTheme="minorHAnsi" w:eastAsia="Calibri" w:hAnsiTheme="minorHAnsi" w:cs="Arial"/>
          <w:b/>
          <w:bCs/>
          <w:szCs w:val="24"/>
          <w:lang w:val="en-US"/>
        </w:rPr>
        <w:t>Table 5</w:t>
      </w:r>
    </w:p>
    <w:p w:rsidR="000D6321" w:rsidRDefault="000D6321" w:rsidP="00162243">
      <w:pPr>
        <w:tabs>
          <w:tab w:val="clear" w:pos="794"/>
          <w:tab w:val="clear" w:pos="1191"/>
          <w:tab w:val="clear" w:pos="1588"/>
          <w:tab w:val="clear" w:pos="1985"/>
        </w:tabs>
        <w:overflowPunct/>
        <w:autoSpaceDE/>
        <w:autoSpaceDN/>
        <w:adjustRightInd/>
        <w:spacing w:before="0" w:line="276" w:lineRule="auto"/>
        <w:contextualSpacing/>
        <w:jc w:val="center"/>
        <w:textAlignment w:val="auto"/>
        <w:rPr>
          <w:rFonts w:asciiTheme="minorHAnsi" w:eastAsia="Calibri" w:hAnsiTheme="minorHAnsi" w:cs="Arial"/>
          <w:szCs w:val="24"/>
          <w:lang w:val="en-US"/>
        </w:rPr>
      </w:pPr>
      <w:r w:rsidRPr="009929FB">
        <w:rPr>
          <w:rFonts w:asciiTheme="minorHAnsi" w:eastAsia="Calibri" w:hAnsiTheme="minorHAnsi" w:cs="Arial"/>
          <w:b/>
          <w:bCs/>
          <w:szCs w:val="24"/>
          <w:lang w:val="en-US"/>
        </w:rPr>
        <w:t>Language cost</w:t>
      </w:r>
    </w:p>
    <w:p w:rsidR="000D6321" w:rsidRDefault="000D6321" w:rsidP="00162243">
      <w:pPr>
        <w:tabs>
          <w:tab w:val="clear" w:pos="794"/>
          <w:tab w:val="clear" w:pos="1191"/>
          <w:tab w:val="clear" w:pos="1588"/>
          <w:tab w:val="clear" w:pos="1985"/>
        </w:tabs>
        <w:overflowPunct/>
        <w:autoSpaceDE/>
        <w:autoSpaceDN/>
        <w:adjustRightInd/>
        <w:spacing w:before="0" w:line="276" w:lineRule="auto"/>
        <w:contextualSpacing/>
        <w:jc w:val="center"/>
        <w:textAlignment w:val="auto"/>
        <w:rPr>
          <w:rFonts w:asciiTheme="minorHAnsi" w:eastAsia="Calibri" w:hAnsiTheme="minorHAnsi" w:cs="Arial"/>
          <w:szCs w:val="24"/>
          <w:lang w:val="en-US"/>
        </w:rPr>
      </w:pPr>
      <w:r w:rsidRPr="001B76F3">
        <w:rPr>
          <w:rFonts w:eastAsia="Calibri"/>
          <w:noProof/>
          <w:lang w:val="en-US" w:eastAsia="zh-CN"/>
        </w:rPr>
        <w:drawing>
          <wp:inline distT="0" distB="0" distL="0" distR="0">
            <wp:extent cx="4264913" cy="221093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490" cy="2222123"/>
                    </a:xfrm>
                    <a:prstGeom prst="rect">
                      <a:avLst/>
                    </a:prstGeom>
                    <a:noFill/>
                    <a:ln>
                      <a:noFill/>
                    </a:ln>
                  </pic:spPr>
                </pic:pic>
              </a:graphicData>
            </a:graphic>
          </wp:inline>
        </w:drawing>
      </w:r>
    </w:p>
    <w:p w:rsidR="000D6321" w:rsidRDefault="000D6321" w:rsidP="00162243">
      <w:pPr>
        <w:pStyle w:val="ListParagraph"/>
        <w:ind w:left="0"/>
        <w:jc w:val="both"/>
        <w:rPr>
          <w:rFonts w:eastAsia="Calibri" w:cs="Arial"/>
          <w:szCs w:val="24"/>
        </w:rPr>
      </w:pPr>
    </w:p>
    <w:p w:rsidR="000D6321" w:rsidRDefault="000D6321" w:rsidP="00162243">
      <w:pPr>
        <w:pStyle w:val="ListParagraph"/>
        <w:ind w:left="0"/>
        <w:rPr>
          <w:rFonts w:eastAsia="Calibri" w:cs="Arial"/>
          <w:szCs w:val="24"/>
        </w:rPr>
      </w:pPr>
      <w:r>
        <w:rPr>
          <w:rFonts w:eastAsia="Calibri" w:cs="Arial"/>
          <w:szCs w:val="24"/>
        </w:rPr>
        <w:t>20.</w:t>
      </w:r>
      <w:r>
        <w:rPr>
          <w:rFonts w:eastAsia="Calibri" w:cs="Arial"/>
          <w:szCs w:val="24"/>
        </w:rPr>
        <w:tab/>
        <w:t>The s</w:t>
      </w:r>
      <w:r w:rsidRPr="00A47776">
        <w:rPr>
          <w:rFonts w:eastAsia="Calibri" w:cs="Arial"/>
          <w:szCs w:val="24"/>
        </w:rPr>
        <w:t>ta</w:t>
      </w:r>
      <w:r>
        <w:rPr>
          <w:rFonts w:eastAsia="Calibri" w:cs="Arial"/>
          <w:szCs w:val="24"/>
        </w:rPr>
        <w:t>t</w:t>
      </w:r>
      <w:r w:rsidRPr="00A47776">
        <w:rPr>
          <w:rFonts w:eastAsia="Calibri" w:cs="Arial"/>
          <w:szCs w:val="24"/>
        </w:rPr>
        <w:t>us of the ITU Reserve Account</w:t>
      </w:r>
      <w:r>
        <w:rPr>
          <w:rFonts w:eastAsia="Calibri" w:cs="Arial"/>
          <w:szCs w:val="24"/>
        </w:rPr>
        <w:t>, before the closing</w:t>
      </w:r>
      <w:r w:rsidRPr="00A47776">
        <w:rPr>
          <w:rFonts w:eastAsia="Calibri" w:cs="Arial"/>
          <w:szCs w:val="24"/>
        </w:rPr>
        <w:t xml:space="preserve"> </w:t>
      </w:r>
      <w:r>
        <w:rPr>
          <w:rFonts w:eastAsia="Calibri" w:cs="Arial"/>
          <w:szCs w:val="24"/>
        </w:rPr>
        <w:t xml:space="preserve">of the 2016 accounts, </w:t>
      </w:r>
      <w:r w:rsidRPr="00A47776">
        <w:rPr>
          <w:rFonts w:eastAsia="Calibri" w:cs="Arial"/>
          <w:szCs w:val="24"/>
        </w:rPr>
        <w:t xml:space="preserve">is shown in Table </w:t>
      </w:r>
      <w:r>
        <w:rPr>
          <w:rFonts w:eastAsia="Calibri" w:cs="Arial"/>
          <w:szCs w:val="24"/>
        </w:rPr>
        <w:t>6</w:t>
      </w:r>
      <w:r w:rsidRPr="00A47776">
        <w:rPr>
          <w:rFonts w:eastAsia="Calibri" w:cs="Arial"/>
          <w:szCs w:val="24"/>
        </w:rPr>
        <w:t xml:space="preserve"> below.</w:t>
      </w:r>
      <w:r>
        <w:rPr>
          <w:rFonts w:eastAsia="Calibri" w:cs="Arial"/>
          <w:szCs w:val="24"/>
        </w:rPr>
        <w:t xml:space="preserve"> </w:t>
      </w:r>
    </w:p>
    <w:p w:rsidR="000D6321" w:rsidRDefault="000D6321" w:rsidP="00162243">
      <w:pPr>
        <w:pStyle w:val="ListParagraph"/>
        <w:ind w:left="0"/>
        <w:jc w:val="center"/>
        <w:rPr>
          <w:noProof/>
        </w:rPr>
      </w:pPr>
      <w:r>
        <w:rPr>
          <w:rFonts w:eastAsia="Calibri" w:cs="Arial"/>
          <w:b/>
          <w:bCs/>
          <w:szCs w:val="24"/>
        </w:rPr>
        <w:t>Table 6</w:t>
      </w:r>
    </w:p>
    <w:p w:rsidR="000D6321" w:rsidRDefault="000D6321" w:rsidP="00162243">
      <w:pPr>
        <w:pStyle w:val="ListParagraph"/>
        <w:ind w:left="0"/>
        <w:jc w:val="center"/>
        <w:rPr>
          <w:rFonts w:eastAsia="Calibri" w:cs="Arial"/>
          <w:szCs w:val="24"/>
        </w:rPr>
      </w:pPr>
      <w:r w:rsidRPr="001B76F3">
        <w:rPr>
          <w:rFonts w:eastAsia="Calibri" w:cs="Arial"/>
          <w:b/>
          <w:bCs/>
          <w:szCs w:val="24"/>
        </w:rPr>
        <w:t>Reserve account</w:t>
      </w:r>
    </w:p>
    <w:p w:rsidR="000D6321" w:rsidRDefault="000D6321" w:rsidP="00162243">
      <w:pPr>
        <w:pStyle w:val="ListParagraph"/>
        <w:ind w:left="0"/>
        <w:jc w:val="center"/>
        <w:rPr>
          <w:rFonts w:eastAsia="Calibri" w:cs="Arial"/>
          <w:szCs w:val="24"/>
        </w:rPr>
      </w:pPr>
      <w:r w:rsidRPr="00C079B1">
        <w:rPr>
          <w:noProof/>
          <w:lang w:val="en-US" w:eastAsia="zh-CN"/>
        </w:rPr>
        <w:drawing>
          <wp:inline distT="0" distB="0" distL="0" distR="0">
            <wp:extent cx="5288176" cy="1401200"/>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1857" cy="1404825"/>
                    </a:xfrm>
                    <a:prstGeom prst="rect">
                      <a:avLst/>
                    </a:prstGeom>
                    <a:noFill/>
                    <a:ln>
                      <a:noFill/>
                    </a:ln>
                  </pic:spPr>
                </pic:pic>
              </a:graphicData>
            </a:graphic>
          </wp:inline>
        </w:drawing>
      </w:r>
    </w:p>
    <w:p w:rsidR="000D6321" w:rsidRDefault="000D6321" w:rsidP="00162243">
      <w:pPr>
        <w:pStyle w:val="ListParagraph"/>
        <w:ind w:left="0"/>
        <w:jc w:val="both"/>
        <w:rPr>
          <w:rFonts w:eastAsia="Calibri" w:cs="Arial"/>
          <w:szCs w:val="24"/>
        </w:rPr>
      </w:pPr>
    </w:p>
    <w:p w:rsidR="000D6321" w:rsidRDefault="000D6321" w:rsidP="00162243">
      <w:pPr>
        <w:pStyle w:val="ListParagraph"/>
        <w:snapToGrid w:val="0"/>
        <w:ind w:left="0"/>
        <w:contextualSpacing w:val="0"/>
        <w:jc w:val="both"/>
        <w:rPr>
          <w:rFonts w:eastAsia="Calibri" w:cs="Arial"/>
          <w:szCs w:val="24"/>
        </w:rPr>
      </w:pPr>
      <w:r>
        <w:rPr>
          <w:rFonts w:eastAsia="Calibri" w:cs="Arial"/>
          <w:szCs w:val="24"/>
        </w:rPr>
        <w:t>21.</w:t>
      </w:r>
      <w:r>
        <w:rPr>
          <w:rFonts w:eastAsia="Calibri" w:cs="Arial"/>
          <w:szCs w:val="24"/>
        </w:rPr>
        <w:tab/>
        <w:t xml:space="preserve">The status of the new ASHI </w:t>
      </w:r>
      <w:r w:rsidRPr="001B76F3">
        <w:rPr>
          <w:rFonts w:eastAsia="Calibri" w:cs="Arial"/>
          <w:szCs w:val="24"/>
        </w:rPr>
        <w:t>Fund is CHF 7 million at 31 December 2015.</w:t>
      </w:r>
    </w:p>
    <w:p w:rsidR="000D6321" w:rsidRPr="00EB5A12" w:rsidRDefault="000D6321" w:rsidP="00162243">
      <w:pPr>
        <w:tabs>
          <w:tab w:val="clear" w:pos="794"/>
          <w:tab w:val="left" w:pos="0"/>
        </w:tabs>
        <w:snapToGrid w:val="0"/>
        <w:spacing w:before="0"/>
        <w:jc w:val="both"/>
        <w:rPr>
          <w:rFonts w:eastAsia="Calibri" w:cs="Arial"/>
          <w:szCs w:val="24"/>
          <w:lang w:val="en-US"/>
        </w:rPr>
      </w:pPr>
    </w:p>
    <w:p w:rsidR="000D6321" w:rsidRDefault="000D6321" w:rsidP="00162243">
      <w:pPr>
        <w:tabs>
          <w:tab w:val="clear" w:pos="794"/>
          <w:tab w:val="left" w:pos="0"/>
        </w:tabs>
        <w:snapToGrid w:val="0"/>
        <w:spacing w:before="0"/>
        <w:jc w:val="both"/>
        <w:rPr>
          <w:rFonts w:asciiTheme="minorHAnsi" w:eastAsia="Calibri" w:hAnsiTheme="minorHAnsi" w:cstheme="minorHAnsi"/>
          <w:b/>
          <w:bCs/>
          <w:szCs w:val="24"/>
        </w:rPr>
      </w:pPr>
    </w:p>
    <w:p w:rsidR="000D6321" w:rsidRPr="007B47CD" w:rsidRDefault="000D6321" w:rsidP="00162243">
      <w:pPr>
        <w:tabs>
          <w:tab w:val="clear" w:pos="794"/>
          <w:tab w:val="left" w:pos="0"/>
        </w:tabs>
        <w:snapToGrid w:val="0"/>
        <w:spacing w:before="0"/>
        <w:jc w:val="both"/>
        <w:rPr>
          <w:rFonts w:asciiTheme="minorHAnsi" w:eastAsia="Calibri" w:hAnsiTheme="minorHAnsi" w:cstheme="minorHAnsi"/>
          <w:b/>
          <w:bCs/>
          <w:szCs w:val="24"/>
        </w:rPr>
      </w:pPr>
      <w:r w:rsidRPr="007B47CD">
        <w:rPr>
          <w:rFonts w:asciiTheme="minorHAnsi" w:eastAsia="Calibri" w:hAnsiTheme="minorHAnsi" w:cstheme="minorHAnsi"/>
          <w:b/>
          <w:bCs/>
          <w:szCs w:val="24"/>
        </w:rPr>
        <w:t>Challenge</w:t>
      </w:r>
      <w:r>
        <w:rPr>
          <w:rFonts w:asciiTheme="minorHAnsi" w:eastAsia="Calibri" w:hAnsiTheme="minorHAnsi" w:cstheme="minorHAnsi"/>
          <w:b/>
          <w:bCs/>
          <w:szCs w:val="24"/>
        </w:rPr>
        <w:t>s</w:t>
      </w:r>
      <w:r w:rsidRPr="007B47CD">
        <w:rPr>
          <w:rFonts w:asciiTheme="minorHAnsi" w:eastAsia="Calibri" w:hAnsiTheme="minorHAnsi" w:cstheme="minorHAnsi"/>
          <w:b/>
          <w:bCs/>
          <w:szCs w:val="24"/>
        </w:rPr>
        <w:t xml:space="preserve"> for the ITU</w:t>
      </w:r>
    </w:p>
    <w:p w:rsidR="000D6321" w:rsidRPr="007B47CD" w:rsidRDefault="000D6321" w:rsidP="00162243">
      <w:pPr>
        <w:tabs>
          <w:tab w:val="clear" w:pos="794"/>
          <w:tab w:val="left" w:pos="0"/>
        </w:tabs>
        <w:snapToGrid w:val="0"/>
        <w:spacing w:before="0"/>
        <w:jc w:val="both"/>
        <w:rPr>
          <w:rFonts w:asciiTheme="minorHAnsi" w:eastAsia="Calibri" w:hAnsiTheme="minorHAnsi" w:cstheme="minorHAnsi"/>
          <w:szCs w:val="24"/>
        </w:rPr>
      </w:pPr>
    </w:p>
    <w:p w:rsidR="000D6321" w:rsidRPr="00373197" w:rsidRDefault="000D6321" w:rsidP="00162243">
      <w:pPr>
        <w:pStyle w:val="ListParagraph"/>
        <w:tabs>
          <w:tab w:val="left" w:pos="0"/>
        </w:tabs>
        <w:snapToGrid w:val="0"/>
        <w:ind w:left="0"/>
        <w:contextualSpacing w:val="0"/>
        <w:jc w:val="both"/>
        <w:rPr>
          <w:b/>
        </w:rPr>
      </w:pPr>
      <w:r>
        <w:rPr>
          <w:rFonts w:eastAsia="Calibri" w:cstheme="minorHAnsi"/>
          <w:szCs w:val="24"/>
        </w:rPr>
        <w:t>22.</w:t>
      </w:r>
      <w:r>
        <w:rPr>
          <w:rFonts w:eastAsia="Calibri" w:cstheme="minorHAnsi"/>
          <w:szCs w:val="24"/>
        </w:rPr>
        <w:tab/>
        <w:t>The m</w:t>
      </w:r>
      <w:r w:rsidRPr="00A957E3">
        <w:rPr>
          <w:rFonts w:eastAsia="Calibri" w:cstheme="minorHAnsi"/>
          <w:szCs w:val="24"/>
        </w:rPr>
        <w:t>ain challenge for the Union from the budget</w:t>
      </w:r>
      <w:r>
        <w:rPr>
          <w:rFonts w:eastAsia="Calibri" w:cstheme="minorHAnsi"/>
          <w:szCs w:val="24"/>
        </w:rPr>
        <w:t>ary</w:t>
      </w:r>
      <w:r w:rsidRPr="00A957E3">
        <w:rPr>
          <w:rFonts w:eastAsia="Calibri" w:cstheme="minorHAnsi"/>
          <w:szCs w:val="24"/>
        </w:rPr>
        <w:t xml:space="preserve"> point of view remains the need to increase revenue in order to be able to fully meet its Mission and Objectives as stated in the ITU Strategic Plan.  Resolution 158 (Rev. Busan,2014) on Financial issues resolves the Council to study the possibility of generating additional </w:t>
      </w:r>
      <w:r>
        <w:rPr>
          <w:rFonts w:eastAsia="Calibri" w:cstheme="minorHAnsi"/>
          <w:szCs w:val="24"/>
        </w:rPr>
        <w:t>revenues</w:t>
      </w:r>
      <w:r w:rsidRPr="00A957E3">
        <w:rPr>
          <w:rFonts w:eastAsia="Calibri" w:cstheme="minorHAnsi"/>
          <w:szCs w:val="24"/>
        </w:rPr>
        <w:t xml:space="preserve"> </w:t>
      </w:r>
      <w:r>
        <w:rPr>
          <w:rFonts w:eastAsia="Calibri" w:cstheme="minorHAnsi"/>
          <w:szCs w:val="24"/>
        </w:rPr>
        <w:t xml:space="preserve">as well as </w:t>
      </w:r>
      <w:r w:rsidRPr="00A957E3">
        <w:rPr>
          <w:rFonts w:eastAsia="Calibri" w:cstheme="minorHAnsi"/>
          <w:szCs w:val="24"/>
        </w:rPr>
        <w:t>the possibility of establishing mechanisms to afford greater financial stability for the Union.</w:t>
      </w:r>
    </w:p>
    <w:p w:rsidR="000D6321" w:rsidRPr="00373197" w:rsidRDefault="000D6321" w:rsidP="00162243">
      <w:pPr>
        <w:pStyle w:val="ListParagraph"/>
        <w:tabs>
          <w:tab w:val="left" w:pos="0"/>
        </w:tabs>
        <w:snapToGrid w:val="0"/>
        <w:ind w:left="0"/>
        <w:contextualSpacing w:val="0"/>
        <w:jc w:val="both"/>
        <w:rPr>
          <w:b/>
        </w:rPr>
      </w:pPr>
    </w:p>
    <w:p w:rsidR="000D6321" w:rsidRPr="000B2E13" w:rsidRDefault="000D6321" w:rsidP="00162243">
      <w:pPr>
        <w:pStyle w:val="ListParagraph"/>
        <w:tabs>
          <w:tab w:val="left" w:pos="0"/>
        </w:tabs>
        <w:snapToGrid w:val="0"/>
        <w:ind w:left="0"/>
        <w:contextualSpacing w:val="0"/>
        <w:jc w:val="both"/>
        <w:rPr>
          <w:rFonts w:eastAsia="Calibri" w:cstheme="minorHAnsi"/>
          <w:szCs w:val="24"/>
        </w:rPr>
      </w:pPr>
      <w:r>
        <w:rPr>
          <w:rFonts w:eastAsia="Calibri" w:cstheme="minorHAnsi"/>
          <w:szCs w:val="24"/>
        </w:rPr>
        <w:t>23.</w:t>
      </w:r>
      <w:r>
        <w:rPr>
          <w:rFonts w:eastAsia="Calibri" w:cstheme="minorHAnsi"/>
          <w:szCs w:val="24"/>
        </w:rPr>
        <w:tab/>
      </w:r>
      <w:r w:rsidRPr="009346A5">
        <w:rPr>
          <w:rFonts w:eastAsia="Calibri" w:cstheme="minorHAnsi"/>
          <w:szCs w:val="24"/>
        </w:rPr>
        <w:t xml:space="preserve">Other measures, in line with Annex 2 to </w:t>
      </w:r>
      <w:r w:rsidRPr="000B2E13">
        <w:rPr>
          <w:rFonts w:eastAsia="Calibri" w:cstheme="minorHAnsi"/>
          <w:szCs w:val="24"/>
        </w:rPr>
        <w:t>D</w:t>
      </w:r>
      <w:r w:rsidRPr="009346A5">
        <w:rPr>
          <w:rFonts w:eastAsia="Calibri" w:cstheme="minorHAnsi"/>
          <w:szCs w:val="24"/>
        </w:rPr>
        <w:t xml:space="preserve">ecision 5, </w:t>
      </w:r>
      <w:r w:rsidRPr="000B2E13">
        <w:rPr>
          <w:rFonts w:eastAsia="Calibri" w:cstheme="minorHAnsi"/>
          <w:szCs w:val="24"/>
        </w:rPr>
        <w:t xml:space="preserve">are </w:t>
      </w:r>
      <w:r w:rsidRPr="009346A5">
        <w:rPr>
          <w:rFonts w:eastAsia="Calibri" w:cstheme="minorHAnsi"/>
          <w:szCs w:val="24"/>
        </w:rPr>
        <w:t xml:space="preserve">also </w:t>
      </w:r>
      <w:r w:rsidRPr="000B2E13">
        <w:rPr>
          <w:rFonts w:eastAsia="Calibri" w:cstheme="minorHAnsi"/>
          <w:szCs w:val="24"/>
        </w:rPr>
        <w:t>investigated</w:t>
      </w:r>
      <w:r w:rsidRPr="009346A5">
        <w:rPr>
          <w:rFonts w:eastAsia="Calibri" w:cstheme="minorHAnsi"/>
          <w:szCs w:val="24"/>
        </w:rPr>
        <w:t xml:space="preserve"> to further reduce the expenses, and by so doing creating new ways and means to better meet the ITU mandate and fulfil its </w:t>
      </w:r>
      <w:r w:rsidRPr="000B2E13">
        <w:rPr>
          <w:rFonts w:eastAsia="Calibri" w:cstheme="minorHAnsi"/>
          <w:szCs w:val="24"/>
        </w:rPr>
        <w:t>G</w:t>
      </w:r>
      <w:r w:rsidRPr="009346A5">
        <w:rPr>
          <w:rFonts w:eastAsia="Calibri" w:cstheme="minorHAnsi"/>
          <w:szCs w:val="24"/>
        </w:rPr>
        <w:t xml:space="preserve">oals and </w:t>
      </w:r>
      <w:r w:rsidRPr="000B2E13">
        <w:rPr>
          <w:rFonts w:eastAsia="Calibri" w:cstheme="minorHAnsi"/>
          <w:szCs w:val="24"/>
        </w:rPr>
        <w:t>O</w:t>
      </w:r>
      <w:r w:rsidRPr="009346A5">
        <w:rPr>
          <w:rFonts w:eastAsia="Calibri" w:cstheme="minorHAnsi"/>
          <w:szCs w:val="24"/>
        </w:rPr>
        <w:t>bjectives.</w:t>
      </w:r>
    </w:p>
    <w:p w:rsidR="000D6321" w:rsidRDefault="000D6321" w:rsidP="00162243">
      <w:pPr>
        <w:pStyle w:val="ListParagraph"/>
        <w:tabs>
          <w:tab w:val="left" w:pos="0"/>
        </w:tabs>
        <w:snapToGrid w:val="0"/>
        <w:ind w:left="0"/>
        <w:contextualSpacing w:val="0"/>
        <w:jc w:val="both"/>
        <w:rPr>
          <w:rFonts w:eastAsia="Calibri" w:cstheme="minorHAnsi"/>
          <w:szCs w:val="24"/>
        </w:rPr>
      </w:pPr>
    </w:p>
    <w:p w:rsidR="000D6321" w:rsidRPr="000B2E13" w:rsidRDefault="000D6321" w:rsidP="00162243">
      <w:pPr>
        <w:pStyle w:val="ListParagraph"/>
        <w:tabs>
          <w:tab w:val="left" w:pos="0"/>
        </w:tabs>
        <w:snapToGrid w:val="0"/>
        <w:spacing w:after="120"/>
        <w:ind w:left="0"/>
        <w:contextualSpacing w:val="0"/>
        <w:jc w:val="both"/>
        <w:rPr>
          <w:rFonts w:eastAsia="Calibri" w:cstheme="minorHAnsi"/>
          <w:szCs w:val="24"/>
        </w:rPr>
      </w:pPr>
      <w:r>
        <w:rPr>
          <w:rFonts w:eastAsia="Calibri" w:cstheme="minorHAnsi"/>
          <w:szCs w:val="24"/>
        </w:rPr>
        <w:t>24.</w:t>
      </w:r>
      <w:r>
        <w:rPr>
          <w:rFonts w:eastAsia="Calibri" w:cstheme="minorHAnsi"/>
          <w:szCs w:val="24"/>
        </w:rPr>
        <w:tab/>
      </w:r>
      <w:r w:rsidRPr="000B2E13">
        <w:rPr>
          <w:rFonts w:eastAsia="Calibri" w:cstheme="minorHAnsi"/>
          <w:szCs w:val="24"/>
        </w:rPr>
        <w:t xml:space="preserve">Four possible </w:t>
      </w:r>
      <w:r>
        <w:rPr>
          <w:rFonts w:eastAsia="Calibri" w:cstheme="minorHAnsi"/>
          <w:szCs w:val="24"/>
        </w:rPr>
        <w:t>areas</w:t>
      </w:r>
      <w:r w:rsidRPr="000B2E13">
        <w:rPr>
          <w:rFonts w:eastAsia="Calibri" w:cstheme="minorHAnsi"/>
          <w:szCs w:val="24"/>
        </w:rPr>
        <w:t xml:space="preserve"> are </w:t>
      </w:r>
      <w:r>
        <w:rPr>
          <w:rFonts w:eastAsia="Calibri" w:cstheme="minorHAnsi"/>
          <w:szCs w:val="24"/>
        </w:rPr>
        <w:t>under consideration</w:t>
      </w:r>
      <w:r w:rsidRPr="000B2E13">
        <w:rPr>
          <w:rFonts w:eastAsia="Calibri" w:cstheme="minorHAnsi"/>
          <w:szCs w:val="24"/>
        </w:rPr>
        <w:t>:</w:t>
      </w:r>
    </w:p>
    <w:p w:rsidR="000D6321" w:rsidRPr="000B2E13" w:rsidRDefault="000D6321" w:rsidP="000D6321">
      <w:pPr>
        <w:pStyle w:val="ListParagraph"/>
        <w:numPr>
          <w:ilvl w:val="0"/>
          <w:numId w:val="38"/>
        </w:numPr>
        <w:tabs>
          <w:tab w:val="clear" w:pos="794"/>
          <w:tab w:val="clear" w:pos="1191"/>
          <w:tab w:val="clear" w:pos="1588"/>
          <w:tab w:val="clear" w:pos="1985"/>
          <w:tab w:val="left" w:pos="0"/>
        </w:tabs>
        <w:overflowPunct/>
        <w:autoSpaceDE/>
        <w:autoSpaceDN/>
        <w:adjustRightInd/>
        <w:snapToGrid w:val="0"/>
        <w:spacing w:before="0" w:after="200" w:line="276" w:lineRule="auto"/>
        <w:jc w:val="both"/>
        <w:textAlignment w:val="auto"/>
        <w:rPr>
          <w:rFonts w:eastAsia="Calibri" w:cstheme="minorHAnsi"/>
          <w:szCs w:val="24"/>
        </w:rPr>
      </w:pPr>
      <w:r w:rsidRPr="000B2E13">
        <w:rPr>
          <w:rFonts w:eastAsia="Calibri" w:cstheme="minorHAnsi"/>
          <w:szCs w:val="24"/>
        </w:rPr>
        <w:t>Elimination of duplication and centralization of finance and administrative tasks</w:t>
      </w:r>
    </w:p>
    <w:p w:rsidR="000D6321" w:rsidRPr="000B2E13" w:rsidRDefault="000D6321" w:rsidP="000D6321">
      <w:pPr>
        <w:pStyle w:val="ListParagraph"/>
        <w:numPr>
          <w:ilvl w:val="0"/>
          <w:numId w:val="38"/>
        </w:numPr>
        <w:tabs>
          <w:tab w:val="clear" w:pos="794"/>
          <w:tab w:val="clear" w:pos="1191"/>
          <w:tab w:val="clear" w:pos="1588"/>
          <w:tab w:val="clear" w:pos="1985"/>
          <w:tab w:val="left" w:pos="0"/>
        </w:tabs>
        <w:overflowPunct/>
        <w:autoSpaceDE/>
        <w:autoSpaceDN/>
        <w:adjustRightInd/>
        <w:snapToGrid w:val="0"/>
        <w:spacing w:before="0" w:after="200" w:line="276" w:lineRule="auto"/>
        <w:jc w:val="both"/>
        <w:textAlignment w:val="auto"/>
        <w:rPr>
          <w:rFonts w:eastAsia="Calibri" w:cstheme="minorHAnsi"/>
          <w:szCs w:val="24"/>
        </w:rPr>
      </w:pPr>
      <w:r w:rsidRPr="000B2E13">
        <w:rPr>
          <w:rFonts w:eastAsia="Calibri" w:cstheme="minorHAnsi"/>
          <w:szCs w:val="24"/>
        </w:rPr>
        <w:t>New possible hiring arrangements</w:t>
      </w:r>
    </w:p>
    <w:p w:rsidR="000D6321" w:rsidRPr="000B2E13" w:rsidRDefault="000D6321" w:rsidP="000D6321">
      <w:pPr>
        <w:pStyle w:val="ListParagraph"/>
        <w:numPr>
          <w:ilvl w:val="0"/>
          <w:numId w:val="38"/>
        </w:numPr>
        <w:tabs>
          <w:tab w:val="clear" w:pos="794"/>
          <w:tab w:val="clear" w:pos="1191"/>
          <w:tab w:val="clear" w:pos="1588"/>
          <w:tab w:val="clear" w:pos="1985"/>
          <w:tab w:val="left" w:pos="0"/>
        </w:tabs>
        <w:overflowPunct/>
        <w:autoSpaceDE/>
        <w:autoSpaceDN/>
        <w:adjustRightInd/>
        <w:snapToGrid w:val="0"/>
        <w:spacing w:before="0" w:after="200" w:line="276" w:lineRule="auto"/>
        <w:jc w:val="both"/>
        <w:textAlignment w:val="auto"/>
        <w:rPr>
          <w:rFonts w:eastAsia="Calibri" w:cstheme="minorHAnsi"/>
          <w:szCs w:val="24"/>
        </w:rPr>
      </w:pPr>
      <w:r w:rsidRPr="000B2E13">
        <w:rPr>
          <w:rFonts w:eastAsia="Calibri" w:cstheme="minorHAnsi"/>
          <w:szCs w:val="24"/>
        </w:rPr>
        <w:t>Combining or co-locating some events</w:t>
      </w:r>
    </w:p>
    <w:p w:rsidR="000D6321" w:rsidRPr="000B2E13" w:rsidRDefault="000D6321" w:rsidP="000D6321">
      <w:pPr>
        <w:pStyle w:val="ListParagraph"/>
        <w:numPr>
          <w:ilvl w:val="0"/>
          <w:numId w:val="38"/>
        </w:numPr>
        <w:tabs>
          <w:tab w:val="clear" w:pos="794"/>
          <w:tab w:val="clear" w:pos="1191"/>
          <w:tab w:val="clear" w:pos="1588"/>
          <w:tab w:val="clear" w:pos="1985"/>
          <w:tab w:val="left" w:pos="0"/>
        </w:tabs>
        <w:overflowPunct/>
        <w:autoSpaceDE/>
        <w:autoSpaceDN/>
        <w:adjustRightInd/>
        <w:snapToGrid w:val="0"/>
        <w:spacing w:before="0" w:after="200" w:line="276" w:lineRule="auto"/>
        <w:jc w:val="both"/>
        <w:textAlignment w:val="auto"/>
        <w:rPr>
          <w:rFonts w:eastAsia="Calibri" w:cstheme="minorHAnsi"/>
          <w:szCs w:val="24"/>
        </w:rPr>
      </w:pPr>
      <w:r w:rsidRPr="000B2E13">
        <w:rPr>
          <w:rFonts w:eastAsia="Calibri" w:cstheme="minorHAnsi"/>
          <w:szCs w:val="24"/>
        </w:rPr>
        <w:t xml:space="preserve">Merging the TELECOM budget and the ITU regular budget could also be examined. </w:t>
      </w:r>
    </w:p>
    <w:p w:rsidR="000D6321" w:rsidRPr="000B2E13" w:rsidRDefault="000D6321" w:rsidP="00162243">
      <w:pPr>
        <w:pStyle w:val="ListParagraph"/>
        <w:tabs>
          <w:tab w:val="left" w:pos="0"/>
        </w:tabs>
        <w:snapToGrid w:val="0"/>
        <w:ind w:left="0"/>
        <w:jc w:val="both"/>
        <w:rPr>
          <w:rFonts w:eastAsia="Calibri" w:cstheme="minorHAnsi"/>
          <w:szCs w:val="24"/>
        </w:rPr>
      </w:pPr>
    </w:p>
    <w:p w:rsidR="000D6321" w:rsidRPr="00373197" w:rsidRDefault="000D6321" w:rsidP="00162243">
      <w:pPr>
        <w:pStyle w:val="ListParagraph"/>
        <w:tabs>
          <w:tab w:val="left" w:pos="0"/>
        </w:tabs>
        <w:snapToGrid w:val="0"/>
        <w:ind w:left="0"/>
        <w:contextualSpacing w:val="0"/>
        <w:jc w:val="both"/>
        <w:rPr>
          <w:b/>
        </w:rPr>
      </w:pPr>
    </w:p>
    <w:p w:rsidR="000D6321" w:rsidRPr="00373197" w:rsidRDefault="000D6321" w:rsidP="00162243">
      <w:pPr>
        <w:tabs>
          <w:tab w:val="left" w:pos="0"/>
        </w:tabs>
        <w:snapToGrid w:val="0"/>
        <w:jc w:val="both"/>
        <w:rPr>
          <w:b/>
        </w:rPr>
      </w:pPr>
      <w:r w:rsidRPr="00373197">
        <w:rPr>
          <w:b/>
        </w:rPr>
        <w:br w:type="page"/>
      </w:r>
    </w:p>
    <w:p w:rsidR="000D6321" w:rsidRPr="000D6321" w:rsidRDefault="000D6321" w:rsidP="00162243">
      <w:pPr>
        <w:pStyle w:val="NormalWeb"/>
        <w:spacing w:before="0" w:beforeAutospacing="0"/>
        <w:jc w:val="center"/>
        <w:rPr>
          <w:rFonts w:asciiTheme="minorHAnsi" w:eastAsia="Times New Roman" w:hAnsiTheme="minorHAnsi"/>
          <w:b/>
          <w:lang w:val="en-GB" w:eastAsia="en-US"/>
        </w:rPr>
      </w:pPr>
      <w:r w:rsidRPr="000D6321">
        <w:rPr>
          <w:rFonts w:asciiTheme="minorHAnsi" w:eastAsia="Times New Roman" w:hAnsiTheme="minorHAnsi"/>
          <w:b/>
          <w:lang w:val="en-GB" w:eastAsia="en-US"/>
        </w:rPr>
        <w:t>Annex 1</w:t>
      </w:r>
    </w:p>
    <w:p w:rsidR="000D6321" w:rsidRPr="000D6321" w:rsidRDefault="000D6321" w:rsidP="00162243">
      <w:pPr>
        <w:pStyle w:val="NormalWeb"/>
        <w:spacing w:before="0" w:beforeAutospacing="0"/>
        <w:jc w:val="center"/>
        <w:rPr>
          <w:rFonts w:asciiTheme="minorHAnsi" w:eastAsia="Times New Roman" w:hAnsiTheme="minorHAnsi"/>
          <w:b/>
          <w:lang w:val="en-GB" w:eastAsia="en-US"/>
        </w:rPr>
      </w:pPr>
      <w:r w:rsidRPr="000D6321">
        <w:rPr>
          <w:rFonts w:asciiTheme="minorHAnsi" w:eastAsia="Times New Roman" w:hAnsiTheme="minorHAnsi"/>
          <w:b/>
          <w:lang w:val="en-GB" w:eastAsia="en-US"/>
        </w:rPr>
        <w:t>Draft Budget 2018-2019 – Revenue by source</w:t>
      </w:r>
    </w:p>
    <w:p w:rsidR="000D6321" w:rsidRPr="000D6321" w:rsidRDefault="000D6321" w:rsidP="00162243">
      <w:pPr>
        <w:pStyle w:val="NormalWeb"/>
        <w:spacing w:before="0" w:beforeAutospacing="0"/>
        <w:jc w:val="center"/>
        <w:rPr>
          <w:rFonts w:asciiTheme="minorBidi" w:eastAsia="Times New Roman" w:hAnsiTheme="minorBidi"/>
          <w:bCs/>
          <w:lang w:val="en-GB" w:eastAsia="en-US"/>
        </w:rPr>
      </w:pPr>
    </w:p>
    <w:p w:rsidR="000D6321" w:rsidRDefault="000D6321" w:rsidP="00162243">
      <w:pPr>
        <w:pStyle w:val="NormalWeb"/>
        <w:spacing w:before="0" w:beforeAutospacing="0"/>
        <w:jc w:val="center"/>
        <w:rPr>
          <w:rFonts w:asciiTheme="minorBidi" w:eastAsia="Times New Roman" w:hAnsiTheme="minorBidi"/>
          <w:bCs/>
          <w:lang w:eastAsia="en-US"/>
        </w:rPr>
      </w:pPr>
      <w:r w:rsidRPr="00D05A61">
        <w:rPr>
          <w:noProof/>
          <w:lang w:val="en-US" w:eastAsia="zh-CN"/>
        </w:rPr>
        <w:drawing>
          <wp:inline distT="0" distB="0" distL="0" distR="0">
            <wp:extent cx="6120765" cy="403506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035060"/>
                    </a:xfrm>
                    <a:prstGeom prst="rect">
                      <a:avLst/>
                    </a:prstGeom>
                    <a:noFill/>
                    <a:ln>
                      <a:noFill/>
                    </a:ln>
                  </pic:spPr>
                </pic:pic>
              </a:graphicData>
            </a:graphic>
          </wp:inline>
        </w:drawing>
      </w:r>
    </w:p>
    <w:p w:rsidR="000D6321" w:rsidRDefault="000D6321">
      <w:pPr>
        <w:tabs>
          <w:tab w:val="clear" w:pos="794"/>
          <w:tab w:val="clear" w:pos="1191"/>
          <w:tab w:val="clear" w:pos="1588"/>
          <w:tab w:val="clear" w:pos="1985"/>
        </w:tabs>
        <w:overflowPunct/>
        <w:autoSpaceDE/>
        <w:autoSpaceDN/>
        <w:adjustRightInd/>
        <w:spacing w:before="0"/>
        <w:textAlignment w:val="auto"/>
        <w:rPr>
          <w:rFonts w:asciiTheme="minorBidi" w:hAnsiTheme="minorBidi"/>
          <w:bCs/>
          <w:color w:val="000000"/>
          <w:szCs w:val="24"/>
          <w:lang w:val="en-US"/>
        </w:rPr>
      </w:pPr>
      <w:r>
        <w:rPr>
          <w:rFonts w:asciiTheme="minorBidi" w:hAnsiTheme="minorBidi"/>
          <w:bCs/>
        </w:rPr>
        <w:br w:type="page"/>
      </w:r>
    </w:p>
    <w:p w:rsidR="000D6321" w:rsidRPr="000D6321" w:rsidRDefault="000D6321" w:rsidP="00162243">
      <w:pPr>
        <w:pStyle w:val="NormalWeb"/>
        <w:spacing w:before="0" w:beforeAutospacing="0"/>
        <w:jc w:val="center"/>
        <w:rPr>
          <w:rFonts w:asciiTheme="minorHAnsi" w:eastAsia="Times New Roman" w:hAnsiTheme="minorHAnsi"/>
          <w:b/>
          <w:lang w:val="en-GB" w:eastAsia="en-US"/>
        </w:rPr>
      </w:pPr>
      <w:r w:rsidRPr="000D6321">
        <w:rPr>
          <w:rFonts w:asciiTheme="minorHAnsi" w:eastAsia="Times New Roman" w:hAnsiTheme="minorHAnsi"/>
          <w:b/>
          <w:lang w:val="en-GB" w:eastAsia="en-US"/>
        </w:rPr>
        <w:t>Annex 2</w:t>
      </w:r>
    </w:p>
    <w:p w:rsidR="000D6321" w:rsidRPr="000D6321" w:rsidRDefault="000D6321" w:rsidP="00162243">
      <w:pPr>
        <w:pStyle w:val="NormalWeb"/>
        <w:spacing w:before="0" w:beforeAutospacing="0"/>
        <w:jc w:val="center"/>
        <w:rPr>
          <w:noProof/>
          <w:lang w:val="en-GB"/>
        </w:rPr>
      </w:pPr>
      <w:r w:rsidRPr="000D6321">
        <w:rPr>
          <w:rFonts w:asciiTheme="minorHAnsi" w:eastAsia="Times New Roman" w:hAnsiTheme="minorHAnsi"/>
          <w:b/>
          <w:lang w:val="en-GB" w:eastAsia="en-US"/>
        </w:rPr>
        <w:t>Draft Budget 2018-2019 – Expenses by Section</w:t>
      </w:r>
    </w:p>
    <w:p w:rsidR="000D6321" w:rsidRDefault="000D6321" w:rsidP="00162243">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rPr>
      </w:pPr>
      <w:r w:rsidRPr="00B052E9">
        <w:rPr>
          <w:noProof/>
          <w:lang w:val="en-US" w:eastAsia="zh-CN"/>
        </w:rPr>
        <w:drawing>
          <wp:inline distT="0" distB="0" distL="0" distR="0">
            <wp:extent cx="6120765" cy="644001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6440017"/>
                    </a:xfrm>
                    <a:prstGeom prst="rect">
                      <a:avLst/>
                    </a:prstGeom>
                    <a:noFill/>
                    <a:ln>
                      <a:noFill/>
                    </a:ln>
                  </pic:spPr>
                </pic:pic>
              </a:graphicData>
            </a:graphic>
          </wp:inline>
        </w:drawing>
      </w:r>
    </w:p>
    <w:p w:rsidR="000D6321" w:rsidRDefault="000D6321" w:rsidP="00162243">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rPr>
      </w:pPr>
      <w:r>
        <w:rPr>
          <w:rFonts w:asciiTheme="minorHAnsi" w:hAnsiTheme="minorHAnsi"/>
          <w:b/>
          <w:bCs/>
        </w:rPr>
        <w:br w:type="page"/>
      </w:r>
      <w:r w:rsidRPr="00AB18A2">
        <w:rPr>
          <w:rFonts w:asciiTheme="minorHAnsi" w:hAnsiTheme="minorHAnsi"/>
          <w:b/>
          <w:bCs/>
        </w:rPr>
        <w:t xml:space="preserve">Annex </w:t>
      </w:r>
      <w:r>
        <w:rPr>
          <w:rFonts w:asciiTheme="minorHAnsi" w:hAnsiTheme="minorHAnsi"/>
          <w:b/>
          <w:bCs/>
        </w:rPr>
        <w:t>3</w:t>
      </w:r>
    </w:p>
    <w:p w:rsidR="000D6321" w:rsidRDefault="000D6321" w:rsidP="00162243">
      <w:pPr>
        <w:pStyle w:val="NormalWeb"/>
        <w:spacing w:before="0" w:beforeAutospacing="0" w:after="0" w:afterAutospacing="0"/>
        <w:jc w:val="center"/>
        <w:rPr>
          <w:rFonts w:asciiTheme="minorHAnsi" w:eastAsia="Calibri" w:hAnsiTheme="minorHAnsi" w:cs="Arial"/>
          <w:b/>
          <w:bCs/>
        </w:rPr>
      </w:pPr>
      <w:r w:rsidRPr="004544CD">
        <w:rPr>
          <w:noProof/>
          <w:lang w:val="en-US" w:eastAsia="zh-CN"/>
        </w:rPr>
        <w:drawing>
          <wp:inline distT="0" distB="0" distL="0" distR="0">
            <wp:extent cx="4542790" cy="57715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2790" cy="5771515"/>
                    </a:xfrm>
                    <a:prstGeom prst="rect">
                      <a:avLst/>
                    </a:prstGeom>
                    <a:noFill/>
                    <a:ln>
                      <a:noFill/>
                    </a:ln>
                  </pic:spPr>
                </pic:pic>
              </a:graphicData>
            </a:graphic>
          </wp:inline>
        </w:drawing>
      </w:r>
    </w:p>
    <w:p w:rsidR="000D6321" w:rsidRDefault="000D6321" w:rsidP="00162243">
      <w:pPr>
        <w:pStyle w:val="NormalWeb"/>
        <w:spacing w:before="0" w:beforeAutospacing="0" w:after="0" w:afterAutospacing="0"/>
        <w:jc w:val="center"/>
        <w:rPr>
          <w:rFonts w:asciiTheme="minorHAnsi" w:eastAsia="Calibri" w:hAnsiTheme="minorHAnsi" w:cs="Arial"/>
          <w:b/>
          <w:bCs/>
        </w:rPr>
      </w:pPr>
    </w:p>
    <w:p w:rsidR="000D6321" w:rsidRDefault="000D6321" w:rsidP="00162243">
      <w:pPr>
        <w:pStyle w:val="NormalWeb"/>
        <w:spacing w:before="0" w:beforeAutospacing="0" w:after="0" w:afterAutospacing="0"/>
        <w:jc w:val="center"/>
        <w:rPr>
          <w:rFonts w:asciiTheme="minorHAnsi" w:eastAsia="Calibri" w:hAnsiTheme="minorHAnsi" w:cs="Arial"/>
          <w:b/>
          <w:bCs/>
        </w:rPr>
      </w:pPr>
    </w:p>
    <w:p w:rsidR="000D6321" w:rsidRDefault="000D6321" w:rsidP="00172815">
      <w:pPr>
        <w:pStyle w:val="NormalWeb"/>
        <w:spacing w:before="0" w:beforeAutospacing="0" w:after="0" w:afterAutospacing="0"/>
        <w:jc w:val="center"/>
      </w:pPr>
      <w:r w:rsidRPr="00A31A56">
        <w:rPr>
          <w:rFonts w:asciiTheme="minorHAnsi" w:eastAsia="Calibri" w:hAnsiTheme="minorHAnsi" w:cs="Arial"/>
        </w:rPr>
        <w:t>_____________</w:t>
      </w:r>
      <w:r w:rsidR="00172815">
        <w:rPr>
          <w:rFonts w:asciiTheme="minorHAnsi" w:eastAsia="Calibri" w:hAnsiTheme="minorHAnsi" w:cs="Arial"/>
        </w:rPr>
        <w:t>______</w:t>
      </w:r>
    </w:p>
    <w:sectPr w:rsidR="000D6321" w:rsidSect="000D6321">
      <w:footerReference w:type="first" r:id="rId20"/>
      <w:pgSz w:w="11909" w:h="16834" w:code="9"/>
      <w:pgMar w:top="1134"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B6" w:rsidRDefault="00395BB6">
      <w:r>
        <w:separator/>
      </w:r>
    </w:p>
  </w:endnote>
  <w:endnote w:type="continuationSeparator" w:id="0">
    <w:p w:rsidR="00395BB6" w:rsidRDefault="0039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43" w:rsidRDefault="00162243" w:rsidP="00172815">
    <w:pPr>
      <w:jc w:val="center"/>
    </w:pPr>
    <w:hyperlink r:id="rId1" w:history="1">
      <w:r w:rsidRPr="00013E46">
        <w:rPr>
          <w:rStyle w:val="Hyperlink"/>
          <w:rFonts w:eastAsia="SimSun"/>
          <w:sz w:val="20"/>
        </w:rPr>
        <w:t>http://www.itu.int/go/en/wtdc17rpm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43" w:rsidRPr="00172815" w:rsidRDefault="00162243" w:rsidP="00172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B6" w:rsidRDefault="00395BB6">
      <w:r>
        <w:separator/>
      </w:r>
    </w:p>
  </w:footnote>
  <w:footnote w:type="continuationSeparator" w:id="0">
    <w:p w:rsidR="00395BB6" w:rsidRDefault="0039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243" w:rsidRPr="00DB2849" w:rsidRDefault="00162243" w:rsidP="000D6321">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DB2849">
      <w:rPr>
        <w:sz w:val="22"/>
        <w:szCs w:val="22"/>
        <w:lang w:val="es-ES"/>
      </w:rPr>
      <w:t>ITU-D/</w:t>
    </w:r>
    <w:bookmarkStart w:id="12" w:name="DocRef2"/>
    <w:bookmarkEnd w:id="12"/>
    <w:r w:rsidRPr="00DB2849">
      <w:rPr>
        <w:sz w:val="22"/>
        <w:szCs w:val="22"/>
        <w:lang w:val="es-ES"/>
      </w:rPr>
      <w:t>RPM-AMS17/</w:t>
    </w:r>
    <w:bookmarkStart w:id="13" w:name="DocNo2"/>
    <w:bookmarkEnd w:id="13"/>
    <w:r>
      <w:rPr>
        <w:sz w:val="22"/>
        <w:szCs w:val="22"/>
        <w:lang w:val="es-ES"/>
      </w:rPr>
      <w:t>INF/10</w:t>
    </w:r>
    <w:r w:rsidRPr="00DB2849">
      <w:rPr>
        <w:sz w:val="22"/>
        <w:szCs w:val="22"/>
        <w:lang w:val="es-ES"/>
      </w:rPr>
      <w:t>-E</w:t>
    </w:r>
    <w:r w:rsidRPr="00DB2849">
      <w:rPr>
        <w:sz w:val="22"/>
        <w:szCs w:val="22"/>
        <w:lang w:val="es-ES"/>
      </w:rPr>
      <w:tab/>
      <w:t xml:space="preserve">Page </w:t>
    </w:r>
    <w:r w:rsidRPr="004D495C">
      <w:rPr>
        <w:sz w:val="22"/>
        <w:szCs w:val="22"/>
      </w:rPr>
      <w:fldChar w:fldCharType="begin"/>
    </w:r>
    <w:r w:rsidRPr="00DB2849">
      <w:rPr>
        <w:sz w:val="22"/>
        <w:szCs w:val="22"/>
        <w:lang w:val="es-ES"/>
      </w:rPr>
      <w:instrText xml:space="preserve"> PAGE </w:instrText>
    </w:r>
    <w:r w:rsidRPr="004D495C">
      <w:rPr>
        <w:sz w:val="22"/>
        <w:szCs w:val="22"/>
      </w:rPr>
      <w:fldChar w:fldCharType="separate"/>
    </w:r>
    <w:r w:rsidR="0049277C">
      <w:rPr>
        <w:noProof/>
        <w:sz w:val="22"/>
        <w:szCs w:val="22"/>
        <w:lang w:val="es-ES"/>
      </w:rPr>
      <w:t>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4FE0AA1"/>
    <w:multiLevelType w:val="hybridMultilevel"/>
    <w:tmpl w:val="EBE09680"/>
    <w:lvl w:ilvl="0" w:tplc="EB7EFB44">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E96079F"/>
    <w:multiLevelType w:val="hybridMultilevel"/>
    <w:tmpl w:val="457AA47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1D15066"/>
    <w:multiLevelType w:val="multilevel"/>
    <w:tmpl w:val="A866CCD6"/>
    <w:lvl w:ilvl="0">
      <w:start w:val="1"/>
      <w:numFmt w:val="decimal"/>
      <w:lvlText w:val="%1."/>
      <w:lvlJc w:val="left"/>
      <w:pPr>
        <w:ind w:left="1211" w:hanging="360"/>
      </w:pPr>
      <w:rPr>
        <w:rFonts w:asciiTheme="minorHAnsi" w:hAnsiTheme="minorHAnsi" w:cstheme="minorHAnsi"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6273D"/>
    <w:multiLevelType w:val="hybridMultilevel"/>
    <w:tmpl w:val="222434A0"/>
    <w:lvl w:ilvl="0" w:tplc="9D9CE344">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1C1BCD"/>
    <w:multiLevelType w:val="hybridMultilevel"/>
    <w:tmpl w:val="5C685F42"/>
    <w:lvl w:ilvl="0" w:tplc="6B226BAE">
      <w:numFmt w:val="bullet"/>
      <w:lvlText w:val="-"/>
      <w:lvlJc w:val="left"/>
      <w:pPr>
        <w:ind w:left="1070" w:hanging="360"/>
      </w:pPr>
      <w:rPr>
        <w:rFonts w:ascii="Calibri" w:eastAsia="Calibr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A7F0C8B"/>
    <w:multiLevelType w:val="hybridMultilevel"/>
    <w:tmpl w:val="F1D8719A"/>
    <w:lvl w:ilvl="0" w:tplc="BB2C2344">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4"/>
  </w:num>
  <w:num w:numId="13">
    <w:abstractNumId w:val="33"/>
  </w:num>
  <w:num w:numId="14">
    <w:abstractNumId w:val="12"/>
  </w:num>
  <w:num w:numId="15">
    <w:abstractNumId w:val="18"/>
  </w:num>
  <w:num w:numId="16">
    <w:abstractNumId w:val="36"/>
  </w:num>
  <w:num w:numId="17">
    <w:abstractNumId w:val="31"/>
  </w:num>
  <w:num w:numId="18">
    <w:abstractNumId w:val="13"/>
  </w:num>
  <w:num w:numId="19">
    <w:abstractNumId w:val="19"/>
  </w:num>
  <w:num w:numId="20">
    <w:abstractNumId w:val="27"/>
  </w:num>
  <w:num w:numId="21">
    <w:abstractNumId w:val="32"/>
  </w:num>
  <w:num w:numId="22">
    <w:abstractNumId w:val="17"/>
  </w:num>
  <w:num w:numId="23">
    <w:abstractNumId w:val="21"/>
  </w:num>
  <w:num w:numId="24">
    <w:abstractNumId w:val="30"/>
  </w:num>
  <w:num w:numId="25">
    <w:abstractNumId w:val="30"/>
  </w:num>
  <w:num w:numId="26">
    <w:abstractNumId w:val="22"/>
  </w:num>
  <w:num w:numId="27">
    <w:abstractNumId w:val="16"/>
  </w:num>
  <w:num w:numId="28">
    <w:abstractNumId w:val="34"/>
  </w:num>
  <w:num w:numId="29">
    <w:abstractNumId w:val="11"/>
  </w:num>
  <w:num w:numId="30">
    <w:abstractNumId w:val="26"/>
  </w:num>
  <w:num w:numId="31">
    <w:abstractNumId w:val="35"/>
  </w:num>
  <w:num w:numId="32">
    <w:abstractNumId w:val="28"/>
  </w:num>
  <w:num w:numId="33">
    <w:abstractNumId w:val="14"/>
  </w:num>
  <w:num w:numId="34">
    <w:abstractNumId w:val="15"/>
  </w:num>
  <w:num w:numId="35">
    <w:abstractNumId w:val="29"/>
  </w:num>
  <w:num w:numId="36">
    <w:abstractNumId w:val="23"/>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04"/>
    <w:rsid w:val="00003125"/>
    <w:rsid w:val="00005245"/>
    <w:rsid w:val="00006684"/>
    <w:rsid w:val="00017BEC"/>
    <w:rsid w:val="00017E7D"/>
    <w:rsid w:val="00017E82"/>
    <w:rsid w:val="00021A72"/>
    <w:rsid w:val="000221F5"/>
    <w:rsid w:val="00022BFD"/>
    <w:rsid w:val="00032DD2"/>
    <w:rsid w:val="000370A8"/>
    <w:rsid w:val="0006050B"/>
    <w:rsid w:val="00073F37"/>
    <w:rsid w:val="00080665"/>
    <w:rsid w:val="000824C7"/>
    <w:rsid w:val="00085784"/>
    <w:rsid w:val="000871EA"/>
    <w:rsid w:val="00092E0C"/>
    <w:rsid w:val="000A3328"/>
    <w:rsid w:val="000D0403"/>
    <w:rsid w:val="000D61A2"/>
    <w:rsid w:val="000D6321"/>
    <w:rsid w:val="000D7961"/>
    <w:rsid w:val="000E397B"/>
    <w:rsid w:val="000F1580"/>
    <w:rsid w:val="00103886"/>
    <w:rsid w:val="00117A8A"/>
    <w:rsid w:val="001229F6"/>
    <w:rsid w:val="0015200D"/>
    <w:rsid w:val="0015553B"/>
    <w:rsid w:val="00161A5A"/>
    <w:rsid w:val="00162243"/>
    <w:rsid w:val="00170AB9"/>
    <w:rsid w:val="00172815"/>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A6ECA"/>
    <w:rsid w:val="002B02FE"/>
    <w:rsid w:val="002B1A8F"/>
    <w:rsid w:val="002B2265"/>
    <w:rsid w:val="002C67D8"/>
    <w:rsid w:val="002D0049"/>
    <w:rsid w:val="0030762F"/>
    <w:rsid w:val="00311BD3"/>
    <w:rsid w:val="00312685"/>
    <w:rsid w:val="00315A8F"/>
    <w:rsid w:val="00334C18"/>
    <w:rsid w:val="003513DB"/>
    <w:rsid w:val="0036243F"/>
    <w:rsid w:val="00385ABF"/>
    <w:rsid w:val="00392AF3"/>
    <w:rsid w:val="00395BB6"/>
    <w:rsid w:val="003A6A11"/>
    <w:rsid w:val="003B17FF"/>
    <w:rsid w:val="003B75F4"/>
    <w:rsid w:val="003C78E4"/>
    <w:rsid w:val="003E20FF"/>
    <w:rsid w:val="003F1BAA"/>
    <w:rsid w:val="004077C9"/>
    <w:rsid w:val="00414E6F"/>
    <w:rsid w:val="00415F06"/>
    <w:rsid w:val="00416D38"/>
    <w:rsid w:val="004331DF"/>
    <w:rsid w:val="0043566B"/>
    <w:rsid w:val="004430CE"/>
    <w:rsid w:val="00457453"/>
    <w:rsid w:val="0046327F"/>
    <w:rsid w:val="00472A03"/>
    <w:rsid w:val="00483313"/>
    <w:rsid w:val="00487A55"/>
    <w:rsid w:val="0049277C"/>
    <w:rsid w:val="004A0340"/>
    <w:rsid w:val="004A28F0"/>
    <w:rsid w:val="004A34DD"/>
    <w:rsid w:val="004A564F"/>
    <w:rsid w:val="004C4C2E"/>
    <w:rsid w:val="004C4E14"/>
    <w:rsid w:val="004D0AC9"/>
    <w:rsid w:val="004D2D58"/>
    <w:rsid w:val="004D3DC4"/>
    <w:rsid w:val="004D495C"/>
    <w:rsid w:val="004D718A"/>
    <w:rsid w:val="004E3824"/>
    <w:rsid w:val="004F09F8"/>
    <w:rsid w:val="00501504"/>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D3D8C"/>
    <w:rsid w:val="006F1CE9"/>
    <w:rsid w:val="006F4EA2"/>
    <w:rsid w:val="0070090A"/>
    <w:rsid w:val="0070796E"/>
    <w:rsid w:val="00732C36"/>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1557"/>
    <w:rsid w:val="009E3FEB"/>
    <w:rsid w:val="009E50D3"/>
    <w:rsid w:val="009F7404"/>
    <w:rsid w:val="00A13179"/>
    <w:rsid w:val="00A140EB"/>
    <w:rsid w:val="00A65745"/>
    <w:rsid w:val="00A824E0"/>
    <w:rsid w:val="00A825E2"/>
    <w:rsid w:val="00A82D9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E3121"/>
    <w:rsid w:val="00BF1682"/>
    <w:rsid w:val="00BF269F"/>
    <w:rsid w:val="00C04537"/>
    <w:rsid w:val="00C17018"/>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2849"/>
    <w:rsid w:val="00DB5B1B"/>
    <w:rsid w:val="00DB6C98"/>
    <w:rsid w:val="00DE3F2D"/>
    <w:rsid w:val="00DE460C"/>
    <w:rsid w:val="00DF2EBE"/>
    <w:rsid w:val="00E028B1"/>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B287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F4F44E-7FE9-4459-A302-177B0445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49"/>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NormalWeb">
    <w:name w:val="Normal (Web)"/>
    <w:basedOn w:val="Normal"/>
    <w:rsid w:val="00092E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paragraph" w:customStyle="1" w:styleId="ColorfulList-Accent11">
    <w:name w:val="Colorful List - Accent 11"/>
    <w:basedOn w:val="Normal"/>
    <w:link w:val="ColorfulList-Accent1Char"/>
    <w:uiPriority w:val="99"/>
    <w:qFormat/>
    <w:rsid w:val="00092E0C"/>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 w:val="20"/>
      <w:lang w:val="es-ES" w:eastAsia="es-ES"/>
    </w:rPr>
  </w:style>
  <w:style w:type="character" w:customStyle="1" w:styleId="ColorfulList-Accent1Char">
    <w:name w:val="Colorful List - Accent 1 Char"/>
    <w:link w:val="ColorfulList-Accent11"/>
    <w:uiPriority w:val="99"/>
    <w:locked/>
    <w:rsid w:val="00092E0C"/>
    <w:rPr>
      <w:rFonts w:eastAsia="Times New Roman"/>
      <w:lang w:val="es-ES" w:eastAsia="es-ES"/>
    </w:rPr>
  </w:style>
  <w:style w:type="paragraph" w:styleId="ListParagraph">
    <w:name w:val="List Paragraph"/>
    <w:basedOn w:val="Normal"/>
    <w:uiPriority w:val="34"/>
    <w:qFormat/>
    <w:rsid w:val="00DB2849"/>
    <w:pPr>
      <w:ind w:left="720"/>
      <w:contextualSpacing/>
    </w:pPr>
  </w:style>
  <w:style w:type="paragraph" w:styleId="BalloonText">
    <w:name w:val="Balloon Text"/>
    <w:basedOn w:val="Normal"/>
    <w:link w:val="BalloonTextChar"/>
    <w:rsid w:val="00C17018"/>
    <w:pPr>
      <w:spacing w:before="0"/>
    </w:pPr>
    <w:rPr>
      <w:rFonts w:ascii="Segoe UI" w:hAnsi="Segoe UI" w:cs="Segoe UI"/>
      <w:sz w:val="18"/>
      <w:szCs w:val="18"/>
    </w:rPr>
  </w:style>
  <w:style w:type="character" w:customStyle="1" w:styleId="BalloonTextChar">
    <w:name w:val="Balloon Text Char"/>
    <w:basedOn w:val="DefaultParagraphFont"/>
    <w:link w:val="BalloonText"/>
    <w:rsid w:val="00C17018"/>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F41F-B6C4-403B-AD99-9BE3D700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0</TotalTime>
  <Pages>9</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2</cp:revision>
  <cp:lastPrinted>2017-02-14T12:26:00Z</cp:lastPrinted>
  <dcterms:created xsi:type="dcterms:W3CDTF">2017-02-22T12:49:00Z</dcterms:created>
  <dcterms:modified xsi:type="dcterms:W3CDTF">2017-02-22T12:49:00Z</dcterms:modified>
</cp:coreProperties>
</file>