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486"/>
        <w:gridCol w:w="23"/>
      </w:tblGrid>
      <w:tr w:rsidR="00F514FC" w:rsidRPr="00FD3F41" w:rsidTr="001B4EBC">
        <w:trPr>
          <w:cantSplit/>
        </w:trPr>
        <w:tc>
          <w:tcPr>
            <w:tcW w:w="6379" w:type="dxa"/>
          </w:tcPr>
          <w:p w:rsidR="00F514FC" w:rsidRPr="00FD3F41" w:rsidRDefault="000262BE" w:rsidP="002B073B">
            <w:pPr>
              <w:pStyle w:val="TableParagraph"/>
              <w:spacing w:before="120"/>
              <w:ind w:right="249"/>
              <w:rPr>
                <w:b/>
                <w:bCs/>
                <w:sz w:val="26"/>
                <w:szCs w:val="26"/>
              </w:rPr>
            </w:pPr>
            <w:bookmarkStart w:id="0" w:name="_Toc393462862"/>
            <w:bookmarkStart w:id="1" w:name="_Toc393703335"/>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509" w:type="dxa"/>
            <w:gridSpan w:val="2"/>
          </w:tcPr>
          <w:p w:rsidR="00F514FC" w:rsidRPr="00FD3F41" w:rsidRDefault="00E26D99" w:rsidP="00BE13F4">
            <w:pPr>
              <w:spacing w:before="40" w:after="80"/>
              <w:jc w:val="right"/>
            </w:pPr>
            <w:bookmarkStart w:id="2" w:name="dlogo"/>
            <w:bookmarkEnd w:id="2"/>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25pt;height:62.25pt;rotation:180;flip:x y;visibility:visible;mso-wrap-style:square">
                  <v:imagedata r:id="rId8" o:title="ITU-logo-UNblue"/>
                </v:shape>
              </w:pict>
            </w:r>
          </w:p>
        </w:tc>
      </w:tr>
      <w:tr w:rsidR="00F514FC" w:rsidRPr="00FD3F41" w:rsidTr="00D82AE3">
        <w:trPr>
          <w:cantSplit/>
        </w:trPr>
        <w:tc>
          <w:tcPr>
            <w:tcW w:w="9888" w:type="dxa"/>
            <w:gridSpan w:val="3"/>
            <w:tcBorders>
              <w:bottom w:val="single" w:sz="12" w:space="0" w:color="auto"/>
            </w:tcBorders>
            <w:vAlign w:val="center"/>
          </w:tcPr>
          <w:p w:rsidR="00F514FC" w:rsidRPr="00FD3F41" w:rsidRDefault="000262BE" w:rsidP="006C6905">
            <w:pPr>
              <w:rPr>
                <w:b/>
                <w:bCs/>
                <w:szCs w:val="24"/>
              </w:rPr>
            </w:pPr>
            <w:r>
              <w:rPr>
                <w:b/>
                <w:bCs/>
                <w:sz w:val="26"/>
                <w:szCs w:val="26"/>
              </w:rPr>
              <w:t>Asuncion, Paraguay, 22-24 February 2017</w:t>
            </w:r>
          </w:p>
        </w:tc>
      </w:tr>
      <w:tr w:rsidR="00D82AE3" w:rsidRPr="00FD3F41" w:rsidTr="001B4EBC">
        <w:trPr>
          <w:cantSplit/>
        </w:trPr>
        <w:tc>
          <w:tcPr>
            <w:tcW w:w="6379" w:type="dxa"/>
            <w:tcBorders>
              <w:top w:val="single" w:sz="12" w:space="0" w:color="auto"/>
            </w:tcBorders>
            <w:vAlign w:val="center"/>
          </w:tcPr>
          <w:p w:rsidR="00D82AE3" w:rsidRPr="00FD3F41" w:rsidRDefault="00D82AE3" w:rsidP="00D313BA">
            <w:pPr>
              <w:spacing w:before="0"/>
              <w:rPr>
                <w:szCs w:val="24"/>
              </w:rPr>
            </w:pPr>
          </w:p>
        </w:tc>
        <w:tc>
          <w:tcPr>
            <w:tcW w:w="3509" w:type="dxa"/>
            <w:gridSpan w:val="2"/>
            <w:tcBorders>
              <w:top w:val="single" w:sz="12" w:space="0" w:color="auto"/>
            </w:tcBorders>
            <w:vAlign w:val="center"/>
          </w:tcPr>
          <w:p w:rsidR="00D82AE3" w:rsidRPr="00FD3F41" w:rsidRDefault="00D82AE3" w:rsidP="00D313BA">
            <w:pPr>
              <w:spacing w:before="0"/>
              <w:rPr>
                <w:szCs w:val="24"/>
              </w:rPr>
            </w:pPr>
          </w:p>
        </w:tc>
      </w:tr>
      <w:tr w:rsidR="00D313BA" w:rsidRPr="00FD3F41" w:rsidTr="001B4EBC">
        <w:trPr>
          <w:cantSplit/>
        </w:trPr>
        <w:tc>
          <w:tcPr>
            <w:tcW w:w="6379" w:type="dxa"/>
            <w:vMerge w:val="restart"/>
          </w:tcPr>
          <w:p w:rsidR="00D313BA" w:rsidRPr="00FD3F41" w:rsidRDefault="00D313BA" w:rsidP="00D313BA">
            <w:pPr>
              <w:spacing w:before="0"/>
              <w:rPr>
                <w:szCs w:val="24"/>
              </w:rPr>
            </w:pPr>
          </w:p>
        </w:tc>
        <w:tc>
          <w:tcPr>
            <w:tcW w:w="3509" w:type="dxa"/>
            <w:gridSpan w:val="2"/>
            <w:vAlign w:val="center"/>
          </w:tcPr>
          <w:p w:rsidR="00D313BA" w:rsidRPr="00FD3F41" w:rsidRDefault="00BF5A2D" w:rsidP="000262BE">
            <w:pPr>
              <w:spacing w:before="0"/>
              <w:rPr>
                <w:b/>
                <w:bCs/>
                <w:lang w:val="es-ES_tradnl"/>
              </w:rPr>
            </w:pPr>
            <w:r w:rsidRPr="00FD3F41">
              <w:rPr>
                <w:b/>
                <w:bCs/>
                <w:lang w:val="es-ES_tradnl"/>
              </w:rPr>
              <w:t xml:space="preserve">Document </w:t>
            </w:r>
            <w:r w:rsidR="00E86843">
              <w:rPr>
                <w:b/>
                <w:bCs/>
                <w:lang w:val="es-ES_tradnl"/>
              </w:rPr>
              <w:t>RPM-</w:t>
            </w:r>
            <w:r w:rsidR="00A87AC6">
              <w:rPr>
                <w:b/>
                <w:bCs/>
                <w:lang w:val="es-ES_tradnl"/>
              </w:rPr>
              <w:t>A</w:t>
            </w:r>
            <w:r w:rsidR="000262BE">
              <w:rPr>
                <w:b/>
                <w:bCs/>
                <w:lang w:val="es-ES_tradnl"/>
              </w:rPr>
              <w:t>MS17</w:t>
            </w:r>
            <w:r w:rsidR="00E86843">
              <w:rPr>
                <w:b/>
                <w:bCs/>
                <w:lang w:val="es-ES_tradnl"/>
              </w:rPr>
              <w:t>/11</w:t>
            </w:r>
            <w:r w:rsidRPr="00FD3F41">
              <w:rPr>
                <w:b/>
                <w:bCs/>
                <w:lang w:val="es-ES_tradnl"/>
              </w:rPr>
              <w:t>-E</w:t>
            </w:r>
          </w:p>
        </w:tc>
      </w:tr>
      <w:tr w:rsidR="00D313BA" w:rsidRPr="00FD3F41" w:rsidTr="001B4EBC">
        <w:trPr>
          <w:cantSplit/>
        </w:trPr>
        <w:tc>
          <w:tcPr>
            <w:tcW w:w="6379" w:type="dxa"/>
            <w:vMerge/>
            <w:vAlign w:val="center"/>
          </w:tcPr>
          <w:p w:rsidR="00D313BA" w:rsidRPr="00FD3F41" w:rsidRDefault="00D313BA" w:rsidP="00D82AE3">
            <w:pPr>
              <w:spacing w:before="0"/>
              <w:rPr>
                <w:szCs w:val="24"/>
                <w:lang w:val="es-ES_tradnl"/>
              </w:rPr>
            </w:pPr>
          </w:p>
        </w:tc>
        <w:tc>
          <w:tcPr>
            <w:tcW w:w="3509" w:type="dxa"/>
            <w:gridSpan w:val="2"/>
            <w:vAlign w:val="center"/>
          </w:tcPr>
          <w:p w:rsidR="00D313BA" w:rsidRPr="00FD3F41" w:rsidRDefault="002A75C2" w:rsidP="000262BE">
            <w:pPr>
              <w:spacing w:before="0"/>
              <w:rPr>
                <w:szCs w:val="24"/>
              </w:rPr>
            </w:pPr>
            <w:r>
              <w:rPr>
                <w:b/>
                <w:bCs/>
              </w:rPr>
              <w:t>2</w:t>
            </w:r>
            <w:r w:rsidR="000262BE">
              <w:rPr>
                <w:b/>
                <w:bCs/>
              </w:rPr>
              <w:t>5</w:t>
            </w:r>
            <w:r>
              <w:rPr>
                <w:b/>
                <w:bCs/>
              </w:rPr>
              <w:t xml:space="preserve"> </w:t>
            </w:r>
            <w:r w:rsidR="000262BE">
              <w:rPr>
                <w:b/>
                <w:bCs/>
              </w:rPr>
              <w:t>Nove</w:t>
            </w:r>
            <w:r>
              <w:rPr>
                <w:b/>
                <w:bCs/>
              </w:rPr>
              <w:t>mber</w:t>
            </w:r>
            <w:r w:rsidR="00D313BA" w:rsidRPr="00FD3F41">
              <w:rPr>
                <w:b/>
                <w:bCs/>
              </w:rPr>
              <w:t xml:space="preserve"> 201</w:t>
            </w:r>
            <w:r w:rsidR="002B073B" w:rsidRPr="00FD3F41">
              <w:rPr>
                <w:b/>
                <w:bCs/>
              </w:rPr>
              <w:t>6</w:t>
            </w:r>
          </w:p>
        </w:tc>
      </w:tr>
      <w:tr w:rsidR="00D313BA" w:rsidRPr="00FD3F41" w:rsidTr="001B4EBC">
        <w:trPr>
          <w:cantSplit/>
        </w:trPr>
        <w:tc>
          <w:tcPr>
            <w:tcW w:w="6379" w:type="dxa"/>
            <w:vMerge/>
            <w:vAlign w:val="center"/>
          </w:tcPr>
          <w:p w:rsidR="00D313BA" w:rsidRPr="00FD3F41" w:rsidRDefault="00D313BA" w:rsidP="00D82AE3">
            <w:pPr>
              <w:spacing w:before="0"/>
              <w:rPr>
                <w:szCs w:val="24"/>
              </w:rPr>
            </w:pPr>
          </w:p>
        </w:tc>
        <w:tc>
          <w:tcPr>
            <w:tcW w:w="3509" w:type="dxa"/>
            <w:gridSpan w:val="2"/>
            <w:vAlign w:val="center"/>
          </w:tcPr>
          <w:p w:rsidR="00D313BA" w:rsidRPr="00FD3F41" w:rsidRDefault="00E86843" w:rsidP="00D313BA">
            <w:pPr>
              <w:spacing w:before="0" w:after="240"/>
              <w:rPr>
                <w:szCs w:val="24"/>
              </w:rPr>
            </w:pPr>
            <w:r>
              <w:rPr>
                <w:b/>
              </w:rPr>
              <w:t>Original: English</w:t>
            </w:r>
          </w:p>
        </w:tc>
      </w:tr>
      <w:tr w:rsidR="00D313BA" w:rsidRPr="00FD3F41" w:rsidTr="001D0718">
        <w:trPr>
          <w:gridAfter w:val="1"/>
          <w:wAfter w:w="23" w:type="dxa"/>
          <w:cantSplit/>
          <w:trHeight w:val="680"/>
        </w:trPr>
        <w:tc>
          <w:tcPr>
            <w:tcW w:w="9865" w:type="dxa"/>
            <w:gridSpan w:val="2"/>
          </w:tcPr>
          <w:p w:rsidR="00D313BA" w:rsidRPr="00FD3F41" w:rsidRDefault="000C04F9" w:rsidP="009A6285">
            <w:pPr>
              <w:pStyle w:val="Source"/>
              <w:jc w:val="center"/>
              <w:rPr>
                <w:sz w:val="28"/>
                <w:szCs w:val="28"/>
              </w:rPr>
            </w:pPr>
            <w:r w:rsidRPr="00FD3F41">
              <w:rPr>
                <w:sz w:val="28"/>
                <w:szCs w:val="28"/>
              </w:rPr>
              <w:t>Chairman, TDAG Correspondence Group on Streamlining WTDC Resolutions</w:t>
            </w:r>
          </w:p>
        </w:tc>
      </w:tr>
      <w:tr w:rsidR="00D313BA" w:rsidRPr="00FD3F41" w:rsidTr="001D0718">
        <w:trPr>
          <w:cantSplit/>
        </w:trPr>
        <w:tc>
          <w:tcPr>
            <w:tcW w:w="9888" w:type="dxa"/>
            <w:gridSpan w:val="3"/>
          </w:tcPr>
          <w:p w:rsidR="007C5A9A" w:rsidRPr="00FD3F41" w:rsidRDefault="0026266C" w:rsidP="00A908C1">
            <w:pPr>
              <w:pStyle w:val="Title1"/>
              <w:jc w:val="center"/>
            </w:pPr>
            <w:r w:rsidRPr="00FD3F41">
              <w:rPr>
                <w:b w:val="0"/>
                <w:bCs/>
                <w:sz w:val="28"/>
                <w:szCs w:val="28"/>
              </w:rPr>
              <w:t xml:space="preserve">REPORT OF THE </w:t>
            </w:r>
            <w:r w:rsidR="00D812B5" w:rsidRPr="00FD3F41">
              <w:rPr>
                <w:b w:val="0"/>
                <w:bCs/>
                <w:sz w:val="28"/>
                <w:szCs w:val="28"/>
              </w:rPr>
              <w:t>SECOND</w:t>
            </w:r>
            <w:r w:rsidRPr="00FD3F41">
              <w:rPr>
                <w:b w:val="0"/>
                <w:bCs/>
                <w:sz w:val="28"/>
                <w:szCs w:val="28"/>
              </w:rPr>
              <w:t xml:space="preserve"> MEETING OF</w:t>
            </w:r>
            <w:r w:rsidR="00F859FD" w:rsidRPr="00FD3F41">
              <w:rPr>
                <w:b w:val="0"/>
                <w:bCs/>
                <w:sz w:val="28"/>
                <w:szCs w:val="28"/>
              </w:rPr>
              <w:t xml:space="preserve"> THE</w:t>
            </w:r>
            <w:r w:rsidR="00F859FD" w:rsidRPr="00FD3F41">
              <w:rPr>
                <w:b w:val="0"/>
                <w:bCs/>
                <w:sz w:val="28"/>
                <w:szCs w:val="28"/>
              </w:rPr>
              <w:br/>
            </w:r>
            <w:r w:rsidR="002B073B" w:rsidRPr="00FD3F41">
              <w:rPr>
                <w:b w:val="0"/>
                <w:bCs/>
                <w:sz w:val="28"/>
                <w:szCs w:val="28"/>
              </w:rPr>
              <w:t xml:space="preserve">TDAG CORRESPONDENCE GROUP ON </w:t>
            </w:r>
            <w:r w:rsidR="009A048E" w:rsidRPr="00FD3F41">
              <w:rPr>
                <w:b w:val="0"/>
                <w:bCs/>
                <w:sz w:val="28"/>
                <w:szCs w:val="28"/>
              </w:rPr>
              <w:t xml:space="preserve">STREAMLINING WTDC </w:t>
            </w:r>
            <w:r w:rsidR="002A5CF7" w:rsidRPr="00FD3F41">
              <w:rPr>
                <w:b w:val="0"/>
                <w:bCs/>
                <w:sz w:val="28"/>
                <w:szCs w:val="28"/>
              </w:rPr>
              <w:t>RESOLUTIONS</w:t>
            </w:r>
          </w:p>
        </w:tc>
      </w:tr>
      <w:tr w:rsidR="00CD72B9" w:rsidRPr="00FD3F41" w:rsidTr="001D0718">
        <w:trPr>
          <w:cantSplit/>
        </w:trPr>
        <w:tc>
          <w:tcPr>
            <w:tcW w:w="9888" w:type="dxa"/>
            <w:gridSpan w:val="3"/>
          </w:tcPr>
          <w:p w:rsidR="00CD72B9" w:rsidRPr="00FD3F41" w:rsidRDefault="00CD72B9" w:rsidP="00D812B5">
            <w:pPr>
              <w:pStyle w:val="Title1"/>
              <w:jc w:val="center"/>
              <w:rPr>
                <w:b w:val="0"/>
                <w:bCs/>
                <w:sz w:val="28"/>
                <w:szCs w:val="28"/>
              </w:rPr>
            </w:pPr>
          </w:p>
        </w:tc>
      </w:tr>
    </w:tbl>
    <w:p w:rsidR="00F859FD" w:rsidRDefault="00F859FD" w:rsidP="00F859FD">
      <w:pPr>
        <w:pStyle w:val="Heading2"/>
        <w:keepLines w:val="0"/>
        <w:numPr>
          <w:ilvl w:val="0"/>
          <w:numId w:val="18"/>
        </w:numPr>
        <w:spacing w:before="120"/>
        <w:ind w:left="567" w:hanging="567"/>
      </w:pPr>
      <w:r w:rsidRPr="00DA061C">
        <w:t>Opening remarks and approval of the agenda</w:t>
      </w:r>
    </w:p>
    <w:p w:rsidR="00F859FD" w:rsidRDefault="00F859FD" w:rsidP="00F859FD">
      <w:r>
        <w:t xml:space="preserve">The Correspondence Group on Streamlining WTDC Resolutions (CG-SR) held his second meeting on 28 September 2016 under the chairmanship of </w:t>
      </w:r>
      <w:r w:rsidRPr="0022208A">
        <w:t>Dr Ahmad Reza Sharafat</w:t>
      </w:r>
      <w:r>
        <w:t>,</w:t>
      </w:r>
      <w:r w:rsidRPr="0022208A">
        <w:t xml:space="preserve"> Vice-Chairman of TDAG</w:t>
      </w:r>
      <w:r>
        <w:t xml:space="preserve">. </w:t>
      </w:r>
    </w:p>
    <w:p w:rsidR="00F859FD" w:rsidRDefault="00F859FD" w:rsidP="00F859FD">
      <w:r>
        <w:t xml:space="preserve">The Chair, Dr Sharafat, welcomed participants and thanked them for their active and meaningful involvement in the work of the Correspondence Group since its creation in March 2016. </w:t>
      </w:r>
    </w:p>
    <w:p w:rsidR="00F859FD" w:rsidRDefault="00F859FD" w:rsidP="00F859FD">
      <w:r>
        <w:t xml:space="preserve">The BDT Director, Mr Brahima Sanou, addressed the audience through the remote participation facilities. In his opening remarks, he stressed the importance of the work of this Correspondence Group towards streamlining WTDC Resolutions. He shared the general feeling ITU-D Membership had expressed to him regarding the large number of Resolutions. Mr Sanou explained that the goal is streamlining priorities and </w:t>
      </w:r>
      <w:r w:rsidRPr="00847E3D">
        <w:t xml:space="preserve">simplifying processes, </w:t>
      </w:r>
      <w:r>
        <w:t>not losing the essence of Resolutions by supressing issues identified by Members. Integrating similar issues would allow to</w:t>
      </w:r>
      <w:r w:rsidRPr="00847E3D">
        <w:t xml:space="preserve"> focus on high impact wins</w:t>
      </w:r>
      <w:r>
        <w:t xml:space="preserve"> and doing more with less. In the lead to the next World Telecommunication Development Conference (WTDC), it is appropriate to reflect where the various issues brought in by ITU-D Membership would be best addressed, be it in Resolutions, the Operational Plan or the Strategic plan, or the WTDC Declaration. </w:t>
      </w:r>
    </w:p>
    <w:p w:rsidR="00F859FD" w:rsidRDefault="00F859FD" w:rsidP="00F859FD">
      <w:r>
        <w:t xml:space="preserve">The BDT Director thanked Dr Sharafat for his effective leadership as well as all Members who have been willing to follow him in this important process. He invited participants in this meeting to concentrate on the guiding principles for the work of the </w:t>
      </w:r>
      <w:bookmarkStart w:id="3" w:name="_GoBack"/>
      <w:bookmarkEnd w:id="3"/>
      <w:r>
        <w:t xml:space="preserve">Correspondence Group going forward. He reminded that the Regional Preparatory Meetings to WTDC (RPMs) will provide further opportunities to discuss concrete proposals for combining Resolutions. They will, in turn, also provide valuable input to the ongoing work of CG-SR. </w:t>
      </w:r>
    </w:p>
    <w:p w:rsidR="00F859FD" w:rsidRDefault="00F859FD" w:rsidP="00F859FD">
      <w:r>
        <w:t xml:space="preserve">The Agenda of the meeting (Document </w:t>
      </w:r>
      <w:hyperlink r:id="rId9" w:history="1">
        <w:r w:rsidRPr="00644BF4">
          <w:rPr>
            <w:rStyle w:val="Hyperlink"/>
          </w:rPr>
          <w:t>TDAG/CG-SR/4</w:t>
        </w:r>
      </w:hyperlink>
      <w:r>
        <w:t>) was adopted without modification.</w:t>
      </w:r>
    </w:p>
    <w:p w:rsidR="00F859FD" w:rsidRDefault="00F859FD" w:rsidP="006A1A31">
      <w:pPr>
        <w:pStyle w:val="Heading2"/>
        <w:keepLines w:val="0"/>
        <w:numPr>
          <w:ilvl w:val="0"/>
          <w:numId w:val="18"/>
        </w:numPr>
        <w:spacing w:before="120"/>
        <w:ind w:left="567" w:hanging="567"/>
      </w:pPr>
      <w:r w:rsidRPr="00BE30A8">
        <w:lastRenderedPageBreak/>
        <w:t>Review main conclusions of the first meeting of T</w:t>
      </w:r>
      <w:r w:rsidR="006A1A31">
        <w:t>D</w:t>
      </w:r>
      <w:r w:rsidRPr="00BE30A8">
        <w:t>AG CG-SR</w:t>
      </w:r>
      <w:r>
        <w:t xml:space="preserve"> </w:t>
      </w:r>
    </w:p>
    <w:p w:rsidR="00F859FD" w:rsidRDefault="00F859FD" w:rsidP="00F859FD">
      <w:r>
        <w:t xml:space="preserve">The Chair, Dr Sharafat, briefly recalled the mandate of the Correspondence Group and presented the report of the first meeting in March 2016 contained in Document </w:t>
      </w:r>
      <w:hyperlink r:id="rId10" w:history="1">
        <w:r w:rsidRPr="00BE30A8">
          <w:rPr>
            <w:rStyle w:val="Hyperlink"/>
            <w:bCs/>
            <w:szCs w:val="24"/>
          </w:rPr>
          <w:t>TDAG/CG-SR/3</w:t>
        </w:r>
      </w:hyperlink>
      <w:r w:rsidRPr="00BE30A8">
        <w:rPr>
          <w:bCs/>
          <w:szCs w:val="24"/>
        </w:rPr>
        <w:t xml:space="preserve"> (Chairman, CG-SR)</w:t>
      </w:r>
      <w:r>
        <w:rPr>
          <w:bCs/>
          <w:szCs w:val="24"/>
        </w:rPr>
        <w:t>. No further comments were received from participants and the report was adopted.</w:t>
      </w:r>
    </w:p>
    <w:p w:rsidR="00F859FD" w:rsidRDefault="00F859FD" w:rsidP="00F859FD">
      <w:pPr>
        <w:pStyle w:val="Heading2"/>
        <w:keepLines w:val="0"/>
        <w:numPr>
          <w:ilvl w:val="0"/>
          <w:numId w:val="18"/>
        </w:numPr>
        <w:spacing w:before="120"/>
        <w:ind w:left="567" w:hanging="567"/>
      </w:pPr>
      <w:r w:rsidRPr="00BE30A8">
        <w:t>Presentation and discussion on contributions</w:t>
      </w:r>
      <w:r>
        <w:t xml:space="preserve"> </w:t>
      </w:r>
    </w:p>
    <w:p w:rsidR="00F859FD" w:rsidRDefault="00F859FD" w:rsidP="00F859FD">
      <w:r>
        <w:t xml:space="preserve">The Chair, Dr Sharafat, presented the main findings of Document </w:t>
      </w:r>
      <w:hyperlink r:id="rId11" w:history="1">
        <w:r w:rsidRPr="00BE30A8">
          <w:rPr>
            <w:rStyle w:val="Hyperlink"/>
            <w:bCs/>
          </w:rPr>
          <w:t>TDAG/CG-SR/5</w:t>
        </w:r>
      </w:hyperlink>
      <w:r>
        <w:t>. Mr Kemal Huseinovic presented the document in detail on behalf of the BDT Secretariat. The document provides background information about the definition of the term “resolution” and related practices across ITU and the United Nations system (UN). It seeks to provide useful references and draft guidelines for the work on streamlining Resolutions in the lead to WTDC-17. It was emphasized that those are voluntary guidelines for ITU-D Membership to consider in their work.</w:t>
      </w:r>
    </w:p>
    <w:p w:rsidR="00F859FD" w:rsidRDefault="00F859FD" w:rsidP="00F859FD">
      <w:r>
        <w:t>Multiple delegations expressed their general support for the work on streamlining Resolutions.</w:t>
      </w:r>
    </w:p>
    <w:p w:rsidR="00F859FD" w:rsidRDefault="00F859FD" w:rsidP="00F859FD">
      <w:r>
        <w:t xml:space="preserve">The Deputy-Director of BDT, Mr Yushi Torigoe, clarified the process going forward. There will be two main tracks of work. On one hand, concrete proposals for streamlined Resolutions will be prepared for and at RPMs, as part of the preparatory process for WTDC-17. On the other hand, in parallel, the work led by Dr Sharafat will continue through electronic exchange. </w:t>
      </w:r>
    </w:p>
    <w:p w:rsidR="00F859FD" w:rsidRDefault="00F859FD" w:rsidP="00F859FD">
      <w:r>
        <w:t xml:space="preserve">Consequently, the document informing about the work of CG-SR which have been submitted to RPM-CIS will be updated to reflect the progress made at the second meeting of the Group, as the basis for discussion. The work on Resolutions involving Membership from the CIS region is expected to evolve at the forthcoming RPM. The outcome of those discussions will be fed back into the ongoing work by all Members through electronic means as well as into the subsequent RPMs. </w:t>
      </w:r>
    </w:p>
    <w:p w:rsidR="00F859FD" w:rsidRDefault="00F859FD" w:rsidP="00F859FD">
      <w:r>
        <w:t xml:space="preserve">The BDT Director reminded that WTDC-17 is going to make final decision on all proposals drafted in the lead to WTDC-17. The TDAG Correspondence Groups are an opportunity to tackle important issues ahead of WTDC and improve its efficiency. </w:t>
      </w:r>
    </w:p>
    <w:p w:rsidR="00F859FD" w:rsidRDefault="00F859FD" w:rsidP="00F859FD">
      <w:r>
        <w:t xml:space="preserve">Regarding the draft guidelines for streamlining Resolutions and drafting new Resolutions, Dr Sharafat stressed that those will evolve and can </w:t>
      </w:r>
      <w:r w:rsidRPr="00212E39">
        <w:t>be modified by Members as we go towards WTDC-17. He noted the general agreement of delegates in the room to use those as a framework in drafting proposals for consolidating Resolutions and putting forward new Resolutions.</w:t>
      </w:r>
    </w:p>
    <w:p w:rsidR="00F859FD" w:rsidRDefault="00F859FD" w:rsidP="00F859FD">
      <w:r>
        <w:t>During the discussion on the draft guidelines, several proposals for revision were brought forward by participants, namely:</w:t>
      </w:r>
    </w:p>
    <w:p w:rsidR="00F859FD"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The guidelines for new Resolutions contained in section 3b of Document 5 can be extended to existing Resolutions, too.</w:t>
      </w:r>
    </w:p>
    <w:p w:rsidR="00F859FD"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 xml:space="preserve">When a Plenipotentiary (PP) Resolution exists on a given topic, nothing should prevent Members from drafting a WTDC Resolution on that topic to elaborate on the roles and activities to be undertaken by the BDT Director. </w:t>
      </w:r>
    </w:p>
    <w:p w:rsidR="00F859FD"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Additional criteria were suggested, such as the actual implementation of existing Resolutions. Those Resolutions that have already been acted upon are no longer needed as they have served their purpose. The Chair, however, called for caution with this regard, noting that this should not be taken by Members as a signal that the issue is no longer of importance.</w:t>
      </w:r>
    </w:p>
    <w:p w:rsidR="00F859FD" w:rsidRPr="00AB63B6"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 xml:space="preserve">There was a general agreement that overlap or duplication should be one of the main criteria. To take account of that, issues dealt with in ITU-D Study Group questions or in the </w:t>
      </w:r>
      <w:r>
        <w:lastRenderedPageBreak/>
        <w:t xml:space="preserve">Operational Plan </w:t>
      </w:r>
      <w:r w:rsidRPr="00AB63B6">
        <w:t xml:space="preserve">may not need to be elaborated in stand-alone Resolutions. </w:t>
      </w:r>
    </w:p>
    <w:p w:rsidR="00F859FD"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At the final stage of the preparatory process for WTDC-17, RPMs could also extend the discussion on streamlining Resolutions to Resolution 1, which is being re-engineered by the dedicated TDAG Correspondence Group.</w:t>
      </w:r>
    </w:p>
    <w:p w:rsidR="00F859FD" w:rsidRDefault="00F859FD" w:rsidP="00970907">
      <w:pPr>
        <w:pStyle w:val="ListParagraph"/>
        <w:numPr>
          <w:ilvl w:val="0"/>
          <w:numId w:val="21"/>
        </w:numPr>
        <w:tabs>
          <w:tab w:val="clear" w:pos="794"/>
          <w:tab w:val="clear" w:pos="1191"/>
          <w:tab w:val="clear" w:pos="1588"/>
          <w:tab w:val="clear" w:pos="1985"/>
        </w:tabs>
        <w:ind w:left="567" w:hanging="567"/>
        <w:contextualSpacing w:val="0"/>
        <w:jc w:val="left"/>
      </w:pPr>
      <w:r>
        <w:t>It was noted that some Resolutions, like Resolution 9, have a dual function, both as a Resolution and an ITU-D Study Group question. Those may need to be treated differently and may not fit the draft guidelines.</w:t>
      </w:r>
    </w:p>
    <w:p w:rsidR="00F859FD" w:rsidRDefault="00F859FD" w:rsidP="003C5AF6">
      <w:r>
        <w:t xml:space="preserve">Section 3 of Document 5 </w:t>
      </w:r>
      <w:r w:rsidR="00E36A11">
        <w:t>was</w:t>
      </w:r>
      <w:r>
        <w:t xml:space="preserve"> revised to bring more clarity and avoid confusion as well as to harmonize the guidelines for existing and new Resolutions. The revised version, in track changes, is made available </w:t>
      </w:r>
      <w:r w:rsidRPr="00741B73">
        <w:t xml:space="preserve">in Annex 1 here. </w:t>
      </w:r>
      <w:r>
        <w:t>Th</w:t>
      </w:r>
      <w:r w:rsidR="00E36A11">
        <w:t>is</w:t>
      </w:r>
      <w:r>
        <w:t xml:space="preserve"> </w:t>
      </w:r>
      <w:r w:rsidR="00E36A11">
        <w:t>revised</w:t>
      </w:r>
      <w:r>
        <w:t xml:space="preserve"> version </w:t>
      </w:r>
      <w:r w:rsidR="00E36A11">
        <w:t>is also</w:t>
      </w:r>
      <w:r>
        <w:t xml:space="preserve"> submitted to RPM</w:t>
      </w:r>
      <w:r w:rsidR="00E36A11">
        <w:t>s</w:t>
      </w:r>
      <w:r>
        <w:t xml:space="preserve">, with the understanding that </w:t>
      </w:r>
      <w:r w:rsidR="003C5AF6">
        <w:t xml:space="preserve">the </w:t>
      </w:r>
      <w:r>
        <w:t xml:space="preserve">guidelines </w:t>
      </w:r>
      <w:r w:rsidR="003C5AF6">
        <w:t xml:space="preserve">are non-binding and </w:t>
      </w:r>
      <w:r>
        <w:t xml:space="preserve">reflect the collective wisdom of the Correspondence Group. </w:t>
      </w:r>
    </w:p>
    <w:p w:rsidR="00F859FD" w:rsidRDefault="00F859FD" w:rsidP="00F859FD">
      <w:r>
        <w:t xml:space="preserve">The delegate from Argentina presented Document </w:t>
      </w:r>
      <w:hyperlink r:id="rId12" w:history="1">
        <w:r w:rsidRPr="00BE30A8">
          <w:rPr>
            <w:rStyle w:val="Hyperlink"/>
            <w:bCs/>
          </w:rPr>
          <w:t>TDAG/CG-SR/7</w:t>
        </w:r>
      </w:hyperlink>
      <w:r>
        <w:rPr>
          <w:bCs/>
        </w:rPr>
        <w:t>. She expressed her support to the work of the Correspondence Group and stressed the importance of Membership’s involvement in the process. She also insisted on focusing on issues pertaining to the core</w:t>
      </w:r>
      <w:r>
        <w:t xml:space="preserve"> mandate of the sector as well as for unifying processes and methods for revising and adopting Resolutions across the three sectors of ITU. She further stressed the importance of putting the process of streamlining Resolutions into the broader context of the discussion on the goals and results of Resolutions. Multiple delegates expressed their support to the contribution from Argentina.  </w:t>
      </w:r>
    </w:p>
    <w:p w:rsidR="00F859FD" w:rsidRDefault="00F859FD" w:rsidP="00F859FD">
      <w:r>
        <w:t>The Chair noted that the input of Argentina has been taken into account in the proposed draft guidelines for streamlining Resolutions contained in Document 5.</w:t>
      </w:r>
    </w:p>
    <w:p w:rsidR="00F859FD" w:rsidRDefault="00F859FD" w:rsidP="00F859FD">
      <w:pPr>
        <w:rPr>
          <w:bCs/>
          <w:szCs w:val="24"/>
        </w:rPr>
      </w:pPr>
      <w:r>
        <w:t xml:space="preserve">The delegate from Russian Federation presented remotely their three contributions. Document </w:t>
      </w:r>
      <w:hyperlink r:id="rId13" w:history="1">
        <w:r w:rsidRPr="00BE30A8">
          <w:rPr>
            <w:rStyle w:val="Hyperlink"/>
            <w:bCs/>
          </w:rPr>
          <w:t>TDAG/CG-SR/8</w:t>
        </w:r>
      </w:hyperlink>
      <w:r>
        <w:t xml:space="preserve"> puts forward a proposal leveraging on the common issues addressed towards integrating </w:t>
      </w:r>
      <w:r w:rsidRPr="0091488A">
        <w:rPr>
          <w:bCs/>
          <w:szCs w:val="24"/>
        </w:rPr>
        <w:t>Resolution 1 “Rules of procedure of the ITU Telecommunication Development Sector” and Resolution 31 “Regional preparations for world telecommunication development conferences”</w:t>
      </w:r>
      <w:r>
        <w:rPr>
          <w:bCs/>
          <w:szCs w:val="24"/>
        </w:rPr>
        <w:t xml:space="preserve">. The Chair, Dr Sharafat, </w:t>
      </w:r>
      <w:r>
        <w:t>noted the contribution and indicated that the proposal will be shared with the TDAG Correspondence Group on Resolution 1.</w:t>
      </w:r>
      <w:r>
        <w:rPr>
          <w:bCs/>
          <w:szCs w:val="24"/>
        </w:rPr>
        <w:t xml:space="preserve"> </w:t>
      </w:r>
    </w:p>
    <w:p w:rsidR="00F859FD" w:rsidRDefault="00F859FD" w:rsidP="00F859FD">
      <w:r>
        <w:t xml:space="preserve">Document </w:t>
      </w:r>
      <w:hyperlink r:id="rId14" w:history="1">
        <w:r w:rsidRPr="00BE30A8">
          <w:rPr>
            <w:rStyle w:val="Hyperlink"/>
            <w:bCs/>
          </w:rPr>
          <w:t>TDAG/CG-SR/</w:t>
        </w:r>
        <w:r>
          <w:rPr>
            <w:rStyle w:val="Hyperlink"/>
            <w:bCs/>
          </w:rPr>
          <w:t>9(Rev.1)</w:t>
        </w:r>
      </w:hyperlink>
      <w:r>
        <w:t xml:space="preserve"> is a proposal for combining Resolution 17 “</w:t>
      </w:r>
      <w:bookmarkStart w:id="4" w:name="_Toc18394071"/>
      <w:r w:rsidRPr="002D492B">
        <w:t xml:space="preserve">Implementation of regionally approved initiatives at the national, regional, interregional and global </w:t>
      </w:r>
      <w:bookmarkEnd w:id="4"/>
      <w:r w:rsidRPr="002D492B">
        <w:t>levels</w:t>
      </w:r>
      <w:r>
        <w:t>” and Resolution 32 “</w:t>
      </w:r>
      <w:r w:rsidRPr="00E8349A">
        <w:t>International and regional cooperation on regional initiatives</w:t>
      </w:r>
      <w:r>
        <w:t xml:space="preserve">”. The text has also been updated to reflect current references to PP-14 Resolutions. </w:t>
      </w:r>
    </w:p>
    <w:p w:rsidR="00F859FD" w:rsidRDefault="00F859FD" w:rsidP="00F859FD">
      <w:r>
        <w:t xml:space="preserve">Document </w:t>
      </w:r>
      <w:hyperlink r:id="rId15" w:history="1">
        <w:r w:rsidRPr="00BE30A8">
          <w:rPr>
            <w:rStyle w:val="Hyperlink"/>
            <w:bCs/>
          </w:rPr>
          <w:t>TDAG/CG-SR/10</w:t>
        </w:r>
      </w:hyperlink>
      <w:r>
        <w:t xml:space="preserve"> contains a proposal for integration of Resolution 37 “Bridging the digital divide” and Resolution 50 “Optimal integration of information and communication technologies”. Additional references have also been inserted, notably to Resolution 70 of the UN General Assembly. While welcoming the proposal, some delegates felt that issues addressed by those two Resolutions, the digital divide and the digital dividend, should be addressed separately.</w:t>
      </w:r>
    </w:p>
    <w:p w:rsidR="00F859FD" w:rsidRDefault="00F859FD" w:rsidP="00F859FD">
      <w:r>
        <w:t xml:space="preserve">Participating delegates expressed their general support to the proposals by the Russian Federation as well as, more broadly, to the approach used to streamline WTDC Resolutions. Some were of the opinion that more than two Resolutions could be combined, for as long as the issues addressed were the same or similar. Delegates, however, reserved their right to study the proposals in detail and provide further comments, either as part of the RPM process or through electronic exchange. The Chair, Dr Sharafat, emphasized that the intention of this meeting is not to endorse any specific aggregation, but to agree on a common approach and encourage Members to submit aligned proposals. </w:t>
      </w:r>
    </w:p>
    <w:p w:rsidR="00F859FD" w:rsidRPr="000C14A4" w:rsidRDefault="00F859FD" w:rsidP="00F859FD">
      <w:r>
        <w:lastRenderedPageBreak/>
        <w:t xml:space="preserve">Mr Kemal Huseinovic presented Document </w:t>
      </w:r>
      <w:hyperlink r:id="rId16" w:history="1">
        <w:r w:rsidRPr="00BE30A8">
          <w:rPr>
            <w:rStyle w:val="Hyperlink"/>
            <w:bCs/>
          </w:rPr>
          <w:t>TDAG/CG-SR/6</w:t>
        </w:r>
      </w:hyperlink>
      <w:r w:rsidRPr="00BE30A8">
        <w:rPr>
          <w:bCs/>
          <w:szCs w:val="24"/>
        </w:rPr>
        <w:t xml:space="preserve"> (Chairman, CG-SR)</w:t>
      </w:r>
      <w:r>
        <w:rPr>
          <w:bCs/>
          <w:szCs w:val="24"/>
        </w:rPr>
        <w:t xml:space="preserve"> on behalf of the </w:t>
      </w:r>
      <w:r>
        <w:t>Secretariat</w:t>
      </w:r>
      <w:r>
        <w:rPr>
          <w:bCs/>
          <w:szCs w:val="24"/>
        </w:rPr>
        <w:t xml:space="preserve">. </w:t>
      </w:r>
      <w:r w:rsidRPr="000C14A4">
        <w:t>Th</w:t>
      </w:r>
      <w:r>
        <w:t>e</w:t>
      </w:r>
      <w:r w:rsidRPr="000C14A4">
        <w:t xml:space="preserve"> document provides detailed mapping of current WTDC Resolutions and Recommendations to PP Resolutions, ITU-D objectives and ITU-D outcomes/outputs, with a view to streamlining them in preparation for WTDC-17. </w:t>
      </w:r>
    </w:p>
    <w:p w:rsidR="00F859FD" w:rsidRPr="000C14A4" w:rsidRDefault="00F859FD" w:rsidP="00F859FD">
      <w:r>
        <w:t xml:space="preserve">The document also highlights common issues and themes in WTDC Resolutions and Recommendations and provides a broad framework for streamlining existing Resolutions and aligning new proposed Resolutions for WTDC-17. </w:t>
      </w:r>
      <w:r w:rsidRPr="000C14A4">
        <w:t xml:space="preserve"> </w:t>
      </w:r>
    </w:p>
    <w:p w:rsidR="00F859FD" w:rsidRDefault="00F859FD" w:rsidP="00F859FD">
      <w:r>
        <w:t>The meeting considered the document</w:t>
      </w:r>
      <w:r w:rsidRPr="000C14A4">
        <w:t>.</w:t>
      </w:r>
      <w:r>
        <w:t xml:space="preserve"> Delegates welcomed the mapping, which can serve as the basis for further discussion and a practical tool for Membership to work on their own proposals.</w:t>
      </w:r>
    </w:p>
    <w:p w:rsidR="00F859FD" w:rsidRDefault="00F859FD" w:rsidP="00F859FD">
      <w:r>
        <w:t xml:space="preserve">In response to a question from the meeting, Dr Sharafat encouraged all Members already working on proposed revisions to existing Resolutions or on new proposed Resolutions to take into account the draft guidelines of the Correspondence Group (see in Annex 1 here) in order to ensure consistency and prepare ahead of time. </w:t>
      </w:r>
    </w:p>
    <w:p w:rsidR="00F859FD" w:rsidRDefault="00F859FD" w:rsidP="00F859FD">
      <w:pPr>
        <w:pStyle w:val="Heading2"/>
        <w:keepLines w:val="0"/>
        <w:numPr>
          <w:ilvl w:val="0"/>
          <w:numId w:val="18"/>
        </w:numPr>
        <w:spacing w:before="120"/>
        <w:ind w:left="567" w:hanging="567"/>
      </w:pPr>
      <w:r w:rsidRPr="00BE30A8">
        <w:t>Discussion on the way forward</w:t>
      </w:r>
    </w:p>
    <w:p w:rsidR="00F859FD" w:rsidRDefault="00F859FD">
      <w:r>
        <w:t>The Correspondence Group continue</w:t>
      </w:r>
      <w:r w:rsidR="00536649">
        <w:t>s</w:t>
      </w:r>
      <w:r>
        <w:t xml:space="preserve"> its work through electronic means. Contributions and concrete proposals are encouraged in order to advance the task of the Correspondence Group.  </w:t>
      </w:r>
    </w:p>
    <w:p w:rsidR="00F859FD" w:rsidRDefault="00F859FD" w:rsidP="00F859FD">
      <w:r>
        <w:t xml:space="preserve">All interested ITU-D Administrations and Sector Members are invited to subscribe to the mailing list of CG-SR </w:t>
      </w:r>
      <w:hyperlink r:id="rId17" w:history="1">
        <w:r w:rsidRPr="00E75C56">
          <w:rPr>
            <w:rStyle w:val="Hyperlink"/>
          </w:rPr>
          <w:t>tdag-cg-sres@lists.itu.int</w:t>
        </w:r>
      </w:hyperlink>
      <w:r>
        <w:t xml:space="preserve"> through the </w:t>
      </w:r>
      <w:hyperlink r:id="rId18" w:history="1">
        <w:r w:rsidRPr="002C005C">
          <w:rPr>
            <w:rStyle w:val="Hyperlink"/>
          </w:rPr>
          <w:t>online portal</w:t>
        </w:r>
      </w:hyperlink>
      <w:r>
        <w:t xml:space="preserve">. </w:t>
      </w:r>
    </w:p>
    <w:p w:rsidR="00F859FD" w:rsidRDefault="00F859FD">
      <w:r>
        <w:t xml:space="preserve">The revised guidelines </w:t>
      </w:r>
      <w:r w:rsidR="00536649">
        <w:t>contained in Annex 1 are submitted</w:t>
      </w:r>
      <w:r>
        <w:t xml:space="preserve"> to RPMs</w:t>
      </w:r>
      <w:r w:rsidR="00536649">
        <w:t xml:space="preserve"> for further discussion</w:t>
      </w:r>
      <w:r>
        <w:t xml:space="preserve">.   </w:t>
      </w:r>
    </w:p>
    <w:p w:rsidR="00F859FD" w:rsidRDefault="00536649">
      <w:r>
        <w:t xml:space="preserve">It was agreed that </w:t>
      </w:r>
      <w:r w:rsidR="00F859FD">
        <w:t xml:space="preserve">Document </w:t>
      </w:r>
      <w:hyperlink r:id="rId19" w:history="1">
        <w:r w:rsidR="00F859FD" w:rsidRPr="00BE30A8">
          <w:rPr>
            <w:rStyle w:val="Hyperlink"/>
            <w:bCs/>
          </w:rPr>
          <w:t>TDAG/CG-SR/8</w:t>
        </w:r>
      </w:hyperlink>
      <w:r w:rsidR="00F859FD">
        <w:t xml:space="preserve"> (Russian Federation) be sent to the TDAG Correspondence Group on Resolution 1.</w:t>
      </w:r>
    </w:p>
    <w:p w:rsidR="00F859FD" w:rsidRDefault="00F859FD">
      <w:r>
        <w:t xml:space="preserve">The third physical meeting of CG-SR </w:t>
      </w:r>
      <w:r w:rsidR="00536649">
        <w:t>has been scheduled for</w:t>
      </w:r>
      <w:r>
        <w:t xml:space="preserve"> </w:t>
      </w:r>
      <w:r w:rsidRPr="00741B73">
        <w:t xml:space="preserve">25 January 2017 at 3.30 p.m. and the fourth physical meeting of the group </w:t>
      </w:r>
      <w:r w:rsidR="00536649">
        <w:t>for</w:t>
      </w:r>
      <w:r w:rsidRPr="00741B73">
        <w:t xml:space="preserve"> 3 April 2017 at 1 p.m.</w:t>
      </w:r>
      <w:r>
        <w:t xml:space="preserve"> at the ITU headquarters in Geneva, Switzerland.</w:t>
      </w:r>
    </w:p>
    <w:p w:rsidR="00F859FD" w:rsidRDefault="00F859FD" w:rsidP="00F859FD">
      <w:r>
        <w:t xml:space="preserve">The Chair, Dr Sharafat, reaffirmed his willingness to work towards substantial progress in streamlining WTDC Resolutions and invited Membership to continue to actively contribute in this process.  </w:t>
      </w:r>
    </w:p>
    <w:p w:rsidR="00F859FD" w:rsidRDefault="00F859FD" w:rsidP="00F859FD">
      <w:pPr>
        <w:pStyle w:val="Heading2"/>
        <w:keepLines w:val="0"/>
        <w:numPr>
          <w:ilvl w:val="0"/>
          <w:numId w:val="18"/>
        </w:numPr>
        <w:spacing w:before="120"/>
        <w:ind w:left="567" w:hanging="567"/>
      </w:pPr>
      <w:r w:rsidRPr="00BE30A8">
        <w:t>Any other business</w:t>
      </w:r>
    </w:p>
    <w:p w:rsidR="00F859FD" w:rsidRDefault="00F859FD" w:rsidP="00F859FD">
      <w:pPr>
        <w:rPr>
          <w:bCs/>
          <w:szCs w:val="24"/>
        </w:rPr>
      </w:pPr>
      <w:r>
        <w:rPr>
          <w:bCs/>
          <w:szCs w:val="24"/>
        </w:rPr>
        <w:t>No further items have been discussed under this agenda item.</w:t>
      </w:r>
    </w:p>
    <w:p w:rsidR="006C6905" w:rsidRDefault="006C6905" w:rsidP="00076C8B">
      <w:pPr>
        <w:jc w:val="center"/>
      </w:pPr>
      <w:r>
        <w:rPr>
          <w:b/>
        </w:rPr>
        <w:br w:type="page"/>
      </w:r>
      <w:r w:rsidR="00076C8B">
        <w:rPr>
          <w:b/>
        </w:rPr>
        <w:lastRenderedPageBreak/>
        <w:t>ANNEX 1</w:t>
      </w:r>
    </w:p>
    <w:bookmarkEnd w:id="0"/>
    <w:bookmarkEnd w:id="1"/>
    <w:p w:rsidR="00CB287E" w:rsidRPr="003A48B8" w:rsidRDefault="00486DD3" w:rsidP="006400D1">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A</w:t>
      </w:r>
      <w:r w:rsidR="00CB287E">
        <w:t xml:space="preserve">. </w:t>
      </w:r>
      <w:r w:rsidR="00CB287E">
        <w:tab/>
      </w:r>
      <w:r w:rsidR="00CB287E">
        <w:rPr>
          <w:sz w:val="24"/>
          <w:szCs w:val="24"/>
        </w:rPr>
        <w:t>Guiding principles for streamlining existing WTDC Resolutions</w:t>
      </w:r>
      <w:r w:rsidR="00CB287E" w:rsidRPr="003A48B8">
        <w:rPr>
          <w:sz w:val="24"/>
          <w:szCs w:val="24"/>
        </w:rPr>
        <w:t xml:space="preserve"> </w:t>
      </w:r>
    </w:p>
    <w:p w:rsidR="00CB287E" w:rsidRPr="00D022F8" w:rsidRDefault="00CB287E" w:rsidP="006400D1">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might prove useful in the work on streamlining R</w:t>
      </w:r>
      <w:r w:rsidRPr="00D022F8">
        <w:rPr>
          <w:sz w:val="24"/>
        </w:rPr>
        <w:t>esolutions:</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2127"/>
        <w:gridCol w:w="7371"/>
      </w:tblGrid>
      <w:tr w:rsidR="00FD3F41" w:rsidRPr="00FD3F41" w:rsidTr="00FD3F41">
        <w:trPr>
          <w:jc w:val="center"/>
        </w:trPr>
        <w:tc>
          <w:tcPr>
            <w:tcW w:w="2127" w:type="dxa"/>
            <w:tcBorders>
              <w:top w:val="single" w:sz="8" w:space="0" w:color="000000"/>
              <w:bottom w:val="single" w:sz="8" w:space="0" w:color="000000"/>
            </w:tcBorders>
            <w:shd w:val="clear" w:color="auto" w:fill="auto"/>
          </w:tcPr>
          <w:p w:rsidR="00CB287E" w:rsidRPr="00FD3F41" w:rsidRDefault="00CB287E" w:rsidP="00FD3F41">
            <w:pPr>
              <w:spacing w:after="120"/>
              <w:rPr>
                <w:b/>
                <w:bCs/>
                <w:color w:val="000000"/>
                <w:sz w:val="22"/>
                <w:szCs w:val="22"/>
                <w:lang w:eastAsia="zh-CN"/>
              </w:rPr>
            </w:pPr>
            <w:r w:rsidRPr="00FD3F41">
              <w:rPr>
                <w:b/>
                <w:bCs/>
                <w:color w:val="000000"/>
                <w:sz w:val="22"/>
                <w:szCs w:val="22"/>
                <w:lang w:eastAsia="zh-CN"/>
              </w:rPr>
              <w:t>Principle</w:t>
            </w:r>
          </w:p>
        </w:tc>
        <w:tc>
          <w:tcPr>
            <w:tcW w:w="7371" w:type="dxa"/>
            <w:tcBorders>
              <w:top w:val="single" w:sz="8" w:space="0" w:color="000000"/>
              <w:bottom w:val="single" w:sz="8" w:space="0" w:color="000000"/>
            </w:tcBorders>
            <w:shd w:val="clear" w:color="auto" w:fill="auto"/>
          </w:tcPr>
          <w:p w:rsidR="00CB287E" w:rsidRPr="00FD3F41" w:rsidRDefault="00CB287E" w:rsidP="00FD3F41">
            <w:pPr>
              <w:spacing w:after="120"/>
              <w:rPr>
                <w:b/>
                <w:bCs/>
                <w:color w:val="000000"/>
                <w:sz w:val="22"/>
                <w:szCs w:val="22"/>
                <w:lang w:eastAsia="zh-CN"/>
              </w:rPr>
            </w:pPr>
            <w:r w:rsidRPr="00FD3F41">
              <w:rPr>
                <w:b/>
                <w:bCs/>
                <w:color w:val="000000"/>
                <w:sz w:val="22"/>
                <w:szCs w:val="22"/>
                <w:lang w:eastAsia="zh-CN"/>
              </w:rPr>
              <w:t>Question</w:t>
            </w:r>
            <w:r w:rsidR="006400D1" w:rsidRPr="00FD3F41">
              <w:rPr>
                <w:b/>
                <w:bCs/>
                <w:color w:val="000000"/>
                <w:sz w:val="22"/>
                <w:szCs w:val="22"/>
                <w:lang w:eastAsia="zh-CN"/>
              </w:rPr>
              <w:t>s</w:t>
            </w:r>
          </w:p>
        </w:tc>
      </w:tr>
      <w:tr w:rsidR="00FD3F41" w:rsidRPr="00FD3F41" w:rsidTr="00FD3F41">
        <w:trPr>
          <w:jc w:val="center"/>
        </w:trPr>
        <w:tc>
          <w:tcPr>
            <w:tcW w:w="2127" w:type="dxa"/>
            <w:shd w:val="clear" w:color="auto" w:fill="F2F2F2"/>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 xml:space="preserve">Coherence </w:t>
            </w:r>
            <w:r w:rsidRPr="00FD3F41">
              <w:rPr>
                <w:b/>
                <w:bCs/>
                <w:color w:val="000000"/>
                <w:sz w:val="22"/>
                <w:szCs w:val="22"/>
                <w:lang w:eastAsia="zh-CN"/>
              </w:rPr>
              <w:br/>
              <w:t>&amp; Consistency</w:t>
            </w:r>
          </w:p>
        </w:tc>
        <w:tc>
          <w:tcPr>
            <w:tcW w:w="7371" w:type="dxa"/>
            <w:tcBorders>
              <w:top w:val="nil"/>
              <w:left w:val="nil"/>
              <w:bottom w:val="nil"/>
              <w:right w:val="nil"/>
            </w:tcBorders>
            <w:shd w:val="clear" w:color="auto" w:fill="F2F2F2"/>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 Resolution consistent with the BDT mandate and the WTDC Action Plan?</w:t>
            </w:r>
          </w:p>
        </w:tc>
      </w:tr>
      <w:tr w:rsidR="00FD3F41" w:rsidRPr="00FD3F41" w:rsidTr="00FD3F41">
        <w:trPr>
          <w:jc w:val="center"/>
        </w:trPr>
        <w:tc>
          <w:tcPr>
            <w:tcW w:w="2127" w:type="dxa"/>
            <w:tcBorders>
              <w:top w:val="nil"/>
              <w:bottom w:val="nil"/>
            </w:tcBorders>
            <w:shd w:val="clear" w:color="auto" w:fill="FFFFFF"/>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Overlap</w:t>
            </w:r>
            <w:r w:rsidR="0094334A" w:rsidRPr="00FD3F41">
              <w:rPr>
                <w:b/>
                <w:bCs/>
                <w:color w:val="000000"/>
                <w:sz w:val="22"/>
                <w:szCs w:val="22"/>
                <w:lang w:eastAsia="zh-CN"/>
              </w:rPr>
              <w:t xml:space="preserve"> &amp; duplication</w:t>
            </w:r>
          </w:p>
        </w:tc>
        <w:tc>
          <w:tcPr>
            <w:tcW w:w="7371" w:type="dxa"/>
            <w:tcBorders>
              <w:top w:val="nil"/>
              <w:bottom w:val="nil"/>
            </w:tcBorders>
            <w:shd w:val="clear" w:color="auto" w:fill="FFFFFF"/>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there an overlap</w:t>
            </w:r>
            <w:r w:rsidR="0094334A" w:rsidRPr="00FD3F41">
              <w:rPr>
                <w:color w:val="000000"/>
                <w:sz w:val="22"/>
                <w:szCs w:val="22"/>
                <w:lang w:eastAsia="zh-CN"/>
              </w:rPr>
              <w:t xml:space="preserve"> or duplication</w:t>
            </w:r>
            <w:r w:rsidRPr="00FD3F41">
              <w:rPr>
                <w:color w:val="000000"/>
                <w:sz w:val="22"/>
                <w:szCs w:val="22"/>
                <w:lang w:eastAsia="zh-CN"/>
              </w:rPr>
              <w:t xml:space="preserve"> with existing WTDC Resolutions or with the Action Plan? Are the goals of Resolutions already reflected in the ITU-D Strategic Plan objectives, programmes, regional initiatives (RIs), Study Group (SG) questions, or BDT working methods?</w:t>
            </w:r>
          </w:p>
        </w:tc>
      </w:tr>
      <w:tr w:rsidR="00FD3F41" w:rsidRPr="00FD3F41" w:rsidTr="00FD3F41">
        <w:trPr>
          <w:jc w:val="center"/>
        </w:trPr>
        <w:tc>
          <w:tcPr>
            <w:tcW w:w="2127" w:type="dxa"/>
            <w:shd w:val="clear" w:color="auto" w:fill="F2F2F2"/>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Necessity</w:t>
            </w:r>
          </w:p>
        </w:tc>
        <w:tc>
          <w:tcPr>
            <w:tcW w:w="7371" w:type="dxa"/>
            <w:tcBorders>
              <w:top w:val="nil"/>
              <w:left w:val="nil"/>
              <w:bottom w:val="nil"/>
              <w:right w:val="nil"/>
            </w:tcBorders>
            <w:shd w:val="clear" w:color="auto" w:fill="F2F2F2"/>
          </w:tcPr>
          <w:p w:rsidR="00CB287E" w:rsidRPr="00FD3F41" w:rsidRDefault="00CB287E" w:rsidP="00FD3F41">
            <w:pPr>
              <w:spacing w:after="120"/>
              <w:rPr>
                <w:color w:val="000000"/>
                <w:sz w:val="22"/>
                <w:szCs w:val="22"/>
                <w:lang w:eastAsia="zh-CN"/>
              </w:rPr>
            </w:pPr>
            <w:r w:rsidRPr="00FD3F41">
              <w:rPr>
                <w:color w:val="000000"/>
                <w:sz w:val="22"/>
                <w:szCs w:val="22"/>
                <w:lang w:eastAsia="zh-CN"/>
              </w:rPr>
              <w:t>Is the Resolution indispensable? Is there already another WTDC/Council/PP Resolution or Resolutions which address the same topic or action?</w:t>
            </w:r>
            <w:r w:rsidR="006400D1" w:rsidRPr="00FD3F41">
              <w:rPr>
                <w:color w:val="000000"/>
                <w:sz w:val="22"/>
                <w:szCs w:val="22"/>
                <w:lang w:eastAsia="zh-CN"/>
              </w:rPr>
              <w:t xml:space="preserve"> Has the Resolution already been implemented?</w:t>
            </w:r>
          </w:p>
        </w:tc>
      </w:tr>
      <w:tr w:rsidR="00FD3F41" w:rsidRPr="00FD3F41" w:rsidTr="00FD3F41">
        <w:trPr>
          <w:jc w:val="center"/>
        </w:trPr>
        <w:tc>
          <w:tcPr>
            <w:tcW w:w="2127" w:type="dxa"/>
            <w:tcBorders>
              <w:bottom w:val="single" w:sz="8" w:space="0" w:color="000000"/>
            </w:tcBorders>
            <w:shd w:val="clear" w:color="auto" w:fill="FFFFFF"/>
          </w:tcPr>
          <w:p w:rsidR="00CB287E" w:rsidRPr="00FD3F41" w:rsidRDefault="00CB287E" w:rsidP="00FD3F41">
            <w:pPr>
              <w:spacing w:before="60" w:after="60"/>
              <w:rPr>
                <w:b/>
                <w:bCs/>
                <w:color w:val="000000"/>
                <w:sz w:val="22"/>
                <w:szCs w:val="22"/>
                <w:lang w:eastAsia="zh-CN"/>
              </w:rPr>
            </w:pPr>
            <w:r w:rsidRPr="00FD3F41">
              <w:rPr>
                <w:b/>
                <w:bCs/>
                <w:color w:val="000000"/>
                <w:sz w:val="22"/>
                <w:szCs w:val="22"/>
                <w:lang w:eastAsia="zh-CN"/>
              </w:rPr>
              <w:t>Action-orientation &amp; accountability</w:t>
            </w:r>
          </w:p>
        </w:tc>
        <w:tc>
          <w:tcPr>
            <w:tcW w:w="7371" w:type="dxa"/>
            <w:tcBorders>
              <w:top w:val="nil"/>
              <w:bottom w:val="single" w:sz="8" w:space="0" w:color="000000"/>
            </w:tcBorders>
            <w:shd w:val="clear" w:color="auto" w:fill="FFFFFF"/>
          </w:tcPr>
          <w:p w:rsidR="00CB287E" w:rsidRPr="00FD3F41" w:rsidRDefault="00CB287E" w:rsidP="00FD3F41">
            <w:pPr>
              <w:spacing w:after="120"/>
              <w:rPr>
                <w:color w:val="000000"/>
                <w:sz w:val="22"/>
                <w:szCs w:val="22"/>
                <w:lang w:eastAsia="zh-CN"/>
              </w:rPr>
            </w:pPr>
            <w:r w:rsidRPr="00FD3F41">
              <w:rPr>
                <w:color w:val="000000"/>
                <w:sz w:val="22"/>
                <w:szCs w:val="22"/>
                <w:lang w:eastAsia="zh-CN"/>
              </w:rPr>
              <w:t xml:space="preserve">Does the Resolution call for a specific action or outcome? Is there a clear accountability line in the Resolution? </w:t>
            </w:r>
          </w:p>
        </w:tc>
      </w:tr>
    </w:tbl>
    <w:p w:rsidR="00CB287E" w:rsidRDefault="00CB287E" w:rsidP="00486DD3">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general, streamlining existing R</w:t>
      </w:r>
      <w:r w:rsidRPr="00B52C9D">
        <w:rPr>
          <w:szCs w:val="24"/>
        </w:rPr>
        <w:t>esolutions</w:t>
      </w:r>
      <w:r>
        <w:rPr>
          <w:szCs w:val="24"/>
        </w:rPr>
        <w:t xml:space="preserve"> is preferable to adding a new R</w:t>
      </w:r>
      <w:r w:rsidRPr="00B52C9D">
        <w:rPr>
          <w:szCs w:val="24"/>
        </w:rPr>
        <w:t>esolution.</w:t>
      </w:r>
    </w:p>
    <w:p w:rsidR="006400D1" w:rsidRDefault="006400D1" w:rsidP="006400D1">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or activities put forward in a Resolution</w:t>
      </w:r>
      <w:r w:rsidRPr="006400D1">
        <w:rPr>
          <w:szCs w:val="24"/>
        </w:rPr>
        <w:t xml:space="preserve"> have been </w:t>
      </w:r>
      <w:r>
        <w:rPr>
          <w:szCs w:val="24"/>
        </w:rPr>
        <w:t xml:space="preserve">implemented or </w:t>
      </w:r>
      <w:r w:rsidRPr="006400D1">
        <w:rPr>
          <w:szCs w:val="24"/>
        </w:rPr>
        <w:t xml:space="preserve">accomplished, the Resolution can be viewed as fulfilled and </w:t>
      </w:r>
      <w:r>
        <w:rPr>
          <w:szCs w:val="24"/>
        </w:rPr>
        <w:t>removed</w:t>
      </w:r>
      <w:r w:rsidRPr="006400D1">
        <w:rPr>
          <w:szCs w:val="24"/>
        </w:rPr>
        <w:t>.</w:t>
      </w:r>
    </w:p>
    <w:p w:rsidR="00CB287E" w:rsidRPr="00014EFB" w:rsidRDefault="00CB287E" w:rsidP="00486DD3">
      <w:pPr>
        <w:tabs>
          <w:tab w:val="clear" w:pos="794"/>
          <w:tab w:val="clear" w:pos="1191"/>
          <w:tab w:val="clear" w:pos="1588"/>
          <w:tab w:val="clear" w:pos="1985"/>
          <w:tab w:val="left" w:pos="851"/>
          <w:tab w:val="left" w:pos="1134"/>
          <w:tab w:val="left" w:pos="1701"/>
        </w:tabs>
        <w:rPr>
          <w:highlight w:val="yellow"/>
        </w:rPr>
      </w:pPr>
      <w:r>
        <w:rPr>
          <w:szCs w:val="24"/>
        </w:rPr>
        <w:t>Edit</w:t>
      </w:r>
      <w:r>
        <w:t>orial revisions of adopted R</w:t>
      </w:r>
      <w:r w:rsidRPr="008E4552">
        <w:t>esolutions should be kept to the minimum or to what is strictly necessar</w:t>
      </w:r>
      <w:r w:rsidRPr="00B52C9D">
        <w:t xml:space="preserve">y for its efficient implementation. </w:t>
      </w:r>
    </w:p>
    <w:p w:rsidR="00CB287E" w:rsidRPr="002828A4" w:rsidRDefault="00CB287E" w:rsidP="00486DD3">
      <w:pPr>
        <w:pStyle w:val="Heading4"/>
        <w:keepNext w:val="0"/>
        <w:keepLines w:val="0"/>
        <w:tabs>
          <w:tab w:val="clear" w:pos="992"/>
          <w:tab w:val="clear" w:pos="1191"/>
          <w:tab w:val="clear" w:pos="1588"/>
          <w:tab w:val="clear" w:pos="1985"/>
          <w:tab w:val="left" w:pos="851"/>
          <w:tab w:val="left" w:pos="1134"/>
          <w:tab w:val="left" w:pos="1701"/>
        </w:tabs>
        <w:spacing w:before="120"/>
        <w:ind w:left="0" w:firstLine="0"/>
        <w:rPr>
          <w:b w:val="0"/>
          <w:bCs/>
        </w:rPr>
      </w:pPr>
      <w:r w:rsidRPr="002828A4">
        <w:rPr>
          <w:b w:val="0"/>
          <w:bCs/>
        </w:rPr>
        <w:t>If only editorial updates are required to a WTDC Resolution, the need to produce a revised version should be questioned.</w:t>
      </w:r>
    </w:p>
    <w:p w:rsidR="00CB287E" w:rsidRDefault="00486DD3" w:rsidP="006400D1">
      <w:pPr>
        <w:pStyle w:val="Heading4"/>
        <w:tabs>
          <w:tab w:val="clear" w:pos="992"/>
          <w:tab w:val="clear" w:pos="1191"/>
          <w:tab w:val="clear" w:pos="1588"/>
          <w:tab w:val="clear" w:pos="1985"/>
          <w:tab w:val="left" w:pos="567"/>
          <w:tab w:val="left" w:pos="1134"/>
          <w:tab w:val="left" w:pos="1701"/>
        </w:tabs>
        <w:spacing w:before="240" w:after="120"/>
        <w:ind w:left="567" w:hanging="567"/>
      </w:pPr>
      <w:r>
        <w:t>B</w:t>
      </w:r>
      <w:r w:rsidR="00CB287E">
        <w:t xml:space="preserve">. </w:t>
      </w:r>
      <w:r w:rsidR="00CB287E">
        <w:tab/>
        <w:t xml:space="preserve">Guidelines for drafting new WTDC Resolutions </w:t>
      </w:r>
    </w:p>
    <w:p w:rsidR="00CB287E" w:rsidRPr="00C47B89" w:rsidRDefault="00CB287E" w:rsidP="006400D1">
      <w:pPr>
        <w:tabs>
          <w:tab w:val="clear" w:pos="794"/>
          <w:tab w:val="clear" w:pos="1191"/>
          <w:tab w:val="clear" w:pos="1588"/>
          <w:tab w:val="clear" w:pos="1985"/>
          <w:tab w:val="left" w:pos="851"/>
          <w:tab w:val="left" w:pos="1134"/>
          <w:tab w:val="left" w:pos="1701"/>
        </w:tabs>
        <w:rPr>
          <w:lang w:val="en-US"/>
        </w:rPr>
      </w:pPr>
      <w:r>
        <w:rPr>
          <w:lang w:val="en-US"/>
        </w:rPr>
        <w:t>New 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Pr="00C47B89">
        <w:rPr>
          <w:lang w:val="en-US"/>
        </w:rPr>
        <w:t>agreed development agendas.</w:t>
      </w:r>
    </w:p>
    <w:p w:rsidR="00CB287E" w:rsidRPr="00C47B89" w:rsidRDefault="00CB287E" w:rsidP="00486DD3">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esolutions should be aligned an</w:t>
      </w:r>
      <w:r>
        <w:rPr>
          <w:lang w:val="en-US"/>
        </w:rPr>
        <w:t>d harmonized with existing ones;</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sidRPr="00C47B89">
        <w:rPr>
          <w:lang w:val="en-US"/>
        </w:rPr>
        <w:t xml:space="preserve">New proposed </w:t>
      </w:r>
      <w:r>
        <w:rPr>
          <w:lang w:val="en-US"/>
        </w:rPr>
        <w:t>R</w:t>
      </w:r>
      <w:r w:rsidRPr="00C47B89">
        <w:rPr>
          <w:lang w:val="en-US"/>
        </w:rPr>
        <w:t>esolutions should involve a distinct new subject within the scope of BDT or an issue that represents a significant new or unaddressed challenge related to I</w:t>
      </w:r>
      <w:r>
        <w:rPr>
          <w:lang w:val="en-US"/>
        </w:rPr>
        <w:t>CT development or public policy;</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w:t>
      </w:r>
      <w:r w:rsidR="0094334A">
        <w:rPr>
          <w:lang w:val="en-US"/>
        </w:rPr>
        <w:t xml:space="preserve"> and the Operational Plan</w:t>
      </w:r>
      <w:r>
        <w:rPr>
          <w:lang w:val="en-US"/>
        </w:rPr>
        <w:t>;</w:t>
      </w:r>
    </w:p>
    <w:p w:rsidR="00CB287E" w:rsidRPr="00BC06AF"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sidRPr="00BC06AF">
        <w:t>If an exist</w:t>
      </w:r>
      <w:r>
        <w:t>ing Plenipotentiary Conference</w:t>
      </w:r>
      <w:r w:rsidR="00AE0609">
        <w:t xml:space="preserve"> (PP)</w:t>
      </w:r>
      <w:r>
        <w:t xml:space="preserve"> R</w:t>
      </w:r>
      <w:r w:rsidRPr="00BC06AF">
        <w:t>esolution identifies a priority issue, the need for a similar WT</w:t>
      </w:r>
      <w:r>
        <w:t>DC</w:t>
      </w:r>
      <w:r w:rsidRPr="00BC06AF">
        <w:t xml:space="preserve"> </w:t>
      </w:r>
      <w:r>
        <w:t xml:space="preserve">Resolution should be </w:t>
      </w:r>
      <w:r w:rsidR="00AE0609">
        <w:t>carefully considered</w:t>
      </w:r>
      <w:r>
        <w:t>;</w:t>
      </w:r>
    </w:p>
    <w:p w:rsidR="00CB287E" w:rsidRPr="00C47B89"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t>T</w:t>
      </w:r>
      <w:r w:rsidRPr="00BC06AF">
        <w:t xml:space="preserve">he need for a </w:t>
      </w:r>
      <w:r>
        <w:t>new</w:t>
      </w:r>
      <w:r w:rsidRPr="00BC06AF">
        <w:t xml:space="preserve"> WT</w:t>
      </w:r>
      <w:r>
        <w:t>DC</w:t>
      </w:r>
      <w:r w:rsidRPr="00BC06AF">
        <w:t xml:space="preserve"> </w:t>
      </w:r>
      <w:r>
        <w:t>R</w:t>
      </w:r>
      <w:r w:rsidRPr="00BC06AF">
        <w:t xml:space="preserve">esolution should be </w:t>
      </w:r>
      <w:r w:rsidR="00741B73">
        <w:t xml:space="preserve">carefully examined </w:t>
      </w:r>
      <w:r>
        <w:rPr>
          <w:lang w:val="en-US"/>
        </w:rPr>
        <w:t>if a new proposed R</w:t>
      </w:r>
      <w:r w:rsidRPr="00C47B89">
        <w:rPr>
          <w:lang w:val="en-US"/>
        </w:rPr>
        <w:t>esolutions involve</w:t>
      </w:r>
      <w:r>
        <w:rPr>
          <w:lang w:val="en-US"/>
        </w:rPr>
        <w:t>s</w:t>
      </w:r>
      <w:r w:rsidRPr="00C47B89">
        <w:rPr>
          <w:lang w:val="en-US"/>
        </w:rPr>
        <w:t xml:space="preserve"> subjects alr</w:t>
      </w:r>
      <w:r>
        <w:rPr>
          <w:lang w:val="en-US"/>
        </w:rPr>
        <w:t>eady covered by internationally-</w:t>
      </w:r>
      <w:r w:rsidRPr="00C47B89">
        <w:rPr>
          <w:lang w:val="en-US"/>
        </w:rPr>
        <w:t>agreed development goals</w:t>
      </w:r>
      <w:r>
        <w:rPr>
          <w:lang w:val="en-US"/>
        </w:rPr>
        <w:t>,</w:t>
      </w:r>
      <w:r w:rsidRPr="00C47B89">
        <w:rPr>
          <w:lang w:val="en-US"/>
        </w:rPr>
        <w:t xml:space="preserve"> such as the Sustainable Development Goals (SDGs) and the goals of the World Summit on the Information Society (WSIS), as those are also already established as reporting </w:t>
      </w:r>
      <w:r>
        <w:rPr>
          <w:lang w:val="en-US"/>
        </w:rPr>
        <w:t>lines;</w:t>
      </w:r>
    </w:p>
    <w:p w:rsidR="00CB287E" w:rsidRPr="00B52C9D"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lastRenderedPageBreak/>
        <w:t>New proposed R</w:t>
      </w:r>
      <w:r w:rsidRPr="00B52C9D">
        <w:rPr>
          <w:lang w:val="en-US"/>
        </w:rPr>
        <w:t>esolution should specify an expected result(s) or outcome(s) so that its implementation can be measur</w:t>
      </w:r>
      <w:r>
        <w:rPr>
          <w:lang w:val="en-US"/>
        </w:rPr>
        <w:t>ed</w:t>
      </w:r>
      <w:r w:rsidRPr="00B52C9D">
        <w:rPr>
          <w:lang w:val="en-US"/>
        </w:rPr>
        <w:t xml:space="preserve">, in line with result-based management principles. It should likewise specify an </w:t>
      </w:r>
      <w:r>
        <w:rPr>
          <w:lang w:val="en-US"/>
        </w:rPr>
        <w:t>appropriate reporting mechanism;</w:t>
      </w:r>
    </w:p>
    <w:p w:rsidR="00CB287E" w:rsidRDefault="00CB287E" w:rsidP="00F859FD">
      <w:pPr>
        <w:numPr>
          <w:ilvl w:val="0"/>
          <w:numId w:val="19"/>
        </w:numPr>
        <w:tabs>
          <w:tab w:val="clear" w:pos="794"/>
          <w:tab w:val="clear" w:pos="1191"/>
          <w:tab w:val="clear" w:pos="1588"/>
          <w:tab w:val="clear" w:pos="1985"/>
          <w:tab w:val="left" w:pos="567"/>
          <w:tab w:val="left" w:pos="1134"/>
          <w:tab w:val="left" w:pos="1701"/>
        </w:tabs>
        <w:spacing w:before="60"/>
        <w:ind w:left="567" w:hanging="567"/>
        <w:rPr>
          <w:lang w:val="en-US"/>
        </w:rPr>
      </w:pPr>
      <w:r>
        <w:rPr>
          <w:lang w:val="en-US"/>
        </w:rPr>
        <w:t>New proposed R</w:t>
      </w:r>
      <w:r w:rsidRPr="00C760B0">
        <w:rPr>
          <w:lang w:val="en-US"/>
        </w:rPr>
        <w:t>esolutions should be backed by more than o</w:t>
      </w:r>
      <w:r>
        <w:rPr>
          <w:lang w:val="en-US"/>
        </w:rPr>
        <w:t>ne Member State Administrations</w:t>
      </w:r>
      <w:r w:rsidR="00CE51A3">
        <w:rPr>
          <w:lang w:val="en-US"/>
        </w:rPr>
        <w:t>.</w:t>
      </w:r>
    </w:p>
    <w:p w:rsidR="00CB287E" w:rsidRPr="002828A4" w:rsidRDefault="00CB287E" w:rsidP="00CB287E">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sectPr w:rsidR="00CB287E" w:rsidRPr="002828A4" w:rsidSect="00927B08">
      <w:headerReference w:type="default" r:id="rId20"/>
      <w:headerReference w:type="first" r:id="rId21"/>
      <w:footerReference w:type="first" r:id="rId22"/>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50" w:rsidRDefault="00784750" w:rsidP="002D6AF9">
      <w:pPr>
        <w:spacing w:before="0"/>
      </w:pPr>
      <w:r>
        <w:separator/>
      </w:r>
    </w:p>
  </w:endnote>
  <w:endnote w:type="continuationSeparator" w:id="0">
    <w:p w:rsidR="00784750" w:rsidRDefault="00784750"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E86843" w:rsidRPr="00DC3978" w:rsidTr="00857234">
      <w:tc>
        <w:tcPr>
          <w:tcW w:w="1526" w:type="dxa"/>
          <w:tcBorders>
            <w:top w:val="single" w:sz="4" w:space="0" w:color="000000"/>
          </w:tcBorders>
          <w:shd w:val="clear" w:color="auto" w:fill="auto"/>
        </w:tcPr>
        <w:p w:rsidR="00E86843" w:rsidRPr="004D495C" w:rsidRDefault="00E86843" w:rsidP="00E86843">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410" w:type="dxa"/>
          <w:tcBorders>
            <w:top w:val="single" w:sz="4" w:space="0" w:color="000000"/>
          </w:tcBorders>
          <w:shd w:val="clear" w:color="auto" w:fill="auto"/>
        </w:tcPr>
        <w:p w:rsidR="00E86843" w:rsidRPr="004D495C" w:rsidRDefault="00E86843" w:rsidP="00E86843">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tcPr>
        <w:p w:rsidR="00E86843" w:rsidRPr="00DC3978" w:rsidRDefault="00E86843" w:rsidP="00E86843">
          <w:pPr>
            <w:pStyle w:val="FirstFooter"/>
            <w:tabs>
              <w:tab w:val="left" w:pos="2302"/>
            </w:tabs>
            <w:rPr>
              <w:sz w:val="18"/>
              <w:szCs w:val="18"/>
              <w:lang w:val="en-US"/>
            </w:rPr>
          </w:pPr>
          <w:r w:rsidRPr="00DC3978">
            <w:rPr>
              <w:sz w:val="18"/>
              <w:szCs w:val="18"/>
              <w:lang w:val="en-US"/>
            </w:rPr>
            <w:t>Mr Kemal Huseinovic, Chief, Infrastructure, Enabling Environment and</w:t>
          </w:r>
          <w:r w:rsidR="00E26D99">
            <w:rPr>
              <w:sz w:val="18"/>
              <w:szCs w:val="18"/>
              <w:lang w:val="en-US"/>
            </w:rPr>
            <w:t xml:space="preserve"> E-Applications Department (</w:t>
          </w:r>
          <w:r w:rsidRPr="00DC3978">
            <w:rPr>
              <w:sz w:val="18"/>
              <w:szCs w:val="18"/>
              <w:lang w:val="en-US"/>
            </w:rPr>
            <w:t>IEE)</w:t>
          </w:r>
          <w:r w:rsidR="00E26D99">
            <w:rPr>
              <w:sz w:val="18"/>
              <w:szCs w:val="18"/>
              <w:lang w:val="en-US"/>
            </w:rPr>
            <w:t>, BDT</w:t>
          </w:r>
        </w:p>
      </w:tc>
    </w:tr>
    <w:tr w:rsidR="00E86843" w:rsidRPr="00DC3978" w:rsidTr="00857234">
      <w:tc>
        <w:tcPr>
          <w:tcW w:w="1526" w:type="dxa"/>
          <w:shd w:val="clear" w:color="auto" w:fill="auto"/>
        </w:tcPr>
        <w:p w:rsidR="00E86843" w:rsidRPr="004D495C" w:rsidRDefault="00E86843" w:rsidP="00E86843">
          <w:pPr>
            <w:pStyle w:val="FirstFooter"/>
            <w:tabs>
              <w:tab w:val="left" w:pos="1559"/>
              <w:tab w:val="left" w:pos="3828"/>
            </w:tabs>
            <w:rPr>
              <w:sz w:val="20"/>
              <w:lang w:val="en-US"/>
            </w:rPr>
          </w:pPr>
        </w:p>
      </w:tc>
      <w:tc>
        <w:tcPr>
          <w:tcW w:w="2410" w:type="dxa"/>
          <w:shd w:val="clear" w:color="auto" w:fill="auto"/>
        </w:tcPr>
        <w:p w:rsidR="00E86843" w:rsidRPr="004D495C" w:rsidRDefault="00E86843" w:rsidP="00E86843">
          <w:pPr>
            <w:pStyle w:val="FirstFooter"/>
            <w:tabs>
              <w:tab w:val="left" w:pos="2302"/>
            </w:tabs>
            <w:rPr>
              <w:sz w:val="18"/>
              <w:szCs w:val="18"/>
              <w:lang w:val="en-US"/>
            </w:rPr>
          </w:pPr>
          <w:r w:rsidRPr="004D495C">
            <w:rPr>
              <w:sz w:val="18"/>
              <w:szCs w:val="18"/>
              <w:lang w:val="en-US"/>
            </w:rPr>
            <w:t>Phone number:</w:t>
          </w:r>
        </w:p>
      </w:tc>
      <w:tc>
        <w:tcPr>
          <w:tcW w:w="6412" w:type="dxa"/>
        </w:tcPr>
        <w:p w:rsidR="00E86843" w:rsidRPr="00DC3978" w:rsidRDefault="00E86843" w:rsidP="00E86843">
          <w:pPr>
            <w:pStyle w:val="FirstFooter"/>
            <w:tabs>
              <w:tab w:val="left" w:pos="2302"/>
            </w:tabs>
            <w:rPr>
              <w:sz w:val="18"/>
              <w:szCs w:val="18"/>
              <w:lang w:val="en-US"/>
            </w:rPr>
          </w:pPr>
          <w:r w:rsidRPr="00DC3978">
            <w:rPr>
              <w:sz w:val="18"/>
              <w:szCs w:val="18"/>
              <w:lang w:val="en-US"/>
            </w:rPr>
            <w:t>+41 22 730</w:t>
          </w:r>
          <w:r w:rsidR="00E26D99">
            <w:rPr>
              <w:sz w:val="18"/>
              <w:szCs w:val="18"/>
              <w:lang w:val="en-US"/>
            </w:rPr>
            <w:t xml:space="preserve"> </w:t>
          </w:r>
          <w:r w:rsidRPr="00DC3978">
            <w:rPr>
              <w:sz w:val="18"/>
              <w:szCs w:val="18"/>
              <w:lang w:val="en-US"/>
            </w:rPr>
            <w:t>5421</w:t>
          </w:r>
        </w:p>
      </w:tc>
    </w:tr>
    <w:tr w:rsidR="00E86843" w:rsidRPr="00DC3978" w:rsidTr="00857234">
      <w:tc>
        <w:tcPr>
          <w:tcW w:w="1526" w:type="dxa"/>
          <w:shd w:val="clear" w:color="auto" w:fill="auto"/>
        </w:tcPr>
        <w:p w:rsidR="00E86843" w:rsidRPr="004D495C" w:rsidRDefault="00E86843" w:rsidP="00E86843">
          <w:pPr>
            <w:pStyle w:val="FirstFooter"/>
            <w:tabs>
              <w:tab w:val="left" w:pos="1559"/>
              <w:tab w:val="left" w:pos="3828"/>
            </w:tabs>
            <w:rPr>
              <w:sz w:val="20"/>
              <w:lang w:val="en-US"/>
            </w:rPr>
          </w:pPr>
        </w:p>
      </w:tc>
      <w:tc>
        <w:tcPr>
          <w:tcW w:w="2410" w:type="dxa"/>
          <w:shd w:val="clear" w:color="auto" w:fill="auto"/>
        </w:tcPr>
        <w:p w:rsidR="00E86843" w:rsidRPr="004D495C" w:rsidRDefault="00E86843" w:rsidP="00E86843">
          <w:pPr>
            <w:pStyle w:val="FirstFooter"/>
            <w:tabs>
              <w:tab w:val="left" w:pos="2302"/>
            </w:tabs>
            <w:rPr>
              <w:sz w:val="18"/>
              <w:szCs w:val="18"/>
              <w:lang w:val="en-US"/>
            </w:rPr>
          </w:pPr>
          <w:r w:rsidRPr="004D495C">
            <w:rPr>
              <w:sz w:val="18"/>
              <w:szCs w:val="18"/>
              <w:lang w:val="en-US"/>
            </w:rPr>
            <w:t>E-mail:</w:t>
          </w:r>
        </w:p>
      </w:tc>
      <w:tc>
        <w:tcPr>
          <w:tcW w:w="6412" w:type="dxa"/>
        </w:tcPr>
        <w:p w:rsidR="00E86843" w:rsidRPr="00DC3978" w:rsidRDefault="00E26D99" w:rsidP="00E86843">
          <w:pPr>
            <w:pStyle w:val="FirstFooter"/>
            <w:tabs>
              <w:tab w:val="left" w:pos="2302"/>
            </w:tabs>
            <w:rPr>
              <w:sz w:val="18"/>
              <w:szCs w:val="18"/>
              <w:lang w:val="en-US"/>
            </w:rPr>
          </w:pPr>
          <w:hyperlink r:id="rId1" w:history="1">
            <w:r w:rsidR="00E86843" w:rsidRPr="00DC3978">
              <w:rPr>
                <w:rStyle w:val="Hyperlink"/>
                <w:sz w:val="18"/>
                <w:szCs w:val="18"/>
                <w:lang w:val="en-US"/>
              </w:rPr>
              <w:t>kemal.huseinovic@itu.int</w:t>
            </w:r>
          </w:hyperlink>
          <w:r w:rsidR="00E86843" w:rsidRPr="00DC3978">
            <w:rPr>
              <w:sz w:val="18"/>
              <w:szCs w:val="18"/>
              <w:lang w:val="en-US"/>
            </w:rPr>
            <w:t xml:space="preserve"> </w:t>
          </w:r>
        </w:p>
      </w:tc>
    </w:tr>
  </w:tbl>
  <w:p w:rsidR="00E86843" w:rsidRDefault="00E86843" w:rsidP="002A5CF7">
    <w:pPr>
      <w:pStyle w:val="FirstFooter"/>
      <w:tabs>
        <w:tab w:val="left" w:pos="1559"/>
        <w:tab w:val="left" w:pos="3828"/>
      </w:tabs>
      <w:spacing w:before="0"/>
      <w:jc w:val="center"/>
    </w:pPr>
  </w:p>
  <w:p w:rsidR="00F514FC" w:rsidRPr="00E86843" w:rsidRDefault="00E26D99" w:rsidP="00E86843">
    <w:pPr>
      <w:pStyle w:val="FirstFooter"/>
      <w:tabs>
        <w:tab w:val="left" w:pos="1559"/>
        <w:tab w:val="left" w:pos="3828"/>
      </w:tabs>
      <w:spacing w:before="0"/>
      <w:jc w:val="center"/>
      <w:rPr>
        <w:sz w:val="18"/>
        <w:szCs w:val="18"/>
      </w:rPr>
    </w:pPr>
    <w:hyperlink r:id="rId2" w:history="1">
      <w:r w:rsidR="00E86843" w:rsidRPr="001D5D8D">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50" w:rsidRDefault="00784750" w:rsidP="002D6AF9">
      <w:pPr>
        <w:spacing w:before="0"/>
      </w:pPr>
      <w:r>
        <w:separator/>
      </w:r>
    </w:p>
  </w:footnote>
  <w:footnote w:type="continuationSeparator" w:id="0">
    <w:p w:rsidR="00784750" w:rsidRDefault="00784750" w:rsidP="002D6A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FC" w:rsidRPr="007043AC" w:rsidRDefault="00F514FC" w:rsidP="000262BE">
    <w:pPr>
      <w:pStyle w:val="Header"/>
      <w:tabs>
        <w:tab w:val="center" w:pos="4820"/>
        <w:tab w:val="right" w:pos="9639"/>
      </w:tabs>
      <w:jc w:val="left"/>
      <w:rPr>
        <w:rFonts w:eastAsia="SimHei" w:cs="Simplified Arabic"/>
        <w:bCs/>
        <w:smallCaps/>
        <w:spacing w:val="24"/>
        <w:sz w:val="22"/>
        <w:szCs w:val="22"/>
        <w:lang w:val="es-ES_tradnl" w:eastAsia="zh-CN"/>
      </w:rPr>
    </w:pPr>
    <w:r>
      <w:tab/>
    </w:r>
    <w:r w:rsidR="006C0C9D" w:rsidRPr="006C0C9D">
      <w:rPr>
        <w:rFonts w:eastAsia="SimHei" w:cs="Simplified Arabic"/>
        <w:bCs/>
        <w:smallCaps/>
        <w:spacing w:val="24"/>
        <w:sz w:val="22"/>
        <w:szCs w:val="22"/>
        <w:lang w:val="es-ES_tradnl" w:eastAsia="zh-CN"/>
      </w:rPr>
      <w:t>ITU-D/</w:t>
    </w:r>
    <w:r w:rsidR="00423B73">
      <w:rPr>
        <w:rFonts w:eastAsia="SimHei" w:cs="Simplified Arabic"/>
        <w:bCs/>
        <w:smallCaps/>
        <w:spacing w:val="24"/>
        <w:sz w:val="22"/>
        <w:szCs w:val="22"/>
        <w:lang w:val="es-ES_tradnl" w:eastAsia="zh-CN"/>
      </w:rPr>
      <w:t>RPM-</w:t>
    </w:r>
    <w:r w:rsidR="000262BE">
      <w:rPr>
        <w:rFonts w:eastAsia="SimHei" w:cs="Simplified Arabic"/>
        <w:bCs/>
        <w:smallCaps/>
        <w:spacing w:val="24"/>
        <w:sz w:val="22"/>
        <w:szCs w:val="22"/>
        <w:lang w:val="es-ES_tradnl" w:eastAsia="zh-CN"/>
      </w:rPr>
      <w:t>AMS17</w:t>
    </w:r>
    <w:r w:rsidR="00423B73">
      <w:rPr>
        <w:rFonts w:eastAsia="SimHei" w:cs="Simplified Arabic"/>
        <w:bCs/>
        <w:smallCaps/>
        <w:spacing w:val="24"/>
        <w:sz w:val="22"/>
        <w:szCs w:val="22"/>
        <w:lang w:val="es-ES_tradnl" w:eastAsia="zh-CN"/>
      </w:rPr>
      <w:t>/11</w:t>
    </w:r>
    <w:r w:rsidRPr="007043AC">
      <w:rPr>
        <w:rFonts w:eastAsia="SimHei" w:cs="Simplified Arabic"/>
        <w:bCs/>
        <w:smallCaps/>
        <w:spacing w:val="24"/>
        <w:sz w:val="22"/>
        <w:szCs w:val="22"/>
        <w:lang w:val="es-ES_tradnl" w:eastAsia="zh-CN"/>
      </w:rPr>
      <w:t>-E</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26D99">
      <w:rPr>
        <w:rFonts w:eastAsia="SimHei" w:cs="Simplified Arabic"/>
        <w:bCs/>
        <w:smallCaps/>
        <w:noProof/>
        <w:spacing w:val="24"/>
        <w:sz w:val="22"/>
        <w:szCs w:val="22"/>
        <w:lang w:val="es-ES_tradnl" w:eastAsia="zh-CN"/>
      </w:rPr>
      <w:t>2</w:t>
    </w:r>
    <w:r w:rsidRPr="00E5018B">
      <w:rPr>
        <w:rFonts w:eastAsia="SimHei" w:cs="Simplified Arabic"/>
        <w:bCs/>
        <w:smallCaps/>
        <w:spacing w:val="24"/>
        <w:sz w:val="22"/>
        <w:szCs w:val="22"/>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FC" w:rsidRDefault="00F514FC" w:rsidP="00F514F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D4"/>
    <w:multiLevelType w:val="hybridMultilevel"/>
    <w:tmpl w:val="E0A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877415E"/>
    <w:multiLevelType w:val="hybridMultilevel"/>
    <w:tmpl w:val="EAD6C2D2"/>
    <w:lvl w:ilvl="0" w:tplc="A2AAF912">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38849B6"/>
    <w:multiLevelType w:val="hybridMultilevel"/>
    <w:tmpl w:val="F6FA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154E9"/>
    <w:multiLevelType w:val="hybridMultilevel"/>
    <w:tmpl w:val="5052E24A"/>
    <w:lvl w:ilvl="0" w:tplc="C778D298">
      <w:start w:val="1"/>
      <w:numFmt w:val="lowerLetter"/>
      <w:lvlText w:val="%1)"/>
      <w:lvlJc w:val="left"/>
      <w:pPr>
        <w:ind w:left="720" w:hanging="360"/>
      </w:pPr>
      <w:rPr>
        <w:rFonts w:ascii="Calibri" w:hAnsi="Calibr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4723"/>
    <w:multiLevelType w:val="hybridMultilevel"/>
    <w:tmpl w:val="8D6CE5CA"/>
    <w:lvl w:ilvl="0" w:tplc="07407492">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B2B2219"/>
    <w:multiLevelType w:val="hybridMultilevel"/>
    <w:tmpl w:val="221AC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7D20F53"/>
    <w:multiLevelType w:val="hybridMultilevel"/>
    <w:tmpl w:val="AE78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A5D55"/>
    <w:multiLevelType w:val="hybridMultilevel"/>
    <w:tmpl w:val="9F6EF02E"/>
    <w:lvl w:ilvl="0" w:tplc="A074EFF0">
      <w:start w:val="1"/>
      <w:numFmt w:val="lowerLetter"/>
      <w:lvlText w:val="%1)"/>
      <w:lvlJc w:val="left"/>
      <w:pPr>
        <w:ind w:left="360" w:hanging="360"/>
      </w:pPr>
      <w:rPr>
        <w:rFonts w:ascii="Calibri" w:hAnsi="Calibr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6"/>
  </w:num>
  <w:num w:numId="18">
    <w:abstractNumId w:val="12"/>
  </w:num>
  <w:num w:numId="19">
    <w:abstractNumId w:val="9"/>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AF9"/>
    <w:rsid w:val="00006ACB"/>
    <w:rsid w:val="00006BFA"/>
    <w:rsid w:val="000262BE"/>
    <w:rsid w:val="00033848"/>
    <w:rsid w:val="0003613F"/>
    <w:rsid w:val="00061896"/>
    <w:rsid w:val="00076C8B"/>
    <w:rsid w:val="000773E1"/>
    <w:rsid w:val="00080823"/>
    <w:rsid w:val="000A0AA8"/>
    <w:rsid w:val="000A110A"/>
    <w:rsid w:val="000C04F9"/>
    <w:rsid w:val="0010472A"/>
    <w:rsid w:val="0011166D"/>
    <w:rsid w:val="00146738"/>
    <w:rsid w:val="00146C99"/>
    <w:rsid w:val="001565E1"/>
    <w:rsid w:val="00170473"/>
    <w:rsid w:val="00176EE0"/>
    <w:rsid w:val="001A3258"/>
    <w:rsid w:val="001B4EBC"/>
    <w:rsid w:val="001D0718"/>
    <w:rsid w:val="001E4776"/>
    <w:rsid w:val="00207867"/>
    <w:rsid w:val="00212E39"/>
    <w:rsid w:val="00217F8C"/>
    <w:rsid w:val="00232EAC"/>
    <w:rsid w:val="00262203"/>
    <w:rsid w:val="0026266C"/>
    <w:rsid w:val="00264EFB"/>
    <w:rsid w:val="002A5CF7"/>
    <w:rsid w:val="002A75C2"/>
    <w:rsid w:val="002B073B"/>
    <w:rsid w:val="002C005C"/>
    <w:rsid w:val="002C2478"/>
    <w:rsid w:val="002D6AF9"/>
    <w:rsid w:val="002E2AB6"/>
    <w:rsid w:val="002F3699"/>
    <w:rsid w:val="002F646B"/>
    <w:rsid w:val="00311E10"/>
    <w:rsid w:val="003153C2"/>
    <w:rsid w:val="003203E5"/>
    <w:rsid w:val="003308CF"/>
    <w:rsid w:val="003875C8"/>
    <w:rsid w:val="003C5AF6"/>
    <w:rsid w:val="003F6A2D"/>
    <w:rsid w:val="00402909"/>
    <w:rsid w:val="004156C5"/>
    <w:rsid w:val="0042007D"/>
    <w:rsid w:val="00423B73"/>
    <w:rsid w:val="00485DFD"/>
    <w:rsid w:val="00486DD3"/>
    <w:rsid w:val="0048704E"/>
    <w:rsid w:val="00495198"/>
    <w:rsid w:val="00496A38"/>
    <w:rsid w:val="004A27A0"/>
    <w:rsid w:val="004A2964"/>
    <w:rsid w:val="004B61C9"/>
    <w:rsid w:val="004C0680"/>
    <w:rsid w:val="005047F0"/>
    <w:rsid w:val="00536649"/>
    <w:rsid w:val="00541688"/>
    <w:rsid w:val="0057033D"/>
    <w:rsid w:val="00584AF2"/>
    <w:rsid w:val="005B5335"/>
    <w:rsid w:val="005D6A49"/>
    <w:rsid w:val="005E66BF"/>
    <w:rsid w:val="005F6B72"/>
    <w:rsid w:val="0060145F"/>
    <w:rsid w:val="006400D1"/>
    <w:rsid w:val="00644BF4"/>
    <w:rsid w:val="00662B63"/>
    <w:rsid w:val="00663CE6"/>
    <w:rsid w:val="0067611A"/>
    <w:rsid w:val="006A004D"/>
    <w:rsid w:val="006A1A31"/>
    <w:rsid w:val="006C0C9D"/>
    <w:rsid w:val="006C6905"/>
    <w:rsid w:val="006E435D"/>
    <w:rsid w:val="006E74E8"/>
    <w:rsid w:val="00741B73"/>
    <w:rsid w:val="007431E7"/>
    <w:rsid w:val="00746226"/>
    <w:rsid w:val="00784750"/>
    <w:rsid w:val="007925FE"/>
    <w:rsid w:val="00792B0C"/>
    <w:rsid w:val="007B15D3"/>
    <w:rsid w:val="007B2262"/>
    <w:rsid w:val="007C5A9A"/>
    <w:rsid w:val="007E0678"/>
    <w:rsid w:val="007E4961"/>
    <w:rsid w:val="007E5A9E"/>
    <w:rsid w:val="008221A8"/>
    <w:rsid w:val="00844127"/>
    <w:rsid w:val="00847E3D"/>
    <w:rsid w:val="00856306"/>
    <w:rsid w:val="00895C80"/>
    <w:rsid w:val="008B0851"/>
    <w:rsid w:val="008C4A3A"/>
    <w:rsid w:val="008D4259"/>
    <w:rsid w:val="008E5FA7"/>
    <w:rsid w:val="008F74A0"/>
    <w:rsid w:val="00903BAC"/>
    <w:rsid w:val="0091488A"/>
    <w:rsid w:val="00927B08"/>
    <w:rsid w:val="0093611F"/>
    <w:rsid w:val="0094334A"/>
    <w:rsid w:val="009515E5"/>
    <w:rsid w:val="00970907"/>
    <w:rsid w:val="00976EC9"/>
    <w:rsid w:val="00977218"/>
    <w:rsid w:val="00996F1E"/>
    <w:rsid w:val="009A048E"/>
    <w:rsid w:val="009A47C4"/>
    <w:rsid w:val="009A5A93"/>
    <w:rsid w:val="009A6285"/>
    <w:rsid w:val="009B51E6"/>
    <w:rsid w:val="009E1F72"/>
    <w:rsid w:val="00A022A9"/>
    <w:rsid w:val="00A2245E"/>
    <w:rsid w:val="00A2385A"/>
    <w:rsid w:val="00A24A6F"/>
    <w:rsid w:val="00A54B72"/>
    <w:rsid w:val="00A7230F"/>
    <w:rsid w:val="00A757C9"/>
    <w:rsid w:val="00A81E20"/>
    <w:rsid w:val="00A85B85"/>
    <w:rsid w:val="00A87AC6"/>
    <w:rsid w:val="00A908C1"/>
    <w:rsid w:val="00AB63B6"/>
    <w:rsid w:val="00AE0609"/>
    <w:rsid w:val="00B543AD"/>
    <w:rsid w:val="00B828FB"/>
    <w:rsid w:val="00B9547E"/>
    <w:rsid w:val="00BB37A8"/>
    <w:rsid w:val="00BC086F"/>
    <w:rsid w:val="00BD582B"/>
    <w:rsid w:val="00BE13F4"/>
    <w:rsid w:val="00BE395F"/>
    <w:rsid w:val="00BF5A2D"/>
    <w:rsid w:val="00C278DD"/>
    <w:rsid w:val="00C441AD"/>
    <w:rsid w:val="00C51601"/>
    <w:rsid w:val="00C51637"/>
    <w:rsid w:val="00C5510F"/>
    <w:rsid w:val="00C6188C"/>
    <w:rsid w:val="00C92FC1"/>
    <w:rsid w:val="00CA5CD5"/>
    <w:rsid w:val="00CB2103"/>
    <w:rsid w:val="00CB22D3"/>
    <w:rsid w:val="00CB287E"/>
    <w:rsid w:val="00CD1CF5"/>
    <w:rsid w:val="00CD2FBB"/>
    <w:rsid w:val="00CD72B9"/>
    <w:rsid w:val="00CE51A3"/>
    <w:rsid w:val="00CF5151"/>
    <w:rsid w:val="00CF6965"/>
    <w:rsid w:val="00D313BA"/>
    <w:rsid w:val="00D33DAE"/>
    <w:rsid w:val="00D36649"/>
    <w:rsid w:val="00D506E5"/>
    <w:rsid w:val="00D67C12"/>
    <w:rsid w:val="00D812B5"/>
    <w:rsid w:val="00D82AE3"/>
    <w:rsid w:val="00D9081F"/>
    <w:rsid w:val="00DA0264"/>
    <w:rsid w:val="00DA061C"/>
    <w:rsid w:val="00DB4A89"/>
    <w:rsid w:val="00DD4B0A"/>
    <w:rsid w:val="00DD57AC"/>
    <w:rsid w:val="00E167A9"/>
    <w:rsid w:val="00E26D99"/>
    <w:rsid w:val="00E340D7"/>
    <w:rsid w:val="00E36A11"/>
    <w:rsid w:val="00E42E36"/>
    <w:rsid w:val="00E819D8"/>
    <w:rsid w:val="00E86843"/>
    <w:rsid w:val="00EB0004"/>
    <w:rsid w:val="00EC18C4"/>
    <w:rsid w:val="00EF281A"/>
    <w:rsid w:val="00F11A04"/>
    <w:rsid w:val="00F30D4A"/>
    <w:rsid w:val="00F514FC"/>
    <w:rsid w:val="00F82EF3"/>
    <w:rsid w:val="00F859FD"/>
    <w:rsid w:val="00F87C77"/>
    <w:rsid w:val="00FD3F41"/>
    <w:rsid w:val="00FE4E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075EAA7-6354-4659-9AF5-C6AFE96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6AF9"/>
    <w:rPr>
      <w:rFonts w:eastAsia="Times New Roman" w:cs="Times New Roman"/>
      <w:b/>
      <w:sz w:val="28"/>
      <w:szCs w:val="20"/>
      <w:lang w:val="en-GB"/>
    </w:rPr>
  </w:style>
  <w:style w:type="character" w:customStyle="1" w:styleId="Heading2Char">
    <w:name w:val="Heading 2 Char"/>
    <w:link w:val="Heading2"/>
    <w:rsid w:val="002D6AF9"/>
    <w:rPr>
      <w:rFonts w:eastAsia="Times New Roman" w:cs="Times New Roman"/>
      <w:b/>
      <w:sz w:val="24"/>
      <w:szCs w:val="20"/>
      <w:lang w:val="en-GB"/>
    </w:rPr>
  </w:style>
  <w:style w:type="character" w:customStyle="1" w:styleId="Heading3Char">
    <w:name w:val="Heading 3 Char"/>
    <w:link w:val="Heading3"/>
    <w:rsid w:val="002D6AF9"/>
    <w:rPr>
      <w:rFonts w:eastAsia="Times New Roman" w:cs="Times New Roman"/>
      <w:b/>
      <w:sz w:val="24"/>
      <w:szCs w:val="20"/>
      <w:lang w:val="en-GB"/>
    </w:rPr>
  </w:style>
  <w:style w:type="character" w:customStyle="1" w:styleId="Heading4Char">
    <w:name w:val="Heading 4 Char"/>
    <w:link w:val="Heading4"/>
    <w:rsid w:val="002D6AF9"/>
    <w:rPr>
      <w:rFonts w:eastAsia="Times New Roman" w:cs="Times New Roman"/>
      <w:b/>
      <w:sz w:val="24"/>
      <w:szCs w:val="20"/>
      <w:lang w:val="en-GB"/>
    </w:rPr>
  </w:style>
  <w:style w:type="character" w:customStyle="1" w:styleId="Heading5Char">
    <w:name w:val="Heading 5 Char"/>
    <w:link w:val="Heading5"/>
    <w:rsid w:val="002D6AF9"/>
    <w:rPr>
      <w:rFonts w:eastAsia="Times New Roman" w:cs="Times New Roman"/>
      <w:b/>
      <w:sz w:val="24"/>
      <w:szCs w:val="20"/>
      <w:lang w:val="en-GB"/>
    </w:rPr>
  </w:style>
  <w:style w:type="character" w:customStyle="1" w:styleId="Heading6Char">
    <w:name w:val="Heading 6 Char"/>
    <w:link w:val="Heading6"/>
    <w:rsid w:val="002D6AF9"/>
    <w:rPr>
      <w:rFonts w:eastAsia="Times New Roman" w:cs="Times New Roman"/>
      <w:b/>
      <w:sz w:val="24"/>
      <w:szCs w:val="20"/>
      <w:lang w:val="en-GB"/>
    </w:rPr>
  </w:style>
  <w:style w:type="character" w:customStyle="1" w:styleId="Heading7Char">
    <w:name w:val="Heading 7 Char"/>
    <w:link w:val="Heading7"/>
    <w:rsid w:val="002D6AF9"/>
    <w:rPr>
      <w:rFonts w:eastAsia="Times New Roman" w:cs="Times New Roman"/>
      <w:b/>
      <w:sz w:val="24"/>
      <w:szCs w:val="20"/>
      <w:lang w:val="en-GB"/>
    </w:rPr>
  </w:style>
  <w:style w:type="character" w:customStyle="1" w:styleId="Heading8Char">
    <w:name w:val="Heading 8 Char"/>
    <w:link w:val="Heading8"/>
    <w:rsid w:val="002D6AF9"/>
    <w:rPr>
      <w:rFonts w:eastAsia="Times New Roman" w:cs="Times New Roman"/>
      <w:b/>
      <w:sz w:val="24"/>
      <w:szCs w:val="20"/>
      <w:lang w:val="en-GB"/>
    </w:rPr>
  </w:style>
  <w:style w:type="character" w:customStyle="1" w:styleId="Heading9Char">
    <w:name w:val="Heading 9 Char"/>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2D6AF9"/>
    <w:rPr>
      <w:rFonts w:eastAsia="Times New Roman" w:cs="Times New Roman"/>
      <w:sz w:val="18"/>
      <w:szCs w:val="20"/>
      <w:lang w:val="fr-FR"/>
    </w:rPr>
  </w:style>
  <w:style w:type="character" w:styleId="FootnoteReference">
    <w:name w:val="footnote reference"/>
    <w:rsid w:val="002D6AF9"/>
    <w:rPr>
      <w:rFonts w:ascii="Calibri" w:hAnsi="Calibr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rsid w:val="002D6AF9"/>
    <w:rPr>
      <w:rFonts w:ascii="Calibri" w:hAnsi="Calibri"/>
      <w:b/>
    </w:rPr>
  </w:style>
  <w:style w:type="character" w:customStyle="1" w:styleId="Appref">
    <w:name w:val="App_ref"/>
    <w:rsid w:val="002D6AF9"/>
    <w:rPr>
      <w:rFonts w:ascii="Calibri" w:hAnsi="Calibr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rsid w:val="002D6AF9"/>
    <w:rPr>
      <w:rFonts w:ascii="Calibri" w:hAnsi="Calibr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rsid w:val="002D6AF9"/>
    <w:rPr>
      <w:rFonts w:ascii="Calibri" w:hAnsi="Calibr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rsid w:val="002D6AF9"/>
    <w:rPr>
      <w:rFonts w:ascii="Calibri" w:hAnsi="Calibr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2D6AF9"/>
    <w:rPr>
      <w:rFonts w:ascii="Calibri" w:hAnsi="Calibr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rsid w:val="002D6AF9"/>
    <w:rPr>
      <w:rFonts w:ascii="Calibri" w:hAnsi="Calibri"/>
    </w:rPr>
  </w:style>
  <w:style w:type="table" w:styleId="TableGrid">
    <w:name w:val="Table Grid"/>
    <w:basedOn w:val="TableNormal"/>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2D6AF9"/>
    <w:rPr>
      <w:rFonts w:cs="Times New Roman Bold"/>
      <w:b/>
      <w:caps/>
    </w:rPr>
  </w:style>
  <w:style w:type="character" w:styleId="Hyperlink">
    <w:name w:val="Hyperlink"/>
    <w:uiPriority w:val="99"/>
    <w:rsid w:val="002D6AF9"/>
    <w:rPr>
      <w:color w:val="0000FF"/>
      <w:u w:val="single"/>
    </w:rPr>
  </w:style>
  <w:style w:type="character" w:customStyle="1" w:styleId="baec5a81-e4d6-4674-97f3-e9220f0136c1">
    <w:name w:val="baec5a81-e4d6-4674-97f3-e9220f0136c1"/>
    <w:basedOn w:val="DefaultParagraphFont"/>
    <w:rsid w:val="002D6AF9"/>
  </w:style>
  <w:style w:type="character" w:styleId="Strong">
    <w:name w:val="Strong"/>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link w:val="BalloonText"/>
    <w:rsid w:val="002D6AF9"/>
    <w:rPr>
      <w:rFonts w:ascii="Tahoma" w:eastAsia="Times New Roman" w:hAnsi="Tahoma" w:cs="Tahoma"/>
      <w:sz w:val="16"/>
      <w:szCs w:val="16"/>
      <w:lang w:val="en-GB"/>
    </w:rPr>
  </w:style>
  <w:style w:type="character" w:customStyle="1" w:styleId="enumlev1Char">
    <w:name w:val="enumlev1 Char"/>
    <w:link w:val="enumlev1"/>
    <w:rsid w:val="002D6AF9"/>
    <w:rPr>
      <w:rFonts w:eastAsia="Times New Roman" w:cs="Times New Roman"/>
      <w:sz w:val="24"/>
      <w:szCs w:val="20"/>
      <w:lang w:val="en-GB"/>
    </w:rPr>
  </w:style>
  <w:style w:type="character" w:customStyle="1" w:styleId="enumlev2Char">
    <w:name w:val="enumlev2 Char"/>
    <w:link w:val="enumlev2"/>
    <w:rsid w:val="002D6AF9"/>
    <w:rPr>
      <w:rFonts w:eastAsia="Times New Roman" w:cs="Times New Roman"/>
      <w:sz w:val="24"/>
      <w:szCs w:val="20"/>
      <w:lang w:val="en-GB"/>
    </w:rPr>
  </w:style>
  <w:style w:type="character" w:customStyle="1" w:styleId="NormalaftertitleChar">
    <w:name w:val="Normal after title Char"/>
    <w:link w:val="Normalaftertitle"/>
    <w:locked/>
    <w:rsid w:val="002D6AF9"/>
    <w:rPr>
      <w:rFonts w:eastAsia="Times New Roman" w:cs="Times New Roman"/>
      <w:sz w:val="24"/>
      <w:szCs w:val="20"/>
      <w:lang w:val="en-GB"/>
    </w:rPr>
  </w:style>
  <w:style w:type="character" w:customStyle="1" w:styleId="AnnexNoChar">
    <w:name w:val="Annex_No Char"/>
    <w:link w:val="AnnexNo"/>
    <w:rsid w:val="002D6AF9"/>
    <w:rPr>
      <w:rFonts w:eastAsia="Times New Roman" w:cs="Times New Roman"/>
      <w:caps/>
      <w:sz w:val="28"/>
      <w:szCs w:val="20"/>
      <w:lang w:val="en-GB"/>
    </w:rPr>
  </w:style>
  <w:style w:type="character" w:customStyle="1" w:styleId="CallChar">
    <w:name w:val="Call Char"/>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link w:val="Restitle"/>
    <w:rsid w:val="002D6AF9"/>
    <w:rPr>
      <w:rFonts w:eastAsia="Times New Roman" w:cs="Times New Roman"/>
      <w:b/>
      <w:sz w:val="28"/>
      <w:szCs w:val="20"/>
      <w:lang w:val="en-GB"/>
    </w:rPr>
  </w:style>
  <w:style w:type="character" w:customStyle="1" w:styleId="ResNoChar">
    <w:name w:val="Res_No Char"/>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link w:val="Date"/>
    <w:rsid w:val="002D6AF9"/>
    <w:rPr>
      <w:rFonts w:eastAsia="Times New Roman" w:cs="Times New Roman"/>
      <w:sz w:val="20"/>
      <w:szCs w:val="20"/>
      <w:lang w:val="en-GB"/>
    </w:rPr>
  </w:style>
  <w:style w:type="character" w:styleId="FollowedHyperlink">
    <w:name w:val="FollowedHyperlink"/>
    <w:aliases w:val="CEO_FollowedHyperlink"/>
    <w:uiPriority w:val="99"/>
    <w:rsid w:val="002D6AF9"/>
    <w:rPr>
      <w:color w:val="800080"/>
      <w:u w:val="single"/>
    </w:rPr>
  </w:style>
  <w:style w:type="character" w:customStyle="1" w:styleId="href">
    <w:name w:val="href"/>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line="360" w:lineRule="atLeast"/>
      <w:jc w:val="both"/>
      <w:textAlignment w:val="baseline"/>
    </w:pPr>
    <w:rPr>
      <w:rFonts w:eastAsia="Batang"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link w:val="DocumentMap"/>
    <w:rsid w:val="002D6AF9"/>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2F646B"/>
    <w:pPr>
      <w:widowControl w:val="0"/>
      <w:ind w:left="720"/>
      <w:contextualSpacing/>
      <w:jc w:val="both"/>
    </w:pPr>
  </w:style>
  <w:style w:type="character" w:customStyle="1" w:styleId="ListParagraphChar">
    <w:name w:val="List Paragraph Char"/>
    <w:link w:val="ListParagraph"/>
    <w:uiPriority w:val="34"/>
    <w:rsid w:val="002F646B"/>
    <w:rPr>
      <w:rFonts w:eastAsia="Times New Roman" w:cs="Times New Roman"/>
      <w:sz w:val="24"/>
      <w:szCs w:val="20"/>
      <w:lang w:val="en-GB"/>
    </w:rPr>
  </w:style>
  <w:style w:type="character" w:styleId="CommentReference">
    <w:name w:val="annotation reference"/>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link w:val="CommentText"/>
    <w:uiPriority w:val="99"/>
    <w:rsid w:val="002D6AF9"/>
    <w:rPr>
      <w:rFonts w:eastAsia="Times New Roman" w:cs="Times New Roman"/>
      <w:sz w:val="20"/>
      <w:szCs w:val="20"/>
      <w:lang w:val="en-GB"/>
    </w:rPr>
  </w:style>
  <w:style w:type="character" w:styleId="PlaceholderText">
    <w:name w:val="Placeholder Tex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SimSun"/>
      <w:sz w:val="20"/>
      <w:szCs w:val="24"/>
      <w:lang w:val="en-US" w:eastAsia="ja-JP"/>
    </w:rPr>
  </w:style>
  <w:style w:type="character" w:customStyle="1" w:styleId="Titre3">
    <w:name w:val="Titre3"/>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SimSun"/>
      <w:sz w:val="20"/>
      <w:szCs w:val="24"/>
      <w:lang w:val="en-US" w:eastAsia="ja-JP"/>
    </w:rPr>
  </w:style>
  <w:style w:type="character" w:customStyle="1" w:styleId="ReferencePeriodical">
    <w:name w:val="ReferencePeriodical"/>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SimSun"/>
      <w:sz w:val="22"/>
      <w:szCs w:val="24"/>
      <w:lang w:val="en-US" w:eastAsia="ja-JP"/>
    </w:rPr>
  </w:style>
  <w:style w:type="paragraph" w:styleId="Title">
    <w:name w:val="Title"/>
    <w:basedOn w:val="Normal"/>
    <w:next w:val="Normal"/>
    <w:link w:val="TitleChar"/>
    <w:uiPriority w:val="10"/>
    <w:qFormat/>
    <w:rsid w:val="002D6AF9"/>
    <w:pPr>
      <w:pBdr>
        <w:bottom w:val="single" w:sz="8" w:space="4" w:color="4F81BD"/>
      </w:pBdr>
      <w:overflowPunct/>
      <w:autoSpaceDE/>
      <w:autoSpaceDN/>
      <w:adjustRightInd/>
      <w:spacing w:after="300"/>
      <w:contextualSpacing/>
      <w:jc w:val="both"/>
      <w:textAlignment w:val="auto"/>
    </w:pPr>
    <w:rPr>
      <w:rFonts w:ascii="Cambria" w:eastAsia="SimSun" w:hAnsi="Cambria"/>
      <w:color w:val="17365D"/>
      <w:spacing w:val="5"/>
      <w:kern w:val="28"/>
      <w:sz w:val="52"/>
      <w:szCs w:val="52"/>
      <w:lang w:val="en-US" w:eastAsia="ja-JP"/>
    </w:rPr>
  </w:style>
  <w:style w:type="character" w:customStyle="1" w:styleId="TitleChar">
    <w:name w:val="Title Char"/>
    <w:link w:val="Title"/>
    <w:uiPriority w:val="10"/>
    <w:rsid w:val="002D6AF9"/>
    <w:rPr>
      <w:rFonts w:ascii="Cambria" w:eastAsia="SimSun" w:hAnsi="Cambria" w:cs="Times New Roman"/>
      <w:color w:val="17365D"/>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SimSun"/>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sz w:val="28"/>
      <w:szCs w:val="26"/>
      <w:lang w:eastAsia="ja-JP"/>
    </w:rPr>
  </w:style>
  <w:style w:type="character" w:customStyle="1" w:styleId="RefDocCar">
    <w:name w:val="RefDoc Car"/>
    <w:link w:val="RefDoc"/>
    <w:rsid w:val="002D6AF9"/>
    <w:rPr>
      <w:rFonts w:eastAsia="Times New Roman" w:cs="Times New Roman"/>
      <w:b/>
      <w:bCs/>
      <w:color w:val="9BBB59"/>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rPr>
      <w:rFonts w:eastAsia="SimSun"/>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pPr>
    <w:rPr>
      <w:rFonts w:ascii="Verdana" w:eastAsia="SimSun" w:hAnsi="Verdana" w:cs="Times New Roman"/>
      <w:sz w:val="19"/>
      <w:szCs w:val="19"/>
      <w:lang w:val="en-GB" w:eastAsia="en-US"/>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rPr>
      <w:rFonts w:ascii="CG Times" w:eastAsia="Times New Roman" w:hAnsi="CG Time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rPr>
      <w:rFonts w:eastAsia="SimSun"/>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SimSun"/>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ind w:left="6379"/>
      <w:jc w:val="center"/>
    </w:pPr>
    <w:rPr>
      <w:rFonts w:ascii="Times New Roman" w:eastAsia="Times New Roman" w:hAnsi="Times New Roman" w:cs="Times New Roman"/>
      <w:sz w:val="24"/>
      <w:lang w:val="en-GB" w:eastAsia="en-US"/>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Calibri" w:cs="Arial"/>
      <w:sz w:val="22"/>
      <w:szCs w:val="22"/>
      <w:lang w:val="en-US"/>
    </w:rPr>
  </w:style>
  <w:style w:type="table" w:styleId="LightShading">
    <w:name w:val="Light Shading"/>
    <w:basedOn w:val="TableNormal"/>
    <w:uiPriority w:val="60"/>
    <w:rsid w:val="00CB287E"/>
    <w:rPr>
      <w:rFonts w:eastAsia="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13670">
      <w:bodyDiv w:val="1"/>
      <w:marLeft w:val="0"/>
      <w:marRight w:val="0"/>
      <w:marTop w:val="0"/>
      <w:marBottom w:val="0"/>
      <w:divBdr>
        <w:top w:val="none" w:sz="0" w:space="0" w:color="auto"/>
        <w:left w:val="none" w:sz="0" w:space="0" w:color="auto"/>
        <w:bottom w:val="none" w:sz="0" w:space="0" w:color="auto"/>
        <w:right w:val="none" w:sz="0" w:space="0" w:color="auto"/>
      </w:divBdr>
    </w:div>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4-TDAG21.CG.SRES-C-0008/en" TargetMode="External"/><Relationship Id="rId18" Type="http://schemas.openxmlformats.org/officeDocument/2006/relationships/hyperlink" Target="https://www.itu.int/en/ITU-D/EWM/Pages/ewm.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D14-TDAG21.CG.SRES-C-0007/en" TargetMode="External"/><Relationship Id="rId17" Type="http://schemas.openxmlformats.org/officeDocument/2006/relationships/hyperlink" Target="mailto:tdag-cg-sres@lists.itu.int" TargetMode="External"/><Relationship Id="rId2" Type="http://schemas.openxmlformats.org/officeDocument/2006/relationships/numbering" Target="numbering.xml"/><Relationship Id="rId16" Type="http://schemas.openxmlformats.org/officeDocument/2006/relationships/hyperlink" Target="https://www.itu.int/md/D14-TDAG21.CG.SRES-C-000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0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TDAG21.CG.SRES-C-0010/en" TargetMode="External"/><Relationship Id="rId23" Type="http://schemas.openxmlformats.org/officeDocument/2006/relationships/fontTable" Target="fontTable.xml"/><Relationship Id="rId10" Type="http://schemas.openxmlformats.org/officeDocument/2006/relationships/hyperlink" Target="https://www.itu.int/md/D14-TDAG21.CG.SRES-C-0003/en" TargetMode="External"/><Relationship Id="rId19" Type="http://schemas.openxmlformats.org/officeDocument/2006/relationships/hyperlink" Target="https://www.itu.int/md/D14-TDAG21.CG.SRES-C-0008/en" TargetMode="External"/><Relationship Id="rId4" Type="http://schemas.openxmlformats.org/officeDocument/2006/relationships/settings" Target="settings.xml"/><Relationship Id="rId9" Type="http://schemas.openxmlformats.org/officeDocument/2006/relationships/hyperlink" Target="https://www.itu.int/md/D14-TDAG21.CG.SRES-C-0004/" TargetMode="External"/><Relationship Id="rId14" Type="http://schemas.openxmlformats.org/officeDocument/2006/relationships/hyperlink" Target="https://www.itu.int/md/D14-TDAG21.CG.SRES-C-0009/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3379-700E-41DE-AA63-ECC1369B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15270</CharactersWithSpaces>
  <SharedDoc>false</SharedDoc>
  <HLinks>
    <vt:vector size="72" baseType="variant">
      <vt:variant>
        <vt:i4>7471149</vt:i4>
      </vt:variant>
      <vt:variant>
        <vt:i4>30</vt:i4>
      </vt:variant>
      <vt:variant>
        <vt:i4>0</vt:i4>
      </vt:variant>
      <vt:variant>
        <vt:i4>5</vt:i4>
      </vt:variant>
      <vt:variant>
        <vt:lpwstr>https://www.itu.int/md/D14-TDAG21.CG.SRES-C-0008/en</vt:lpwstr>
      </vt:variant>
      <vt:variant>
        <vt:lpwstr/>
      </vt:variant>
      <vt:variant>
        <vt:i4>3145764</vt:i4>
      </vt:variant>
      <vt:variant>
        <vt:i4>27</vt:i4>
      </vt:variant>
      <vt:variant>
        <vt:i4>0</vt:i4>
      </vt:variant>
      <vt:variant>
        <vt:i4>5</vt:i4>
      </vt:variant>
      <vt:variant>
        <vt:lpwstr>https://www.itu.int/en/ITU-D/EWM/Pages/ewm.aspx</vt:lpwstr>
      </vt:variant>
      <vt:variant>
        <vt:lpwstr/>
      </vt:variant>
      <vt:variant>
        <vt:i4>7077919</vt:i4>
      </vt:variant>
      <vt:variant>
        <vt:i4>24</vt:i4>
      </vt:variant>
      <vt:variant>
        <vt:i4>0</vt:i4>
      </vt:variant>
      <vt:variant>
        <vt:i4>5</vt:i4>
      </vt:variant>
      <vt:variant>
        <vt:lpwstr>mailto:tdag-cg-sres@lists.itu.int</vt:lpwstr>
      </vt:variant>
      <vt:variant>
        <vt:lpwstr/>
      </vt:variant>
      <vt:variant>
        <vt:i4>8126509</vt:i4>
      </vt:variant>
      <vt:variant>
        <vt:i4>21</vt:i4>
      </vt:variant>
      <vt:variant>
        <vt:i4>0</vt:i4>
      </vt:variant>
      <vt:variant>
        <vt:i4>5</vt:i4>
      </vt:variant>
      <vt:variant>
        <vt:lpwstr>https://www.itu.int/md/D14-TDAG21.CG.SRES-C-0006/en</vt:lpwstr>
      </vt:variant>
      <vt:variant>
        <vt:lpwstr/>
      </vt:variant>
      <vt:variant>
        <vt:i4>7995436</vt:i4>
      </vt:variant>
      <vt:variant>
        <vt:i4>18</vt:i4>
      </vt:variant>
      <vt:variant>
        <vt:i4>0</vt:i4>
      </vt:variant>
      <vt:variant>
        <vt:i4>5</vt:i4>
      </vt:variant>
      <vt:variant>
        <vt:lpwstr>https://www.itu.int/md/D14-TDAG21.CG.SRES-C-0010/en</vt:lpwstr>
      </vt:variant>
      <vt:variant>
        <vt:lpwstr/>
      </vt:variant>
      <vt:variant>
        <vt:i4>7536685</vt:i4>
      </vt:variant>
      <vt:variant>
        <vt:i4>15</vt:i4>
      </vt:variant>
      <vt:variant>
        <vt:i4>0</vt:i4>
      </vt:variant>
      <vt:variant>
        <vt:i4>5</vt:i4>
      </vt:variant>
      <vt:variant>
        <vt:lpwstr>https://www.itu.int/md/D14-TDAG21.CG.SRES-C-0009/en</vt:lpwstr>
      </vt:variant>
      <vt:variant>
        <vt:lpwstr/>
      </vt:variant>
      <vt:variant>
        <vt:i4>7471149</vt:i4>
      </vt:variant>
      <vt:variant>
        <vt:i4>12</vt:i4>
      </vt:variant>
      <vt:variant>
        <vt:i4>0</vt:i4>
      </vt:variant>
      <vt:variant>
        <vt:i4>5</vt:i4>
      </vt:variant>
      <vt:variant>
        <vt:lpwstr>https://www.itu.int/md/D14-TDAG21.CG.SRES-C-0008/en</vt:lpwstr>
      </vt:variant>
      <vt:variant>
        <vt:lpwstr/>
      </vt:variant>
      <vt:variant>
        <vt:i4>8192045</vt:i4>
      </vt:variant>
      <vt:variant>
        <vt:i4>9</vt:i4>
      </vt:variant>
      <vt:variant>
        <vt:i4>0</vt:i4>
      </vt:variant>
      <vt:variant>
        <vt:i4>5</vt:i4>
      </vt:variant>
      <vt:variant>
        <vt:lpwstr>https://www.itu.int/md/D14-TDAG21.CG.SRES-C-0007/en</vt:lpwstr>
      </vt:variant>
      <vt:variant>
        <vt:lpwstr/>
      </vt:variant>
      <vt:variant>
        <vt:i4>8323117</vt:i4>
      </vt:variant>
      <vt:variant>
        <vt:i4>6</vt:i4>
      </vt:variant>
      <vt:variant>
        <vt:i4>0</vt:i4>
      </vt:variant>
      <vt:variant>
        <vt:i4>5</vt:i4>
      </vt:variant>
      <vt:variant>
        <vt:lpwstr>https://www.itu.int/md/D14-TDAG21.CG.SRES-C-0005/en</vt:lpwstr>
      </vt:variant>
      <vt:variant>
        <vt:lpwstr/>
      </vt:variant>
      <vt:variant>
        <vt:i4>7929901</vt:i4>
      </vt:variant>
      <vt:variant>
        <vt:i4>3</vt:i4>
      </vt:variant>
      <vt:variant>
        <vt:i4>0</vt:i4>
      </vt:variant>
      <vt:variant>
        <vt:i4>5</vt:i4>
      </vt:variant>
      <vt:variant>
        <vt:lpwstr>https://www.itu.int/md/D14-TDAG21.CG.SRES-C-0003/en</vt:lpwstr>
      </vt:variant>
      <vt:variant>
        <vt:lpwstr/>
      </vt:variant>
      <vt:variant>
        <vt:i4>1769474</vt:i4>
      </vt:variant>
      <vt:variant>
        <vt:i4>0</vt:i4>
      </vt:variant>
      <vt:variant>
        <vt:i4>0</vt:i4>
      </vt:variant>
      <vt:variant>
        <vt:i4>5</vt:i4>
      </vt:variant>
      <vt:variant>
        <vt:lpwstr>https://www.itu.int/md/D14-TDAG21.CG.SRES-C-0004/</vt:lpwstr>
      </vt:variant>
      <vt:variant>
        <vt:lpwstr/>
      </vt:variant>
      <vt:variant>
        <vt:i4>262231</vt:i4>
      </vt:variant>
      <vt:variant>
        <vt:i4>3</vt:i4>
      </vt:variant>
      <vt:variant>
        <vt:i4>0</vt:i4>
      </vt:variant>
      <vt:variant>
        <vt:i4>5</vt:i4>
      </vt:variant>
      <vt:variant>
        <vt:lpwstr>https://www.itu.int/en/ITU-D/Conferences/TDAG/Pages/default.aspx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Brigitte</dc:creator>
  <cp:keywords/>
  <cp:lastModifiedBy>Dion, Brigitte</cp:lastModifiedBy>
  <cp:revision>4</cp:revision>
  <cp:lastPrinted>2016-10-21T12:56:00Z</cp:lastPrinted>
  <dcterms:created xsi:type="dcterms:W3CDTF">2016-12-14T12:25:00Z</dcterms:created>
  <dcterms:modified xsi:type="dcterms:W3CDTF">2016-12-16T11:25:00Z</dcterms:modified>
</cp:coreProperties>
</file>