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13"/>
        <w:gridCol w:w="33"/>
        <w:gridCol w:w="3573"/>
        <w:gridCol w:w="121"/>
        <w:gridCol w:w="283"/>
        <w:gridCol w:w="4416"/>
        <w:gridCol w:w="250"/>
      </w:tblGrid>
      <w:tr w:rsidR="004767BA" w:rsidTr="008A1D68">
        <w:trPr>
          <w:gridAfter w:val="1"/>
          <w:wAfter w:w="250" w:type="dxa"/>
          <w:jc w:val="center"/>
        </w:trPr>
        <w:tc>
          <w:tcPr>
            <w:tcW w:w="4819" w:type="dxa"/>
            <w:gridSpan w:val="3"/>
            <w:tcMar>
              <w:top w:w="142" w:type="dxa"/>
              <w:bottom w:w="142" w:type="dxa"/>
            </w:tcMar>
          </w:tcPr>
          <w:p w:rsidR="004767BA" w:rsidRDefault="004767BA" w:rsidP="004767BA">
            <w:pPr>
              <w:pStyle w:val="BDTLogo"/>
              <w:jc w:val="left"/>
              <w:rPr>
                <w:noProof/>
                <w:lang w:eastAsia="fr-CH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48C3040B" wp14:editId="7C7EEF56">
                  <wp:extent cx="537411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:rsidR="004767BA" w:rsidRDefault="004767BA" w:rsidP="004767BA">
            <w:pPr>
              <w:pStyle w:val="BDTLogo"/>
              <w:jc w:val="right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CB0B22D" wp14:editId="11B02C9C">
                  <wp:extent cx="111760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logo-Blue0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9639" w:type="dxa"/>
            <w:gridSpan w:val="6"/>
          </w:tcPr>
          <w:p w:rsidR="002422DE" w:rsidRDefault="002422DE">
            <w:pPr>
              <w:spacing w:before="120" w:after="120"/>
              <w:rPr>
                <w:rStyle w:val="BDTName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Style w:val="BDTName"/>
              </w:rPr>
              <w:t xml:space="preserve">Oficina de Desarrollo </w:t>
            </w:r>
            <w:r>
              <w:rPr>
                <w:rStyle w:val="BDTName"/>
              </w:rPr>
              <w:br/>
              <w:t>de las Telecomunicaciones (BDT)</w:t>
            </w: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9639" w:type="dxa"/>
            <w:gridSpan w:val="6"/>
          </w:tcPr>
          <w:p w:rsidR="002422DE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Tr="008A1D68">
        <w:trPr>
          <w:gridAfter w:val="1"/>
          <w:wAfter w:w="250" w:type="dxa"/>
          <w:jc w:val="center"/>
        </w:trPr>
        <w:tc>
          <w:tcPr>
            <w:tcW w:w="1213" w:type="dxa"/>
          </w:tcPr>
          <w:p w:rsidR="002422DE" w:rsidRDefault="002422DE" w:rsidP="008A1D68">
            <w:pPr>
              <w:pStyle w:val="BDTRef"/>
              <w:spacing w:before="0" w:after="0"/>
            </w:pPr>
            <w:r>
              <w:t>Ref.</w:t>
            </w:r>
          </w:p>
        </w:tc>
        <w:tc>
          <w:tcPr>
            <w:tcW w:w="4010" w:type="dxa"/>
            <w:gridSpan w:val="4"/>
          </w:tcPr>
          <w:p w:rsidR="002422DE" w:rsidRDefault="005A4F1E" w:rsidP="008A1D68">
            <w:pPr>
              <w:pStyle w:val="BDTRef-Details"/>
              <w:spacing w:before="0" w:after="0"/>
            </w:pPr>
            <w:r w:rsidRPr="00532B98">
              <w:rPr>
                <w:szCs w:val="22"/>
                <w:lang w:val="es-ES"/>
              </w:rPr>
              <w:t>Circular BDT/IP/CSTG</w:t>
            </w:r>
            <w:r>
              <w:rPr>
                <w:szCs w:val="22"/>
                <w:lang w:val="es-ES"/>
              </w:rPr>
              <w:t>-4</w:t>
            </w:r>
          </w:p>
        </w:tc>
        <w:tc>
          <w:tcPr>
            <w:tcW w:w="4416" w:type="dxa"/>
          </w:tcPr>
          <w:p w:rsidR="002422DE" w:rsidRDefault="005A4F1E" w:rsidP="008A1D68">
            <w:pPr>
              <w:pStyle w:val="BDTDate"/>
              <w:spacing w:before="0" w:after="0"/>
              <w:rPr>
                <w:lang w:val="en-GB"/>
              </w:rPr>
            </w:pPr>
            <w:r w:rsidRPr="00532B98">
              <w:rPr>
                <w:szCs w:val="22"/>
                <w:lang w:val="es-ES"/>
              </w:rPr>
              <w:t>Ginebra, 2</w:t>
            </w:r>
            <w:r>
              <w:rPr>
                <w:szCs w:val="22"/>
                <w:lang w:val="es-ES"/>
              </w:rPr>
              <w:t>6</w:t>
            </w:r>
            <w:r w:rsidRPr="00532B98">
              <w:rPr>
                <w:szCs w:val="22"/>
                <w:lang w:val="es-ES"/>
              </w:rPr>
              <w:t xml:space="preserve"> de </w:t>
            </w:r>
            <w:r>
              <w:rPr>
                <w:szCs w:val="22"/>
                <w:lang w:val="es-ES"/>
              </w:rPr>
              <w:t>marzo</w:t>
            </w:r>
            <w:r w:rsidRPr="00532B98">
              <w:rPr>
                <w:szCs w:val="22"/>
                <w:lang w:val="es-ES"/>
              </w:rPr>
              <w:t xml:space="preserve"> de 201</w:t>
            </w:r>
            <w:r>
              <w:rPr>
                <w:szCs w:val="22"/>
                <w:lang w:val="es-ES"/>
              </w:rPr>
              <w:t>5</w:t>
            </w:r>
          </w:p>
        </w:tc>
      </w:tr>
      <w:tr w:rsidR="002422DE" w:rsidTr="008A1D68">
        <w:trPr>
          <w:gridAfter w:val="1"/>
          <w:wAfter w:w="250" w:type="dxa"/>
          <w:jc w:val="center"/>
        </w:trPr>
        <w:tc>
          <w:tcPr>
            <w:tcW w:w="5223" w:type="dxa"/>
            <w:gridSpan w:val="5"/>
          </w:tcPr>
          <w:p w:rsidR="002422DE" w:rsidRDefault="002422DE">
            <w:pPr>
              <w:pStyle w:val="BDTSeparator"/>
            </w:pPr>
          </w:p>
        </w:tc>
        <w:tc>
          <w:tcPr>
            <w:tcW w:w="4416" w:type="dxa"/>
          </w:tcPr>
          <w:p w:rsidR="002422DE" w:rsidRDefault="002422DE">
            <w:pPr>
              <w:pStyle w:val="BDTSeparator"/>
            </w:pPr>
          </w:p>
        </w:tc>
      </w:tr>
      <w:tr w:rsidR="005A4F1E" w:rsidRPr="00A12636" w:rsidTr="008A1D68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5A4F1E" w:rsidRDefault="005A4F1E" w:rsidP="005A4F1E">
            <w:pPr>
              <w:pStyle w:val="BDTContact"/>
            </w:pPr>
          </w:p>
        </w:tc>
        <w:tc>
          <w:tcPr>
            <w:tcW w:w="3694" w:type="dxa"/>
            <w:gridSpan w:val="2"/>
          </w:tcPr>
          <w:p w:rsidR="005A4F1E" w:rsidRDefault="005A4F1E" w:rsidP="005A4F1E">
            <w:pPr>
              <w:pStyle w:val="BDTContact-Details"/>
              <w:rPr>
                <w:lang w:val="es-ES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:rsidR="005A4F1E" w:rsidRDefault="005A4F1E" w:rsidP="005A4F1E">
            <w:pPr>
              <w:rPr>
                <w:lang w:val="es-ES"/>
              </w:rPr>
            </w:pPr>
          </w:p>
        </w:tc>
        <w:tc>
          <w:tcPr>
            <w:tcW w:w="4416" w:type="dxa"/>
            <w:vMerge w:val="restart"/>
          </w:tcPr>
          <w:p w:rsidR="005A4F1E" w:rsidRPr="00532B98" w:rsidRDefault="005A4F1E" w:rsidP="005A4F1E">
            <w:pPr>
              <w:pStyle w:val="BDTContact-Details"/>
              <w:numPr>
                <w:ilvl w:val="0"/>
                <w:numId w:val="22"/>
              </w:numPr>
              <w:spacing w:before="0" w:after="0"/>
              <w:ind w:left="357" w:hanging="357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>Administraciones de los Estados Miembros de la UIT</w:t>
            </w:r>
          </w:p>
          <w:p w:rsidR="005A4F1E" w:rsidRPr="00532B98" w:rsidRDefault="005A4F1E" w:rsidP="005A4F1E">
            <w:pPr>
              <w:pStyle w:val="BDTDistributionEmdash"/>
              <w:numPr>
                <w:ilvl w:val="0"/>
                <w:numId w:val="22"/>
              </w:numPr>
              <w:spacing w:before="0" w:after="0"/>
              <w:ind w:left="357" w:hanging="357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>Observador (Resolución 99)</w:t>
            </w:r>
          </w:p>
          <w:p w:rsidR="005A4F1E" w:rsidRPr="00532B98" w:rsidRDefault="005A4F1E" w:rsidP="005A4F1E">
            <w:pPr>
              <w:pStyle w:val="BDTContact-Details"/>
              <w:numPr>
                <w:ilvl w:val="0"/>
                <w:numId w:val="22"/>
              </w:numPr>
              <w:spacing w:before="0" w:after="0"/>
              <w:ind w:left="357" w:hanging="357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>Miembros de Sector, Asociados e Instituciones Académicas del UIT-D</w:t>
            </w:r>
          </w:p>
          <w:p w:rsidR="005A4F1E" w:rsidRPr="00532B98" w:rsidRDefault="005A4F1E" w:rsidP="005A4F1E">
            <w:pPr>
              <w:pStyle w:val="BDTindentendash"/>
              <w:numPr>
                <w:ilvl w:val="0"/>
                <w:numId w:val="22"/>
              </w:numPr>
              <w:spacing w:before="0" w:after="0"/>
              <w:ind w:left="357" w:hanging="357"/>
              <w:rPr>
                <w:szCs w:val="22"/>
                <w:lang w:val="es-ES"/>
              </w:rPr>
            </w:pP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>Observadores (</w:t>
            </w:r>
            <w:r w:rsidR="003C4EA4" w:rsidRPr="00532B98">
              <w:rPr>
                <w:rFonts w:asciiTheme="minorHAnsi" w:hAnsiTheme="minorHAnsi" w:cstheme="minorHAnsi"/>
                <w:szCs w:val="22"/>
                <w:lang w:val="es-ES_tradnl"/>
              </w:rPr>
              <w:t xml:space="preserve">Organizaciones Regionales </w:t>
            </w: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 xml:space="preserve">e </w:t>
            </w:r>
            <w:r w:rsidR="003C4EA4" w:rsidRPr="00532B98">
              <w:rPr>
                <w:rFonts w:asciiTheme="minorHAnsi" w:hAnsiTheme="minorHAnsi" w:cstheme="minorHAnsi"/>
                <w:szCs w:val="22"/>
                <w:lang w:val="es-ES_tradnl"/>
              </w:rPr>
              <w:t>Internacionales</w:t>
            </w:r>
            <w:r w:rsidRPr="00532B98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5A4F1E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  <w:gridSpan w:val="2"/>
          </w:tcPr>
          <w:p w:rsidR="002422DE" w:rsidRPr="005A4F1E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:rsidR="002422DE" w:rsidRPr="005A4F1E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2422DE" w:rsidRPr="005A4F1E" w:rsidRDefault="002422DE">
            <w:pPr>
              <w:rPr>
                <w:lang w:val="es-ES_tradnl"/>
              </w:rPr>
            </w:pP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5A4F1E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  <w:gridSpan w:val="2"/>
          </w:tcPr>
          <w:p w:rsidR="002422DE" w:rsidRPr="005A4F1E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:rsidR="002422DE" w:rsidRPr="005A4F1E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2422DE" w:rsidRPr="005A4F1E" w:rsidRDefault="002422DE">
            <w:pPr>
              <w:rPr>
                <w:lang w:val="es-ES_tradnl"/>
              </w:rPr>
            </w:pP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5A4F1E" w:rsidRDefault="002422DE">
            <w:pPr>
              <w:pStyle w:val="BDTContact"/>
              <w:rPr>
                <w:lang w:val="es-ES_tradnl"/>
              </w:rPr>
            </w:pPr>
          </w:p>
        </w:tc>
        <w:tc>
          <w:tcPr>
            <w:tcW w:w="3694" w:type="dxa"/>
            <w:gridSpan w:val="2"/>
          </w:tcPr>
          <w:p w:rsidR="002422DE" w:rsidRPr="005A4F1E" w:rsidRDefault="002422DE">
            <w:pPr>
              <w:pStyle w:val="BDTContact-Details"/>
              <w:rPr>
                <w:lang w:val="es-ES_tradnl"/>
              </w:rPr>
            </w:pPr>
          </w:p>
        </w:tc>
        <w:tc>
          <w:tcPr>
            <w:tcW w:w="283" w:type="dxa"/>
          </w:tcPr>
          <w:p w:rsidR="002422DE" w:rsidRPr="005A4F1E" w:rsidRDefault="002422DE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2422DE" w:rsidRPr="005A4F1E" w:rsidRDefault="002422DE">
            <w:pPr>
              <w:rPr>
                <w:lang w:val="es-ES_tradnl"/>
              </w:rPr>
            </w:pPr>
          </w:p>
        </w:tc>
      </w:tr>
      <w:tr w:rsidR="006B4161" w:rsidRPr="00A12636" w:rsidTr="008A1D68">
        <w:trPr>
          <w:gridAfter w:val="1"/>
          <w:wAfter w:w="250" w:type="dxa"/>
          <w:jc w:val="center"/>
        </w:trPr>
        <w:tc>
          <w:tcPr>
            <w:tcW w:w="9639" w:type="dxa"/>
            <w:gridSpan w:val="6"/>
          </w:tcPr>
          <w:p w:rsidR="006B4161" w:rsidRPr="005A4F1E" w:rsidRDefault="006B4161">
            <w:pPr>
              <w:pStyle w:val="BDTSeparator"/>
              <w:rPr>
                <w:lang w:val="es-ES_tradnl"/>
              </w:rPr>
            </w:pPr>
          </w:p>
        </w:tc>
      </w:tr>
      <w:tr w:rsidR="002422DE" w:rsidRPr="00A12636" w:rsidTr="008A1D68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Default="002422DE" w:rsidP="008A1D68">
            <w:pPr>
              <w:pStyle w:val="BDTSubject"/>
              <w:spacing w:after="0"/>
            </w:pPr>
            <w:proofErr w:type="spellStart"/>
            <w:r>
              <w:t>Objeto</w:t>
            </w:r>
            <w:proofErr w:type="spellEnd"/>
            <w:r>
              <w:t>:</w:t>
            </w:r>
          </w:p>
        </w:tc>
        <w:tc>
          <w:tcPr>
            <w:tcW w:w="8393" w:type="dxa"/>
            <w:gridSpan w:val="4"/>
          </w:tcPr>
          <w:p w:rsidR="002422DE" w:rsidRDefault="005A4F1E" w:rsidP="008A1D68">
            <w:pPr>
              <w:pStyle w:val="BDTSubjectDetails"/>
              <w:spacing w:before="0" w:after="0"/>
              <w:rPr>
                <w:lang w:val="es-ES"/>
              </w:rPr>
            </w:pPr>
            <w:bookmarkStart w:id="3" w:name="Subject"/>
            <w:bookmarkEnd w:id="3"/>
            <w:r w:rsidRPr="00532B98">
              <w:rPr>
                <w:rFonts w:cs="Calibri"/>
                <w:b/>
                <w:bCs/>
                <w:szCs w:val="22"/>
                <w:lang w:val="es-ES_tradnl"/>
              </w:rPr>
              <w:t xml:space="preserve">Solicitud de expertos de país que proporcionen estudios de casos, enseñanzas extraídas y prácticas idóneas sobre </w:t>
            </w:r>
            <w:proofErr w:type="spellStart"/>
            <w:r w:rsidRPr="00532B98">
              <w:rPr>
                <w:rFonts w:cs="Calibri"/>
                <w:b/>
                <w:bCs/>
                <w:szCs w:val="22"/>
                <w:lang w:val="es-ES_tradnl"/>
              </w:rPr>
              <w:t>cibersalud</w:t>
            </w:r>
            <w:proofErr w:type="spellEnd"/>
          </w:p>
        </w:tc>
      </w:tr>
      <w:tr w:rsidR="002422DE" w:rsidRPr="008A1D68" w:rsidTr="008A1D68">
        <w:trPr>
          <w:gridAfter w:val="1"/>
          <w:wAfter w:w="250" w:type="dxa"/>
          <w:jc w:val="center"/>
        </w:trPr>
        <w:tc>
          <w:tcPr>
            <w:tcW w:w="9639" w:type="dxa"/>
            <w:gridSpan w:val="6"/>
          </w:tcPr>
          <w:p w:rsidR="005A4F1E" w:rsidRPr="008A1D68" w:rsidRDefault="005A4F1E" w:rsidP="008A1D68">
            <w:pPr>
              <w:pStyle w:val="CEONormal"/>
              <w:spacing w:before="160"/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8A1D68"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  <w:t>Muy Señora mía/Muy Señor mío:</w:t>
            </w:r>
          </w:p>
          <w:p w:rsidR="005A4F1E" w:rsidRPr="008A1D68" w:rsidRDefault="005A4F1E" w:rsidP="008A1D68">
            <w:pPr>
              <w:pStyle w:val="BDTOpening"/>
              <w:spacing w:before="60" w:after="0"/>
              <w:rPr>
                <w:rFonts w:cs="Calibri"/>
                <w:sz w:val="21"/>
                <w:szCs w:val="21"/>
                <w:lang w:val="es-ES_tradnl"/>
              </w:rPr>
            </w:pPr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A raíz de las decisiones de la Conferencia Mundial de Desarrollo de las Telecomunicaciones 2014 y el renovado mandato para que el Sector de Desarrollo de las Telecomunicaciones (UIT-D) prosiga sus trabajos en el ámbito de la </w:t>
            </w:r>
            <w:proofErr w:type="spellStart"/>
            <w:r w:rsidRPr="008A1D68">
              <w:rPr>
                <w:rFonts w:cs="Calibri"/>
                <w:sz w:val="21"/>
                <w:szCs w:val="21"/>
                <w:lang w:val="es-ES_tradnl"/>
              </w:rPr>
              <w:t>cibersalud</w:t>
            </w:r>
            <w:proofErr w:type="spellEnd"/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 con asociados pertinentes, le escribimos para preguntarle si su entidad puede identificar expertos para coordinar la Cuestión de la </w:t>
            </w:r>
            <w:proofErr w:type="spellStart"/>
            <w:r w:rsidRPr="008A1D68">
              <w:rPr>
                <w:rFonts w:cs="Calibri"/>
                <w:sz w:val="21"/>
                <w:szCs w:val="21"/>
                <w:lang w:val="es-ES_tradnl"/>
              </w:rPr>
              <w:t>cibersalud</w:t>
            </w:r>
            <w:proofErr w:type="spellEnd"/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 con las Comisiones de Estudio del UIT-D y contribuir a las labores de la Oficina de Desarrollo de las Telecomunicaciones (BDT) en esta materia. </w:t>
            </w:r>
          </w:p>
          <w:p w:rsidR="005A4F1E" w:rsidRPr="008A1D68" w:rsidRDefault="005A4F1E" w:rsidP="008A1D68">
            <w:pPr>
              <w:pStyle w:val="BDTOpening"/>
              <w:spacing w:before="60" w:after="0"/>
              <w:rPr>
                <w:rFonts w:cs="Calibri"/>
                <w:sz w:val="21"/>
                <w:szCs w:val="21"/>
                <w:lang w:val="es-ES_tradnl"/>
              </w:rPr>
            </w:pPr>
            <w:r w:rsidRPr="008A1D68">
              <w:rPr>
                <w:rFonts w:cs="Calibri"/>
                <w:sz w:val="21"/>
                <w:szCs w:val="21"/>
                <w:lang w:val="es-ES_tradnl"/>
              </w:rPr>
              <w:t>En el contexto de los trabajos del Unión Internacional de Telecomunicaciones sobre TIC para la salud, la Cuestión 2/2 de la Comisión de Estudio 2 del UIT-D, que trata de "</w:t>
            </w:r>
            <w:r w:rsidRPr="008A1D68">
              <w:rPr>
                <w:rFonts w:cs="Calibri"/>
                <w:b/>
                <w:bCs/>
                <w:sz w:val="21"/>
                <w:szCs w:val="21"/>
                <w:lang w:val="es-ES_tradnl"/>
              </w:rPr>
              <w:t xml:space="preserve">información y telecomunicaciones/TIC para la </w:t>
            </w:r>
            <w:proofErr w:type="spellStart"/>
            <w:r w:rsidRPr="008A1D68">
              <w:rPr>
                <w:rFonts w:cs="Calibri"/>
                <w:b/>
                <w:bCs/>
                <w:sz w:val="21"/>
                <w:szCs w:val="21"/>
                <w:lang w:val="es-ES_tradnl"/>
              </w:rPr>
              <w:t>cibersalud</w:t>
            </w:r>
            <w:proofErr w:type="spellEnd"/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" tiene el mandato de "Intercambiar y divulgar prácticas idóneas sobre aplicaciones de </w:t>
            </w:r>
            <w:proofErr w:type="spellStart"/>
            <w:r w:rsidRPr="008A1D68">
              <w:rPr>
                <w:rFonts w:cs="Calibri"/>
                <w:sz w:val="21"/>
                <w:szCs w:val="21"/>
                <w:lang w:val="es-ES_tradnl"/>
              </w:rPr>
              <w:t>cibersanidad</w:t>
            </w:r>
            <w:proofErr w:type="spellEnd"/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 en los países en desarrollo, utilizando el sitio web de la UIT/BDT en estrecha colaboración con el </w:t>
            </w:r>
            <w:r w:rsidR="003C4EA4" w:rsidRPr="008A1D68">
              <w:rPr>
                <w:rFonts w:cs="Calibri"/>
                <w:sz w:val="21"/>
                <w:szCs w:val="21"/>
                <w:lang w:val="es-ES_tradnl"/>
              </w:rPr>
              <w:t xml:space="preserve">programa </w:t>
            </w:r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pertinente de la BDT". </w:t>
            </w:r>
          </w:p>
          <w:p w:rsidR="005A4F1E" w:rsidRPr="008A1D68" w:rsidRDefault="005A4F1E" w:rsidP="008A1D68">
            <w:pPr>
              <w:pStyle w:val="BDTOpening"/>
              <w:spacing w:before="60" w:after="0" w:line="240" w:lineRule="exact"/>
              <w:rPr>
                <w:rFonts w:cs="Calibri"/>
                <w:sz w:val="21"/>
                <w:szCs w:val="21"/>
                <w:lang w:val="es-ES_tradnl"/>
              </w:rPr>
            </w:pPr>
            <w:r w:rsidRPr="008A1D68">
              <w:rPr>
                <w:rFonts w:cs="Calibri"/>
                <w:sz w:val="21"/>
                <w:szCs w:val="21"/>
                <w:lang w:val="es-ES_tradnl"/>
              </w:rPr>
              <w:t>Los expertos, que pueden proceder de Administraciones, Miembros de Sector, Asociados e Instituciones Académicas del UIT-D, comunicarán con los Grupos de Relator para esta Cuestión de estudio y con el Coordinador de la BDT para la presentación de contribuciones que contienen información no confidencial relacionada con experiencias de los países, estudios de casos, enseñanzas extraídas y prácticas idóneas sobre este tema. La información que se recopile se organizará y pondrá a disposición de los miembros en el sitio web de las Comisiones de Estudio del UIT-D a fin de facilitar su difusión y la divulgación de información. El material correspondiente también constará en los documentos finales de las Cuestiones de Comisiones de Estudio del UIT-D.</w:t>
            </w:r>
          </w:p>
          <w:p w:rsidR="005A4F1E" w:rsidRPr="008A1D68" w:rsidRDefault="005A4F1E" w:rsidP="008A1D68">
            <w:pPr>
              <w:pStyle w:val="BDTNormal"/>
              <w:spacing w:before="60" w:after="0"/>
              <w:rPr>
                <w:rFonts w:cs="Calibri"/>
                <w:sz w:val="21"/>
                <w:szCs w:val="21"/>
                <w:lang w:val="es-ES_tradnl"/>
              </w:rPr>
            </w:pPr>
            <w:r w:rsidRPr="008A1D68">
              <w:rPr>
                <w:rFonts w:cs="Calibri"/>
                <w:sz w:val="21"/>
                <w:szCs w:val="21"/>
                <w:lang w:val="es-ES_tradnl"/>
              </w:rPr>
              <w:t>Le rogamos envíe la información de contacto pertinente a la Secretaría de las Comisiones de Estudio del UIT-D (</w:t>
            </w:r>
            <w:hyperlink r:id="rId9" w:history="1">
              <w:r w:rsidRPr="008A1D68">
                <w:rPr>
                  <w:rStyle w:val="Hyperlink"/>
                  <w:rFonts w:cs="Calibri"/>
                  <w:sz w:val="21"/>
                  <w:szCs w:val="21"/>
                  <w:lang w:val="es-ES_tradnl"/>
                </w:rPr>
                <w:t>devsg@itu.int</w:t>
              </w:r>
            </w:hyperlink>
            <w:r w:rsidRPr="008A1D68">
              <w:rPr>
                <w:rStyle w:val="Hyperlink"/>
                <w:rFonts w:cs="Calibri"/>
                <w:sz w:val="21"/>
                <w:szCs w:val="21"/>
                <w:lang w:val="es-ES_tradnl"/>
              </w:rPr>
              <w:t>)</w:t>
            </w:r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, preferiblemente antes del </w:t>
            </w:r>
            <w:r w:rsidRPr="008A1D68">
              <w:rPr>
                <w:rFonts w:cs="Calibri"/>
                <w:b/>
                <w:bCs/>
                <w:sz w:val="21"/>
                <w:szCs w:val="21"/>
                <w:lang w:val="es-ES_tradnl"/>
              </w:rPr>
              <w:t>1 de mayo de 2015</w:t>
            </w:r>
            <w:r w:rsidRPr="008A1D68">
              <w:rPr>
                <w:rFonts w:cs="Calibri"/>
                <w:sz w:val="21"/>
                <w:szCs w:val="21"/>
                <w:lang w:val="es-ES_tradnl"/>
              </w:rPr>
              <w:t>. Le rogamos tenga presente que no se remuneran las posiciones de los expertos.</w:t>
            </w:r>
          </w:p>
          <w:p w:rsidR="005A4F1E" w:rsidRPr="008A1D68" w:rsidRDefault="005A4F1E" w:rsidP="008A1D68">
            <w:pPr>
              <w:pStyle w:val="BDTOpening"/>
              <w:spacing w:before="60" w:after="0" w:line="240" w:lineRule="exact"/>
              <w:rPr>
                <w:rFonts w:cs="Calibri"/>
                <w:sz w:val="21"/>
                <w:szCs w:val="21"/>
                <w:lang w:val="es-ES_tradnl"/>
              </w:rPr>
            </w:pPr>
            <w:r w:rsidRPr="008A1D68">
              <w:rPr>
                <w:rFonts w:cs="Calibri"/>
                <w:sz w:val="21"/>
                <w:szCs w:val="21"/>
                <w:lang w:val="es-ES_tradnl"/>
              </w:rPr>
              <w:t>Si necesita información adicional puede</w:t>
            </w:r>
            <w:r w:rsidR="003C4EA4" w:rsidRPr="008A1D68">
              <w:rPr>
                <w:rFonts w:cs="Calibri"/>
                <w:sz w:val="21"/>
                <w:szCs w:val="21"/>
                <w:lang w:val="es-ES_tradnl"/>
              </w:rPr>
              <w:t xml:space="preserve"> dirigirse a la Sra. Christine</w:t>
            </w:r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 Sund, Coordinadora de las Comisiones de Estudio del UIT-D. Tel.: +41 22 730 5999, Fax: +41 22 730 5484, </w:t>
            </w:r>
            <w:r w:rsidR="003C4EA4" w:rsidRPr="008A1D68">
              <w:rPr>
                <w:rFonts w:cs="Calibri"/>
                <w:sz w:val="21"/>
                <w:szCs w:val="21"/>
                <w:lang w:val="es-ES_tradnl"/>
              </w:rPr>
              <w:t>Correo</w:t>
            </w:r>
            <w:r w:rsidRPr="008A1D68">
              <w:rPr>
                <w:rFonts w:cs="Calibri"/>
                <w:sz w:val="21"/>
                <w:szCs w:val="21"/>
                <w:lang w:val="es-ES_tradnl"/>
              </w:rPr>
              <w:t xml:space="preserve">-e: </w:t>
            </w:r>
            <w:hyperlink r:id="rId10" w:history="1">
              <w:r w:rsidRPr="008A1D68">
                <w:rPr>
                  <w:rStyle w:val="Hyperlink"/>
                  <w:rFonts w:cs="Calibri"/>
                  <w:sz w:val="21"/>
                  <w:szCs w:val="21"/>
                  <w:lang w:val="es-ES_tradnl"/>
                </w:rPr>
                <w:t>devsg@itu.int</w:t>
              </w:r>
            </w:hyperlink>
            <w:r w:rsidRPr="008A1D68">
              <w:rPr>
                <w:rFonts w:cs="Calibri"/>
                <w:sz w:val="21"/>
                <w:szCs w:val="21"/>
                <w:lang w:val="es-ES_tradnl"/>
              </w:rPr>
              <w:t>.</w:t>
            </w:r>
          </w:p>
          <w:p w:rsidR="005A4F1E" w:rsidRPr="008A1D68" w:rsidRDefault="005A4F1E" w:rsidP="008A1D68">
            <w:pPr>
              <w:pStyle w:val="CEONormal"/>
              <w:spacing w:before="60" w:after="0"/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</w:pPr>
            <w:r w:rsidRPr="008A1D68"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  <w:t>Muchas gracias por su cooperación.</w:t>
            </w:r>
          </w:p>
          <w:p w:rsidR="005A4F1E" w:rsidRPr="008A1D68" w:rsidRDefault="005A4F1E" w:rsidP="008A1D68">
            <w:pPr>
              <w:pStyle w:val="BDTNormal"/>
              <w:spacing w:before="60" w:after="0"/>
              <w:rPr>
                <w:rFonts w:asciiTheme="minorHAnsi" w:hAnsiTheme="minorHAnsi" w:cs="Times New Roman"/>
                <w:sz w:val="21"/>
                <w:szCs w:val="21"/>
                <w:lang w:val="es-ES_tradnl" w:eastAsia="zh-CN" w:bidi="ar-EG"/>
              </w:rPr>
            </w:pPr>
            <w:r w:rsidRPr="008A1D68">
              <w:rPr>
                <w:rFonts w:asciiTheme="minorHAnsi" w:hAnsiTheme="minorHAnsi" w:cs="Times New Roman"/>
                <w:sz w:val="21"/>
                <w:szCs w:val="21"/>
                <w:lang w:val="es-ES_tradnl" w:eastAsia="zh-CN" w:bidi="ar-EG"/>
              </w:rPr>
              <w:t>Le saluda muy atentamente.</w:t>
            </w:r>
          </w:p>
          <w:p w:rsidR="005A4F1E" w:rsidRPr="008A1D68" w:rsidRDefault="005A4F1E" w:rsidP="008A1D68">
            <w:pPr>
              <w:pStyle w:val="BDTNormal"/>
              <w:spacing w:after="0"/>
              <w:rPr>
                <w:sz w:val="21"/>
                <w:szCs w:val="21"/>
              </w:rPr>
            </w:pPr>
            <w:r w:rsidRPr="008A1D68">
              <w:rPr>
                <w:sz w:val="21"/>
                <w:szCs w:val="21"/>
              </w:rPr>
              <w:t>[Original firmado]</w:t>
            </w:r>
          </w:p>
          <w:p w:rsidR="007534AF" w:rsidRPr="007534AF" w:rsidRDefault="005A4F1E" w:rsidP="008A1D68">
            <w:pPr>
              <w:pStyle w:val="BDTNormal"/>
              <w:spacing w:before="240" w:after="0"/>
            </w:pPr>
            <w:r w:rsidRPr="008A1D68">
              <w:rPr>
                <w:sz w:val="21"/>
                <w:szCs w:val="21"/>
              </w:rPr>
              <w:t>Brahima Sanou</w:t>
            </w:r>
            <w:r w:rsidRPr="008A1D68">
              <w:rPr>
                <w:sz w:val="21"/>
                <w:szCs w:val="21"/>
              </w:rPr>
              <w:br/>
              <w:t>Director de la BDT</w:t>
            </w:r>
            <w:bookmarkStart w:id="7" w:name="Signature"/>
            <w:bookmarkEnd w:id="7"/>
          </w:p>
        </w:tc>
      </w:tr>
      <w:tr w:rsidR="007252A7" w:rsidRPr="00A12636" w:rsidTr="008A1D68">
        <w:trPr>
          <w:jc w:val="center"/>
        </w:trPr>
        <w:tc>
          <w:tcPr>
            <w:tcW w:w="9889" w:type="dxa"/>
            <w:gridSpan w:val="7"/>
          </w:tcPr>
          <w:p w:rsidR="007252A7" w:rsidRPr="00532B98" w:rsidRDefault="007252A7" w:rsidP="003C4EA4">
            <w:pPr>
              <w:spacing w:before="360" w:after="120"/>
              <w:jc w:val="center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 w:rsidRPr="00532B98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lastRenderedPageBreak/>
              <w:t>Anexo 1</w:t>
            </w:r>
          </w:p>
          <w:p w:rsidR="007252A7" w:rsidRPr="00532B98" w:rsidRDefault="007252A7" w:rsidP="003C4EA4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 w:rsidRPr="00532B98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Resultado previsto para la Cuestión </w:t>
            </w:r>
            <w:r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>2</w:t>
            </w:r>
            <w:r w:rsidRPr="00532B98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/2 </w:t>
            </w:r>
          </w:p>
          <w:p w:rsidR="007252A7" w:rsidRPr="00532B98" w:rsidRDefault="007252A7" w:rsidP="003C4EA4">
            <w:pPr>
              <w:pStyle w:val="CEONormal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Puede consultarse en línea la i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nformación detallada sobre los resultados previstos de los trabajos de la Cuestión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2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/2 en la dirección: </w:t>
            </w:r>
          </w:p>
          <w:p w:rsidR="007252A7" w:rsidRPr="007252A7" w:rsidRDefault="00A12636" w:rsidP="003C4EA4">
            <w:pPr>
              <w:spacing w:before="60" w:afterLines="60" w:after="144"/>
              <w:rPr>
                <w:rFonts w:asciiTheme="minorHAnsi" w:eastAsia="SimHei" w:hAnsiTheme="minorHAnsi" w:cs="Simplified Arabic"/>
                <w:szCs w:val="22"/>
                <w:lang w:val="es-ES_tradnl"/>
              </w:rPr>
            </w:pPr>
            <w:hyperlink r:id="rId11" w:history="1">
              <w:r w:rsidR="007252A7" w:rsidRPr="007252A7">
                <w:rPr>
                  <w:rFonts w:asciiTheme="minorHAnsi" w:eastAsia="SimHei" w:hAnsiTheme="minorHAnsi" w:cs="Times New Roman"/>
                  <w:color w:val="0000FF"/>
                  <w:szCs w:val="22"/>
                  <w:u w:val="single"/>
                  <w:lang w:val="es-ES_tradnl"/>
                </w:rPr>
                <w:t>http://www.itu.int/net4/ITU-D/CDS/sg/rgqlist.asp?lg=1&amp;sp=2014&amp;rgq=D14-SG02-RGQ02.2&amp;stg=2</w:t>
              </w:r>
            </w:hyperlink>
          </w:p>
          <w:p w:rsidR="007252A7" w:rsidRPr="00532B98" w:rsidRDefault="007252A7" w:rsidP="003C4EA4">
            <w:pPr>
              <w:pStyle w:val="CEONormal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815991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Puede consultarse en línea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i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nformación detallada sobre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las actividades pasadas, en curso y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previst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a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del UIT-D en relación con las TIC para la salud </w:t>
            </w: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en la dirección: </w:t>
            </w:r>
          </w:p>
          <w:p w:rsidR="007252A7" w:rsidRPr="00532B98" w:rsidRDefault="00A12636" w:rsidP="003C4EA4">
            <w:p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hyperlink r:id="rId12" w:history="1">
              <w:r w:rsidR="007252A7" w:rsidRPr="007252A7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_tradnl"/>
                </w:rPr>
                <w:t>http://www.itu.int/en/ITU-D/ICT-Applications/eHEALTH/</w:t>
              </w:r>
            </w:hyperlink>
          </w:p>
        </w:tc>
      </w:tr>
      <w:tr w:rsidR="007252A7" w:rsidRPr="00A12636" w:rsidTr="008A1D68">
        <w:trPr>
          <w:jc w:val="center"/>
        </w:trPr>
        <w:tc>
          <w:tcPr>
            <w:tcW w:w="9889" w:type="dxa"/>
            <w:gridSpan w:val="7"/>
          </w:tcPr>
          <w:p w:rsidR="007252A7" w:rsidRPr="00532B98" w:rsidRDefault="007252A7" w:rsidP="003C4EA4">
            <w:pPr>
              <w:pStyle w:val="CEOHeading1Underlined"/>
              <w:spacing w:before="120" w:after="120"/>
              <w:rPr>
                <w:rFonts w:ascii="Calibri" w:eastAsiaTheme="minorEastAsia" w:hAnsi="Calibri" w:cs="Calibri"/>
                <w:sz w:val="22"/>
                <w:szCs w:val="22"/>
                <w:lang w:val="es-ES_tradnl"/>
              </w:rPr>
            </w:pPr>
            <w:r w:rsidRPr="00532B98">
              <w:rPr>
                <w:rFonts w:ascii="Calibri" w:hAnsi="Calibri" w:cs="Calibri"/>
                <w:sz w:val="22"/>
                <w:szCs w:val="22"/>
                <w:lang w:val="es-ES_tradnl"/>
              </w:rPr>
              <w:t>Plazo y solicitudes de información</w:t>
            </w:r>
          </w:p>
          <w:p w:rsidR="007252A7" w:rsidRPr="00532B98" w:rsidRDefault="007252A7" w:rsidP="003C4EA4">
            <w:pPr>
              <w:pStyle w:val="CEONormal"/>
              <w:spacing w:before="60" w:afterLines="60" w:after="14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532B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Le rogamos nos envíe los nombres de sus expertos para los asuntos relacionados con la </w:t>
            </w:r>
            <w:proofErr w:type="spellStart"/>
            <w:r w:rsidRPr="00532B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cibersa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lu</w:t>
            </w:r>
            <w:r w:rsidRPr="00532B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</w:t>
            </w:r>
            <w:proofErr w:type="spellEnd"/>
            <w:r w:rsidRPr="00532B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a más tardar el </w:t>
            </w:r>
            <w:r w:rsidRPr="00532B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viernes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1</w:t>
            </w:r>
            <w:r w:rsidRPr="00532B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mayo</w:t>
            </w:r>
            <w:r w:rsidRPr="00532B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de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5</w:t>
            </w:r>
            <w:r w:rsidRPr="00532B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  <w:r w:rsidRPr="007252A7">
              <w:rPr>
                <w:lang w:val="es-ES_tradnl"/>
              </w:rPr>
              <w:t xml:space="preserve"> </w:t>
            </w:r>
            <w:r w:rsidRPr="00A5153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Le rogamos tenga presente que no se remuneran las posiciones de los expertos.</w:t>
            </w:r>
          </w:p>
          <w:p w:rsidR="007252A7" w:rsidRPr="00532B98" w:rsidRDefault="007252A7" w:rsidP="003C4EA4">
            <w:pPr>
              <w:pStyle w:val="BDTNormal"/>
              <w:rPr>
                <w:rFonts w:cs="Calibri"/>
                <w:szCs w:val="22"/>
                <w:lang w:val="es-ES_tradnl"/>
              </w:rPr>
            </w:pPr>
            <w:r w:rsidRPr="00532B98">
              <w:rPr>
                <w:rFonts w:cs="Calibri"/>
                <w:szCs w:val="22"/>
                <w:lang w:val="es-ES_tradnl"/>
              </w:rPr>
              <w:t xml:space="preserve">La rogamos asimismo envíe la información de contacto pertinente a la Secretaria de las Comisiones de Estudio del UIT-D (Sra. Christine Sund) a la dirección </w:t>
            </w:r>
            <w:hyperlink r:id="rId13" w:history="1">
              <w:r w:rsidRPr="00532B98">
                <w:rPr>
                  <w:rStyle w:val="Hyperlink"/>
                  <w:rFonts w:cs="Calibri"/>
                  <w:szCs w:val="22"/>
                  <w:lang w:val="es-ES_tradnl"/>
                </w:rPr>
                <w:t>devsg@itu.int</w:t>
              </w:r>
            </w:hyperlink>
            <w:r w:rsidRPr="00532B98">
              <w:rPr>
                <w:rFonts w:cs="Calibri"/>
                <w:szCs w:val="22"/>
                <w:lang w:val="es-ES_tradnl"/>
              </w:rPr>
              <w:t xml:space="preserve">, con copia al Sr. Hani Eskandar (UIT/BDT/IEE/CYB), Coordinador de la BDT para la Cuestión </w:t>
            </w:r>
            <w:r>
              <w:rPr>
                <w:rFonts w:cs="Calibri"/>
                <w:szCs w:val="22"/>
                <w:lang w:val="es-ES_tradnl"/>
              </w:rPr>
              <w:t>2</w:t>
            </w:r>
            <w:r w:rsidRPr="00532B98">
              <w:rPr>
                <w:rFonts w:cs="Calibri"/>
                <w:szCs w:val="22"/>
                <w:lang w:val="es-ES_tradnl"/>
              </w:rPr>
              <w:t>/2 (</w:t>
            </w:r>
            <w:r w:rsidRPr="00A51530">
              <w:rPr>
                <w:rFonts w:cs="Calibri"/>
                <w:szCs w:val="22"/>
                <w:lang w:val="es-ES_tradnl"/>
              </w:rPr>
              <w:t xml:space="preserve">información y telecomunicaciones/TIC para la </w:t>
            </w:r>
            <w:proofErr w:type="spellStart"/>
            <w:r w:rsidRPr="00A51530">
              <w:rPr>
                <w:rFonts w:cs="Calibri"/>
                <w:szCs w:val="22"/>
                <w:lang w:val="es-ES_tradnl"/>
              </w:rPr>
              <w:t>cibersalud</w:t>
            </w:r>
            <w:proofErr w:type="spellEnd"/>
            <w:r w:rsidR="003C4EA4">
              <w:rPr>
                <w:rFonts w:cs="Calibri"/>
                <w:szCs w:val="22"/>
                <w:lang w:val="es-ES_tradnl"/>
              </w:rPr>
              <w:t>)</w:t>
            </w:r>
            <w:r>
              <w:rPr>
                <w:rFonts w:cs="Calibri"/>
                <w:szCs w:val="22"/>
                <w:lang w:val="es-ES_tradnl"/>
              </w:rPr>
              <w:t xml:space="preserve"> en la </w:t>
            </w:r>
            <w:r w:rsidR="003C4EA4">
              <w:rPr>
                <w:rFonts w:cs="Calibri"/>
                <w:szCs w:val="22"/>
                <w:lang w:val="es-ES_tradnl"/>
              </w:rPr>
              <w:t xml:space="preserve">Sede </w:t>
            </w:r>
            <w:r>
              <w:rPr>
                <w:rFonts w:cs="Calibri"/>
                <w:szCs w:val="22"/>
                <w:lang w:val="es-ES_tradnl"/>
              </w:rPr>
              <w:t xml:space="preserve">de la UIT </w:t>
            </w:r>
            <w:r w:rsidRPr="00532B98">
              <w:rPr>
                <w:rFonts w:cs="Calibri"/>
                <w:szCs w:val="22"/>
                <w:lang w:val="es-ES_tradnl"/>
              </w:rPr>
              <w:t xml:space="preserve">a la dirección: </w:t>
            </w:r>
            <w:hyperlink r:id="rId14" w:history="1">
              <w:r w:rsidRPr="00532B98">
                <w:rPr>
                  <w:rStyle w:val="Hyperlink"/>
                  <w:rFonts w:cs="Calibri"/>
                  <w:szCs w:val="22"/>
                  <w:lang w:val="es-ES_tradnl"/>
                </w:rPr>
                <w:t>hani.eskandar@itu.int</w:t>
              </w:r>
            </w:hyperlink>
            <w:r w:rsidRPr="00532B98">
              <w:rPr>
                <w:szCs w:val="22"/>
                <w:lang w:val="es-ES_tradnl"/>
              </w:rPr>
              <w:t>.</w:t>
            </w:r>
            <w:r>
              <w:rPr>
                <w:szCs w:val="22"/>
                <w:lang w:val="es-ES_tradnl"/>
              </w:rPr>
              <w:t xml:space="preserve"> Los Coordinadores de las Oficinas Regionales y de Zona de la UIT también están a su disposición para darles más información. Para los Estados Árabes</w:t>
            </w:r>
            <w:r w:rsidRPr="00A51530">
              <w:rPr>
                <w:szCs w:val="22"/>
                <w:lang w:val="es-ES_tradnl"/>
              </w:rPr>
              <w:t xml:space="preserve">, </w:t>
            </w:r>
            <w:r>
              <w:rPr>
                <w:szCs w:val="22"/>
                <w:lang w:val="es-ES_tradnl"/>
              </w:rPr>
              <w:t>el Sr.</w:t>
            </w:r>
            <w:r w:rsidRPr="00A51530">
              <w:rPr>
                <w:szCs w:val="22"/>
                <w:lang w:val="es-ES_tradnl"/>
              </w:rPr>
              <w:t xml:space="preserve"> Karim </w:t>
            </w:r>
            <w:proofErr w:type="spellStart"/>
            <w:r w:rsidRPr="00A51530">
              <w:rPr>
                <w:szCs w:val="22"/>
                <w:lang w:val="es-ES_tradnl"/>
              </w:rPr>
              <w:t>Abdelghani</w:t>
            </w:r>
            <w:proofErr w:type="spellEnd"/>
            <w:r w:rsidRPr="00A51530">
              <w:rPr>
                <w:szCs w:val="22"/>
                <w:lang w:val="es-ES_tradnl"/>
              </w:rPr>
              <w:t xml:space="preserve"> </w:t>
            </w:r>
            <w:r>
              <w:rPr>
                <w:szCs w:val="22"/>
                <w:lang w:val="es-ES_tradnl"/>
              </w:rPr>
              <w:t>en la dirección</w:t>
            </w:r>
            <w:r w:rsidRPr="00A51530">
              <w:rPr>
                <w:szCs w:val="22"/>
                <w:lang w:val="es-ES_tradnl"/>
              </w:rPr>
              <w:t xml:space="preserve">: </w:t>
            </w:r>
            <w:hyperlink r:id="rId15" w:history="1">
              <w:r w:rsidRPr="00622F23">
                <w:rPr>
                  <w:rStyle w:val="Hyperlink"/>
                  <w:szCs w:val="22"/>
                  <w:lang w:val="es-ES_tradnl"/>
                </w:rPr>
                <w:t>karim.abdelghani@itu.int</w:t>
              </w:r>
            </w:hyperlink>
            <w:r>
              <w:rPr>
                <w:szCs w:val="22"/>
                <w:lang w:val="es-ES_tradnl"/>
              </w:rPr>
              <w:t>; para</w:t>
            </w:r>
            <w:r w:rsidRPr="00A51530">
              <w:rPr>
                <w:szCs w:val="22"/>
                <w:lang w:val="es-ES_tradnl"/>
              </w:rPr>
              <w:t xml:space="preserve"> África</w:t>
            </w:r>
            <w:r>
              <w:rPr>
                <w:szCs w:val="22"/>
                <w:lang w:val="es-ES_tradnl"/>
              </w:rPr>
              <w:t>, el</w:t>
            </w:r>
            <w:r w:rsidRPr="00A51530">
              <w:rPr>
                <w:szCs w:val="22"/>
                <w:lang w:val="es-ES_tradnl"/>
              </w:rPr>
              <w:t xml:space="preserve"> </w:t>
            </w:r>
            <w:r>
              <w:rPr>
                <w:szCs w:val="22"/>
                <w:lang w:val="es-ES_tradnl"/>
              </w:rPr>
              <w:t>Sr.</w:t>
            </w:r>
            <w:r w:rsidRPr="00A51530">
              <w:rPr>
                <w:szCs w:val="22"/>
                <w:lang w:val="es-ES_tradnl"/>
              </w:rPr>
              <w:t xml:space="preserve"> Ali Drissa Badiel en la dirección </w:t>
            </w:r>
            <w:hyperlink r:id="rId16" w:history="1">
              <w:r w:rsidRPr="00622F23">
                <w:rPr>
                  <w:rStyle w:val="Hyperlink"/>
                  <w:szCs w:val="22"/>
                  <w:lang w:val="es-ES_tradnl"/>
                </w:rPr>
                <w:t>alidrissa.badiel@itu.int</w:t>
              </w:r>
            </w:hyperlink>
            <w:r>
              <w:rPr>
                <w:szCs w:val="22"/>
                <w:lang w:val="es-ES_tradnl"/>
              </w:rPr>
              <w:t>, y el Sr.</w:t>
            </w:r>
            <w:r w:rsidRPr="00A51530">
              <w:rPr>
                <w:szCs w:val="22"/>
                <w:lang w:val="es-ES_tradnl"/>
              </w:rPr>
              <w:t xml:space="preserve"> Getachew Sahlu en la dirección: </w:t>
            </w:r>
            <w:hyperlink r:id="rId17" w:history="1">
              <w:r w:rsidRPr="00622F23">
                <w:rPr>
                  <w:rStyle w:val="Hyperlink"/>
                  <w:szCs w:val="22"/>
                  <w:lang w:val="es-ES_tradnl"/>
                </w:rPr>
                <w:t>getachew.sahlu@itu.int</w:t>
              </w:r>
            </w:hyperlink>
            <w:r>
              <w:rPr>
                <w:szCs w:val="22"/>
                <w:lang w:val="es-ES_tradnl"/>
              </w:rPr>
              <w:t>; y para Asia y el Pacífico</w:t>
            </w:r>
            <w:r w:rsidRPr="00A51530">
              <w:rPr>
                <w:szCs w:val="22"/>
                <w:lang w:val="es-ES_tradnl"/>
              </w:rPr>
              <w:t xml:space="preserve">, </w:t>
            </w:r>
            <w:r>
              <w:rPr>
                <w:szCs w:val="22"/>
                <w:lang w:val="es-ES_tradnl"/>
              </w:rPr>
              <w:t>el Sr.</w:t>
            </w:r>
            <w:r w:rsidRPr="00A51530">
              <w:rPr>
                <w:szCs w:val="22"/>
                <w:lang w:val="es-ES_tradnl"/>
              </w:rPr>
              <w:t xml:space="preserve"> Ashish Narayan en la dirección: </w:t>
            </w:r>
            <w:hyperlink r:id="rId18" w:history="1">
              <w:r w:rsidRPr="00622F23">
                <w:rPr>
                  <w:rStyle w:val="Hyperlink"/>
                  <w:szCs w:val="22"/>
                  <w:lang w:val="es-ES_tradnl"/>
                </w:rPr>
                <w:t>ashish.narayan@itu.int</w:t>
              </w:r>
            </w:hyperlink>
            <w:r>
              <w:rPr>
                <w:szCs w:val="22"/>
                <w:lang w:val="es-ES_tradnl"/>
              </w:rPr>
              <w:t xml:space="preserve">. </w:t>
            </w:r>
          </w:p>
          <w:p w:rsidR="007252A7" w:rsidRDefault="007252A7" w:rsidP="003C4EA4">
            <w:pPr>
              <w:keepNext/>
              <w:keepLines/>
              <w:spacing w:before="120" w:after="120"/>
              <w:rPr>
                <w:rFonts w:cs="Calibri"/>
                <w:szCs w:val="22"/>
                <w:lang w:val="es-ES_tradnl"/>
              </w:rPr>
            </w:pPr>
            <w:r w:rsidRPr="00532B98">
              <w:rPr>
                <w:rFonts w:cs="Calibri"/>
                <w:szCs w:val="22"/>
                <w:lang w:val="es-ES_tradnl"/>
              </w:rPr>
              <w:t xml:space="preserve">Las preguntas o solicitudes de información adicional sobre el nombramiento de expertos para asuntos de </w:t>
            </w:r>
            <w:proofErr w:type="spellStart"/>
            <w:r w:rsidRPr="00532B98">
              <w:rPr>
                <w:rFonts w:cs="Calibri"/>
                <w:szCs w:val="22"/>
                <w:lang w:val="es-ES_tradnl"/>
              </w:rPr>
              <w:t>cibersa</w:t>
            </w:r>
            <w:r>
              <w:rPr>
                <w:rFonts w:cs="Calibri"/>
                <w:szCs w:val="22"/>
                <w:lang w:val="es-ES_tradnl"/>
              </w:rPr>
              <w:t>lu</w:t>
            </w:r>
            <w:r w:rsidRPr="00532B98">
              <w:rPr>
                <w:rFonts w:cs="Calibri"/>
                <w:szCs w:val="22"/>
                <w:lang w:val="es-ES_tradnl"/>
              </w:rPr>
              <w:t>d</w:t>
            </w:r>
            <w:proofErr w:type="spellEnd"/>
            <w:r w:rsidRPr="00532B98">
              <w:rPr>
                <w:rFonts w:cs="Calibri"/>
                <w:szCs w:val="22"/>
                <w:lang w:val="es-ES_tradnl"/>
              </w:rPr>
              <w:t xml:space="preserve"> pueden dirigirse </w:t>
            </w:r>
            <w:r>
              <w:rPr>
                <w:rFonts w:cs="Calibri"/>
                <w:szCs w:val="22"/>
                <w:lang w:val="es-ES_tradnl"/>
              </w:rPr>
              <w:t>a la Secretaría de las Comisiones de Estudio del UIT-D o a los</w:t>
            </w:r>
            <w:r w:rsidRPr="00532B98">
              <w:rPr>
                <w:rFonts w:cs="Calibri"/>
                <w:szCs w:val="22"/>
                <w:lang w:val="es-ES_tradnl"/>
              </w:rPr>
              <w:t xml:space="preserve"> Coordinador</w:t>
            </w:r>
            <w:r>
              <w:rPr>
                <w:rFonts w:cs="Calibri"/>
                <w:szCs w:val="22"/>
                <w:lang w:val="es-ES_tradnl"/>
              </w:rPr>
              <w:t>es</w:t>
            </w:r>
            <w:r w:rsidRPr="00532B98">
              <w:rPr>
                <w:rFonts w:cs="Calibri"/>
                <w:szCs w:val="22"/>
                <w:lang w:val="es-ES_tradnl"/>
              </w:rPr>
              <w:t>.</w:t>
            </w:r>
          </w:p>
          <w:p w:rsidR="00A12636" w:rsidRPr="00532B98" w:rsidRDefault="00A12636" w:rsidP="00A12636">
            <w:pPr>
              <w:keepNext/>
              <w:keepLines/>
              <w:spacing w:before="360" w:after="120"/>
              <w:jc w:val="center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>
              <w:t>______________</w:t>
            </w:r>
          </w:p>
        </w:tc>
      </w:tr>
    </w:tbl>
    <w:p w:rsidR="007252A7" w:rsidRPr="007252A7" w:rsidRDefault="007252A7" w:rsidP="005A4F1E">
      <w:pPr>
        <w:rPr>
          <w:lang w:val="es-ES"/>
        </w:rPr>
      </w:pPr>
      <w:bookmarkStart w:id="8" w:name="_GoBack"/>
      <w:bookmarkEnd w:id="8"/>
    </w:p>
    <w:sectPr w:rsidR="007252A7" w:rsidRPr="007252A7" w:rsidSect="00147DC2">
      <w:headerReference w:type="even" r:id="rId19"/>
      <w:headerReference w:type="default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6B" w:rsidRDefault="00E6126B">
      <w:r>
        <w:separator/>
      </w:r>
    </w:p>
  </w:endnote>
  <w:endnote w:type="continuationSeparator" w:id="0">
    <w:p w:rsidR="00E6126B" w:rsidRDefault="00E6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A" w:rsidRPr="00B648EA" w:rsidRDefault="00B648EA">
    <w:pPr>
      <w:pStyle w:val="Footer"/>
      <w:rPr>
        <w:sz w:val="18"/>
        <w:szCs w:val="18"/>
      </w:rPr>
    </w:pPr>
    <w:r w:rsidRPr="00B648EA">
      <w:rPr>
        <w:sz w:val="18"/>
        <w:szCs w:val="18"/>
      </w:rPr>
      <w:fldChar w:fldCharType="begin"/>
    </w:r>
    <w:r w:rsidRPr="00B648EA">
      <w:rPr>
        <w:sz w:val="18"/>
        <w:szCs w:val="18"/>
      </w:rPr>
      <w:instrText xml:space="preserve"> FILENAME \p  \* MERGEFORMAT </w:instrText>
    </w:r>
    <w:r w:rsidRPr="00B648EA">
      <w:rPr>
        <w:sz w:val="18"/>
        <w:szCs w:val="18"/>
      </w:rPr>
      <w:fldChar w:fldCharType="separate"/>
    </w:r>
    <w:r w:rsidR="008A1D68">
      <w:rPr>
        <w:noProof/>
        <w:sz w:val="18"/>
        <w:szCs w:val="18"/>
      </w:rPr>
      <w:t>P:\ESP\ITU-D\SG-D\CSTG\004S.docx</w:t>
    </w:r>
    <w:r w:rsidRPr="00B648EA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(377577)</w:t>
    </w:r>
    <w:r w:rsidRPr="00B648EA">
      <w:rPr>
        <w:sz w:val="18"/>
        <w:szCs w:val="18"/>
      </w:rPr>
      <w:tab/>
    </w:r>
    <w:r w:rsidRPr="00B648EA">
      <w:rPr>
        <w:sz w:val="18"/>
        <w:szCs w:val="18"/>
      </w:rPr>
      <w:fldChar w:fldCharType="begin"/>
    </w:r>
    <w:r w:rsidRPr="00B648EA">
      <w:rPr>
        <w:sz w:val="18"/>
        <w:szCs w:val="18"/>
      </w:rPr>
      <w:instrText xml:space="preserve"> SAVEDATE \@ DD.MM.YY </w:instrText>
    </w:r>
    <w:r w:rsidRPr="00B648EA">
      <w:rPr>
        <w:sz w:val="18"/>
        <w:szCs w:val="18"/>
      </w:rPr>
      <w:fldChar w:fldCharType="separate"/>
    </w:r>
    <w:r w:rsidR="00A12636">
      <w:rPr>
        <w:noProof/>
        <w:sz w:val="18"/>
        <w:szCs w:val="18"/>
      </w:rPr>
      <w:t>25.03.15</w:t>
    </w:r>
    <w:r w:rsidRPr="00B648EA">
      <w:rPr>
        <w:sz w:val="18"/>
        <w:szCs w:val="18"/>
      </w:rPr>
      <w:fldChar w:fldCharType="end"/>
    </w:r>
    <w:r w:rsidRPr="00B648EA">
      <w:rPr>
        <w:sz w:val="18"/>
        <w:szCs w:val="18"/>
      </w:rPr>
      <w:tab/>
    </w:r>
    <w:r w:rsidRPr="00B648EA">
      <w:rPr>
        <w:sz w:val="18"/>
        <w:szCs w:val="18"/>
      </w:rPr>
      <w:fldChar w:fldCharType="begin"/>
    </w:r>
    <w:r w:rsidRPr="00B648EA">
      <w:rPr>
        <w:sz w:val="18"/>
        <w:szCs w:val="18"/>
      </w:rPr>
      <w:instrText xml:space="preserve"> PRINTDATE \@ DD.MM.YY </w:instrText>
    </w:r>
    <w:r w:rsidRPr="00B648EA">
      <w:rPr>
        <w:sz w:val="18"/>
        <w:szCs w:val="18"/>
      </w:rPr>
      <w:fldChar w:fldCharType="separate"/>
    </w:r>
    <w:r w:rsidR="008A1D68">
      <w:rPr>
        <w:noProof/>
        <w:sz w:val="18"/>
        <w:szCs w:val="18"/>
      </w:rPr>
      <w:t>25.03.15</w:t>
    </w:r>
    <w:r w:rsidRPr="00B648E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DE" w:rsidRPr="005A4F1E" w:rsidRDefault="002422DE" w:rsidP="00704255">
    <w:pPr>
      <w:pStyle w:val="BDTFooter"/>
      <w:rPr>
        <w:rFonts w:eastAsia="Times New Roman" w:cs="Calibri"/>
        <w:color w:val="3E8EDE"/>
        <w:lang w:val="es-ES_tradnl"/>
      </w:rPr>
    </w:pPr>
    <w:r w:rsidRPr="005A4F1E">
      <w:rPr>
        <w:rFonts w:eastAsia="Times New Roman" w:cs="Calibri"/>
        <w:color w:val="3E8EDE"/>
        <w:lang w:val="es-ES_tradnl"/>
      </w:rPr>
      <w:t xml:space="preserve">Unión Internacional de Telecomunicaciones • Place des </w:t>
    </w:r>
    <w:proofErr w:type="spellStart"/>
    <w:r w:rsidRPr="005A4F1E">
      <w:rPr>
        <w:rFonts w:eastAsia="Times New Roman" w:cs="Calibri"/>
        <w:color w:val="3E8EDE"/>
        <w:lang w:val="es-ES_tradnl"/>
      </w:rPr>
      <w:t>Nations</w:t>
    </w:r>
    <w:proofErr w:type="spellEnd"/>
    <w:r w:rsidRPr="005A4F1E">
      <w:rPr>
        <w:rFonts w:eastAsia="Times New Roman" w:cs="Calibri"/>
        <w:color w:val="3E8EDE"/>
        <w:lang w:val="es-ES_tradnl"/>
      </w:rPr>
      <w:t xml:space="preserve"> • CH</w:t>
    </w:r>
    <w:r w:rsidRPr="005A4F1E">
      <w:rPr>
        <w:rFonts w:eastAsia="Times New Roman" w:cs="Calibri"/>
        <w:color w:val="3E8EDE"/>
        <w:lang w:val="es-ES_tradnl"/>
      </w:rPr>
      <w:noBreakHyphen/>
      <w:t>1211 Ginebra 20 • Suiza</w:t>
    </w:r>
    <w:r w:rsidRPr="005A4F1E">
      <w:rPr>
        <w:rFonts w:eastAsia="Times New Roman" w:cs="Calibri"/>
        <w:color w:val="3E8EDE"/>
        <w:lang w:val="es-ES_tradnl"/>
      </w:rPr>
      <w:br/>
      <w:t xml:space="preserve">Tel: +41 22 730 5111 • Fax: +41 22 733 5545/730 5484 • </w:t>
    </w:r>
    <w:r w:rsidR="004767BA" w:rsidRPr="005A4F1E">
      <w:rPr>
        <w:rFonts w:eastAsia="Times New Roman" w:cs="Calibri"/>
        <w:color w:val="3E8EDE"/>
        <w:lang w:val="es-ES_tradnl"/>
      </w:rPr>
      <w:br/>
    </w:r>
    <w:r w:rsidRPr="005A4F1E">
      <w:rPr>
        <w:rFonts w:eastAsia="Times New Roman" w:cs="Calibri"/>
        <w:color w:val="3E8EDE"/>
        <w:lang w:val="es-ES_tradnl"/>
      </w:rPr>
      <w:t xml:space="preserve">Correo-e: </w:t>
    </w:r>
    <w:hyperlink r:id="rId1" w:history="1">
      <w:r w:rsidRPr="005A4F1E">
        <w:rPr>
          <w:rFonts w:eastAsia="Times New Roman" w:cs="Calibri"/>
          <w:color w:val="3E8EDE"/>
          <w:u w:val="single"/>
          <w:lang w:val="es-ES_tradnl"/>
        </w:rPr>
        <w:t>bdtmail@itu.int</w:t>
      </w:r>
    </w:hyperlink>
    <w:r w:rsidRPr="005A4F1E">
      <w:rPr>
        <w:rFonts w:eastAsia="Times New Roman" w:cs="Calibri"/>
        <w:color w:val="3E8EDE"/>
        <w:lang w:val="es-ES_tradnl"/>
      </w:rPr>
      <w:t xml:space="preserve"> • </w:t>
    </w:r>
    <w:hyperlink r:id="rId2" w:history="1">
      <w:r w:rsidR="004767BA" w:rsidRPr="005A4F1E">
        <w:rPr>
          <w:rFonts w:eastAsia="Times New Roman" w:cs="Calibri"/>
          <w:color w:val="3E8EDE"/>
          <w:u w:val="single"/>
          <w:lang w:val="es-ES_tradnl"/>
        </w:rPr>
        <w:t>www.itu.int/itu-d</w:t>
      </w:r>
    </w:hyperlink>
    <w:r w:rsidR="004767BA" w:rsidRPr="005A4F1E">
      <w:rPr>
        <w:rFonts w:eastAsia="Times New Roman" w:cs="Calibri"/>
        <w:color w:val="3E8EDE"/>
        <w:lang w:val="es-ES_tradnl"/>
      </w:rPr>
      <w:t xml:space="preserve"> • </w:t>
    </w:r>
    <w:hyperlink r:id="rId3" w:history="1">
      <w:r w:rsidR="004767BA" w:rsidRPr="005A4F1E">
        <w:rPr>
          <w:rFonts w:eastAsia="Times New Roman" w:cs="Calibri"/>
          <w:color w:val="3E8EDE"/>
          <w:u w:val="single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6B" w:rsidRDefault="00E6126B">
      <w:r>
        <w:t>____________________</w:t>
      </w:r>
    </w:p>
  </w:footnote>
  <w:footnote w:type="continuationSeparator" w:id="0">
    <w:p w:rsidR="00E6126B" w:rsidRDefault="00E6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DE" w:rsidRDefault="002422DE">
    <w:pPr>
      <w:pStyle w:val="BDTHeaderPageNumber"/>
      <w:rPr>
        <w:lang w:val="fr-CH"/>
      </w:rPr>
    </w:pPr>
    <w:r>
      <w:rPr>
        <w:rStyle w:val="PageNumber"/>
      </w:rPr>
      <w:t>–</w:t>
    </w:r>
    <w:r>
      <w:rPr>
        <w:lang w:val="fr-CH"/>
      </w:rPr>
      <w:t xml:space="preserve"> </w:t>
    </w:r>
    <w:r w:rsidR="00FF676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F676D">
      <w:rPr>
        <w:rStyle w:val="PageNumber"/>
      </w:rPr>
      <w:fldChar w:fldCharType="separate"/>
    </w:r>
    <w:r w:rsidR="00A12636">
      <w:rPr>
        <w:rStyle w:val="PageNumber"/>
        <w:noProof/>
      </w:rPr>
      <w:t>2</w:t>
    </w:r>
    <w:r w:rsidR="00FF676D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A4" w:rsidRDefault="003C4EA4" w:rsidP="003C4EA4">
    <w:pPr>
      <w:pStyle w:val="BDTHeaderPageNumber"/>
      <w:rPr>
        <w:lang w:val="fr-CH"/>
      </w:rPr>
    </w:pPr>
    <w:r>
      <w:rPr>
        <w:rStyle w:val="PageNumber"/>
      </w:rPr>
      <w:t>–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D6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2422DE" w:rsidRPr="003C4EA4" w:rsidRDefault="002422DE" w:rsidP="003C4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CB0B2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D27ED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4C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5C3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9A1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F20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E2D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C8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C7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E2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96B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18"/>
  </w:num>
  <w:num w:numId="14">
    <w:abstractNumId w:val="16"/>
  </w:num>
  <w:num w:numId="15">
    <w:abstractNumId w:val="14"/>
  </w:num>
  <w:num w:numId="16">
    <w:abstractNumId w:val="21"/>
  </w:num>
  <w:num w:numId="17">
    <w:abstractNumId w:val="24"/>
  </w:num>
  <w:num w:numId="18">
    <w:abstractNumId w:val="20"/>
  </w:num>
  <w:num w:numId="19">
    <w:abstractNumId w:val="15"/>
  </w:num>
  <w:num w:numId="20">
    <w:abstractNumId w:val="17"/>
    <w:lvlOverride w:ilvl="0">
      <w:startOverride w:val="1"/>
    </w:lvlOverride>
  </w:num>
  <w:num w:numId="21">
    <w:abstractNumId w:val="23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6126B"/>
    <w:rsid w:val="00030D9E"/>
    <w:rsid w:val="000B327F"/>
    <w:rsid w:val="00147DC2"/>
    <w:rsid w:val="002422DE"/>
    <w:rsid w:val="003C4EA4"/>
    <w:rsid w:val="0044383A"/>
    <w:rsid w:val="004767BA"/>
    <w:rsid w:val="004B519F"/>
    <w:rsid w:val="005A4F1E"/>
    <w:rsid w:val="00603A46"/>
    <w:rsid w:val="006B4161"/>
    <w:rsid w:val="00704255"/>
    <w:rsid w:val="007252A7"/>
    <w:rsid w:val="007534AF"/>
    <w:rsid w:val="00856F45"/>
    <w:rsid w:val="008A1D68"/>
    <w:rsid w:val="00933761"/>
    <w:rsid w:val="00A12636"/>
    <w:rsid w:val="00B107FB"/>
    <w:rsid w:val="00B243F9"/>
    <w:rsid w:val="00B648EA"/>
    <w:rsid w:val="00B66562"/>
    <w:rsid w:val="00CE4C2E"/>
    <w:rsid w:val="00D15BB1"/>
    <w:rsid w:val="00D7564F"/>
    <w:rsid w:val="00E6126B"/>
    <w:rsid w:val="00EC39D2"/>
    <w:rsid w:val="00F86914"/>
    <w:rsid w:val="00FF51A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E3A41D7-7422-4578-A667-5BA0C740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B327F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B66562"/>
    <w:pPr>
      <w:spacing w:before="1800"/>
    </w:pPr>
    <w:rPr>
      <w:rFonts w:eastAsia="SimHei" w:cs="Simplified Arabic"/>
      <w:bCs/>
      <w:szCs w:val="19"/>
      <w:lang w:val="es-ES_tradnl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rsid w:val="00704255"/>
    <w:pPr>
      <w:tabs>
        <w:tab w:val="right" w:pos="9072"/>
      </w:tabs>
      <w:jc w:val="center"/>
    </w:pPr>
    <w:rPr>
      <w:rFonts w:eastAsia="SimHei" w:cs="Traditional Arabic"/>
      <w:sz w:val="16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link w:val="BDTNormalChar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F45"/>
    <w:rPr>
      <w:rFonts w:eastAsia="SimSun" w:cs="Traditional Arabic"/>
      <w:szCs w:val="30"/>
      <w:lang w:eastAsia="en-US"/>
    </w:rPr>
  </w:style>
  <w:style w:type="paragraph" w:styleId="Header">
    <w:name w:val="header"/>
    <w:basedOn w:val="Normal"/>
    <w:link w:val="HeaderChar"/>
    <w:uiPriority w:val="99"/>
    <w:semiHidden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F45"/>
    <w:rPr>
      <w:rFonts w:eastAsia="SimSun" w:cs="Traditional Arabic"/>
      <w:szCs w:val="30"/>
      <w:lang w:eastAsia="en-US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semiHidden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semiHidden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61"/>
    <w:rPr>
      <w:rFonts w:ascii="Tahoma" w:eastAsia="SimSu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4767BA"/>
    <w:rPr>
      <w:color w:val="0000FF" w:themeColor="hyperlink"/>
      <w:u w:val="single"/>
    </w:rPr>
  </w:style>
  <w:style w:type="paragraph" w:customStyle="1" w:styleId="CEONormal">
    <w:name w:val="CEO_Normal"/>
    <w:link w:val="CEONormalChar"/>
    <w:uiPriority w:val="99"/>
    <w:rsid w:val="005A4F1E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A4F1E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A4F1E"/>
    <w:rPr>
      <w:rFonts w:eastAsia="SimSun" w:cs="Traditional Arabic"/>
      <w:szCs w:val="30"/>
      <w:lang w:val="es-ES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252A7"/>
    <w:pPr>
      <w:keepNext/>
      <w:keepLines/>
      <w:pBdr>
        <w:bottom w:val="single" w:sz="12" w:space="1" w:color="808080"/>
      </w:pBdr>
      <w:spacing w:before="36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252A7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Reasons">
    <w:name w:val="Reasons"/>
    <w:basedOn w:val="Normal"/>
    <w:qFormat/>
    <w:rsid w:val="007252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evsg@itu.int" TargetMode="External"/><Relationship Id="rId18" Type="http://schemas.openxmlformats.org/officeDocument/2006/relationships/hyperlink" Target="mailto:ashish.narayan@itu.in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hyperlink" Target="http://www.itu.int/en/ITU-D/ICT-Applications/eHEALTH/" TargetMode="External"/><Relationship Id="rId17" Type="http://schemas.openxmlformats.org/officeDocument/2006/relationships/hyperlink" Target="mailto:getachew.sahlu@itu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drissa.badiel@itu.in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TU-D/CDS/sg/rgqlist.asp?lg=1&amp;sp=2014&amp;rgq=D14-SG02-RGQ02.2&amp;stg=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rim.abdelghani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vsg@itu.in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hani.eskandar@itu.i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PS_BDT_Letter-Fax.dotx</Template>
  <TotalTime>47</TotalTime>
  <Pages>2</Pages>
  <Words>679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Stoudmann, Catherine</cp:lastModifiedBy>
  <cp:revision>1</cp:revision>
  <cp:lastPrinted>2015-03-25T09:20:00Z</cp:lastPrinted>
  <dcterms:created xsi:type="dcterms:W3CDTF">2015-03-25T07:34:00Z</dcterms:created>
  <dcterms:modified xsi:type="dcterms:W3CDTF">2015-03-25T10:31:00Z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