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jc w:val="center"/>
        <w:tblLayout w:type="fixed"/>
        <w:tblLook w:val="00A0" w:firstRow="1" w:lastRow="0" w:firstColumn="1" w:lastColumn="0" w:noHBand="0" w:noVBand="0"/>
      </w:tblPr>
      <w:tblGrid>
        <w:gridCol w:w="1701"/>
        <w:gridCol w:w="3522"/>
        <w:gridCol w:w="283"/>
        <w:gridCol w:w="4416"/>
      </w:tblGrid>
      <w:tr w:rsidR="00ED2F3B" w:rsidTr="00EA2AA4">
        <w:trPr>
          <w:jc w:val="center"/>
        </w:trPr>
        <w:tc>
          <w:tcPr>
            <w:tcW w:w="9922" w:type="dxa"/>
            <w:gridSpan w:val="4"/>
            <w:tcMar>
              <w:top w:w="142" w:type="dxa"/>
              <w:bottom w:w="142" w:type="dxa"/>
            </w:tcMar>
          </w:tcPr>
          <w:p w:rsidR="00ED2F3B" w:rsidRDefault="0033062F" w:rsidP="00D5554A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556053C" wp14:editId="20137BC2">
                  <wp:extent cx="6381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3B" w:rsidTr="00EA2AA4">
        <w:trPr>
          <w:jc w:val="center"/>
        </w:trPr>
        <w:tc>
          <w:tcPr>
            <w:tcW w:w="9922" w:type="dxa"/>
            <w:gridSpan w:val="4"/>
          </w:tcPr>
          <w:p w:rsidR="00ED2F3B" w:rsidRDefault="00ED2F3B" w:rsidP="00D5554A">
            <w:pPr>
              <w:spacing w:line="240" w:lineRule="auto"/>
              <w:rPr>
                <w:rStyle w:val="BDT-Name"/>
                <w:lang w:eastAsia="zh-CN"/>
              </w:rPr>
            </w:pPr>
            <w:bookmarkStart w:id="0" w:name="Logo"/>
            <w:bookmarkStart w:id="1" w:name="Origine"/>
            <w:bookmarkEnd w:id="0"/>
            <w:bookmarkEnd w:id="1"/>
            <w:r>
              <w:rPr>
                <w:rStyle w:val="BDT-Name"/>
                <w:rFonts w:hint="eastAsia"/>
                <w:lang w:eastAsia="zh-CN"/>
              </w:rPr>
              <w:t>电信发展局（</w:t>
            </w:r>
            <w:r>
              <w:rPr>
                <w:rStyle w:val="BDT-Name"/>
                <w:lang w:eastAsia="zh-CN"/>
              </w:rPr>
              <w:t>BDT</w:t>
            </w:r>
            <w:r>
              <w:rPr>
                <w:rStyle w:val="BDT-Name"/>
                <w:rFonts w:hint="eastAsia"/>
                <w:lang w:eastAsia="zh-CN"/>
              </w:rPr>
              <w:t>）</w:t>
            </w:r>
          </w:p>
        </w:tc>
      </w:tr>
      <w:tr w:rsidR="00ED2F3B" w:rsidTr="00EA2AA4">
        <w:trPr>
          <w:jc w:val="center"/>
        </w:trPr>
        <w:tc>
          <w:tcPr>
            <w:tcW w:w="9922" w:type="dxa"/>
            <w:gridSpan w:val="4"/>
          </w:tcPr>
          <w:p w:rsidR="00ED2F3B" w:rsidRDefault="00ED2F3B" w:rsidP="00D5554A">
            <w:pPr>
              <w:pStyle w:val="BDTSeparator"/>
              <w:rPr>
                <w:lang w:eastAsia="zh-CN"/>
              </w:rPr>
            </w:pPr>
          </w:p>
        </w:tc>
      </w:tr>
      <w:tr w:rsidR="00ED2F3B" w:rsidTr="00EA2AA4">
        <w:trPr>
          <w:jc w:val="center"/>
        </w:trPr>
        <w:tc>
          <w:tcPr>
            <w:tcW w:w="1701" w:type="dxa"/>
          </w:tcPr>
          <w:p w:rsidR="00ED2F3B" w:rsidRDefault="00ED2F3B" w:rsidP="00D5554A">
            <w:pPr>
              <w:pStyle w:val="BDTRef"/>
              <w:spacing w:before="0" w:after="0"/>
            </w:pPr>
            <w:proofErr w:type="spellStart"/>
            <w:r>
              <w:rPr>
                <w:rFonts w:hint="eastAsia"/>
              </w:rPr>
              <w:t>文号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3805" w:type="dxa"/>
            <w:gridSpan w:val="2"/>
          </w:tcPr>
          <w:p w:rsidR="00ED2F3B" w:rsidRDefault="002D2AFD" w:rsidP="00D5554A">
            <w:pPr>
              <w:pStyle w:val="BDTRef-Details"/>
              <w:spacing w:before="0" w:after="0"/>
              <w:rPr>
                <w:lang w:eastAsia="zh-CN"/>
              </w:rPr>
            </w:pPr>
            <w:proofErr w:type="spellStart"/>
            <w:r w:rsidRPr="007B519F">
              <w:rPr>
                <w:rFonts w:hint="eastAsia"/>
              </w:rPr>
              <w:t>通函</w:t>
            </w:r>
            <w:proofErr w:type="spellEnd"/>
            <w:r w:rsidRPr="007B519F">
              <w:rPr>
                <w:rFonts w:hint="eastAsia"/>
              </w:rPr>
              <w:t>BDT</w:t>
            </w:r>
            <w:r w:rsidRPr="007B519F">
              <w:t>/</w:t>
            </w:r>
            <w:r w:rsidRPr="007B519F">
              <w:rPr>
                <w:rFonts w:hint="eastAsia"/>
              </w:rPr>
              <w:t>IP</w:t>
            </w:r>
            <w:r w:rsidRPr="007B519F">
              <w:t>/</w:t>
            </w:r>
            <w:r w:rsidRPr="007B519F">
              <w:rPr>
                <w:rFonts w:hint="eastAsia"/>
              </w:rPr>
              <w:t>CSTG</w:t>
            </w:r>
            <w:r>
              <w:rPr>
                <w:rFonts w:hint="eastAsia"/>
              </w:rPr>
              <w:t>-1</w:t>
            </w:r>
            <w:r w:rsidR="00956A12">
              <w:rPr>
                <w:rFonts w:hint="eastAsia"/>
                <w:lang w:eastAsia="zh-CN"/>
              </w:rPr>
              <w:t>6</w:t>
            </w:r>
          </w:p>
        </w:tc>
        <w:tc>
          <w:tcPr>
            <w:tcW w:w="4416" w:type="dxa"/>
          </w:tcPr>
          <w:p w:rsidR="00ED2F3B" w:rsidRPr="00E03C63" w:rsidRDefault="002D2AFD" w:rsidP="00F31585">
            <w:pPr>
              <w:pStyle w:val="BDTDate"/>
              <w:spacing w:before="0" w:after="0"/>
              <w:rPr>
                <w:rFonts w:asciiTheme="minorHAnsi" w:hAnsiTheme="minorHAnsi"/>
                <w:szCs w:val="22"/>
              </w:rPr>
            </w:pPr>
            <w:r w:rsidRPr="00E03C63">
              <w:rPr>
                <w:rFonts w:asciiTheme="minorHAnsi" w:hAnsiTheme="minorHAnsi" w:cs="Traditional Arabic"/>
                <w:color w:val="333333"/>
                <w:szCs w:val="22"/>
                <w:lang w:val="en-GB"/>
              </w:rPr>
              <w:t>201</w:t>
            </w:r>
            <w:r w:rsidR="00AA60D3" w:rsidRPr="00E03C63">
              <w:rPr>
                <w:rFonts w:asciiTheme="minorHAnsi" w:hAnsiTheme="minorHAnsi" w:cs="Traditional Arabic"/>
                <w:color w:val="333333"/>
                <w:szCs w:val="22"/>
                <w:lang w:val="en-GB"/>
              </w:rPr>
              <w:t>3</w:t>
            </w:r>
            <w:r w:rsidRPr="00E03C63">
              <w:rPr>
                <w:rFonts w:asciiTheme="minorHAnsi" w:hAnsiTheme="minorHAnsi"/>
                <w:szCs w:val="22"/>
                <w:lang w:eastAsia="zh-CN"/>
              </w:rPr>
              <w:t>年</w:t>
            </w:r>
            <w:r w:rsidR="00AA60D3" w:rsidRPr="00E03C63">
              <w:rPr>
                <w:rFonts w:asciiTheme="minorHAnsi" w:hAnsiTheme="minorHAnsi" w:cs="Traditional Arabic"/>
                <w:color w:val="333333"/>
                <w:szCs w:val="22"/>
                <w:lang w:val="en-GB"/>
              </w:rPr>
              <w:t>1</w:t>
            </w:r>
            <w:r w:rsidRPr="00E03C63">
              <w:rPr>
                <w:rFonts w:asciiTheme="minorHAnsi" w:hAnsiTheme="minorHAnsi"/>
                <w:szCs w:val="22"/>
                <w:lang w:eastAsia="zh-CN"/>
              </w:rPr>
              <w:t>月</w:t>
            </w:r>
            <w:r w:rsidR="00F31585">
              <w:rPr>
                <w:rFonts w:asciiTheme="minorHAnsi" w:hAnsiTheme="minorHAnsi" w:cs="Traditional Arabic"/>
                <w:color w:val="333333"/>
                <w:szCs w:val="22"/>
                <w:lang w:val="en-GB"/>
              </w:rPr>
              <w:t>17</w:t>
            </w:r>
            <w:r w:rsidRPr="00E03C63">
              <w:rPr>
                <w:rFonts w:asciiTheme="minorHAnsi" w:hAnsiTheme="minorHAnsi"/>
                <w:szCs w:val="22"/>
                <w:lang w:eastAsia="zh-CN"/>
              </w:rPr>
              <w:t>日</w:t>
            </w:r>
            <w:r w:rsidR="00ED2F3B" w:rsidRPr="00E03C63">
              <w:rPr>
                <w:rFonts w:asciiTheme="minorHAnsi" w:hAnsiTheme="minorHAnsi"/>
                <w:szCs w:val="22"/>
              </w:rPr>
              <w:t>，</w:t>
            </w:r>
            <w:proofErr w:type="spellStart"/>
            <w:r w:rsidR="00ED2F3B" w:rsidRPr="00E03C63">
              <w:rPr>
                <w:rFonts w:asciiTheme="minorHAnsi" w:hAnsiTheme="minorHAnsi"/>
                <w:szCs w:val="22"/>
              </w:rPr>
              <w:t>日内瓦</w:t>
            </w:r>
            <w:proofErr w:type="spellEnd"/>
          </w:p>
        </w:tc>
      </w:tr>
      <w:tr w:rsidR="00ED2F3B" w:rsidTr="00EA2AA4">
        <w:trPr>
          <w:jc w:val="center"/>
        </w:trPr>
        <w:tc>
          <w:tcPr>
            <w:tcW w:w="5506" w:type="dxa"/>
            <w:gridSpan w:val="3"/>
          </w:tcPr>
          <w:p w:rsidR="00ED2F3B" w:rsidRDefault="00ED2F3B" w:rsidP="00D5554A">
            <w:pPr>
              <w:pStyle w:val="BDTSeparator"/>
            </w:pPr>
          </w:p>
        </w:tc>
        <w:tc>
          <w:tcPr>
            <w:tcW w:w="4416" w:type="dxa"/>
          </w:tcPr>
          <w:p w:rsidR="00ED2F3B" w:rsidRPr="00834DD6" w:rsidRDefault="00ED2F3B" w:rsidP="00D5554A">
            <w:pPr>
              <w:spacing w:before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D2F3B" w:rsidTr="00EA2AA4">
        <w:trPr>
          <w:jc w:val="center"/>
        </w:trPr>
        <w:tc>
          <w:tcPr>
            <w:tcW w:w="1701" w:type="dxa"/>
          </w:tcPr>
          <w:p w:rsidR="00ED2F3B" w:rsidRDefault="00ED2F3B" w:rsidP="00D5554A">
            <w:pPr>
              <w:pStyle w:val="BDTContact"/>
            </w:pPr>
          </w:p>
        </w:tc>
        <w:tc>
          <w:tcPr>
            <w:tcW w:w="3522" w:type="dxa"/>
          </w:tcPr>
          <w:p w:rsidR="00ED2F3B" w:rsidRDefault="00ED2F3B" w:rsidP="00D5554A">
            <w:pPr>
              <w:pStyle w:val="BDTContact-Details"/>
              <w:rPr>
                <w:lang w:eastAsia="zh-CN"/>
              </w:rPr>
            </w:pPr>
            <w:bookmarkStart w:id="2" w:name="Contact"/>
            <w:bookmarkEnd w:id="2"/>
          </w:p>
        </w:tc>
        <w:tc>
          <w:tcPr>
            <w:tcW w:w="283" w:type="dxa"/>
          </w:tcPr>
          <w:p w:rsidR="00ED2F3B" w:rsidRDefault="00ED2F3B" w:rsidP="00D5554A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 w:val="restart"/>
          </w:tcPr>
          <w:p w:rsidR="002D2AFD" w:rsidRPr="00834DD6" w:rsidRDefault="002D2AFD" w:rsidP="00D5554A">
            <w:pPr>
              <w:spacing w:before="0" w:line="240" w:lineRule="auto"/>
              <w:rPr>
                <w:sz w:val="20"/>
                <w:szCs w:val="20"/>
                <w:lang w:eastAsia="zh-CN"/>
              </w:rPr>
            </w:pPr>
            <w:r w:rsidRPr="00834DD6">
              <w:rPr>
                <w:rFonts w:hint="eastAsia"/>
                <w:sz w:val="20"/>
                <w:szCs w:val="20"/>
                <w:lang w:eastAsia="zh-CN"/>
              </w:rPr>
              <w:t>致：</w:t>
            </w:r>
          </w:p>
          <w:p w:rsidR="0001215A" w:rsidRPr="00834DD6" w:rsidRDefault="002D2AFD" w:rsidP="00D5554A">
            <w:pPr>
              <w:spacing w:before="80" w:line="240" w:lineRule="auto"/>
              <w:ind w:left="482" w:hanging="482"/>
              <w:rPr>
                <w:sz w:val="20"/>
                <w:szCs w:val="20"/>
                <w:lang w:eastAsia="zh-CN"/>
              </w:rPr>
            </w:pPr>
            <w:r w:rsidRPr="00834DD6">
              <w:rPr>
                <w:sz w:val="20"/>
                <w:szCs w:val="20"/>
                <w:lang w:eastAsia="zh-CN"/>
              </w:rPr>
              <w:t>–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ab/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国际电联各成员国主管部门</w:t>
            </w:r>
          </w:p>
          <w:p w:rsidR="002D2AFD" w:rsidRPr="00834DD6" w:rsidRDefault="002D2AFD" w:rsidP="00D5554A">
            <w:pPr>
              <w:spacing w:before="80" w:line="240" w:lineRule="auto"/>
              <w:ind w:left="482" w:hanging="482"/>
              <w:rPr>
                <w:sz w:val="20"/>
                <w:szCs w:val="20"/>
                <w:lang w:eastAsia="zh-CN"/>
              </w:rPr>
            </w:pPr>
            <w:r w:rsidRPr="00834DD6">
              <w:rPr>
                <w:sz w:val="20"/>
                <w:szCs w:val="20"/>
                <w:lang w:eastAsia="zh-CN"/>
              </w:rPr>
              <w:t>–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ab/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观察员（第</w:t>
            </w:r>
            <w:r w:rsidRPr="00C33260">
              <w:rPr>
                <w:szCs w:val="22"/>
                <w:lang w:eastAsia="zh-CN"/>
              </w:rPr>
              <w:t>99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号决议）</w:t>
            </w:r>
          </w:p>
          <w:p w:rsidR="002D2AFD" w:rsidRPr="00834DD6" w:rsidRDefault="002D2AFD" w:rsidP="00D5554A">
            <w:pPr>
              <w:spacing w:before="80" w:line="240" w:lineRule="auto"/>
              <w:ind w:left="482" w:hanging="482"/>
              <w:rPr>
                <w:sz w:val="20"/>
                <w:szCs w:val="20"/>
                <w:lang w:eastAsia="zh-CN"/>
              </w:rPr>
            </w:pPr>
            <w:r w:rsidRPr="00834DD6">
              <w:rPr>
                <w:sz w:val="20"/>
                <w:szCs w:val="20"/>
                <w:lang w:eastAsia="zh-CN"/>
              </w:rPr>
              <w:t>–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ab/>
            </w:r>
            <w:r w:rsidRPr="00834DD6">
              <w:rPr>
                <w:sz w:val="20"/>
                <w:szCs w:val="20"/>
                <w:lang w:eastAsia="zh-CN"/>
              </w:rPr>
              <w:t>ITU-D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部门成员</w:t>
            </w:r>
            <w:r w:rsidR="00C41E9B" w:rsidRPr="00834DD6">
              <w:rPr>
                <w:rFonts w:hint="eastAsia"/>
                <w:sz w:val="20"/>
                <w:szCs w:val="20"/>
                <w:lang w:eastAsia="zh-CN"/>
              </w:rPr>
              <w:t>、部门准成员、学术成员</w:t>
            </w:r>
          </w:p>
          <w:p w:rsidR="002D2AFD" w:rsidRPr="00834DD6" w:rsidRDefault="002D2AFD" w:rsidP="00D5554A">
            <w:pPr>
              <w:spacing w:before="80" w:line="240" w:lineRule="auto"/>
              <w:ind w:left="482" w:hanging="482"/>
              <w:rPr>
                <w:sz w:val="20"/>
                <w:szCs w:val="20"/>
                <w:lang w:eastAsia="zh-CN"/>
              </w:rPr>
            </w:pPr>
            <w:r w:rsidRPr="00834DD6">
              <w:rPr>
                <w:sz w:val="20"/>
                <w:szCs w:val="20"/>
                <w:lang w:eastAsia="zh-CN"/>
              </w:rPr>
              <w:t>–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ab/>
            </w:r>
            <w:r w:rsidRPr="00834DD6">
              <w:rPr>
                <w:sz w:val="20"/>
                <w:szCs w:val="20"/>
                <w:lang w:eastAsia="zh-CN"/>
              </w:rPr>
              <w:t>ITU-D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第</w:t>
            </w:r>
            <w:r w:rsidRPr="00834DD6">
              <w:rPr>
                <w:sz w:val="20"/>
                <w:szCs w:val="20"/>
                <w:lang w:eastAsia="zh-CN"/>
              </w:rPr>
              <w:t>1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和第</w:t>
            </w:r>
            <w:r w:rsidRPr="00834DD6">
              <w:rPr>
                <w:sz w:val="20"/>
                <w:szCs w:val="20"/>
                <w:lang w:eastAsia="zh-CN"/>
              </w:rPr>
              <w:t>2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研究组正副主席</w:t>
            </w:r>
            <w:r w:rsidR="00C41E9B" w:rsidRPr="00834DD6">
              <w:rPr>
                <w:rFonts w:hint="eastAsia"/>
                <w:sz w:val="20"/>
                <w:szCs w:val="20"/>
                <w:lang w:eastAsia="zh-CN"/>
              </w:rPr>
              <w:t>以及</w:t>
            </w:r>
            <w:r w:rsidRPr="00834DD6">
              <w:rPr>
                <w:sz w:val="20"/>
                <w:szCs w:val="20"/>
                <w:lang w:eastAsia="zh-CN"/>
              </w:rPr>
              <w:br/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正副报告人</w:t>
            </w:r>
          </w:p>
          <w:p w:rsidR="00ED2F3B" w:rsidRPr="00834DD6" w:rsidRDefault="002D2AFD" w:rsidP="00D5554A">
            <w:pPr>
              <w:pStyle w:val="BDTAddressee"/>
              <w:spacing w:before="80"/>
              <w:ind w:left="482" w:hanging="482"/>
              <w:rPr>
                <w:vanish/>
                <w:sz w:val="20"/>
                <w:szCs w:val="20"/>
                <w:lang w:eastAsia="zh-CN"/>
              </w:rPr>
            </w:pPr>
            <w:r w:rsidRPr="00834DD6">
              <w:rPr>
                <w:sz w:val="20"/>
                <w:szCs w:val="20"/>
                <w:lang w:eastAsia="zh-CN"/>
              </w:rPr>
              <w:t>–</w:t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ab/>
            </w:r>
            <w:r w:rsidRPr="00834DD6">
              <w:rPr>
                <w:rFonts w:hint="eastAsia"/>
                <w:sz w:val="20"/>
                <w:szCs w:val="20"/>
                <w:lang w:eastAsia="zh-CN"/>
              </w:rPr>
              <w:t>观察员（区域性组织和国际组织）</w:t>
            </w:r>
          </w:p>
        </w:tc>
      </w:tr>
      <w:tr w:rsidR="00ED2F3B" w:rsidTr="00EA2AA4">
        <w:trPr>
          <w:jc w:val="center"/>
        </w:trPr>
        <w:tc>
          <w:tcPr>
            <w:tcW w:w="1701" w:type="dxa"/>
          </w:tcPr>
          <w:p w:rsidR="00ED2F3B" w:rsidRDefault="00ED2F3B" w:rsidP="00D5554A">
            <w:pPr>
              <w:pStyle w:val="BDTContact"/>
              <w:rPr>
                <w:lang w:eastAsia="zh-CN"/>
              </w:rPr>
            </w:pPr>
          </w:p>
        </w:tc>
        <w:tc>
          <w:tcPr>
            <w:tcW w:w="3522" w:type="dxa"/>
          </w:tcPr>
          <w:p w:rsidR="00ED2F3B" w:rsidRDefault="00ED2F3B" w:rsidP="00D5554A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 w:rsidP="00D5554A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 w:rsidP="00D5554A">
            <w:pPr>
              <w:spacing w:before="0" w:line="240" w:lineRule="auto"/>
              <w:rPr>
                <w:lang w:val="en-GB" w:eastAsia="zh-CN"/>
              </w:rPr>
            </w:pPr>
          </w:p>
        </w:tc>
      </w:tr>
      <w:tr w:rsidR="00ED2F3B" w:rsidTr="00EA2AA4">
        <w:trPr>
          <w:jc w:val="center"/>
        </w:trPr>
        <w:tc>
          <w:tcPr>
            <w:tcW w:w="1701" w:type="dxa"/>
          </w:tcPr>
          <w:p w:rsidR="00ED2F3B" w:rsidRDefault="00ED2F3B" w:rsidP="00D5554A">
            <w:pPr>
              <w:pStyle w:val="BDTContact"/>
              <w:rPr>
                <w:lang w:eastAsia="zh-CN"/>
              </w:rPr>
            </w:pPr>
          </w:p>
        </w:tc>
        <w:tc>
          <w:tcPr>
            <w:tcW w:w="3522" w:type="dxa"/>
          </w:tcPr>
          <w:p w:rsidR="00ED2F3B" w:rsidRDefault="00ED2F3B" w:rsidP="00D5554A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 w:rsidP="00D5554A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 w:rsidP="00D5554A">
            <w:pPr>
              <w:spacing w:before="0" w:line="240" w:lineRule="auto"/>
              <w:rPr>
                <w:lang w:val="en-GB" w:eastAsia="zh-CN"/>
              </w:rPr>
            </w:pPr>
          </w:p>
        </w:tc>
      </w:tr>
      <w:tr w:rsidR="00ED2F3B" w:rsidTr="00EA2AA4">
        <w:trPr>
          <w:jc w:val="center"/>
        </w:trPr>
        <w:tc>
          <w:tcPr>
            <w:tcW w:w="1701" w:type="dxa"/>
          </w:tcPr>
          <w:p w:rsidR="00ED2F3B" w:rsidRDefault="00ED2F3B" w:rsidP="00D5554A">
            <w:pPr>
              <w:pStyle w:val="BDTContact"/>
              <w:rPr>
                <w:lang w:eastAsia="zh-CN"/>
              </w:rPr>
            </w:pPr>
          </w:p>
        </w:tc>
        <w:tc>
          <w:tcPr>
            <w:tcW w:w="3522" w:type="dxa"/>
          </w:tcPr>
          <w:p w:rsidR="00ED2F3B" w:rsidRDefault="00ED2F3B" w:rsidP="00D5554A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 w:rsidP="00D5554A">
            <w:pPr>
              <w:spacing w:before="0" w:line="240" w:lineRule="auto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 w:rsidP="00D5554A">
            <w:pPr>
              <w:spacing w:before="0" w:line="240" w:lineRule="auto"/>
              <w:rPr>
                <w:lang w:val="en-GB" w:eastAsia="zh-CN"/>
              </w:rPr>
            </w:pPr>
          </w:p>
        </w:tc>
      </w:tr>
      <w:tr w:rsidR="00ED2F3B" w:rsidTr="00EA2AA4">
        <w:trPr>
          <w:jc w:val="center"/>
        </w:trPr>
        <w:tc>
          <w:tcPr>
            <w:tcW w:w="9922" w:type="dxa"/>
            <w:gridSpan w:val="4"/>
          </w:tcPr>
          <w:p w:rsidR="00ED2F3B" w:rsidRDefault="00ED2F3B" w:rsidP="00D5554A">
            <w:pPr>
              <w:pStyle w:val="BDTSeparator"/>
              <w:rPr>
                <w:lang w:eastAsia="zh-CN"/>
              </w:rPr>
            </w:pPr>
          </w:p>
        </w:tc>
      </w:tr>
      <w:tr w:rsidR="002D2AFD" w:rsidTr="00EA2AA4">
        <w:trPr>
          <w:jc w:val="center"/>
        </w:trPr>
        <w:tc>
          <w:tcPr>
            <w:tcW w:w="1701" w:type="dxa"/>
          </w:tcPr>
          <w:p w:rsidR="002D2AFD" w:rsidRPr="00B361ED" w:rsidRDefault="002D2AFD" w:rsidP="00D5554A">
            <w:pPr>
              <w:pStyle w:val="BDTSubjec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B361ED">
              <w:rPr>
                <w:rFonts w:hint="eastAsia"/>
                <w:b/>
                <w:bCs/>
                <w:sz w:val="20"/>
                <w:szCs w:val="20"/>
              </w:rPr>
              <w:t>事由</w:t>
            </w:r>
            <w:proofErr w:type="spellEnd"/>
            <w:r w:rsidRPr="00B361ED">
              <w:rPr>
                <w:rFonts w:hint="eastAsia"/>
                <w:b/>
                <w:bCs/>
                <w:sz w:val="20"/>
                <w:szCs w:val="20"/>
              </w:rPr>
              <w:t>：</w:t>
            </w:r>
            <w:r w:rsidR="005F278E" w:rsidRPr="00B361ED"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221" w:type="dxa"/>
            <w:gridSpan w:val="3"/>
          </w:tcPr>
          <w:p w:rsidR="00142C44" w:rsidRPr="00B361ED" w:rsidRDefault="005D27DC" w:rsidP="004612FE">
            <w:pPr>
              <w:spacing w:before="80" w:line="240" w:lineRule="auto"/>
              <w:rPr>
                <w:b/>
                <w:bCs/>
                <w:sz w:val="20"/>
                <w:szCs w:val="20"/>
                <w:lang w:eastAsia="zh-CN"/>
              </w:rPr>
            </w:pPr>
            <w:bookmarkStart w:id="3" w:name="Subject"/>
            <w:bookmarkEnd w:id="3"/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国际电联</w:t>
            </w:r>
            <w:r w:rsidRPr="000A6C69">
              <w:rPr>
                <w:rFonts w:hint="eastAsia"/>
                <w:b/>
                <w:bCs/>
                <w:szCs w:val="22"/>
                <w:lang w:eastAsia="zh-CN"/>
              </w:rPr>
              <w:t>201</w:t>
            </w:r>
            <w:r w:rsidR="004612FE">
              <w:rPr>
                <w:b/>
                <w:bCs/>
                <w:szCs w:val="22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年关于“提高网络安全意识的措施”的调查</w:t>
            </w:r>
          </w:p>
        </w:tc>
      </w:tr>
      <w:tr w:rsidR="00E03C63" w:rsidTr="00334584">
        <w:trPr>
          <w:jc w:val="center"/>
        </w:trPr>
        <w:tc>
          <w:tcPr>
            <w:tcW w:w="9922" w:type="dxa"/>
            <w:gridSpan w:val="4"/>
          </w:tcPr>
          <w:p w:rsidR="00E03C63" w:rsidRPr="00834DD6" w:rsidRDefault="00E03C63" w:rsidP="00D5554A">
            <w:pPr>
              <w:pStyle w:val="BDTSeparator"/>
              <w:rPr>
                <w:sz w:val="20"/>
                <w:szCs w:val="20"/>
                <w:lang w:eastAsia="zh-CN"/>
              </w:rPr>
            </w:pPr>
          </w:p>
        </w:tc>
      </w:tr>
      <w:tr w:rsidR="002D2AFD" w:rsidRPr="00706BDA" w:rsidTr="00EA2AA4">
        <w:trPr>
          <w:jc w:val="center"/>
        </w:trPr>
        <w:tc>
          <w:tcPr>
            <w:tcW w:w="9922" w:type="dxa"/>
            <w:gridSpan w:val="4"/>
          </w:tcPr>
          <w:p w:rsidR="00F0122B" w:rsidRPr="00706BDA" w:rsidRDefault="00F0122B" w:rsidP="00D5554A">
            <w:pPr>
              <w:pStyle w:val="CEONormal"/>
              <w:spacing w:after="0"/>
              <w:rPr>
                <w:rFonts w:ascii="SimSun" w:eastAsia="SimSun" w:hAnsi="SimSun" w:cstheme="minorHAnsi"/>
                <w:sz w:val="20"/>
                <w:szCs w:val="20"/>
                <w:lang w:eastAsia="zh-CN"/>
              </w:rPr>
            </w:pPr>
            <w:r w:rsidRPr="00706BDA">
              <w:rPr>
                <w:rFonts w:ascii="SimSun" w:eastAsia="SimSun" w:hAnsi="SimSun" w:cstheme="minorHAnsi" w:hint="eastAsia"/>
                <w:sz w:val="20"/>
                <w:szCs w:val="20"/>
                <w:lang w:eastAsia="zh-CN"/>
              </w:rPr>
              <w:t>尊敬的先生/女士：</w:t>
            </w:r>
          </w:p>
          <w:p w:rsidR="00F0122B" w:rsidRPr="00956A12" w:rsidRDefault="005D27DC" w:rsidP="009A3F2F">
            <w:pPr>
              <w:pStyle w:val="CEONormal"/>
              <w:spacing w:after="0"/>
              <w:ind w:firstLineChars="200" w:firstLine="442"/>
              <w:rPr>
                <w:rFonts w:asciiTheme="minorHAnsi" w:eastAsia="SimSun" w:hAnsiTheme="minorHAnsi" w:cstheme="minorHAnsi"/>
                <w:sz w:val="20"/>
                <w:szCs w:val="20"/>
                <w:lang w:val="en-US" w:eastAsia="zh-CN"/>
              </w:rPr>
            </w:pPr>
            <w:r w:rsidRPr="000A6C69">
              <w:rPr>
                <w:rFonts w:asciiTheme="minorHAnsi" w:eastAsia="SimSun" w:hAnsiTheme="minorHAnsi" w:cstheme="minorHAnsi" w:hint="eastAsia"/>
                <w:b/>
                <w:bCs/>
                <w:sz w:val="22"/>
                <w:szCs w:val="22"/>
                <w:lang w:eastAsia="zh-CN"/>
              </w:rPr>
              <w:t>ITU-D</w:t>
            </w:r>
            <w:r w:rsidRPr="005A05B3">
              <w:rPr>
                <w:rFonts w:asciiTheme="minorHAnsi" w:eastAsia="SimSun" w:hAnsiTheme="minorHAnsi" w:cstheme="minorHAnsi" w:hint="eastAsia"/>
                <w:b/>
                <w:bCs/>
                <w:sz w:val="20"/>
                <w:szCs w:val="20"/>
                <w:lang w:eastAsia="zh-CN"/>
              </w:rPr>
              <w:t>第</w:t>
            </w:r>
            <w:r w:rsidRPr="000A6C69">
              <w:rPr>
                <w:rFonts w:asciiTheme="minorHAnsi" w:eastAsia="SimSun" w:hAnsiTheme="minorHAnsi" w:cstheme="minorHAnsi" w:hint="eastAsia"/>
                <w:b/>
                <w:bCs/>
                <w:sz w:val="22"/>
                <w:szCs w:val="22"/>
                <w:lang w:eastAsia="zh-CN"/>
              </w:rPr>
              <w:t>1</w:t>
            </w:r>
            <w:r w:rsidRPr="005A05B3">
              <w:rPr>
                <w:rFonts w:asciiTheme="minorHAnsi" w:eastAsia="SimSun" w:hAnsiTheme="minorHAnsi" w:cstheme="minorHAnsi" w:hint="eastAsia"/>
                <w:b/>
                <w:bCs/>
                <w:sz w:val="20"/>
                <w:szCs w:val="20"/>
                <w:lang w:eastAsia="zh-CN"/>
              </w:rPr>
              <w:t>研究组第</w:t>
            </w:r>
            <w:r w:rsidRPr="000A6C69">
              <w:rPr>
                <w:rFonts w:asciiTheme="minorHAnsi" w:eastAsia="SimSun" w:hAnsiTheme="minorHAnsi" w:cstheme="minorHAnsi" w:hint="eastAsia"/>
                <w:b/>
                <w:bCs/>
                <w:sz w:val="22"/>
                <w:szCs w:val="22"/>
                <w:lang w:eastAsia="zh-CN"/>
              </w:rPr>
              <w:t>22-1/1</w:t>
            </w:r>
            <w:r w:rsidRPr="005A05B3">
              <w:rPr>
                <w:rFonts w:asciiTheme="minorHAnsi" w:eastAsia="SimSun" w:hAnsiTheme="minorHAnsi" w:cstheme="minorHAnsi" w:hint="eastAsia"/>
                <w:b/>
                <w:bCs/>
                <w:sz w:val="20"/>
                <w:szCs w:val="20"/>
                <w:lang w:eastAsia="zh-CN"/>
              </w:rPr>
              <w:t>号课题报告人组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致力于“</w:t>
            </w:r>
            <w:r w:rsidRPr="005D27DC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保证信息和通信网络的安全：培育网络安全文化的最佳做法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”，于</w:t>
            </w:r>
            <w:r w:rsidRPr="000A6C69">
              <w:rPr>
                <w:rFonts w:asciiTheme="minorHAnsi" w:eastAsia="SimSun" w:hAnsiTheme="minorHAnsi" w:cstheme="minorHAnsi" w:hint="eastAsia"/>
                <w:b/>
                <w:bCs/>
                <w:sz w:val="22"/>
                <w:szCs w:val="22"/>
                <w:lang w:eastAsia="zh-CN"/>
              </w:rPr>
              <w:t>2012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年</w:t>
            </w:r>
            <w:r w:rsidRPr="000A6C69">
              <w:rPr>
                <w:rFonts w:asciiTheme="minorHAnsi" w:eastAsia="SimSun" w:hAnsiTheme="minorHAnsi" w:cstheme="minorHAnsi" w:hint="eastAsia"/>
                <w:b/>
                <w:bCs/>
                <w:sz w:val="22"/>
                <w:szCs w:val="22"/>
                <w:lang w:eastAsia="zh-CN"/>
              </w:rPr>
              <w:t>9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月</w:t>
            </w:r>
            <w:r w:rsidRPr="00F3634F">
              <w:rPr>
                <w:rFonts w:asciiTheme="minorHAnsi" w:eastAsia="SimSun" w:hAnsiTheme="minorHAnsi" w:cstheme="minorHAnsi" w:hint="eastAsia"/>
                <w:sz w:val="22"/>
                <w:szCs w:val="22"/>
                <w:lang w:eastAsia="zh-CN"/>
              </w:rPr>
              <w:t>13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日在日内瓦召开的会议上同意开展一项关于</w:t>
            </w:r>
            <w:r w:rsidR="009A3F2F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各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国在提高网络安全意识方面所采取的措施的调查。</w:t>
            </w:r>
          </w:p>
          <w:p w:rsidR="00F0122B" w:rsidRPr="00706BDA" w:rsidRDefault="00874056" w:rsidP="009A3F2F">
            <w:pPr>
              <w:pStyle w:val="CEONormal"/>
              <w:spacing w:after="0"/>
              <w:ind w:firstLineChars="200" w:firstLine="400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培育</w:t>
            </w:r>
            <w:r w:rsidR="00562A97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网络安全意识文化被许多</w:t>
            </w:r>
            <w:r w:rsidR="009A3F2F">
              <w:rPr>
                <w:rFonts w:asciiTheme="minorHAnsi" w:eastAsia="SimSun" w:hAnsiTheme="minorHAnsi" w:cstheme="minorHAnsi" w:hint="eastAsia"/>
                <w:sz w:val="20"/>
                <w:szCs w:val="20"/>
                <w:lang w:val="en-US" w:eastAsia="zh-CN"/>
              </w:rPr>
              <w:t>国家</w:t>
            </w:r>
            <w:r w:rsidR="00562A97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视为是国家网络安全战略中不可或缺的组成部分，需要不同的利益相关方开展协作，并采取协调一致的行动。</w:t>
            </w:r>
            <w:r w:rsidR="00562A97" w:rsidRPr="000A6C69">
              <w:rPr>
                <w:rFonts w:asciiTheme="minorHAnsi" w:eastAsia="SimSun" w:hAnsiTheme="minorHAnsi" w:cstheme="minorHAnsi" w:hint="eastAsia"/>
                <w:sz w:val="22"/>
                <w:szCs w:val="22"/>
                <w:lang w:eastAsia="zh-CN"/>
              </w:rPr>
              <w:t>201</w:t>
            </w:r>
            <w:r w:rsidR="001620E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  <w:r w:rsidR="00562A97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年关于“提高网络安全意识的措施”的调查旨在</w:t>
            </w:r>
            <w:r w:rsidR="009A3F2F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收集信息并听取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各方意见，了解</w:t>
            </w:r>
            <w:r w:rsidR="00562A97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各国</w:t>
            </w:r>
            <w:r w:rsidR="009A3F2F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政府</w:t>
            </w:r>
            <w:r w:rsidR="00562A97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、企业和专家组如何就网络安全议题（包括保护上网儿童和残疾人的网络安全需求）对个人和实体进行教育和鼓励。有关此项调查的详细信息可参阅附件和专门网站。</w:t>
            </w:r>
          </w:p>
          <w:p w:rsidR="00956A12" w:rsidRPr="00956A12" w:rsidRDefault="00562A97" w:rsidP="009A3F2F">
            <w:pPr>
              <w:pStyle w:val="CEONormal"/>
              <w:ind w:firstLineChars="200" w:firstLine="400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您可通过以下地址在线访问关于“</w:t>
            </w:r>
            <w:r w:rsidR="009A3F2F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各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成员在提高网络安全意识方面所采取的措施”的调查：</w:t>
            </w:r>
          </w:p>
          <w:p w:rsidR="00F0122B" w:rsidRPr="00E03C63" w:rsidRDefault="00B13ABA" w:rsidP="00E03C63">
            <w:pPr>
              <w:pStyle w:val="CEONormal"/>
              <w:spacing w:after="0"/>
              <w:ind w:firstLineChars="287" w:firstLine="545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hyperlink r:id="rId9" w:history="1">
              <w:r w:rsidR="00AA60D3" w:rsidRPr="00E03C63">
                <w:rPr>
                  <w:rStyle w:val="Hyperlink"/>
                  <w:rFonts w:asciiTheme="minorHAnsi" w:hAnsiTheme="minorHAnsi" w:cs="Traditional Arabic"/>
                  <w:sz w:val="22"/>
                  <w:szCs w:val="22"/>
                </w:rPr>
                <w:t>http://www.itu.int/zh/ITU-D/Study-Groups/Pages/surveys/2013_Q22-1-1_CSTG016.aspx</w:t>
              </w:r>
            </w:hyperlink>
            <w:r w:rsidR="00AA60D3" w:rsidRPr="00E03C63">
              <w:rPr>
                <w:rFonts w:asciiTheme="minorHAnsi" w:hAnsiTheme="minorHAnsi" w:cs="Traditional Arabic"/>
                <w:sz w:val="22"/>
                <w:szCs w:val="22"/>
              </w:rPr>
              <w:t xml:space="preserve"> </w:t>
            </w:r>
          </w:p>
          <w:p w:rsidR="0040048E" w:rsidRPr="00706BDA" w:rsidRDefault="005D27DC" w:rsidP="00D5554A">
            <w:pPr>
              <w:pStyle w:val="CEONormal"/>
              <w:spacing w:after="0"/>
              <w:ind w:firstLineChars="200" w:firstLine="400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>此项调查</w:t>
            </w:r>
            <w:r w:rsidR="009E02C5" w:rsidRPr="00706BDA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的成功</w:t>
            </w:r>
            <w:r w:rsidR="0040048E" w:rsidRPr="00706BDA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和价值有赖于各成员国</w:t>
            </w:r>
            <w:r>
              <w:rPr>
                <w:rFonts w:asciiTheme="minorHAnsi" w:eastAsia="SimSun" w:hAnsiTheme="minorHAnsi" w:cstheme="minorHAnsi" w:hint="eastAsia"/>
                <w:sz w:val="20"/>
                <w:szCs w:val="20"/>
                <w:lang w:val="en-US" w:eastAsia="zh-CN"/>
              </w:rPr>
              <w:t>、部门成员、部门准成员及学术成员</w:t>
            </w:r>
            <w:r w:rsidR="0040048E" w:rsidRPr="00706BDA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提供的输入素材。我期待贵方踊跃参与并为</w:t>
            </w:r>
            <w:r w:rsidR="0040048E" w:rsidRPr="00F3634F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ITU-D</w:t>
            </w:r>
            <w:r w:rsidR="0040048E" w:rsidRPr="00706BDA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研究组的工作提供支持和文稿。</w:t>
            </w:r>
          </w:p>
          <w:p w:rsidR="0040048E" w:rsidRPr="00706BDA" w:rsidRDefault="0040048E" w:rsidP="00D5554A">
            <w:pPr>
              <w:pStyle w:val="CEONormal"/>
              <w:spacing w:after="0"/>
              <w:ind w:firstLineChars="200" w:firstLine="400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706BDA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我对您的合作预致感谢。</w:t>
            </w:r>
          </w:p>
          <w:p w:rsidR="007B357F" w:rsidRDefault="007B357F" w:rsidP="00DD6710">
            <w:pPr>
              <w:pStyle w:val="CEOClosing"/>
              <w:spacing w:before="240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06BDA">
              <w:rPr>
                <w:rFonts w:ascii="Times New Roman" w:hAnsi="Times New Roman" w:hint="eastAsia"/>
                <w:sz w:val="20"/>
                <w:szCs w:val="20"/>
              </w:rPr>
              <w:t>顺致敬意，</w:t>
            </w:r>
          </w:p>
          <w:p w:rsidR="00DD6710" w:rsidRDefault="00C33260" w:rsidP="009D4CA4">
            <w:pPr>
              <w:pStyle w:val="CEOClosing"/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173CF">
              <w:rPr>
                <w:rFonts w:ascii="Times New Roman" w:hAnsi="Times New Roman"/>
                <w:sz w:val="20"/>
                <w:szCs w:val="20"/>
              </w:rPr>
              <w:t>[</w:t>
            </w:r>
            <w:r w:rsidRPr="006173CF">
              <w:rPr>
                <w:rFonts w:ascii="Times New Roman" w:hAnsi="Times New Roman" w:hint="eastAsia"/>
                <w:sz w:val="20"/>
                <w:szCs w:val="20"/>
              </w:rPr>
              <w:t>原件已签</w:t>
            </w:r>
            <w:r w:rsidRPr="006173CF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2D2AFD" w:rsidRDefault="00E65C5F" w:rsidP="00D5554A">
            <w:pPr>
              <w:pStyle w:val="BDTSignatureName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US" w:eastAsia="zh-CN"/>
              </w:rPr>
            </w:pPr>
            <w:r w:rsidRPr="00706BDA">
              <w:rPr>
                <w:rFonts w:ascii="Times New Roman" w:hAnsi="Times New Roman" w:cs="Times New Roman" w:hint="eastAsia"/>
                <w:bCs w:val="0"/>
                <w:color w:val="auto"/>
                <w:sz w:val="20"/>
                <w:szCs w:val="20"/>
                <w:lang w:val="en-US" w:eastAsia="zh-CN"/>
              </w:rPr>
              <w:t>电信发展局主任</w:t>
            </w:r>
            <w:r w:rsidRPr="00706BD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US" w:eastAsia="zh-CN"/>
              </w:rPr>
              <w:br/>
            </w:r>
            <w:r w:rsidR="002D2AFD" w:rsidRPr="00706BDA">
              <w:rPr>
                <w:rFonts w:ascii="Times New Roman" w:hAnsi="Times New Roman" w:cs="Times New Roman" w:hint="eastAsia"/>
                <w:bCs w:val="0"/>
                <w:color w:val="auto"/>
                <w:sz w:val="20"/>
                <w:szCs w:val="20"/>
                <w:lang w:val="en-US" w:eastAsia="zh-CN"/>
              </w:rPr>
              <w:t>布哈伊马</w:t>
            </w:r>
            <w:r w:rsidR="00D5554A" w:rsidRPr="00D5554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US" w:eastAsia="zh-CN"/>
              </w:rPr>
              <w:t>•</w:t>
            </w:r>
            <w:r w:rsidR="002D2AFD" w:rsidRPr="00706BDA">
              <w:rPr>
                <w:rFonts w:ascii="Times New Roman" w:hAnsi="Times New Roman" w:cs="Times New Roman" w:hint="eastAsia"/>
                <w:bCs w:val="0"/>
                <w:color w:val="auto"/>
                <w:sz w:val="20"/>
                <w:szCs w:val="20"/>
                <w:lang w:val="en-US" w:eastAsia="zh-CN"/>
              </w:rPr>
              <w:t>萨努</w:t>
            </w:r>
            <w:bookmarkStart w:id="4" w:name="CurrentLocation"/>
            <w:bookmarkEnd w:id="4"/>
          </w:p>
          <w:p w:rsidR="009D4CA4" w:rsidRDefault="009D4CA4" w:rsidP="009D4CA4">
            <w:pPr>
              <w:pStyle w:val="BDTVisa"/>
              <w:rPr>
                <w:lang w:val="en-US" w:eastAsia="zh-CN"/>
              </w:rPr>
            </w:pPr>
          </w:p>
          <w:p w:rsidR="00C33260" w:rsidRDefault="00C33260" w:rsidP="009D4CA4">
            <w:pPr>
              <w:pStyle w:val="BDTVisa"/>
              <w:rPr>
                <w:lang w:val="en-US" w:eastAsia="zh-CN"/>
              </w:rPr>
            </w:pPr>
          </w:p>
          <w:p w:rsidR="009D4CA4" w:rsidRPr="009D4CA4" w:rsidRDefault="009D4CA4" w:rsidP="009D4CA4">
            <w:pPr>
              <w:pStyle w:val="BDTVisa"/>
              <w:rPr>
                <w:lang w:val="en-US" w:eastAsia="zh-CN"/>
              </w:rPr>
            </w:pPr>
            <w:r w:rsidRPr="00E03C63">
              <w:rPr>
                <w:rFonts w:hint="eastAsia"/>
                <w:b/>
                <w:bCs/>
                <w:sz w:val="20"/>
                <w:lang w:eastAsia="zh-CN"/>
              </w:rPr>
              <w:t>附件：</w:t>
            </w:r>
            <w:r w:rsidRPr="00E03C63">
              <w:rPr>
                <w:rFonts w:hint="eastAsia"/>
                <w:sz w:val="20"/>
                <w:lang w:eastAsia="zh-CN"/>
              </w:rPr>
              <w:t>1</w:t>
            </w:r>
            <w:r w:rsidRPr="00E03C63">
              <w:rPr>
                <w:rFonts w:hint="eastAsia"/>
                <w:sz w:val="20"/>
                <w:lang w:eastAsia="zh-CN"/>
              </w:rPr>
              <w:t>件</w:t>
            </w:r>
          </w:p>
        </w:tc>
      </w:tr>
    </w:tbl>
    <w:p w:rsidR="00DA38F9" w:rsidRDefault="00DA38F9" w:rsidP="00D555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2"/>
          <w:lang w:eastAsia="zh-CN"/>
        </w:rPr>
      </w:pPr>
    </w:p>
    <w:p w:rsidR="006C6DE8" w:rsidRPr="00D5554A" w:rsidRDefault="006C6DE8" w:rsidP="00D5554A">
      <w:pPr>
        <w:pStyle w:val="BDTNormal"/>
        <w:spacing w:after="0"/>
        <w:jc w:val="center"/>
        <w:rPr>
          <w:rFonts w:cs="Calibri"/>
          <w:szCs w:val="22"/>
          <w:lang w:val="en-US" w:eastAsia="zh-CN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912F42" w:rsidRPr="00D5554A" w:rsidTr="00956A12">
        <w:trPr>
          <w:jc w:val="center"/>
        </w:trPr>
        <w:tc>
          <w:tcPr>
            <w:tcW w:w="9889" w:type="dxa"/>
          </w:tcPr>
          <w:p w:rsidR="00912F42" w:rsidRDefault="00912F42" w:rsidP="006B664F">
            <w:pPr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lang w:eastAsia="zh-CN"/>
              </w:rPr>
              <w:br w:type="page"/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br w:type="page"/>
            </w:r>
            <w:r w:rsidR="006B664F" w:rsidRPr="00D5554A">
              <w:rPr>
                <w:rFonts w:cs="Calibri"/>
                <w:b/>
                <w:bCs/>
                <w:szCs w:val="22"/>
                <w:lang w:eastAsia="zh-CN"/>
              </w:rPr>
              <w:t>附件</w:t>
            </w:r>
            <w:r w:rsidR="006B664F" w:rsidRPr="00D5554A">
              <w:rPr>
                <w:rFonts w:cs="Calibri"/>
                <w:b/>
                <w:bCs/>
                <w:szCs w:val="22"/>
                <w:lang w:eastAsia="zh-CN"/>
              </w:rPr>
              <w:t>1</w:t>
            </w:r>
          </w:p>
          <w:p w:rsidR="006B664F" w:rsidRPr="00D5554A" w:rsidRDefault="006B664F" w:rsidP="00D5554A">
            <w:pPr>
              <w:rPr>
                <w:rFonts w:cs="Calibri"/>
                <w:b/>
                <w:bCs/>
                <w:szCs w:val="22"/>
                <w:lang w:eastAsia="zh-CN"/>
              </w:rPr>
            </w:pPr>
          </w:p>
          <w:p w:rsidR="00912F42" w:rsidRPr="00D5554A" w:rsidRDefault="00550C89" w:rsidP="00D5554A">
            <w:pPr>
              <w:pBdr>
                <w:bottom w:val="single" w:sz="12" w:space="1" w:color="7F7F7F" w:themeColor="text1" w:themeTint="80"/>
              </w:pBd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val="en-GB" w:eastAsia="zh-CN"/>
              </w:rPr>
            </w:pPr>
            <w:r w:rsidRPr="00D5554A">
              <w:rPr>
                <w:rFonts w:cs="Calibri"/>
                <w:b/>
                <w:bCs/>
                <w:sz w:val="20"/>
                <w:szCs w:val="20"/>
                <w:lang w:val="en-GB" w:eastAsia="zh-CN"/>
              </w:rPr>
              <w:t>第</w:t>
            </w:r>
            <w:r w:rsidRPr="008128FF">
              <w:rPr>
                <w:rFonts w:cs="Calibri"/>
                <w:b/>
                <w:bCs/>
                <w:szCs w:val="22"/>
                <w:lang w:val="en-GB" w:eastAsia="zh-CN"/>
              </w:rPr>
              <w:t>22-1/1</w:t>
            </w:r>
            <w:r w:rsidRPr="00D5554A">
              <w:rPr>
                <w:rFonts w:cs="Calibri"/>
                <w:b/>
                <w:bCs/>
                <w:sz w:val="20"/>
                <w:szCs w:val="20"/>
                <w:lang w:val="en-GB" w:eastAsia="zh-CN"/>
              </w:rPr>
              <w:t>号课题预期输出成果</w:t>
            </w:r>
          </w:p>
          <w:p w:rsidR="00912F42" w:rsidRPr="00D5554A" w:rsidRDefault="00550C89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val="en-GB" w:eastAsia="zh-CN"/>
              </w:rPr>
            </w:pP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可通过下列网站在线了解有关第</w:t>
            </w:r>
            <w:r w:rsidRPr="008128FF">
              <w:rPr>
                <w:rFonts w:cs="Calibri"/>
                <w:szCs w:val="22"/>
                <w:lang w:val="en-GB" w:eastAsia="zh-CN"/>
              </w:rPr>
              <w:t>22-1/1</w:t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号课题工作预期输出成果的详细信息：</w:t>
            </w:r>
          </w:p>
          <w:p w:rsidR="00912F42" w:rsidRPr="00E03C63" w:rsidRDefault="00B13ABA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asciiTheme="minorHAnsi" w:hAnsiTheme="minorHAnsi" w:cs="Calibri"/>
                <w:szCs w:val="22"/>
                <w:lang w:val="en-GB" w:eastAsia="zh-CN"/>
              </w:rPr>
            </w:pPr>
            <w:hyperlink r:id="rId10" w:history="1">
              <w:r w:rsidR="00912F42" w:rsidRPr="00E03C63">
                <w:rPr>
                  <w:rFonts w:asciiTheme="minorHAnsi" w:hAnsiTheme="minorHAnsi" w:cs="Calibri"/>
                  <w:color w:val="0000FF"/>
                  <w:szCs w:val="22"/>
                  <w:u w:val="single"/>
                  <w:lang w:val="en-GB"/>
                </w:rPr>
                <w:t>http://www.itu.int/net3/ITU-D/stg/rgqlist.aspx?rgq=D10-RGQ22.1.1&amp;stg=1</w:t>
              </w:r>
            </w:hyperlink>
            <w:r w:rsidR="00562A97" w:rsidRPr="00E03C63">
              <w:rPr>
                <w:rFonts w:asciiTheme="minorHAnsi" w:hAnsiTheme="minorHAnsi" w:cs="Calibri"/>
                <w:szCs w:val="22"/>
                <w:lang w:val="en-GB" w:eastAsia="zh-CN"/>
              </w:rPr>
              <w:t>。</w:t>
            </w:r>
          </w:p>
          <w:p w:rsidR="00912F42" w:rsidRPr="00D5554A" w:rsidRDefault="00550C89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val="en-GB"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在</w:t>
            </w:r>
            <w:r w:rsidRPr="008128FF">
              <w:rPr>
                <w:rFonts w:cs="Calibri"/>
                <w:szCs w:val="22"/>
                <w:lang w:eastAsia="zh-CN"/>
              </w:rPr>
              <w:t>2010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年世界电信发展大会</w:t>
            </w:r>
            <w:r w:rsidRPr="008128FF">
              <w:rPr>
                <w:rFonts w:cs="Calibri"/>
                <w:szCs w:val="22"/>
                <w:lang w:eastAsia="zh-CN"/>
              </w:rPr>
              <w:t>（</w:t>
            </w:r>
            <w:r w:rsidRPr="008128FF">
              <w:rPr>
                <w:rFonts w:cs="Calibri"/>
                <w:szCs w:val="22"/>
                <w:lang w:eastAsia="zh-CN"/>
              </w:rPr>
              <w:t>WTDC-10</w:t>
            </w:r>
            <w:r w:rsidRPr="008128FF">
              <w:rPr>
                <w:rFonts w:cs="Calibri"/>
                <w:szCs w:val="22"/>
                <w:lang w:eastAsia="zh-CN"/>
              </w:rPr>
              <w:t>）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上，成员通过工作计划</w:t>
            </w:r>
            <w:r w:rsidR="00562A97" w:rsidRPr="008128FF">
              <w:rPr>
                <w:rFonts w:cs="Calibri"/>
                <w:szCs w:val="22"/>
                <w:lang w:val="en-GB" w:eastAsia="zh-CN"/>
              </w:rPr>
              <w:t>2.(</w:t>
            </w:r>
            <w:proofErr w:type="gramStart"/>
            <w:r w:rsidR="00562A97" w:rsidRPr="008128FF">
              <w:rPr>
                <w:rFonts w:cs="Calibri"/>
                <w:szCs w:val="22"/>
                <w:lang w:val="en-GB" w:eastAsia="zh-CN"/>
              </w:rPr>
              <w:t>b</w:t>
            </w:r>
            <w:proofErr w:type="gramEnd"/>
            <w:r w:rsidR="00562A97" w:rsidRPr="008128FF">
              <w:rPr>
                <w:rFonts w:cs="Calibri"/>
                <w:szCs w:val="22"/>
                <w:lang w:val="en-GB" w:eastAsia="zh-CN"/>
              </w:rPr>
              <w:t>)(v)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项要求第</w:t>
            </w:r>
            <w:r w:rsidRPr="008128FF">
              <w:rPr>
                <w:rFonts w:cs="Calibri"/>
                <w:szCs w:val="22"/>
                <w:lang w:eastAsia="zh-CN"/>
              </w:rPr>
              <w:t>22-1/1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号课题</w:t>
            </w:r>
            <w:r w:rsidR="00D5554A" w:rsidRPr="00D5554A">
              <w:rPr>
                <w:rFonts w:ascii="SimSun" w:hAnsi="SimSun" w:cs="Calibri"/>
                <w:sz w:val="20"/>
                <w:szCs w:val="20"/>
                <w:lang w:eastAsia="zh-CN"/>
              </w:rPr>
              <w:t>“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培育网络安全意识的</w:t>
            </w:r>
            <w:r w:rsidR="005A05B3" w:rsidRPr="00D5554A">
              <w:rPr>
                <w:rFonts w:cs="Calibri"/>
                <w:sz w:val="20"/>
                <w:szCs w:val="20"/>
                <w:lang w:eastAsia="zh-CN"/>
              </w:rPr>
              <w:t>文化，吸取各方意见，了解各国、企业和专家组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如何就网络安全问题（包括保护在线儿童和残疾人的网络需求）对个人和实体进行教育和鼓励。</w:t>
            </w:r>
            <w:r w:rsidR="00D5554A" w:rsidRPr="00D5554A">
              <w:rPr>
                <w:rFonts w:ascii="SimSun" w:hAnsi="SimSun" w:cs="Calibri"/>
                <w:sz w:val="20"/>
                <w:szCs w:val="20"/>
                <w:lang w:eastAsia="zh-CN"/>
              </w:rPr>
              <w:t>”</w:t>
            </w:r>
          </w:p>
          <w:p w:rsidR="00912F42" w:rsidRPr="00D5554A" w:rsidRDefault="00550C89" w:rsidP="00D5554A">
            <w:pPr>
              <w:pBdr>
                <w:bottom w:val="single" w:sz="12" w:space="1" w:color="7F7F7F" w:themeColor="text1" w:themeTint="80"/>
              </w:pBd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line="240" w:lineRule="auto"/>
              <w:textAlignment w:val="auto"/>
              <w:rPr>
                <w:rFonts w:cs="Calibri"/>
                <w:sz w:val="20"/>
                <w:szCs w:val="20"/>
                <w:lang w:val="en-GB" w:eastAsia="zh-CN"/>
              </w:rPr>
            </w:pPr>
            <w:r w:rsidRPr="00D5554A">
              <w:rPr>
                <w:rFonts w:cs="Calibri"/>
                <w:b/>
                <w:bCs/>
                <w:sz w:val="20"/>
                <w:szCs w:val="20"/>
                <w:lang w:val="en-GB" w:eastAsia="zh-CN"/>
              </w:rPr>
              <w:t>文稿提交和时间</w:t>
            </w:r>
          </w:p>
          <w:p w:rsidR="00912F42" w:rsidRPr="00D5554A" w:rsidRDefault="00550C89" w:rsidP="009A3F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val="en-GB" w:eastAsia="zh-CN"/>
              </w:rPr>
            </w:pP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可通过下列网站以任何一种正式语文在线向</w:t>
            </w:r>
            <w:r w:rsidR="00562A97" w:rsidRPr="008128FF">
              <w:rPr>
                <w:rFonts w:cs="Calibri"/>
                <w:szCs w:val="22"/>
                <w:lang w:eastAsia="zh-CN"/>
              </w:rPr>
              <w:t>201</w:t>
            </w:r>
            <w:r w:rsidR="006D0B8B">
              <w:rPr>
                <w:rFonts w:cs="Calibri"/>
                <w:szCs w:val="22"/>
                <w:lang w:eastAsia="zh-CN"/>
              </w:rPr>
              <w:t>3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年关于</w:t>
            </w:r>
            <w:r w:rsidR="00D5554A" w:rsidRPr="00D5554A">
              <w:rPr>
                <w:rFonts w:ascii="SimSun" w:hAnsi="SimSun" w:cs="Calibri"/>
                <w:sz w:val="20"/>
                <w:szCs w:val="20"/>
                <w:lang w:eastAsia="zh-CN"/>
              </w:rPr>
              <w:t>“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提高网络安全意识的措施</w:t>
            </w:r>
            <w:r w:rsidR="00D5554A" w:rsidRPr="00D5554A">
              <w:rPr>
                <w:rFonts w:ascii="SimSun" w:hAnsi="SimSun" w:cs="Calibri"/>
                <w:sz w:val="20"/>
                <w:szCs w:val="20"/>
                <w:lang w:eastAsia="zh-CN"/>
              </w:rPr>
              <w:t>”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的调查</w:t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提交文稿：</w:t>
            </w:r>
          </w:p>
          <w:p w:rsidR="002B1277" w:rsidRPr="00E03C63" w:rsidRDefault="00B13ABA" w:rsidP="002B1277">
            <w:pPr>
              <w:pStyle w:val="CEONormal"/>
              <w:spacing w:after="0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hyperlink r:id="rId11" w:history="1">
              <w:r w:rsidR="00AA60D3" w:rsidRPr="00E03C63">
                <w:rPr>
                  <w:rStyle w:val="Hyperlink"/>
                  <w:rFonts w:asciiTheme="minorHAnsi" w:hAnsiTheme="minorHAnsi" w:cs="Traditional Arabic"/>
                  <w:sz w:val="22"/>
                  <w:szCs w:val="22"/>
                </w:rPr>
                <w:t>http://www.itu.int/zh/ITU-D/Study-Groups/Pages/surveys/2013_Q22-1-1_CSTG016.aspx</w:t>
              </w:r>
            </w:hyperlink>
          </w:p>
          <w:p w:rsidR="00912F42" w:rsidRPr="00D5554A" w:rsidRDefault="00562A97" w:rsidP="006D0B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如</w:t>
            </w:r>
            <w:r w:rsidR="00550C89" w:rsidRPr="00D5554A">
              <w:rPr>
                <w:rFonts w:cs="Calibri"/>
                <w:sz w:val="20"/>
                <w:szCs w:val="20"/>
                <w:lang w:eastAsia="zh-CN"/>
              </w:rPr>
              <w:t>能在</w:t>
            </w:r>
            <w:r w:rsidR="00550C89" w:rsidRPr="00EE54A2">
              <w:rPr>
                <w:rFonts w:cs="Calibri"/>
                <w:b/>
                <w:bCs/>
                <w:szCs w:val="22"/>
                <w:lang w:eastAsia="zh-CN"/>
              </w:rPr>
              <w:t>2</w:t>
            </w:r>
            <w:r w:rsidRPr="00EE54A2">
              <w:rPr>
                <w:rFonts w:cs="Calibri"/>
                <w:b/>
                <w:bCs/>
                <w:szCs w:val="22"/>
                <w:lang w:eastAsia="zh-CN"/>
              </w:rPr>
              <w:t>013</w:t>
            </w:r>
            <w:r w:rsidR="00550C89" w:rsidRPr="00D5554A">
              <w:rPr>
                <w:rFonts w:cs="Calibri"/>
                <w:b/>
                <w:bCs/>
                <w:sz w:val="20"/>
                <w:szCs w:val="20"/>
                <w:lang w:eastAsia="zh-CN"/>
              </w:rPr>
              <w:t>年</w:t>
            </w:r>
            <w:r w:rsidR="00AA60D3" w:rsidRPr="00EE54A2">
              <w:rPr>
                <w:rFonts w:cs="Calibri"/>
                <w:b/>
                <w:bCs/>
                <w:szCs w:val="22"/>
                <w:lang w:eastAsia="zh-CN"/>
              </w:rPr>
              <w:t>3</w:t>
            </w:r>
            <w:r w:rsidR="00550C89" w:rsidRPr="00D5554A">
              <w:rPr>
                <w:rFonts w:cs="Calibri"/>
                <w:b/>
                <w:bCs/>
                <w:sz w:val="20"/>
                <w:szCs w:val="20"/>
                <w:lang w:eastAsia="zh-CN"/>
              </w:rPr>
              <w:t>月</w:t>
            </w:r>
            <w:r w:rsidR="006D0B8B" w:rsidRPr="00EE54A2">
              <w:rPr>
                <w:rFonts w:cs="Calibri"/>
                <w:b/>
                <w:bCs/>
                <w:szCs w:val="22"/>
                <w:lang w:eastAsia="zh-CN"/>
              </w:rPr>
              <w:t>15</w:t>
            </w:r>
            <w:r w:rsidRPr="00D5554A">
              <w:rPr>
                <w:rFonts w:cs="Calibri"/>
                <w:b/>
                <w:bCs/>
                <w:sz w:val="20"/>
                <w:szCs w:val="20"/>
                <w:lang w:eastAsia="zh-CN"/>
              </w:rPr>
              <w:t>日</w:t>
            </w:r>
            <w:r w:rsidR="00550C89" w:rsidRPr="00D5554A">
              <w:rPr>
                <w:rFonts w:cs="Calibri"/>
                <w:sz w:val="20"/>
                <w:szCs w:val="20"/>
                <w:lang w:eastAsia="zh-CN"/>
              </w:rPr>
              <w:t>前收到贵方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输入意见</w:t>
            </w:r>
            <w:r w:rsidR="00550C89" w:rsidRPr="00D5554A">
              <w:rPr>
                <w:rFonts w:cs="Calibri"/>
                <w:sz w:val="20"/>
                <w:szCs w:val="20"/>
                <w:lang w:eastAsia="zh-CN"/>
              </w:rPr>
              <w:t>，我们将不胜感激。</w:t>
            </w:r>
          </w:p>
          <w:p w:rsidR="00912F42" w:rsidRPr="00D5554A" w:rsidRDefault="00562A97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8"/>
                <w:lang w:eastAsia="zh-CN"/>
              </w:rPr>
              <w:t>收到的输入意见将在于</w:t>
            </w:r>
            <w:r w:rsidRPr="003A4FBE">
              <w:rPr>
                <w:rFonts w:cs="Calibri"/>
                <w:szCs w:val="22"/>
                <w:lang w:eastAsia="zh-CN"/>
              </w:rPr>
              <w:t>2013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年</w:t>
            </w:r>
            <w:r w:rsidRPr="003A4FBE">
              <w:rPr>
                <w:rFonts w:cs="Calibri"/>
                <w:szCs w:val="22"/>
                <w:lang w:eastAsia="zh-CN"/>
              </w:rPr>
              <w:t>4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月</w:t>
            </w:r>
            <w:r w:rsidRPr="003A4FBE">
              <w:rPr>
                <w:rFonts w:cs="Calibri"/>
                <w:szCs w:val="22"/>
                <w:lang w:eastAsia="zh-CN"/>
              </w:rPr>
              <w:t>19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日在日内瓦召开的下一次</w:t>
            </w:r>
            <w:r w:rsidRPr="003A4FBE">
              <w:rPr>
                <w:rFonts w:cs="Calibri"/>
                <w:szCs w:val="22"/>
                <w:lang w:eastAsia="zh-CN"/>
              </w:rPr>
              <w:t>ITU-D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第</w:t>
            </w:r>
            <w:r w:rsidRPr="003A4FBE">
              <w:rPr>
                <w:rFonts w:cs="Calibri"/>
                <w:szCs w:val="22"/>
                <w:lang w:eastAsia="zh-CN"/>
              </w:rPr>
              <w:t>1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研究组第</w:t>
            </w:r>
            <w:r w:rsidRPr="003A4FBE">
              <w:rPr>
                <w:rFonts w:cs="Calibri"/>
                <w:szCs w:val="22"/>
                <w:lang w:eastAsia="zh-CN"/>
              </w:rPr>
              <w:t>22-1/1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号课题报告人组会议期间共享，并将纳入第</w:t>
            </w:r>
            <w:r w:rsidRPr="003A4FBE">
              <w:rPr>
                <w:rFonts w:cs="Calibri"/>
                <w:szCs w:val="22"/>
                <w:lang w:eastAsia="zh-CN"/>
              </w:rPr>
              <w:t>1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研究组第</w:t>
            </w:r>
            <w:r w:rsidRPr="003A4FBE">
              <w:rPr>
                <w:rFonts w:cs="Calibri"/>
                <w:szCs w:val="22"/>
                <w:lang w:eastAsia="zh-CN"/>
              </w:rPr>
              <w:t>22-1/1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号课题</w:t>
            </w:r>
            <w:r w:rsidRPr="003A4FBE">
              <w:rPr>
                <w:rFonts w:cs="Calibri"/>
                <w:szCs w:val="22"/>
                <w:lang w:eastAsia="zh-CN"/>
              </w:rPr>
              <w:t>2010-2014</w:t>
            </w:r>
            <w:r w:rsidRPr="00D5554A">
              <w:rPr>
                <w:rFonts w:cs="Calibri"/>
                <w:sz w:val="20"/>
                <w:szCs w:val="28"/>
                <w:lang w:eastAsia="zh-CN"/>
              </w:rPr>
              <w:t>年研究期内工作的最终输出成果和指导原则。</w:t>
            </w:r>
          </w:p>
          <w:p w:rsidR="00912F42" w:rsidRPr="00D5554A" w:rsidRDefault="00550C89" w:rsidP="00D5554A">
            <w:pPr>
              <w:pBdr>
                <w:bottom w:val="single" w:sz="12" w:space="1" w:color="7F7F7F" w:themeColor="text1" w:themeTint="80"/>
              </w:pBd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line="240" w:lineRule="auto"/>
              <w:textAlignment w:val="auto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b/>
                <w:bCs/>
                <w:sz w:val="20"/>
                <w:szCs w:val="20"/>
                <w:lang w:eastAsia="zh-CN"/>
              </w:rPr>
              <w:t>要求提供信息</w:t>
            </w:r>
          </w:p>
          <w:p w:rsidR="00912F42" w:rsidRPr="00D5554A" w:rsidRDefault="00550C89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val="en-GB" w:eastAsia="zh-CN"/>
              </w:rPr>
            </w:pP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如需要了解</w:t>
            </w:r>
            <w:r w:rsidR="00562A97" w:rsidRPr="00D5554A">
              <w:rPr>
                <w:rFonts w:cs="Calibri"/>
                <w:sz w:val="20"/>
                <w:szCs w:val="20"/>
                <w:lang w:val="en-GB" w:eastAsia="zh-CN"/>
              </w:rPr>
              <w:t>有关此项调查的</w:t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进一步信息，请与</w:t>
            </w:r>
            <w:r w:rsidRPr="003A4FBE">
              <w:rPr>
                <w:rFonts w:cs="Calibri"/>
                <w:szCs w:val="22"/>
                <w:lang w:eastAsia="zh-CN"/>
              </w:rPr>
              <w:t>ITU-D</w:t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研究组秘书处联系（电话：</w:t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 xml:space="preserve"> </w:t>
            </w:r>
            <w:r w:rsidRPr="003A4FBE">
              <w:rPr>
                <w:rFonts w:cs="Calibri"/>
                <w:szCs w:val="22"/>
                <w:lang w:eastAsia="zh-CN"/>
              </w:rPr>
              <w:t>+41 22 730 5999</w:t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，</w:t>
            </w:r>
            <w:r w:rsidR="00DD6710">
              <w:rPr>
                <w:rFonts w:cs="Calibri" w:hint="eastAsia"/>
                <w:sz w:val="20"/>
                <w:szCs w:val="20"/>
                <w:lang w:val="en-GB" w:eastAsia="zh-CN"/>
              </w:rPr>
              <w:br/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电子邮件：</w:t>
            </w:r>
            <w:hyperlink r:id="rId12" w:history="1">
              <w:r w:rsidR="003A4FBE" w:rsidRPr="00E03C63">
                <w:rPr>
                  <w:rStyle w:val="Hyperlink"/>
                  <w:rFonts w:asciiTheme="minorHAnsi" w:eastAsia="SimHei" w:hAnsiTheme="minorHAnsi" w:cs="Traditional Arabic"/>
                  <w:szCs w:val="22"/>
                  <w:lang w:val="en-GB" w:eastAsia="zh-CN"/>
                </w:rPr>
                <w:t>devsg@itu.int</w:t>
              </w:r>
            </w:hyperlink>
            <w:r w:rsidR="003A4FBE" w:rsidRPr="003A4FBE">
              <w:rPr>
                <w:rStyle w:val="Hyperlink"/>
                <w:rFonts w:asciiTheme="minorHAnsi" w:eastAsia="SimHei" w:hAnsiTheme="minorHAnsi" w:cs="Traditional Arabic"/>
                <w:szCs w:val="22"/>
                <w:lang w:eastAsia="zh-CN"/>
              </w:rPr>
              <w:t xml:space="preserve"> </w:t>
            </w:r>
            <w:r w:rsidRPr="00D5554A">
              <w:rPr>
                <w:rFonts w:cs="Calibri"/>
                <w:sz w:val="20"/>
                <w:szCs w:val="20"/>
                <w:lang w:val="en-GB" w:eastAsia="zh-CN"/>
              </w:rPr>
              <w:t>）。</w:t>
            </w:r>
          </w:p>
          <w:p w:rsidR="00912F42" w:rsidRPr="00D5554A" w:rsidRDefault="00874056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以下人员亦将提供有关此项调查的详细信息：</w:t>
            </w:r>
          </w:p>
          <w:p w:rsidR="00912F42" w:rsidRPr="00D5554A" w:rsidRDefault="00562A97" w:rsidP="00D5554A">
            <w:pPr>
              <w:keepNext/>
              <w:keepLines/>
              <w:numPr>
                <w:ilvl w:val="0"/>
                <w:numId w:val="2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 w:line="240" w:lineRule="auto"/>
              <w:ind w:left="360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u w:val="single"/>
                <w:lang w:eastAsia="zh-CN"/>
              </w:rPr>
              <w:t>第</w:t>
            </w:r>
            <w:r w:rsidR="00912F42" w:rsidRPr="00E32AC7">
              <w:rPr>
                <w:rFonts w:cs="Calibri"/>
                <w:szCs w:val="22"/>
                <w:u w:val="single"/>
                <w:lang w:eastAsia="zh-CN"/>
              </w:rPr>
              <w:t>22-1/1</w:t>
            </w:r>
            <w:r w:rsidRPr="00D5554A">
              <w:rPr>
                <w:rFonts w:cs="Calibri"/>
                <w:sz w:val="20"/>
                <w:szCs w:val="20"/>
                <w:u w:val="single"/>
                <w:lang w:eastAsia="zh-CN"/>
              </w:rPr>
              <w:t>号课题联合报告人：</w:t>
            </w:r>
            <w:r w:rsidR="00912F42" w:rsidRPr="00D5554A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</w:p>
          <w:p w:rsidR="00912F42" w:rsidRPr="00D5554A" w:rsidRDefault="00912F42" w:rsidP="007F657D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ind w:left="360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E32AC7">
              <w:rPr>
                <w:rFonts w:cs="Calibri"/>
                <w:szCs w:val="22"/>
                <w:lang w:eastAsia="zh-CN"/>
              </w:rPr>
              <w:t>James Ennis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先生，美国，电话：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E32AC7">
              <w:rPr>
                <w:rFonts w:cs="Calibri"/>
                <w:szCs w:val="22"/>
                <w:lang w:eastAsia="zh-CN"/>
              </w:rPr>
              <w:t>+1 202 647 0200</w:t>
            </w:r>
            <w:r w:rsidR="00562A97" w:rsidRPr="00E32AC7">
              <w:rPr>
                <w:rFonts w:cs="Calibri"/>
                <w:szCs w:val="22"/>
                <w:lang w:eastAsia="zh-CN"/>
              </w:rPr>
              <w:t>，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电子邮件：</w:t>
            </w:r>
            <w:hyperlink r:id="rId13" w:history="1">
              <w:r w:rsidRPr="00E15A05">
                <w:rPr>
                  <w:rStyle w:val="Hyperlink"/>
                  <w:rFonts w:asciiTheme="minorHAnsi" w:eastAsia="SimHei" w:hAnsiTheme="minorHAnsi" w:cs="Traditional Arabic"/>
                  <w:szCs w:val="22"/>
                  <w:lang w:val="en-GB" w:eastAsia="zh-CN"/>
                </w:rPr>
                <w:t>ennisjg@state.gov</w:t>
              </w:r>
            </w:hyperlink>
            <w:r w:rsidRPr="00D5554A">
              <w:rPr>
                <w:rFonts w:cs="Calibri"/>
                <w:sz w:val="20"/>
                <w:szCs w:val="20"/>
                <w:lang w:eastAsia="zh-CN"/>
              </w:rPr>
              <w:br/>
            </w:r>
            <w:r w:rsidRPr="00E32AC7">
              <w:rPr>
                <w:rFonts w:cs="Calibri"/>
                <w:szCs w:val="22"/>
                <w:lang w:eastAsia="zh-CN"/>
              </w:rPr>
              <w:t>Eliot Lear</w:t>
            </w:r>
            <w:r w:rsidR="00562A97" w:rsidRPr="00D5554A">
              <w:rPr>
                <w:rFonts w:cs="Calibri"/>
                <w:sz w:val="20"/>
                <w:szCs w:val="20"/>
                <w:lang w:eastAsia="zh-CN"/>
              </w:rPr>
              <w:t>先生，</w:t>
            </w:r>
            <w:r w:rsidR="0012746F" w:rsidRPr="00D5554A">
              <w:rPr>
                <w:rFonts w:cs="Calibri"/>
                <w:sz w:val="20"/>
                <w:szCs w:val="20"/>
                <w:lang w:eastAsia="zh-CN"/>
              </w:rPr>
              <w:t>思科系统公司，美国，电话：</w:t>
            </w:r>
            <w:r w:rsidRPr="00E32AC7">
              <w:rPr>
                <w:rFonts w:cs="Calibri"/>
                <w:szCs w:val="22"/>
                <w:lang w:eastAsia="zh-CN"/>
              </w:rPr>
              <w:t>+41 44878 9200</w:t>
            </w:r>
            <w:r w:rsidR="0012746F" w:rsidRPr="00E32AC7">
              <w:rPr>
                <w:rFonts w:cs="Calibri"/>
                <w:sz w:val="20"/>
                <w:szCs w:val="20"/>
                <w:lang w:eastAsia="zh-CN"/>
              </w:rPr>
              <w:t>，</w:t>
            </w:r>
            <w:r w:rsidR="0012746F" w:rsidRPr="00D5554A">
              <w:rPr>
                <w:rFonts w:cs="Calibri"/>
                <w:sz w:val="20"/>
                <w:szCs w:val="20"/>
                <w:lang w:eastAsia="zh-CN"/>
              </w:rPr>
              <w:t>电子邮件：</w:t>
            </w:r>
            <w:hyperlink r:id="rId14" w:history="1">
              <w:r w:rsidRPr="00E15A05">
                <w:rPr>
                  <w:rStyle w:val="Hyperlink"/>
                  <w:rFonts w:asciiTheme="minorHAnsi" w:eastAsia="SimHei" w:hAnsiTheme="minorHAnsi" w:cs="Traditional Arabic"/>
                  <w:szCs w:val="22"/>
                  <w:lang w:val="en-GB" w:eastAsia="zh-CN"/>
                </w:rPr>
                <w:t>lear@cisco.com</w:t>
              </w:r>
            </w:hyperlink>
          </w:p>
          <w:p w:rsidR="00912F42" w:rsidRPr="00D5554A" w:rsidRDefault="0012746F" w:rsidP="00D5554A">
            <w:pPr>
              <w:keepNext/>
              <w:keepLines/>
              <w:numPr>
                <w:ilvl w:val="0"/>
                <w:numId w:val="2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 w:line="240" w:lineRule="auto"/>
              <w:ind w:left="360"/>
              <w:textAlignment w:val="auto"/>
              <w:rPr>
                <w:rFonts w:cs="Calibri"/>
                <w:sz w:val="20"/>
                <w:szCs w:val="20"/>
                <w:u w:val="single"/>
                <w:lang w:val="es-ES_tradnl" w:eastAsia="zh-CN"/>
              </w:rPr>
            </w:pPr>
            <w:r w:rsidRPr="00D5554A">
              <w:rPr>
                <w:rFonts w:cs="Calibri"/>
                <w:sz w:val="20"/>
                <w:szCs w:val="20"/>
                <w:u w:val="single"/>
                <w:lang w:val="es-ES_tradnl" w:eastAsia="zh-CN"/>
              </w:rPr>
              <w:t>电信发展局第</w:t>
            </w:r>
            <w:r w:rsidR="00912F42" w:rsidRPr="00E32AC7">
              <w:rPr>
                <w:rFonts w:cs="Calibri"/>
                <w:szCs w:val="22"/>
                <w:u w:val="single"/>
                <w:lang w:val="es-ES_tradnl" w:eastAsia="zh-CN"/>
              </w:rPr>
              <w:t>22-1/1</w:t>
            </w:r>
            <w:r w:rsidRPr="00D5554A">
              <w:rPr>
                <w:rFonts w:cs="Calibri"/>
                <w:sz w:val="20"/>
                <w:szCs w:val="20"/>
                <w:u w:val="single"/>
                <w:lang w:val="es-ES_tradnl" w:eastAsia="zh-CN"/>
              </w:rPr>
              <w:t>号课题联系人：</w:t>
            </w:r>
          </w:p>
          <w:p w:rsidR="00912F42" w:rsidRPr="00D5554A" w:rsidRDefault="00912F42" w:rsidP="00E03C63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ind w:left="360"/>
              <w:textAlignment w:val="auto"/>
              <w:rPr>
                <w:rFonts w:cs="Calibri"/>
                <w:sz w:val="20"/>
                <w:szCs w:val="20"/>
                <w:lang w:val="es-ES_tradnl"/>
              </w:rPr>
            </w:pPr>
            <w:r w:rsidRPr="00E32AC7">
              <w:rPr>
                <w:rFonts w:cs="Calibri"/>
                <w:szCs w:val="22"/>
                <w:lang w:val="es-ES_tradnl"/>
              </w:rPr>
              <w:t>Marco Obiso</w:t>
            </w:r>
            <w:r w:rsidR="0012746F" w:rsidRPr="00D5554A">
              <w:rPr>
                <w:rFonts w:cs="Calibri"/>
                <w:sz w:val="20"/>
                <w:szCs w:val="20"/>
                <w:lang w:val="es-ES_tradnl" w:eastAsia="zh-CN"/>
              </w:rPr>
              <w:t>先生，</w:t>
            </w:r>
            <w:r w:rsidRPr="00E32AC7">
              <w:rPr>
                <w:rFonts w:cs="Calibri"/>
                <w:szCs w:val="22"/>
                <w:lang w:val="es-ES_tradnl"/>
              </w:rPr>
              <w:t>ITU/BDT/IEE/CYB</w:t>
            </w:r>
            <w:r w:rsidR="0012746F" w:rsidRPr="00E32AC7">
              <w:rPr>
                <w:rFonts w:cs="Calibri"/>
                <w:sz w:val="20"/>
                <w:szCs w:val="20"/>
                <w:lang w:val="es-ES_tradnl" w:eastAsia="zh-CN"/>
              </w:rPr>
              <w:t>，</w:t>
            </w:r>
            <w:r w:rsidR="0012746F" w:rsidRPr="00D5554A">
              <w:rPr>
                <w:rFonts w:cs="Calibri"/>
                <w:sz w:val="20"/>
                <w:szCs w:val="20"/>
                <w:lang w:val="es-ES_tradnl" w:eastAsia="zh-CN"/>
              </w:rPr>
              <w:t>电话</w:t>
            </w:r>
            <w:r w:rsidR="0012746F" w:rsidRPr="00E32AC7">
              <w:rPr>
                <w:rFonts w:cs="Calibri"/>
                <w:szCs w:val="22"/>
                <w:lang w:val="es-ES_tradnl" w:eastAsia="zh-CN"/>
              </w:rPr>
              <w:t>：</w:t>
            </w:r>
            <w:r w:rsidRPr="00E32AC7">
              <w:rPr>
                <w:rFonts w:cs="Calibri"/>
                <w:szCs w:val="22"/>
                <w:lang w:val="es-ES_tradnl"/>
              </w:rPr>
              <w:t xml:space="preserve"> +41 22 730 6760</w:t>
            </w:r>
            <w:r w:rsidR="0012746F" w:rsidRPr="00D5554A">
              <w:rPr>
                <w:rFonts w:cs="Calibri"/>
                <w:sz w:val="20"/>
                <w:szCs w:val="20"/>
                <w:lang w:val="es-ES_tradnl" w:eastAsia="zh-CN"/>
              </w:rPr>
              <w:t>，电子邮件：</w:t>
            </w:r>
            <w:r w:rsidR="00B13ABA">
              <w:fldChar w:fldCharType="begin"/>
            </w:r>
            <w:r w:rsidR="00B13ABA" w:rsidRPr="00C33260">
              <w:rPr>
                <w:lang w:val="es-ES_tradnl"/>
              </w:rPr>
              <w:instrText xml:space="preserve"> HYPERLINK "mailto:marco.obiso@itu.int" </w:instrText>
            </w:r>
            <w:r w:rsidR="00B13ABA">
              <w:fldChar w:fldCharType="separate"/>
            </w:r>
            <w:r w:rsidRPr="003E05F6">
              <w:rPr>
                <w:rStyle w:val="Hyperlink"/>
                <w:rFonts w:asciiTheme="minorHAnsi" w:eastAsia="SimHei" w:hAnsiTheme="minorHAnsi" w:cs="Traditional Arabic"/>
                <w:szCs w:val="22"/>
                <w:lang w:val="es-ES_tradnl" w:eastAsia="zh-CN"/>
              </w:rPr>
              <w:t>marco.obiso@itu.int</w:t>
            </w:r>
            <w:r w:rsidR="00B13ABA">
              <w:rPr>
                <w:rStyle w:val="Hyperlink"/>
                <w:rFonts w:asciiTheme="minorHAnsi" w:eastAsia="SimHei" w:hAnsiTheme="minorHAnsi" w:cs="Traditional Arabic"/>
                <w:szCs w:val="22"/>
                <w:lang w:val="es-ES_tradnl" w:eastAsia="zh-CN"/>
              </w:rPr>
              <w:fldChar w:fldCharType="end"/>
            </w:r>
            <w:r w:rsidRPr="003E05F6">
              <w:rPr>
                <w:rStyle w:val="Hyperlink"/>
                <w:rFonts w:asciiTheme="minorHAnsi" w:eastAsia="SimHei" w:hAnsiTheme="minorHAnsi" w:cs="Traditional Arabic"/>
                <w:szCs w:val="22"/>
                <w:lang w:val="es-ES_tradnl" w:eastAsia="zh-CN"/>
              </w:rPr>
              <w:t xml:space="preserve"> </w:t>
            </w:r>
          </w:p>
          <w:p w:rsidR="00912F42" w:rsidRPr="00D5554A" w:rsidRDefault="00550C89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cs="Calibri"/>
                <w:color w:val="0000FF"/>
                <w:sz w:val="20"/>
                <w:szCs w:val="20"/>
                <w:u w:val="single"/>
                <w:lang w:val="es-ES_tradnl"/>
              </w:rPr>
            </w:pPr>
            <w:proofErr w:type="spellStart"/>
            <w:r w:rsidRPr="00D5554A">
              <w:rPr>
                <w:rFonts w:cs="Calibri"/>
                <w:sz w:val="20"/>
                <w:szCs w:val="20"/>
              </w:rPr>
              <w:t>可通过下列网站在线了解有关</w:t>
            </w:r>
            <w:proofErr w:type="spellEnd"/>
            <w:r w:rsidRPr="00D5554A">
              <w:rPr>
                <w:rFonts w:cs="Calibri"/>
                <w:sz w:val="20"/>
                <w:szCs w:val="20"/>
                <w:lang w:val="es-ES_tradnl"/>
              </w:rPr>
              <w:t>ITU-D</w:t>
            </w:r>
            <w:proofErr w:type="spellStart"/>
            <w:r w:rsidRPr="00D5554A">
              <w:rPr>
                <w:rFonts w:cs="Calibri"/>
                <w:sz w:val="20"/>
                <w:szCs w:val="20"/>
              </w:rPr>
              <w:t>研究组的更多信息</w:t>
            </w:r>
            <w:proofErr w:type="spellEnd"/>
            <w:r w:rsidRPr="00D5554A">
              <w:rPr>
                <w:rFonts w:cs="Calibri"/>
                <w:sz w:val="20"/>
                <w:szCs w:val="20"/>
                <w:lang w:val="es-ES_tradnl"/>
              </w:rPr>
              <w:t>：</w:t>
            </w:r>
            <w:r w:rsidR="00912F42" w:rsidRPr="00D5554A">
              <w:rPr>
                <w:rFonts w:cs="Calibri"/>
                <w:sz w:val="20"/>
                <w:szCs w:val="20"/>
                <w:lang w:val="es-ES_tradnl"/>
              </w:rPr>
              <w:br/>
            </w:r>
            <w:hyperlink r:id="rId15" w:history="1">
              <w:r w:rsidR="00912F42" w:rsidRPr="00E03C63">
                <w:rPr>
                  <w:rStyle w:val="Hyperlink"/>
                  <w:rFonts w:asciiTheme="minorHAnsi" w:eastAsia="SimHei" w:hAnsiTheme="minorHAnsi" w:cs="Traditional Arabic"/>
                  <w:szCs w:val="22"/>
                  <w:lang w:val="es-ES_tradnl" w:eastAsia="zh-CN"/>
                </w:rPr>
                <w:t>http://www.itu.int/ITU-D/study_groups/</w:t>
              </w:r>
            </w:hyperlink>
          </w:p>
          <w:p w:rsidR="00E03C63" w:rsidRDefault="00E03C63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Calibri"/>
                <w:sz w:val="21"/>
                <w:szCs w:val="21"/>
                <w:lang w:val="es-ES_tradnl" w:eastAsia="zh-CN"/>
              </w:rPr>
            </w:pPr>
          </w:p>
          <w:p w:rsidR="007F657D" w:rsidRPr="00F31585" w:rsidRDefault="007F657D" w:rsidP="00D555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Calibri"/>
                <w:sz w:val="21"/>
                <w:szCs w:val="21"/>
                <w:lang w:val="es-ES_tradnl" w:eastAsia="zh-CN"/>
              </w:rPr>
            </w:pPr>
          </w:p>
          <w:p w:rsidR="00912F42" w:rsidRDefault="00912F42" w:rsidP="00B13A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cs="Calibri"/>
                <w:sz w:val="21"/>
                <w:szCs w:val="21"/>
                <w:lang w:eastAsia="zh-CN"/>
              </w:rPr>
            </w:pPr>
            <w:r w:rsidRPr="00D5554A">
              <w:rPr>
                <w:rFonts w:cs="Calibri"/>
                <w:sz w:val="21"/>
                <w:szCs w:val="21"/>
                <w:lang w:eastAsia="zh-CN"/>
              </w:rPr>
              <w:t>___________</w:t>
            </w:r>
            <w:bookmarkStart w:id="5" w:name="_GoBack"/>
            <w:bookmarkEnd w:id="5"/>
            <w:r w:rsidRPr="00D5554A">
              <w:rPr>
                <w:rFonts w:cs="Calibri"/>
                <w:sz w:val="21"/>
                <w:szCs w:val="21"/>
                <w:lang w:eastAsia="zh-CN"/>
              </w:rPr>
              <w:t>______</w:t>
            </w:r>
          </w:p>
          <w:p w:rsidR="0032516D" w:rsidRPr="00D5554A" w:rsidRDefault="0032516D" w:rsidP="0032516D">
            <w:pPr>
              <w:spacing w:before="120" w:after="120" w:line="240" w:lineRule="auto"/>
              <w:rPr>
                <w:rFonts w:cs="Calibri"/>
                <w:b/>
                <w:bCs/>
                <w:sz w:val="20"/>
                <w:szCs w:val="20"/>
                <w:u w:val="single"/>
                <w:lang w:val="fr-FR" w:eastAsia="zh-CN"/>
              </w:rPr>
            </w:pPr>
            <w:r w:rsidRPr="00D5554A">
              <w:rPr>
                <w:rFonts w:cs="Calibri"/>
                <w:b/>
                <w:bCs/>
                <w:sz w:val="20"/>
                <w:szCs w:val="20"/>
                <w:u w:val="single"/>
                <w:lang w:val="fr-FR" w:eastAsia="zh-CN"/>
              </w:rPr>
              <w:t>分发：</w:t>
            </w:r>
          </w:p>
          <w:p w:rsidR="0032516D" w:rsidRPr="00D5554A" w:rsidRDefault="0032516D" w:rsidP="003251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426"/>
              </w:tabs>
              <w:overflowPunct/>
              <w:autoSpaceDE/>
              <w:autoSpaceDN/>
              <w:adjustRightInd/>
              <w:spacing w:before="0" w:line="240" w:lineRule="auto"/>
              <w:ind w:left="1151" w:hanging="1151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–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ab/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各成员国主管部门</w:t>
            </w:r>
          </w:p>
          <w:p w:rsidR="0032516D" w:rsidRPr="00D5554A" w:rsidRDefault="0032516D" w:rsidP="003251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426"/>
              </w:tabs>
              <w:overflowPunct/>
              <w:autoSpaceDE/>
              <w:autoSpaceDN/>
              <w:adjustRightInd/>
              <w:spacing w:before="0" w:line="240" w:lineRule="auto"/>
              <w:ind w:left="1151" w:hanging="1151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–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ab/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观察员（第</w:t>
            </w:r>
            <w:r w:rsidRPr="00F544F8">
              <w:rPr>
                <w:rFonts w:cs="Calibri"/>
                <w:szCs w:val="22"/>
                <w:lang w:eastAsia="zh-CN"/>
              </w:rPr>
              <w:t>99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号决议）</w:t>
            </w:r>
          </w:p>
          <w:p w:rsidR="0032516D" w:rsidRPr="00D5554A" w:rsidRDefault="0032516D" w:rsidP="003251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426"/>
              </w:tabs>
              <w:overflowPunct/>
              <w:autoSpaceDE/>
              <w:autoSpaceDN/>
              <w:adjustRightInd/>
              <w:spacing w:before="0" w:line="240" w:lineRule="auto"/>
              <w:ind w:left="1151" w:hanging="1151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–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ab/>
            </w:r>
            <w:r w:rsidRPr="00F544F8">
              <w:rPr>
                <w:rFonts w:cs="Calibri"/>
                <w:szCs w:val="22"/>
                <w:lang w:eastAsia="zh-CN"/>
              </w:rPr>
              <w:t>ITU-D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部门成员</w:t>
            </w:r>
          </w:p>
          <w:p w:rsidR="0032516D" w:rsidRPr="00D5554A" w:rsidRDefault="0032516D" w:rsidP="003251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426"/>
              </w:tabs>
              <w:overflowPunct/>
              <w:autoSpaceDE/>
              <w:autoSpaceDN/>
              <w:adjustRightInd/>
              <w:spacing w:before="0" w:line="240" w:lineRule="auto"/>
              <w:ind w:left="1151" w:hanging="1151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–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ab/>
            </w:r>
            <w:r w:rsidRPr="00F544F8">
              <w:rPr>
                <w:rFonts w:cs="Calibri"/>
                <w:szCs w:val="22"/>
                <w:lang w:eastAsia="zh-CN"/>
              </w:rPr>
              <w:t>ITU-D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各研究组的部门准成员和学术成员</w:t>
            </w:r>
          </w:p>
          <w:p w:rsidR="0032516D" w:rsidRPr="00D5554A" w:rsidRDefault="0032516D" w:rsidP="003251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426"/>
              </w:tabs>
              <w:overflowPunct/>
              <w:autoSpaceDE/>
              <w:autoSpaceDN/>
              <w:adjustRightInd/>
              <w:spacing w:before="0" w:line="240" w:lineRule="auto"/>
              <w:ind w:left="1151" w:hanging="1151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–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ab/>
            </w:r>
            <w:r w:rsidRPr="00F544F8">
              <w:rPr>
                <w:rFonts w:cs="Calibri"/>
                <w:szCs w:val="22"/>
                <w:lang w:eastAsia="zh-CN"/>
              </w:rPr>
              <w:t>ITU-D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第</w:t>
            </w:r>
            <w:r w:rsidRPr="00F544F8">
              <w:rPr>
                <w:rFonts w:cs="Calibri"/>
                <w:szCs w:val="22"/>
                <w:lang w:eastAsia="zh-CN"/>
              </w:rPr>
              <w:t>1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和</w:t>
            </w:r>
            <w:r w:rsidRPr="00F544F8">
              <w:rPr>
                <w:rFonts w:cs="Calibri"/>
                <w:szCs w:val="22"/>
                <w:lang w:eastAsia="zh-CN"/>
              </w:rPr>
              <w:t>2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研究组的正副主席、报告人及副报告人</w:t>
            </w:r>
          </w:p>
          <w:p w:rsidR="0032516D" w:rsidRPr="00D5554A" w:rsidRDefault="0032516D" w:rsidP="003251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426"/>
              </w:tabs>
              <w:overflowPunct/>
              <w:autoSpaceDE/>
              <w:autoSpaceDN/>
              <w:adjustRightInd/>
              <w:spacing w:before="0" w:line="240" w:lineRule="auto"/>
              <w:ind w:left="1151" w:hanging="1151"/>
              <w:textAlignment w:val="auto"/>
              <w:rPr>
                <w:rFonts w:cs="Calibri"/>
                <w:sz w:val="20"/>
                <w:szCs w:val="20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–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ab/>
              <w:t>BDT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指定联系人</w:t>
            </w:r>
          </w:p>
          <w:p w:rsidR="0032516D" w:rsidRPr="00D5554A" w:rsidRDefault="0032516D" w:rsidP="009A3F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cs="Calibri"/>
                <w:sz w:val="21"/>
                <w:szCs w:val="21"/>
                <w:lang w:eastAsia="zh-CN"/>
              </w:rPr>
            </w:pPr>
            <w:r w:rsidRPr="00D5554A">
              <w:rPr>
                <w:rFonts w:cs="Calibri"/>
                <w:sz w:val="20"/>
                <w:szCs w:val="20"/>
                <w:lang w:eastAsia="zh-CN"/>
              </w:rPr>
              <w:t>–</w:t>
            </w:r>
            <w:r w:rsidR="009A3F2F">
              <w:rPr>
                <w:rFonts w:cs="Calibri" w:hint="eastAsia"/>
                <w:sz w:val="20"/>
                <w:szCs w:val="20"/>
                <w:lang w:eastAsia="zh-CN"/>
              </w:rPr>
              <w:t xml:space="preserve">       </w:t>
            </w:r>
            <w:r w:rsidRPr="00D5554A">
              <w:rPr>
                <w:rFonts w:cs="Calibri"/>
                <w:sz w:val="20"/>
                <w:szCs w:val="20"/>
                <w:lang w:eastAsia="zh-CN"/>
              </w:rPr>
              <w:t>国际电联各区域代表处主任</w:t>
            </w:r>
          </w:p>
        </w:tc>
      </w:tr>
    </w:tbl>
    <w:p w:rsidR="00912F42" w:rsidRPr="00912F42" w:rsidRDefault="00912F42" w:rsidP="003251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 w:val="21"/>
          <w:szCs w:val="21"/>
          <w:lang w:eastAsia="zh-CN"/>
        </w:rPr>
      </w:pPr>
    </w:p>
    <w:sectPr w:rsidR="00912F42" w:rsidRPr="00912F42" w:rsidSect="00235A29">
      <w:headerReference w:type="even" r:id="rId16"/>
      <w:headerReference w:type="default" r:id="rId17"/>
      <w:footerReference w:type="first" r:id="rId18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85" w:rsidRDefault="00922385">
      <w:r>
        <w:separator/>
      </w:r>
    </w:p>
    <w:p w:rsidR="00922385" w:rsidRDefault="00922385"/>
  </w:endnote>
  <w:endnote w:type="continuationSeparator" w:id="0">
    <w:p w:rsidR="00922385" w:rsidRDefault="00922385">
      <w:r>
        <w:continuationSeparator/>
      </w:r>
    </w:p>
    <w:p w:rsidR="00922385" w:rsidRDefault="00922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5" w:rsidRDefault="00936BC5">
    <w:pPr>
      <w:pStyle w:val="BDTFoo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85" w:rsidRDefault="00922385">
      <w:r>
        <w:t>____________________</w:t>
      </w:r>
    </w:p>
    <w:p w:rsidR="00922385" w:rsidRDefault="00922385"/>
  </w:footnote>
  <w:footnote w:type="continuationSeparator" w:id="0">
    <w:p w:rsidR="00922385" w:rsidRDefault="00922385">
      <w:r>
        <w:continuationSeparator/>
      </w:r>
    </w:p>
    <w:p w:rsidR="00922385" w:rsidRDefault="009223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5" w:rsidRPr="00DD6710" w:rsidRDefault="00936BC5" w:rsidP="00DD6710">
    <w:pPr>
      <w:pStyle w:val="BDTHeaderPageNumber"/>
      <w:rPr>
        <w:sz w:val="18"/>
        <w:szCs w:val="18"/>
        <w:lang w:eastAsia="zh-CN"/>
      </w:rPr>
    </w:pPr>
    <w:r w:rsidRPr="00DD6710">
      <w:rPr>
        <w:sz w:val="18"/>
        <w:szCs w:val="18"/>
      </w:rPr>
      <w:t xml:space="preserve">– </w:t>
    </w:r>
    <w:r w:rsidRPr="00DD6710">
      <w:rPr>
        <w:rStyle w:val="PageNumber"/>
        <w:rFonts w:cs="Traditional Arabic"/>
        <w:sz w:val="18"/>
        <w:szCs w:val="18"/>
      </w:rPr>
      <w:fldChar w:fldCharType="begin"/>
    </w:r>
    <w:r w:rsidRPr="00DD6710">
      <w:rPr>
        <w:rStyle w:val="PageNumber"/>
        <w:rFonts w:cs="Traditional Arabic"/>
        <w:sz w:val="18"/>
        <w:szCs w:val="18"/>
      </w:rPr>
      <w:instrText xml:space="preserve"> PAGE </w:instrText>
    </w:r>
    <w:r w:rsidRPr="00DD6710">
      <w:rPr>
        <w:rStyle w:val="PageNumber"/>
        <w:rFonts w:cs="Traditional Arabic"/>
        <w:sz w:val="18"/>
        <w:szCs w:val="18"/>
      </w:rPr>
      <w:fldChar w:fldCharType="separate"/>
    </w:r>
    <w:r w:rsidR="00B13ABA">
      <w:rPr>
        <w:rStyle w:val="PageNumber"/>
        <w:rFonts w:cs="Traditional Arabic"/>
        <w:noProof/>
        <w:sz w:val="18"/>
        <w:szCs w:val="18"/>
      </w:rPr>
      <w:t>2</w:t>
    </w:r>
    <w:r w:rsidRPr="00DD6710">
      <w:rPr>
        <w:rStyle w:val="PageNumber"/>
        <w:rFonts w:cs="Traditional Arabic"/>
        <w:sz w:val="18"/>
        <w:szCs w:val="18"/>
      </w:rPr>
      <w:fldChar w:fldCharType="end"/>
    </w:r>
    <w:r w:rsidRPr="00DD6710">
      <w:rPr>
        <w:rStyle w:val="PageNumber"/>
        <w:rFonts w:cs="Traditional Arabic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5" w:rsidRPr="00DD6710" w:rsidRDefault="00936BC5" w:rsidP="00DA14B4">
    <w:pPr>
      <w:pStyle w:val="BDTHeaderPageNumber"/>
      <w:rPr>
        <w:sz w:val="18"/>
        <w:szCs w:val="18"/>
        <w:lang w:eastAsia="zh-CN"/>
      </w:rPr>
    </w:pPr>
    <w:r w:rsidRPr="00DD6710">
      <w:rPr>
        <w:sz w:val="18"/>
        <w:szCs w:val="18"/>
      </w:rPr>
      <w:t xml:space="preserve">– </w:t>
    </w:r>
    <w:r w:rsidRPr="00DD6710">
      <w:rPr>
        <w:rStyle w:val="PageNumber"/>
        <w:rFonts w:cs="Traditional Arabic"/>
        <w:sz w:val="18"/>
        <w:szCs w:val="18"/>
      </w:rPr>
      <w:fldChar w:fldCharType="begin"/>
    </w:r>
    <w:r w:rsidRPr="00DD6710">
      <w:rPr>
        <w:rStyle w:val="PageNumber"/>
        <w:rFonts w:cs="Traditional Arabic"/>
        <w:sz w:val="18"/>
        <w:szCs w:val="18"/>
      </w:rPr>
      <w:instrText xml:space="preserve"> PAGE </w:instrText>
    </w:r>
    <w:r w:rsidRPr="00DD6710">
      <w:rPr>
        <w:rStyle w:val="PageNumber"/>
        <w:rFonts w:cs="Traditional Arabic"/>
        <w:sz w:val="18"/>
        <w:szCs w:val="18"/>
      </w:rPr>
      <w:fldChar w:fldCharType="separate"/>
    </w:r>
    <w:r w:rsidR="009D4CA4">
      <w:rPr>
        <w:rStyle w:val="PageNumber"/>
        <w:rFonts w:cs="Traditional Arabic"/>
        <w:noProof/>
        <w:sz w:val="18"/>
        <w:szCs w:val="18"/>
      </w:rPr>
      <w:t>3</w:t>
    </w:r>
    <w:r w:rsidRPr="00DD6710">
      <w:rPr>
        <w:rStyle w:val="PageNumber"/>
        <w:rFonts w:cs="Traditional Arabic"/>
        <w:sz w:val="18"/>
        <w:szCs w:val="18"/>
      </w:rPr>
      <w:fldChar w:fldCharType="end"/>
    </w:r>
    <w:r w:rsidRPr="00DD6710">
      <w:rPr>
        <w:rStyle w:val="PageNumber"/>
        <w:rFonts w:cs="Traditional Arabic"/>
        <w:sz w:val="18"/>
        <w:szCs w:val="18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DA0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E2E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6EC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86A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C2A8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0C6C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C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324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88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9A2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DB27C2"/>
    <w:multiLevelType w:val="hybridMultilevel"/>
    <w:tmpl w:val="984AEF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35F4E"/>
    <w:multiLevelType w:val="hybridMultilevel"/>
    <w:tmpl w:val="31FAA3B6"/>
    <w:lvl w:ilvl="0" w:tplc="1E18F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D2496"/>
    <w:multiLevelType w:val="hybridMultilevel"/>
    <w:tmpl w:val="87C89716"/>
    <w:lvl w:ilvl="0" w:tplc="2542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803F7"/>
    <w:multiLevelType w:val="hybridMultilevel"/>
    <w:tmpl w:val="9F44922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15"/>
  </w:num>
  <w:num w:numId="21">
    <w:abstractNumId w:val="21"/>
  </w:num>
  <w:num w:numId="22">
    <w:abstractNumId w:val="18"/>
  </w:num>
  <w:num w:numId="23">
    <w:abstractNumId w:val="14"/>
  </w:num>
  <w:num w:numId="24">
    <w:abstractNumId w:val="19"/>
  </w:num>
  <w:num w:numId="25">
    <w:abstractNumId w:val="20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2F3B"/>
    <w:rsid w:val="0001215A"/>
    <w:rsid w:val="00014842"/>
    <w:rsid w:val="00056848"/>
    <w:rsid w:val="00087853"/>
    <w:rsid w:val="000A32C7"/>
    <w:rsid w:val="000A6C69"/>
    <w:rsid w:val="000B3A72"/>
    <w:rsid w:val="0011588E"/>
    <w:rsid w:val="0012746F"/>
    <w:rsid w:val="00142C44"/>
    <w:rsid w:val="00146D64"/>
    <w:rsid w:val="00147AA2"/>
    <w:rsid w:val="001620EB"/>
    <w:rsid w:val="0016553C"/>
    <w:rsid w:val="00183E19"/>
    <w:rsid w:val="00194AE5"/>
    <w:rsid w:val="001C31B6"/>
    <w:rsid w:val="001C7F88"/>
    <w:rsid w:val="001E0FB4"/>
    <w:rsid w:val="00233E57"/>
    <w:rsid w:val="00235A29"/>
    <w:rsid w:val="002718E1"/>
    <w:rsid w:val="00294688"/>
    <w:rsid w:val="002B1277"/>
    <w:rsid w:val="002D2AFD"/>
    <w:rsid w:val="002D6999"/>
    <w:rsid w:val="00323D48"/>
    <w:rsid w:val="0032516D"/>
    <w:rsid w:val="0033062F"/>
    <w:rsid w:val="0034705E"/>
    <w:rsid w:val="00376AEF"/>
    <w:rsid w:val="003A4FBE"/>
    <w:rsid w:val="003D7D7F"/>
    <w:rsid w:val="003E05F6"/>
    <w:rsid w:val="0040048E"/>
    <w:rsid w:val="00404712"/>
    <w:rsid w:val="004612FE"/>
    <w:rsid w:val="004C5925"/>
    <w:rsid w:val="00530254"/>
    <w:rsid w:val="00543FFE"/>
    <w:rsid w:val="00550C89"/>
    <w:rsid w:val="00562A97"/>
    <w:rsid w:val="005907DD"/>
    <w:rsid w:val="005A05B3"/>
    <w:rsid w:val="005D27DC"/>
    <w:rsid w:val="005E213A"/>
    <w:rsid w:val="005F278E"/>
    <w:rsid w:val="006512D0"/>
    <w:rsid w:val="00651844"/>
    <w:rsid w:val="006B664F"/>
    <w:rsid w:val="006C6DE8"/>
    <w:rsid w:val="006D015B"/>
    <w:rsid w:val="006D0B8B"/>
    <w:rsid w:val="00706BDA"/>
    <w:rsid w:val="00751329"/>
    <w:rsid w:val="00767CE7"/>
    <w:rsid w:val="00797B89"/>
    <w:rsid w:val="007B357F"/>
    <w:rsid w:val="007C1A3D"/>
    <w:rsid w:val="007D0787"/>
    <w:rsid w:val="007D159B"/>
    <w:rsid w:val="007F6308"/>
    <w:rsid w:val="007F657D"/>
    <w:rsid w:val="008128FF"/>
    <w:rsid w:val="008172DE"/>
    <w:rsid w:val="00834DD6"/>
    <w:rsid w:val="0084522B"/>
    <w:rsid w:val="00874056"/>
    <w:rsid w:val="00885EB0"/>
    <w:rsid w:val="0091086E"/>
    <w:rsid w:val="00912F42"/>
    <w:rsid w:val="00917BA0"/>
    <w:rsid w:val="00922385"/>
    <w:rsid w:val="00936BC5"/>
    <w:rsid w:val="009526F3"/>
    <w:rsid w:val="00956A12"/>
    <w:rsid w:val="009A3F2F"/>
    <w:rsid w:val="009C7299"/>
    <w:rsid w:val="009D4CA4"/>
    <w:rsid w:val="009E02C5"/>
    <w:rsid w:val="00A67F22"/>
    <w:rsid w:val="00A94976"/>
    <w:rsid w:val="00AA110A"/>
    <w:rsid w:val="00AA4032"/>
    <w:rsid w:val="00AA60D3"/>
    <w:rsid w:val="00AC5EC9"/>
    <w:rsid w:val="00B11562"/>
    <w:rsid w:val="00B13ABA"/>
    <w:rsid w:val="00B361ED"/>
    <w:rsid w:val="00B44F21"/>
    <w:rsid w:val="00B54E85"/>
    <w:rsid w:val="00C32116"/>
    <w:rsid w:val="00C33260"/>
    <w:rsid w:val="00C41E9B"/>
    <w:rsid w:val="00C743DD"/>
    <w:rsid w:val="00C77AF6"/>
    <w:rsid w:val="00C8358F"/>
    <w:rsid w:val="00CB21D2"/>
    <w:rsid w:val="00CC242D"/>
    <w:rsid w:val="00D272CA"/>
    <w:rsid w:val="00D5554A"/>
    <w:rsid w:val="00D5700F"/>
    <w:rsid w:val="00D70C4F"/>
    <w:rsid w:val="00DA14B4"/>
    <w:rsid w:val="00DA38F9"/>
    <w:rsid w:val="00DA6047"/>
    <w:rsid w:val="00DB72A0"/>
    <w:rsid w:val="00DD6710"/>
    <w:rsid w:val="00E03C63"/>
    <w:rsid w:val="00E100BB"/>
    <w:rsid w:val="00E15A05"/>
    <w:rsid w:val="00E3278F"/>
    <w:rsid w:val="00E32AC7"/>
    <w:rsid w:val="00E32F55"/>
    <w:rsid w:val="00E33DDB"/>
    <w:rsid w:val="00E40F7F"/>
    <w:rsid w:val="00E65C5F"/>
    <w:rsid w:val="00E8389B"/>
    <w:rsid w:val="00EA2AA4"/>
    <w:rsid w:val="00ED2F3B"/>
    <w:rsid w:val="00EE54A2"/>
    <w:rsid w:val="00F0122B"/>
    <w:rsid w:val="00F31585"/>
    <w:rsid w:val="00F3304C"/>
    <w:rsid w:val="00F3634F"/>
    <w:rsid w:val="00F544F8"/>
    <w:rsid w:val="00F65F52"/>
    <w:rsid w:val="00FA26AC"/>
    <w:rsid w:val="00FA5B02"/>
    <w:rsid w:val="00FC08C4"/>
    <w:rsid w:val="00FC2AFD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uiPriority w:val="99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uiPriority w:val="99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Tablelegend">
    <w:name w:val="Table_legend"/>
    <w:basedOn w:val="Normal"/>
    <w:rsid w:val="002D2A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cs="Times New Roman"/>
      <w:szCs w:val="22"/>
      <w:lang w:eastAsia="zh-CN"/>
    </w:rPr>
  </w:style>
  <w:style w:type="paragraph" w:customStyle="1" w:styleId="Section2">
    <w:name w:val="Section_2"/>
    <w:basedOn w:val="Normal"/>
    <w:next w:val="Normal"/>
    <w:rsid w:val="002D2A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cs="Times New Roman"/>
      <w:i/>
      <w:szCs w:val="22"/>
      <w:lang w:eastAsia="zh-CN"/>
    </w:rPr>
  </w:style>
  <w:style w:type="paragraph" w:customStyle="1" w:styleId="MOS-Hyperlink">
    <w:name w:val="MOS-Hyperlink"/>
    <w:basedOn w:val="Normal"/>
    <w:link w:val="MOS-HyperlinkChar"/>
    <w:rsid w:val="002D2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locked/>
    <w:rsid w:val="002D2AFD"/>
    <w:rPr>
      <w:rFonts w:ascii="Verdana" w:hAnsi="Verdana" w:cs="Times New Roman"/>
      <w:sz w:val="18"/>
      <w:szCs w:val="20"/>
      <w:lang w:val="en-GB" w:eastAsia="en-US"/>
    </w:rPr>
  </w:style>
  <w:style w:type="character" w:styleId="Hyperlink">
    <w:name w:val="Hyperlink"/>
    <w:aliases w:val="CEO_Hyperlink"/>
    <w:basedOn w:val="DefaultParagraphFont"/>
    <w:locked/>
    <w:rsid w:val="007B357F"/>
    <w:rPr>
      <w:rFonts w:cs="Times New Roman"/>
      <w:color w:val="0000FF"/>
      <w:u w:val="single"/>
    </w:rPr>
  </w:style>
  <w:style w:type="paragraph" w:customStyle="1" w:styleId="CEOClosing">
    <w:name w:val="CEO_Closing"/>
    <w:basedOn w:val="Normal"/>
    <w:link w:val="CEOClosingChar"/>
    <w:rsid w:val="007B35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locked/>
    <w:rsid w:val="007B357F"/>
    <w:rPr>
      <w:rFonts w:ascii="Verdana" w:hAnsi="Verdana" w:cs="Times New Roman"/>
      <w:szCs w:val="24"/>
    </w:rPr>
  </w:style>
  <w:style w:type="paragraph" w:customStyle="1" w:styleId="CEONormal">
    <w:name w:val="CEO_Normal"/>
    <w:link w:val="CEONormalChar"/>
    <w:uiPriority w:val="99"/>
    <w:rsid w:val="007B357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B357F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7B357F"/>
    <w:pPr>
      <w:numPr>
        <w:numId w:val="20"/>
      </w:numPr>
    </w:pPr>
    <w:rPr>
      <w:rFonts w:ascii="Verdana" w:hAnsi="Verdana" w:cs="Times New Roman"/>
      <w:sz w:val="19"/>
      <w:szCs w:val="20"/>
      <w:lang w:val="fr-CH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B357F"/>
    <w:rPr>
      <w:rFonts w:ascii="Verdana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7B357F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7B357F"/>
    <w:rPr>
      <w:rFonts w:ascii="Verdana" w:eastAsia="SimHei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locked/>
    <w:rsid w:val="007B357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shorttext">
    <w:name w:val="long_text short_text"/>
    <w:basedOn w:val="DefaultParagraphFont"/>
    <w:rsid w:val="007B357F"/>
  </w:style>
  <w:style w:type="paragraph" w:customStyle="1" w:styleId="Reasons">
    <w:name w:val="Reasons"/>
    <w:basedOn w:val="Normal"/>
    <w:qFormat/>
    <w:rsid w:val="000121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0122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2B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FC38E0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38E0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FC38E0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38E0"/>
    <w:rPr>
      <w:rFonts w:ascii="Arial" w:hAnsi="Arial" w:cs="Arial"/>
      <w:vanish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uiPriority w:val="99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uiPriority w:val="99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Tablelegend">
    <w:name w:val="Table_legend"/>
    <w:basedOn w:val="Normal"/>
    <w:rsid w:val="002D2A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cs="Times New Roman"/>
      <w:szCs w:val="22"/>
      <w:lang w:eastAsia="zh-CN"/>
    </w:rPr>
  </w:style>
  <w:style w:type="paragraph" w:customStyle="1" w:styleId="Section2">
    <w:name w:val="Section_2"/>
    <w:basedOn w:val="Normal"/>
    <w:next w:val="Normal"/>
    <w:rsid w:val="002D2A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cs="Times New Roman"/>
      <w:i/>
      <w:szCs w:val="22"/>
      <w:lang w:eastAsia="zh-CN"/>
    </w:rPr>
  </w:style>
  <w:style w:type="paragraph" w:customStyle="1" w:styleId="MOS-Hyperlink">
    <w:name w:val="MOS-Hyperlink"/>
    <w:basedOn w:val="Normal"/>
    <w:link w:val="MOS-HyperlinkChar"/>
    <w:rsid w:val="002D2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locked/>
    <w:rsid w:val="002D2AFD"/>
    <w:rPr>
      <w:rFonts w:ascii="Verdana" w:hAnsi="Verdana" w:cs="Times New Roman"/>
      <w:sz w:val="18"/>
      <w:szCs w:val="20"/>
      <w:lang w:val="en-GB" w:eastAsia="en-US"/>
    </w:rPr>
  </w:style>
  <w:style w:type="character" w:styleId="Hyperlink">
    <w:name w:val="Hyperlink"/>
    <w:aliases w:val="CEO_Hyperlink"/>
    <w:basedOn w:val="DefaultParagraphFont"/>
    <w:locked/>
    <w:rsid w:val="007B357F"/>
    <w:rPr>
      <w:rFonts w:cs="Times New Roman"/>
      <w:color w:val="0000FF"/>
      <w:u w:val="single"/>
    </w:rPr>
  </w:style>
  <w:style w:type="paragraph" w:customStyle="1" w:styleId="CEOClosing">
    <w:name w:val="CEO_Closing"/>
    <w:basedOn w:val="Normal"/>
    <w:link w:val="CEOClosingChar"/>
    <w:rsid w:val="007B35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locked/>
    <w:rsid w:val="007B357F"/>
    <w:rPr>
      <w:rFonts w:ascii="Verdana" w:hAnsi="Verdana" w:cs="Times New Roman"/>
      <w:szCs w:val="24"/>
    </w:rPr>
  </w:style>
  <w:style w:type="paragraph" w:customStyle="1" w:styleId="CEONormal">
    <w:name w:val="CEO_Normal"/>
    <w:link w:val="CEONormalChar"/>
    <w:uiPriority w:val="99"/>
    <w:rsid w:val="007B357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B357F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7B357F"/>
    <w:pPr>
      <w:numPr>
        <w:numId w:val="20"/>
      </w:numPr>
    </w:pPr>
    <w:rPr>
      <w:rFonts w:ascii="Verdana" w:hAnsi="Verdana" w:cs="Times New Roman"/>
      <w:sz w:val="19"/>
      <w:szCs w:val="20"/>
      <w:lang w:val="fr-CH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B357F"/>
    <w:rPr>
      <w:rFonts w:ascii="Verdana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7B357F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7B357F"/>
    <w:rPr>
      <w:rFonts w:ascii="Verdana" w:eastAsia="SimHei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locked/>
    <w:rsid w:val="007B357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shorttext">
    <w:name w:val="long_text short_text"/>
    <w:basedOn w:val="DefaultParagraphFont"/>
    <w:rsid w:val="007B357F"/>
  </w:style>
  <w:style w:type="paragraph" w:customStyle="1" w:styleId="Reasons">
    <w:name w:val="Reasons"/>
    <w:basedOn w:val="Normal"/>
    <w:qFormat/>
    <w:rsid w:val="000121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0122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2B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FC38E0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38E0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FC38E0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38E0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nnisjg@state.gov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vsg@itu.in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zh/ITU-D/Study-Groups/Pages/surveys/2013_Q22-1-1_CSTG016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study_groups/" TargetMode="External"/><Relationship Id="rId10" Type="http://schemas.openxmlformats.org/officeDocument/2006/relationships/hyperlink" Target="http://www.itu.int/net3/ITU-D/stg/rgqlist.aspx?rgq=D10-RGQ22.1.1&amp;stg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zh/ITU-D/Study-Groups/Pages/surveys/2013_Q22-1-1_CSTG016.aspx" TargetMode="External"/><Relationship Id="rId14" Type="http://schemas.openxmlformats.org/officeDocument/2006/relationships/hyperlink" Target="mailto:lear@cisc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1148</Words>
  <Characters>1204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(Chinese)</vt:lpstr>
    </vt:vector>
  </TitlesOfParts>
  <Company>ITU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Efrem Yosef</dc:creator>
  <cp:lastModifiedBy>Stoudmann C.</cp:lastModifiedBy>
  <cp:revision>5</cp:revision>
  <cp:lastPrinted>2013-01-18T15:09:00Z</cp:lastPrinted>
  <dcterms:created xsi:type="dcterms:W3CDTF">2013-01-18T15:43:00Z</dcterms:created>
  <dcterms:modified xsi:type="dcterms:W3CDTF">2013-01-18T16:05:00Z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