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401"/>
        <w:gridCol w:w="3544"/>
        <w:gridCol w:w="283"/>
        <w:gridCol w:w="4661"/>
      </w:tblGrid>
      <w:tr w:rsidR="0046067E" w:rsidTr="002570BB">
        <w:trPr>
          <w:jc w:val="center"/>
        </w:trPr>
        <w:tc>
          <w:tcPr>
            <w:tcW w:w="9889" w:type="dxa"/>
            <w:gridSpan w:val="4"/>
            <w:tcMar>
              <w:top w:w="142" w:type="dxa"/>
              <w:bottom w:w="142" w:type="dxa"/>
            </w:tcMar>
          </w:tcPr>
          <w:p w:rsidR="0046067E" w:rsidRDefault="0046067E" w:rsidP="002570BB">
            <w:pPr>
              <w:pStyle w:val="BDTLogo"/>
              <w:rPr>
                <w:noProof/>
                <w:lang w:eastAsia="fr-CH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76CA1CB" wp14:editId="4D87E9FF">
                  <wp:extent cx="638175" cy="7334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67E" w:rsidTr="002570BB">
        <w:trPr>
          <w:jc w:val="center"/>
        </w:trPr>
        <w:tc>
          <w:tcPr>
            <w:tcW w:w="9889" w:type="dxa"/>
            <w:gridSpan w:val="4"/>
          </w:tcPr>
          <w:p w:rsidR="0046067E" w:rsidRDefault="0046067E" w:rsidP="002570BB">
            <w:pPr>
              <w:rPr>
                <w:rStyle w:val="BDTName"/>
                <w:rFonts w:cs="Traditional Arabic"/>
              </w:rPr>
            </w:pPr>
            <w:r>
              <w:rPr>
                <w:rStyle w:val="BDTName"/>
              </w:rPr>
              <w:t>Telecommunication</w:t>
            </w:r>
            <w:r>
              <w:rPr>
                <w:rStyle w:val="BDTName"/>
                <w:rFonts w:cs="Traditional Arabic"/>
              </w:rPr>
              <w:t xml:space="preserve"> </w:t>
            </w:r>
            <w:r>
              <w:rPr>
                <w:rStyle w:val="BDTName"/>
                <w:rFonts w:cs="Traditional Arabic"/>
              </w:rPr>
              <w:br/>
              <w:t>Development Bureau (BDT)</w:t>
            </w:r>
          </w:p>
        </w:tc>
      </w:tr>
      <w:tr w:rsidR="0046067E" w:rsidTr="002570BB">
        <w:trPr>
          <w:jc w:val="center"/>
        </w:trPr>
        <w:tc>
          <w:tcPr>
            <w:tcW w:w="9889" w:type="dxa"/>
            <w:gridSpan w:val="4"/>
          </w:tcPr>
          <w:p w:rsidR="0046067E" w:rsidRPr="008A330E" w:rsidRDefault="0046067E" w:rsidP="002570BB">
            <w:pPr>
              <w:pStyle w:val="BDTSeparator"/>
              <w:rPr>
                <w:sz w:val="20"/>
                <w:szCs w:val="20"/>
              </w:rPr>
            </w:pPr>
          </w:p>
        </w:tc>
      </w:tr>
      <w:tr w:rsidR="0046067E" w:rsidTr="005D57B0">
        <w:trPr>
          <w:jc w:val="center"/>
        </w:trPr>
        <w:tc>
          <w:tcPr>
            <w:tcW w:w="1401" w:type="dxa"/>
          </w:tcPr>
          <w:p w:rsidR="0046067E" w:rsidRPr="008A330E" w:rsidRDefault="0046067E" w:rsidP="00AB3DAF">
            <w:pPr>
              <w:pStyle w:val="BDTRef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330E">
              <w:rPr>
                <w:rFonts w:asciiTheme="minorHAnsi" w:hAnsiTheme="minorHAnsi" w:cstheme="minorHAnsi"/>
                <w:sz w:val="20"/>
                <w:szCs w:val="20"/>
              </w:rPr>
              <w:t>Ref.</w:t>
            </w:r>
          </w:p>
        </w:tc>
        <w:tc>
          <w:tcPr>
            <w:tcW w:w="3827" w:type="dxa"/>
            <w:gridSpan w:val="2"/>
          </w:tcPr>
          <w:p w:rsidR="0046067E" w:rsidRPr="008A330E" w:rsidRDefault="0046067E" w:rsidP="00AB3DAF">
            <w:pPr>
              <w:pStyle w:val="BDTRef-Details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330E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Circular BDT/IP/CSTG-</w:t>
            </w:r>
            <w:r w:rsidR="009A11C6" w:rsidRPr="008A330E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11</w:t>
            </w:r>
          </w:p>
        </w:tc>
        <w:tc>
          <w:tcPr>
            <w:tcW w:w="4661" w:type="dxa"/>
          </w:tcPr>
          <w:p w:rsidR="0046067E" w:rsidRPr="008A330E" w:rsidRDefault="0046067E" w:rsidP="00FE62BD">
            <w:pPr>
              <w:pStyle w:val="BDTDat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A33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Geneva</w:t>
            </w:r>
            <w:r w:rsidRPr="008A330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E62BD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bookmarkStart w:id="0" w:name="_GoBack"/>
            <w:bookmarkEnd w:id="0"/>
            <w:r w:rsidR="00431710" w:rsidRPr="008A330E">
              <w:rPr>
                <w:rFonts w:asciiTheme="minorHAnsi" w:hAnsiTheme="minorHAnsi" w:cstheme="minorHAnsi"/>
                <w:sz w:val="20"/>
                <w:szCs w:val="20"/>
              </w:rPr>
              <w:t xml:space="preserve"> June</w:t>
            </w:r>
            <w:r w:rsidRPr="008A33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2012</w:t>
            </w:r>
          </w:p>
        </w:tc>
      </w:tr>
      <w:tr w:rsidR="0046067E" w:rsidTr="005D57B0">
        <w:trPr>
          <w:jc w:val="center"/>
        </w:trPr>
        <w:tc>
          <w:tcPr>
            <w:tcW w:w="1401" w:type="dxa"/>
          </w:tcPr>
          <w:p w:rsidR="0046067E" w:rsidRPr="008A330E" w:rsidRDefault="0046067E" w:rsidP="002570BB">
            <w:pPr>
              <w:pStyle w:val="BDTSeparato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46067E" w:rsidRPr="008A330E" w:rsidRDefault="0046067E" w:rsidP="002570BB">
            <w:pPr>
              <w:pStyle w:val="BDTSeparato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1" w:type="dxa"/>
          </w:tcPr>
          <w:p w:rsidR="0046067E" w:rsidRPr="008A330E" w:rsidRDefault="0046067E" w:rsidP="002570BB">
            <w:pPr>
              <w:pStyle w:val="BDTSeparato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067E" w:rsidTr="005D57B0">
        <w:trPr>
          <w:jc w:val="center"/>
        </w:trPr>
        <w:tc>
          <w:tcPr>
            <w:tcW w:w="1401" w:type="dxa"/>
          </w:tcPr>
          <w:p w:rsidR="0046067E" w:rsidRPr="008A330E" w:rsidRDefault="0046067E" w:rsidP="002570BB">
            <w:pPr>
              <w:pStyle w:val="BDTContact"/>
              <w:rPr>
                <w:rFonts w:asciiTheme="minorHAnsi" w:hAnsiTheme="minorHAnsi" w:cstheme="minorHAnsi"/>
                <w:sz w:val="20"/>
                <w:szCs w:val="20"/>
              </w:rPr>
            </w:pPr>
            <w:r w:rsidRPr="008A33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46067E" w:rsidRPr="008A330E" w:rsidRDefault="0046067E" w:rsidP="002570BB">
            <w:pPr>
              <w:pStyle w:val="BDTContact-Detail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46067E" w:rsidRPr="008A330E" w:rsidRDefault="0046067E" w:rsidP="002570BB">
            <w:pPr>
              <w:pStyle w:val="BDTContact-Detail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1" w:type="dxa"/>
            <w:vMerge w:val="restart"/>
          </w:tcPr>
          <w:p w:rsidR="0046067E" w:rsidRPr="008A330E" w:rsidRDefault="0046067E" w:rsidP="00C97BB3">
            <w:pPr>
              <w:pStyle w:val="BDTContact-Details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A330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To: </w:t>
            </w:r>
          </w:p>
          <w:p w:rsidR="0046067E" w:rsidRPr="008A330E" w:rsidRDefault="0046067E" w:rsidP="00C97BB3">
            <w:pPr>
              <w:pStyle w:val="BDTContact-Details"/>
              <w:numPr>
                <w:ilvl w:val="0"/>
                <w:numId w:val="17"/>
              </w:numPr>
              <w:spacing w:before="0" w:after="0"/>
              <w:ind w:left="357" w:hanging="35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A330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Administrations of ITU Member States</w:t>
            </w:r>
          </w:p>
          <w:p w:rsidR="0046067E" w:rsidRPr="008A330E" w:rsidRDefault="0046067E" w:rsidP="00C97BB3">
            <w:pPr>
              <w:pStyle w:val="BDTDistributionEmdash"/>
              <w:numPr>
                <w:ilvl w:val="0"/>
                <w:numId w:val="17"/>
              </w:numPr>
              <w:spacing w:before="0" w:after="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8A330E">
              <w:rPr>
                <w:rFonts w:asciiTheme="minorHAnsi" w:hAnsiTheme="minorHAnsi" w:cstheme="minorHAnsi"/>
                <w:sz w:val="20"/>
                <w:szCs w:val="20"/>
              </w:rPr>
              <w:t>Observer (Resolution 99)</w:t>
            </w:r>
          </w:p>
          <w:p w:rsidR="002570BB" w:rsidRPr="008A330E" w:rsidRDefault="0046067E" w:rsidP="00C97BB3">
            <w:pPr>
              <w:pStyle w:val="BDTContact-Details"/>
              <w:numPr>
                <w:ilvl w:val="0"/>
                <w:numId w:val="17"/>
              </w:numPr>
              <w:spacing w:before="0" w:after="0"/>
              <w:ind w:left="357" w:hanging="35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A330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ITU-D Sector Members</w:t>
            </w:r>
            <w:r w:rsidR="004D30F6" w:rsidRPr="008A330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8A330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Associates</w:t>
            </w:r>
            <w:r w:rsidR="004D30F6" w:rsidRPr="008A330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8A330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Academia</w:t>
            </w:r>
          </w:p>
          <w:p w:rsidR="0046067E" w:rsidRPr="008A330E" w:rsidRDefault="0046067E" w:rsidP="00C97BB3">
            <w:pPr>
              <w:pStyle w:val="BDTindentendash"/>
              <w:numPr>
                <w:ilvl w:val="0"/>
                <w:numId w:val="17"/>
              </w:numPr>
              <w:spacing w:before="0" w:after="0"/>
              <w:ind w:left="357" w:hanging="35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A330E">
              <w:rPr>
                <w:rFonts w:asciiTheme="minorHAnsi" w:hAnsiTheme="minorHAnsi" w:cstheme="minorHAnsi"/>
                <w:sz w:val="20"/>
                <w:szCs w:val="20"/>
              </w:rPr>
              <w:t>Chairmen, Vice-Chairmen, Rapporteurs and Vice-Rappo</w:t>
            </w:r>
            <w:r w:rsidR="00000391" w:rsidRPr="008A330E">
              <w:rPr>
                <w:rFonts w:asciiTheme="minorHAnsi" w:hAnsiTheme="minorHAnsi" w:cstheme="minorHAnsi"/>
                <w:sz w:val="20"/>
                <w:szCs w:val="20"/>
              </w:rPr>
              <w:t>rteurs for ITU-D Study Groups 1&amp;</w:t>
            </w:r>
            <w:r w:rsidRPr="008A330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:rsidR="0046067E" w:rsidRPr="008A330E" w:rsidRDefault="0046067E" w:rsidP="00C97BB3">
            <w:pPr>
              <w:pStyle w:val="BDTContact-Details"/>
              <w:numPr>
                <w:ilvl w:val="0"/>
                <w:numId w:val="17"/>
              </w:numPr>
              <w:spacing w:before="0" w:after="0"/>
              <w:ind w:left="357" w:hanging="35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A330E">
              <w:rPr>
                <w:rFonts w:asciiTheme="minorHAnsi" w:hAnsiTheme="minorHAnsi" w:cstheme="minorHAnsi"/>
                <w:sz w:val="20"/>
                <w:szCs w:val="20"/>
              </w:rPr>
              <w:t>Observers (Regional and International Organizations)</w:t>
            </w:r>
          </w:p>
        </w:tc>
      </w:tr>
      <w:tr w:rsidR="0046067E" w:rsidTr="005D57B0">
        <w:trPr>
          <w:jc w:val="center"/>
        </w:trPr>
        <w:tc>
          <w:tcPr>
            <w:tcW w:w="1401" w:type="dxa"/>
          </w:tcPr>
          <w:p w:rsidR="0046067E" w:rsidRPr="008A330E" w:rsidRDefault="0046067E" w:rsidP="002570BB">
            <w:pPr>
              <w:pStyle w:val="BDTCont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46067E" w:rsidRPr="008A330E" w:rsidRDefault="0046067E" w:rsidP="002570BB">
            <w:pPr>
              <w:pStyle w:val="BDTContact-Detail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46067E" w:rsidRPr="008A330E" w:rsidRDefault="0046067E" w:rsidP="002570BB">
            <w:pPr>
              <w:pStyle w:val="BDTContact-Detail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1" w:type="dxa"/>
            <w:vMerge/>
          </w:tcPr>
          <w:p w:rsidR="0046067E" w:rsidRPr="008A330E" w:rsidRDefault="0046067E" w:rsidP="002570B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6067E" w:rsidTr="005D57B0">
        <w:trPr>
          <w:jc w:val="center"/>
        </w:trPr>
        <w:tc>
          <w:tcPr>
            <w:tcW w:w="1401" w:type="dxa"/>
          </w:tcPr>
          <w:p w:rsidR="0046067E" w:rsidRPr="008A330E" w:rsidRDefault="0046067E" w:rsidP="002570BB">
            <w:pPr>
              <w:pStyle w:val="BDTCont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46067E" w:rsidRPr="008A330E" w:rsidRDefault="0046067E" w:rsidP="002570BB">
            <w:pPr>
              <w:pStyle w:val="BDTContact-Detail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46067E" w:rsidRPr="008A330E" w:rsidRDefault="0046067E" w:rsidP="002570BB">
            <w:pPr>
              <w:pStyle w:val="BDTContact-Detail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1" w:type="dxa"/>
            <w:vMerge/>
          </w:tcPr>
          <w:p w:rsidR="0046067E" w:rsidRPr="008A330E" w:rsidRDefault="0046067E" w:rsidP="002570B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6067E" w:rsidTr="005D57B0">
        <w:trPr>
          <w:jc w:val="center"/>
        </w:trPr>
        <w:tc>
          <w:tcPr>
            <w:tcW w:w="1401" w:type="dxa"/>
          </w:tcPr>
          <w:p w:rsidR="0046067E" w:rsidRPr="008A330E" w:rsidRDefault="0046067E" w:rsidP="002570BB">
            <w:pPr>
              <w:pStyle w:val="BDTCont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46067E" w:rsidRPr="008A330E" w:rsidRDefault="0046067E" w:rsidP="002570BB">
            <w:pPr>
              <w:pStyle w:val="BDTContact-Detail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46067E" w:rsidRPr="008A330E" w:rsidRDefault="0046067E" w:rsidP="002570BB">
            <w:pPr>
              <w:pStyle w:val="BDTContact-Detail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1" w:type="dxa"/>
            <w:vMerge/>
          </w:tcPr>
          <w:p w:rsidR="0046067E" w:rsidRPr="008A330E" w:rsidRDefault="0046067E" w:rsidP="002570B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6067E" w:rsidTr="002570BB">
        <w:trPr>
          <w:jc w:val="center"/>
        </w:trPr>
        <w:tc>
          <w:tcPr>
            <w:tcW w:w="9889" w:type="dxa"/>
            <w:gridSpan w:val="4"/>
          </w:tcPr>
          <w:p w:rsidR="0046067E" w:rsidRPr="008A330E" w:rsidRDefault="0046067E" w:rsidP="002570BB">
            <w:pPr>
              <w:pStyle w:val="BDTSeparato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067E" w:rsidRPr="002570BB" w:rsidTr="002570BB">
        <w:trPr>
          <w:jc w:val="center"/>
        </w:trPr>
        <w:tc>
          <w:tcPr>
            <w:tcW w:w="1401" w:type="dxa"/>
          </w:tcPr>
          <w:p w:rsidR="002570BB" w:rsidRPr="008A330E" w:rsidRDefault="0046067E" w:rsidP="002570BB">
            <w:pPr>
              <w:pStyle w:val="BDTSubject"/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33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Subject:</w:t>
            </w:r>
          </w:p>
        </w:tc>
        <w:tc>
          <w:tcPr>
            <w:tcW w:w="8488" w:type="dxa"/>
            <w:gridSpan w:val="3"/>
          </w:tcPr>
          <w:p w:rsidR="0046067E" w:rsidRPr="008A330E" w:rsidRDefault="002570BB" w:rsidP="002570BB">
            <w:pPr>
              <w:pStyle w:val="BDTSubjectdetail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33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Call for Contributions: ITU-D Study Group 1 Question 22-1/1 Compendium on Cybersecurity Country Case Studies</w:t>
            </w:r>
          </w:p>
        </w:tc>
      </w:tr>
      <w:tr w:rsidR="0046067E" w:rsidTr="002570BB">
        <w:trPr>
          <w:jc w:val="center"/>
        </w:trPr>
        <w:tc>
          <w:tcPr>
            <w:tcW w:w="9889" w:type="dxa"/>
            <w:gridSpan w:val="4"/>
          </w:tcPr>
          <w:p w:rsidR="0046067E" w:rsidRPr="008A330E" w:rsidRDefault="0046067E" w:rsidP="00AB3DAF">
            <w:pPr>
              <w:pStyle w:val="CEONormal"/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8A330E">
              <w:rPr>
                <w:rFonts w:asciiTheme="minorHAnsi" w:hAnsiTheme="minorHAnsi" w:cstheme="minorHAnsi"/>
                <w:sz w:val="20"/>
                <w:szCs w:val="20"/>
              </w:rPr>
              <w:t>Dear Sir/Madam,</w:t>
            </w:r>
          </w:p>
          <w:p w:rsidR="004D30F6" w:rsidRPr="008A330E" w:rsidRDefault="008E3956" w:rsidP="00095923">
            <w:pPr>
              <w:pStyle w:val="CEONormal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We would like </w:t>
            </w:r>
            <w:r w:rsidRPr="008A330E">
              <w:rPr>
                <w:rFonts w:asciiTheme="minorHAnsi" w:hAnsiTheme="minorHAnsi" w:cstheme="minorHAnsi"/>
                <w:sz w:val="20"/>
                <w:szCs w:val="20"/>
              </w:rPr>
              <w:t>to invite the</w:t>
            </w:r>
            <w:r w:rsidR="00C527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330E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C52718">
              <w:rPr>
                <w:rFonts w:asciiTheme="minorHAnsi" w:hAnsiTheme="minorHAnsi" w:cstheme="minorHAnsi"/>
                <w:sz w:val="20"/>
                <w:szCs w:val="20"/>
              </w:rPr>
              <w:t>embership</w:t>
            </w:r>
            <w:r w:rsidRPr="008A330E">
              <w:rPr>
                <w:rFonts w:asciiTheme="minorHAnsi" w:hAnsiTheme="minorHAnsi" w:cstheme="minorHAnsi"/>
                <w:sz w:val="20"/>
                <w:szCs w:val="20"/>
              </w:rPr>
              <w:t xml:space="preserve"> to submit contributions and/or update existing case studies describing the current status of countries' </w:t>
            </w:r>
            <w:proofErr w:type="spellStart"/>
            <w:r w:rsidRPr="008A330E">
              <w:rPr>
                <w:rFonts w:asciiTheme="minorHAnsi" w:hAnsiTheme="minorHAnsi" w:cstheme="minorHAnsi"/>
                <w:sz w:val="20"/>
                <w:szCs w:val="20"/>
              </w:rPr>
              <w:t>cybersecurity</w:t>
            </w:r>
            <w:proofErr w:type="spellEnd"/>
            <w:r w:rsidRPr="008A330E">
              <w:rPr>
                <w:rFonts w:asciiTheme="minorHAnsi" w:hAnsiTheme="minorHAnsi" w:cstheme="minorHAnsi"/>
                <w:sz w:val="20"/>
                <w:szCs w:val="20"/>
              </w:rPr>
              <w:t xml:space="preserve"> efforts and </w:t>
            </w:r>
            <w:proofErr w:type="spellStart"/>
            <w:r w:rsidRPr="008A330E">
              <w:rPr>
                <w:rFonts w:asciiTheme="minorHAnsi" w:hAnsiTheme="minorHAnsi" w:cstheme="minorHAnsi"/>
                <w:sz w:val="20"/>
                <w:szCs w:val="20"/>
              </w:rPr>
              <w:t>cybersecurity</w:t>
            </w:r>
            <w:proofErr w:type="spellEnd"/>
            <w:r w:rsidRPr="008A330E">
              <w:rPr>
                <w:rFonts w:asciiTheme="minorHAnsi" w:hAnsiTheme="minorHAnsi" w:cstheme="minorHAnsi"/>
                <w:sz w:val="20"/>
                <w:szCs w:val="20"/>
              </w:rPr>
              <w:t xml:space="preserve"> policies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This request follows agreement at the April 2012 meeting in Geneva of </w:t>
            </w:r>
            <w:r w:rsidR="004D30F6" w:rsidRPr="008A330E">
              <w:rPr>
                <w:rFonts w:asciiTheme="minorHAnsi" w:hAnsiTheme="minorHAnsi" w:cstheme="minorHAnsi"/>
                <w:sz w:val="20"/>
                <w:szCs w:val="20"/>
              </w:rPr>
              <w:t xml:space="preserve">ITU-D Study Group 1 Rapporteur Group for Question 22-1/1 dedicated to “Securing information and communication networks: best practices for developing a culture of </w:t>
            </w:r>
            <w:proofErr w:type="spellStart"/>
            <w:r w:rsidR="004D30F6" w:rsidRPr="008A330E">
              <w:rPr>
                <w:rFonts w:asciiTheme="minorHAnsi" w:hAnsiTheme="minorHAnsi" w:cstheme="minorHAnsi"/>
                <w:sz w:val="20"/>
                <w:szCs w:val="20"/>
              </w:rPr>
              <w:t>cybersecurity</w:t>
            </w:r>
            <w:proofErr w:type="spellEnd"/>
            <w:r w:rsidR="004D30F6" w:rsidRPr="008A330E">
              <w:rPr>
                <w:rFonts w:asciiTheme="minorHAnsi" w:hAnsiTheme="minorHAnsi" w:cstheme="minorHAnsi"/>
                <w:sz w:val="20"/>
                <w:szCs w:val="20"/>
              </w:rPr>
              <w:t xml:space="preserve">”, to issue a circular to </w:t>
            </w:r>
            <w:r w:rsidR="00486650">
              <w:rPr>
                <w:rFonts w:asciiTheme="minorHAnsi" w:hAnsiTheme="minorHAnsi" w:cstheme="minorHAnsi"/>
                <w:sz w:val="20"/>
                <w:szCs w:val="20"/>
              </w:rPr>
              <w:t>members</w:t>
            </w:r>
            <w:r w:rsidR="004D30F6" w:rsidRPr="008A33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calling for contributions.</w:t>
            </w:r>
          </w:p>
          <w:p w:rsidR="004D30F6" w:rsidRPr="008A330E" w:rsidRDefault="004D30F6" w:rsidP="0045363A">
            <w:pPr>
              <w:pStyle w:val="CEONormal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330E">
              <w:rPr>
                <w:rFonts w:asciiTheme="minorHAnsi" w:hAnsiTheme="minorHAnsi" w:cstheme="minorHAnsi"/>
                <w:sz w:val="20"/>
                <w:szCs w:val="20"/>
              </w:rPr>
              <w:t xml:space="preserve">All contributions received will be used to compile the compendium of country case studies </w:t>
            </w:r>
            <w:r w:rsidR="0045363A" w:rsidRPr="008A330E">
              <w:rPr>
                <w:rFonts w:asciiTheme="minorHAnsi" w:hAnsiTheme="minorHAnsi" w:cstheme="minorHAnsi"/>
                <w:sz w:val="20"/>
                <w:szCs w:val="20"/>
              </w:rPr>
              <w:t>which is</w:t>
            </w:r>
            <w:r w:rsidRPr="008A330E">
              <w:rPr>
                <w:rFonts w:asciiTheme="minorHAnsi" w:hAnsiTheme="minorHAnsi" w:cstheme="minorHAnsi"/>
                <w:sz w:val="20"/>
                <w:szCs w:val="20"/>
              </w:rPr>
              <w:t xml:space="preserve"> part of the outputs of the Question and to assist countries in </w:t>
            </w:r>
            <w:r w:rsidR="0045363A" w:rsidRPr="008A330E">
              <w:rPr>
                <w:rFonts w:asciiTheme="minorHAnsi" w:hAnsiTheme="minorHAnsi" w:cstheme="minorHAnsi"/>
                <w:sz w:val="20"/>
                <w:szCs w:val="20"/>
              </w:rPr>
              <w:t xml:space="preserve">strengthening </w:t>
            </w:r>
            <w:r w:rsidRPr="008A330E">
              <w:rPr>
                <w:rFonts w:asciiTheme="minorHAnsi" w:hAnsiTheme="minorHAnsi" w:cstheme="minorHAnsi"/>
                <w:sz w:val="20"/>
                <w:szCs w:val="20"/>
              </w:rPr>
              <w:t xml:space="preserve">their </w:t>
            </w:r>
            <w:r w:rsidR="0045363A" w:rsidRPr="008A330E">
              <w:rPr>
                <w:rFonts w:asciiTheme="minorHAnsi" w:hAnsiTheme="minorHAnsi" w:cstheme="minorHAnsi"/>
                <w:sz w:val="20"/>
                <w:szCs w:val="20"/>
              </w:rPr>
              <w:t>capacity</w:t>
            </w:r>
            <w:r w:rsidRPr="008A330E">
              <w:rPr>
                <w:rFonts w:asciiTheme="minorHAnsi" w:hAnsiTheme="minorHAnsi" w:cstheme="minorHAnsi"/>
                <w:sz w:val="20"/>
                <w:szCs w:val="20"/>
              </w:rPr>
              <w:t xml:space="preserve"> to address </w:t>
            </w:r>
            <w:proofErr w:type="spellStart"/>
            <w:r w:rsidRPr="008A330E">
              <w:rPr>
                <w:rFonts w:asciiTheme="minorHAnsi" w:hAnsiTheme="minorHAnsi" w:cstheme="minorHAnsi"/>
                <w:sz w:val="20"/>
                <w:szCs w:val="20"/>
              </w:rPr>
              <w:t>cybersecurity</w:t>
            </w:r>
            <w:proofErr w:type="spellEnd"/>
            <w:r w:rsidRPr="008A330E">
              <w:rPr>
                <w:rFonts w:asciiTheme="minorHAnsi" w:hAnsiTheme="minorHAnsi" w:cstheme="minorHAnsi"/>
                <w:sz w:val="20"/>
                <w:szCs w:val="20"/>
              </w:rPr>
              <w:t xml:space="preserve"> challenges. </w:t>
            </w:r>
          </w:p>
          <w:p w:rsidR="004D30F6" w:rsidRPr="008A330E" w:rsidRDefault="0045363A" w:rsidP="008E3956">
            <w:pPr>
              <w:pStyle w:val="CEONormal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330E">
              <w:rPr>
                <w:rFonts w:asciiTheme="minorHAnsi" w:hAnsiTheme="minorHAnsi" w:cstheme="minorHAnsi"/>
                <w:sz w:val="20"/>
                <w:szCs w:val="20"/>
              </w:rPr>
              <w:t>Moreover, to make your contributions available to the general public in order to ensure that thes</w:t>
            </w:r>
            <w:r w:rsidR="004D30F6" w:rsidRPr="008A330E">
              <w:rPr>
                <w:rFonts w:asciiTheme="minorHAnsi" w:hAnsiTheme="minorHAnsi" w:cstheme="minorHAnsi"/>
                <w:sz w:val="20"/>
                <w:szCs w:val="20"/>
              </w:rPr>
              <w:t>e best practices</w:t>
            </w:r>
            <w:r w:rsidR="002B2F69" w:rsidRPr="008A33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330E">
              <w:rPr>
                <w:rFonts w:asciiTheme="minorHAnsi" w:hAnsiTheme="minorHAnsi" w:cstheme="minorHAnsi"/>
                <w:sz w:val="20"/>
                <w:szCs w:val="20"/>
              </w:rPr>
              <w:t xml:space="preserve">are shared and disseminated </w:t>
            </w:r>
            <w:r w:rsidR="002B2F69" w:rsidRPr="008A330E">
              <w:rPr>
                <w:rFonts w:asciiTheme="minorHAnsi" w:hAnsiTheme="minorHAnsi" w:cstheme="minorHAnsi"/>
                <w:sz w:val="20"/>
                <w:szCs w:val="20"/>
              </w:rPr>
              <w:t>more widely,</w:t>
            </w:r>
            <w:r w:rsidR="004D30F6" w:rsidRPr="008A330E">
              <w:rPr>
                <w:rFonts w:asciiTheme="minorHAnsi" w:hAnsiTheme="minorHAnsi" w:cstheme="minorHAnsi"/>
                <w:sz w:val="20"/>
                <w:szCs w:val="20"/>
              </w:rPr>
              <w:t xml:space="preserve"> your </w:t>
            </w:r>
            <w:r w:rsidR="002B2F69" w:rsidRPr="008A330E">
              <w:rPr>
                <w:rFonts w:asciiTheme="minorHAnsi" w:hAnsiTheme="minorHAnsi" w:cstheme="minorHAnsi"/>
                <w:sz w:val="20"/>
                <w:szCs w:val="20"/>
              </w:rPr>
              <w:t xml:space="preserve">further </w:t>
            </w:r>
            <w:r w:rsidR="004D30F6" w:rsidRPr="008A330E">
              <w:rPr>
                <w:rFonts w:asciiTheme="minorHAnsi" w:hAnsiTheme="minorHAnsi" w:cstheme="minorHAnsi"/>
                <w:sz w:val="20"/>
                <w:szCs w:val="20"/>
              </w:rPr>
              <w:t>authorization will be needed.</w:t>
            </w:r>
            <w:r w:rsidR="00486650">
              <w:rPr>
                <w:rFonts w:asciiTheme="minorHAnsi" w:hAnsiTheme="minorHAnsi" w:cstheme="minorHAnsi"/>
                <w:sz w:val="20"/>
                <w:szCs w:val="20"/>
              </w:rPr>
              <w:t xml:space="preserve"> Please indicate this in your contribution.</w:t>
            </w:r>
          </w:p>
          <w:p w:rsidR="004D30F6" w:rsidRPr="008A330E" w:rsidRDefault="004D30F6" w:rsidP="008E3956">
            <w:pPr>
              <w:pStyle w:val="CEONormal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330E">
              <w:rPr>
                <w:rFonts w:asciiTheme="minorHAnsi" w:hAnsiTheme="minorHAnsi" w:cstheme="minorHAnsi"/>
                <w:sz w:val="20"/>
                <w:szCs w:val="20"/>
              </w:rPr>
              <w:t xml:space="preserve">The success and value of this compendium on cybersecurity country case studies </w:t>
            </w:r>
            <w:r w:rsidR="008E3956">
              <w:rPr>
                <w:rFonts w:asciiTheme="minorHAnsi" w:hAnsiTheme="minorHAnsi" w:cstheme="minorHAnsi"/>
                <w:sz w:val="20"/>
                <w:szCs w:val="20"/>
              </w:rPr>
              <w:t>will depend</w:t>
            </w:r>
            <w:r w:rsidRPr="008A330E">
              <w:rPr>
                <w:rFonts w:asciiTheme="minorHAnsi" w:hAnsiTheme="minorHAnsi" w:cstheme="minorHAnsi"/>
                <w:sz w:val="20"/>
                <w:szCs w:val="20"/>
              </w:rPr>
              <w:t xml:space="preserve"> on the input received from Member States. I look forward to your active participation, support and contributions to the work of the ITU-D Study Groups.</w:t>
            </w:r>
          </w:p>
          <w:p w:rsidR="004D30F6" w:rsidRPr="008A330E" w:rsidRDefault="004D30F6" w:rsidP="00AB3DAF">
            <w:pPr>
              <w:pStyle w:val="CEONormal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330E">
              <w:rPr>
                <w:rFonts w:asciiTheme="minorHAnsi" w:hAnsiTheme="minorHAnsi" w:cstheme="minorHAnsi"/>
                <w:sz w:val="20"/>
                <w:szCs w:val="20"/>
              </w:rPr>
              <w:t>I thank you in advance for your cooperation.</w:t>
            </w:r>
          </w:p>
          <w:p w:rsidR="00000391" w:rsidRPr="008A330E" w:rsidRDefault="00000391" w:rsidP="00AB3DA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Theme="minorHAnsi" w:hAnsiTheme="minorHAnsi" w:cs="Times New Roman"/>
                <w:sz w:val="20"/>
                <w:szCs w:val="20"/>
                <w:lang w:eastAsia="zh-CN" w:bidi="ar-EG"/>
              </w:rPr>
            </w:pPr>
            <w:r w:rsidRPr="008A330E">
              <w:rPr>
                <w:rFonts w:asciiTheme="minorHAnsi" w:hAnsiTheme="minorHAnsi" w:cs="Times New Roman"/>
                <w:sz w:val="20"/>
                <w:szCs w:val="20"/>
                <w:lang w:eastAsia="zh-CN" w:bidi="ar-EG"/>
              </w:rPr>
              <w:fldChar w:fldCharType="begin"/>
            </w:r>
            <w:r w:rsidRPr="008A330E">
              <w:rPr>
                <w:rFonts w:asciiTheme="minorHAnsi" w:hAnsiTheme="minorHAnsi" w:cs="Times New Roman"/>
                <w:sz w:val="20"/>
                <w:szCs w:val="20"/>
                <w:lang w:eastAsia="zh-CN" w:bidi="ar-EG"/>
              </w:rPr>
              <w:instrText xml:space="preserve"> MERGEFIELD Closing </w:instrText>
            </w:r>
            <w:r w:rsidRPr="008A330E">
              <w:rPr>
                <w:rFonts w:asciiTheme="minorHAnsi" w:hAnsiTheme="minorHAnsi" w:cs="Times New Roman"/>
                <w:sz w:val="20"/>
                <w:szCs w:val="20"/>
                <w:lang w:eastAsia="zh-CN" w:bidi="ar-EG"/>
              </w:rPr>
              <w:fldChar w:fldCharType="separate"/>
            </w:r>
            <w:r w:rsidRPr="008A330E">
              <w:rPr>
                <w:rFonts w:asciiTheme="minorHAnsi" w:hAnsiTheme="minorHAnsi" w:cs="Times New Roman"/>
                <w:noProof/>
                <w:sz w:val="20"/>
                <w:szCs w:val="20"/>
                <w:lang w:eastAsia="zh-CN" w:bidi="ar-EG"/>
              </w:rPr>
              <w:t>Yours faithfully,</w:t>
            </w:r>
            <w:r w:rsidRPr="008A330E">
              <w:rPr>
                <w:rFonts w:asciiTheme="minorHAnsi" w:hAnsiTheme="minorHAnsi" w:cs="Times New Roman"/>
                <w:sz w:val="20"/>
                <w:szCs w:val="20"/>
                <w:lang w:eastAsia="zh-CN" w:bidi="ar-EG"/>
              </w:rPr>
              <w:fldChar w:fldCharType="end"/>
            </w:r>
          </w:p>
          <w:p w:rsidR="00000391" w:rsidRDefault="00000391" w:rsidP="00A369CC">
            <w:pPr>
              <w:spacing w:before="60" w:after="60"/>
              <w:rPr>
                <w:rFonts w:eastAsia="SimHei" w:cs="Simplified Arabic"/>
                <w:bCs/>
                <w:sz w:val="20"/>
                <w:szCs w:val="20"/>
                <w:lang w:eastAsia="zh-CN" w:bidi="ar-EG"/>
              </w:rPr>
            </w:pPr>
          </w:p>
          <w:p w:rsidR="00FF2F4B" w:rsidRPr="008A330E" w:rsidRDefault="00D031C6" w:rsidP="00D031C6">
            <w:pPr>
              <w:spacing w:before="60" w:after="60"/>
              <w:rPr>
                <w:rFonts w:eastAsia="SimHei" w:cs="Simplified Arabic"/>
                <w:bCs/>
                <w:sz w:val="20"/>
                <w:szCs w:val="20"/>
                <w:lang w:eastAsia="zh-CN" w:bidi="ar-EG"/>
              </w:rPr>
            </w:pPr>
            <w:r>
              <w:rPr>
                <w:rFonts w:eastAsia="SimHei" w:cs="Simplified Arabic"/>
                <w:bCs/>
                <w:sz w:val="20"/>
                <w:szCs w:val="20"/>
                <w:lang w:eastAsia="zh-CN" w:bidi="ar-EG"/>
              </w:rPr>
              <w:t>[Original signed]</w:t>
            </w:r>
          </w:p>
          <w:p w:rsidR="004C2CB0" w:rsidRPr="008A330E" w:rsidRDefault="004C2CB0" w:rsidP="00A369CC">
            <w:pPr>
              <w:spacing w:before="60" w:after="60"/>
              <w:rPr>
                <w:rFonts w:eastAsia="SimHei" w:cs="Simplified Arabic"/>
                <w:bCs/>
                <w:sz w:val="20"/>
                <w:szCs w:val="20"/>
                <w:lang w:eastAsia="zh-CN" w:bidi="ar-EG"/>
              </w:rPr>
            </w:pPr>
          </w:p>
          <w:p w:rsidR="00A369CC" w:rsidRPr="008A330E" w:rsidRDefault="00000391" w:rsidP="004C2CB0">
            <w:pPr>
              <w:pStyle w:val="CEONormal"/>
              <w:spacing w:before="0" w:after="0"/>
              <w:rPr>
                <w:rFonts w:ascii="Calibri" w:eastAsia="SimSun" w:hAnsi="Calibri" w:cs="Traditional Arabic"/>
                <w:sz w:val="20"/>
                <w:szCs w:val="20"/>
                <w:lang w:val="en-US"/>
              </w:rPr>
            </w:pPr>
            <w:r w:rsidRPr="008A330E">
              <w:rPr>
                <w:rFonts w:ascii="Calibri" w:eastAsia="SimSun" w:hAnsi="Calibri" w:cs="Traditional Arabic"/>
                <w:sz w:val="20"/>
                <w:szCs w:val="20"/>
                <w:lang w:val="en-US"/>
              </w:rPr>
              <w:t>Brahima Sanou</w:t>
            </w:r>
            <w:r w:rsidRPr="008A330E">
              <w:rPr>
                <w:rFonts w:ascii="Calibri" w:eastAsia="SimSun" w:hAnsi="Calibri" w:cs="Traditional Arabic"/>
                <w:sz w:val="20"/>
                <w:szCs w:val="20"/>
                <w:lang w:val="en-US"/>
              </w:rPr>
              <w:br/>
              <w:t>BDT Director</w:t>
            </w:r>
          </w:p>
        </w:tc>
      </w:tr>
      <w:tr w:rsidR="0084002C" w:rsidTr="002570BB">
        <w:trPr>
          <w:jc w:val="center"/>
        </w:trPr>
        <w:tc>
          <w:tcPr>
            <w:tcW w:w="9889" w:type="dxa"/>
            <w:gridSpan w:val="4"/>
          </w:tcPr>
          <w:p w:rsidR="0084002C" w:rsidRPr="008A330E" w:rsidRDefault="0084002C" w:rsidP="00AB3DAF">
            <w:pPr>
              <w:pStyle w:val="CEONormal"/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11543" w:rsidRDefault="00211543" w:rsidP="00EA7B95">
      <w:pPr>
        <w:spacing w:before="0" w:after="0"/>
      </w:pPr>
      <w:r>
        <w:br w:type="page"/>
      </w:r>
    </w:p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9889"/>
      </w:tblGrid>
      <w:tr w:rsidR="0046067E" w:rsidRPr="008A330E" w:rsidTr="002570BB">
        <w:trPr>
          <w:jc w:val="center"/>
        </w:trPr>
        <w:tc>
          <w:tcPr>
            <w:tcW w:w="9889" w:type="dxa"/>
          </w:tcPr>
          <w:p w:rsidR="0046067E" w:rsidRPr="008A330E" w:rsidRDefault="0046067E" w:rsidP="00D85C96">
            <w:pPr>
              <w:pStyle w:val="CEONormal"/>
              <w:spacing w:before="360" w:after="3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330E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Annex 1</w:t>
            </w:r>
          </w:p>
          <w:p w:rsidR="002570BB" w:rsidRPr="008A330E" w:rsidRDefault="002570BB" w:rsidP="002570BB">
            <w:pPr>
              <w:pStyle w:val="CEOHeading1Underlined"/>
              <w:spacing w:before="120" w:after="120"/>
              <w:rPr>
                <w:rFonts w:ascii="Calibri" w:eastAsia="Times New Roman" w:hAnsi="Calibri" w:cs="Calibri"/>
                <w:sz w:val="20"/>
              </w:rPr>
            </w:pPr>
            <w:r w:rsidRPr="008A330E">
              <w:rPr>
                <w:rFonts w:ascii="Calibri" w:hAnsi="Calibri" w:cs="Calibri"/>
                <w:sz w:val="20"/>
              </w:rPr>
              <w:t>Expected Output for Question 22-1/1  </w:t>
            </w:r>
          </w:p>
          <w:p w:rsidR="004D30F6" w:rsidRPr="008A330E" w:rsidRDefault="004D30F6" w:rsidP="004D30F6">
            <w:pPr>
              <w:pStyle w:val="CEONormal"/>
              <w:rPr>
                <w:rFonts w:ascii="Calibri" w:hAnsi="Calibri" w:cs="Calibri"/>
                <w:sz w:val="20"/>
                <w:szCs w:val="20"/>
              </w:rPr>
            </w:pPr>
            <w:r w:rsidRPr="008A330E">
              <w:rPr>
                <w:rFonts w:ascii="Calibri" w:hAnsi="Calibri" w:cs="Calibri"/>
                <w:sz w:val="20"/>
                <w:szCs w:val="20"/>
              </w:rPr>
              <w:t>Detailed information on the outputs expected from the work of Question 22-1/1 can be found online at:</w:t>
            </w:r>
          </w:p>
          <w:p w:rsidR="004D30F6" w:rsidRPr="008A330E" w:rsidRDefault="00FE62BD" w:rsidP="004D30F6">
            <w:pPr>
              <w:pStyle w:val="CEONormal"/>
              <w:rPr>
                <w:rFonts w:ascii="Calibri" w:hAnsi="Calibri" w:cs="Calibri"/>
                <w:sz w:val="20"/>
                <w:szCs w:val="20"/>
              </w:rPr>
            </w:pPr>
            <w:hyperlink r:id="rId10" w:history="1">
              <w:r w:rsidR="004D30F6" w:rsidRPr="008A330E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http://www.itu.int/net3/ITU-D/stg/rgqlist.aspx?rgq=D10-RGQ22.1.1&amp;stg=1</w:t>
              </w:r>
            </w:hyperlink>
            <w:r w:rsidR="004D30F6" w:rsidRPr="008A330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46067E" w:rsidRPr="008A330E" w:rsidRDefault="004D30F6" w:rsidP="004D30F6">
            <w:pPr>
              <w:pStyle w:val="CEONormal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A330E">
              <w:rPr>
                <w:rFonts w:ascii="Calibri" w:hAnsi="Calibri" w:cs="Calibri"/>
                <w:sz w:val="20"/>
                <w:szCs w:val="20"/>
              </w:rPr>
              <w:t>In item 2 d) of the work program the membership at WTDC-10 asked for Question 22-1/1 “to assemble a volume of country case studies for informational purposes describing the current status of countries' cybersecurity efforts, and their cybersecurity policies.”</w:t>
            </w:r>
            <w:r w:rsidRPr="008A330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:rsidR="002570BB" w:rsidRPr="008A330E" w:rsidRDefault="002570BB" w:rsidP="002570BB">
            <w:pPr>
              <w:pStyle w:val="CEOHeading1Underlined"/>
              <w:spacing w:before="120" w:after="120"/>
              <w:rPr>
                <w:rFonts w:ascii="Calibri" w:eastAsiaTheme="minorEastAsia" w:hAnsi="Calibri" w:cs="Calibri"/>
                <w:sz w:val="20"/>
              </w:rPr>
            </w:pPr>
            <w:r w:rsidRPr="008A330E">
              <w:rPr>
                <w:rFonts w:ascii="Calibri" w:hAnsi="Calibri" w:cs="Calibri"/>
                <w:sz w:val="20"/>
              </w:rPr>
              <w:t>Submission of contributions and timing</w:t>
            </w:r>
          </w:p>
          <w:p w:rsidR="004D30F6" w:rsidRPr="008A330E" w:rsidRDefault="004D30F6" w:rsidP="004D30F6">
            <w:pPr>
              <w:pStyle w:val="CEONormal"/>
              <w:spacing w:before="60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8A330E">
              <w:rPr>
                <w:rFonts w:ascii="Calibri" w:hAnsi="Calibri" w:cs="Calibri"/>
                <w:sz w:val="20"/>
                <w:szCs w:val="20"/>
              </w:rPr>
              <w:t>Contributions to the cybersecurity country case study library can be submitted online in any of</w:t>
            </w:r>
            <w:r w:rsidR="003D5B6E" w:rsidRPr="008A330E">
              <w:rPr>
                <w:rFonts w:ascii="Calibri" w:hAnsi="Calibri" w:cs="Calibri"/>
                <w:sz w:val="20"/>
                <w:szCs w:val="20"/>
              </w:rPr>
              <w:t xml:space="preserve"> the six official languages at:</w:t>
            </w:r>
          </w:p>
          <w:p w:rsidR="004D30F6" w:rsidRPr="008A330E" w:rsidRDefault="00FE62BD" w:rsidP="004D30F6">
            <w:pPr>
              <w:pStyle w:val="CEONormal"/>
              <w:spacing w:before="60" w:afterLines="60" w:after="144"/>
              <w:rPr>
                <w:rFonts w:ascii="Calibri" w:hAnsi="Calibri" w:cs="Calibri"/>
                <w:sz w:val="20"/>
                <w:szCs w:val="20"/>
              </w:rPr>
            </w:pPr>
            <w:hyperlink r:id="rId11" w:history="1">
              <w:r w:rsidR="004D30F6" w:rsidRPr="008A330E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http://www.itu.int/ITU-D/CDS/contributions/sg/index.asp</w:t>
              </w:r>
            </w:hyperlink>
            <w:r w:rsidR="004D30F6" w:rsidRPr="008A330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46067E" w:rsidRPr="008A330E" w:rsidRDefault="004D30F6" w:rsidP="00CB279F">
            <w:pPr>
              <w:pStyle w:val="CEONormal"/>
              <w:spacing w:before="60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8A330E">
              <w:rPr>
                <w:rFonts w:ascii="Calibri" w:hAnsi="Calibri" w:cs="Calibri"/>
                <w:sz w:val="20"/>
                <w:szCs w:val="20"/>
              </w:rPr>
              <w:t>We would be grateful if we would receive your contribution for consideration at the September 201</w:t>
            </w:r>
            <w:r w:rsidR="00CB279F">
              <w:rPr>
                <w:rFonts w:ascii="Calibri" w:hAnsi="Calibri" w:cs="Calibri"/>
                <w:sz w:val="20"/>
                <w:szCs w:val="20"/>
              </w:rPr>
              <w:t>2</w:t>
            </w:r>
            <w:r w:rsidRPr="008A330E">
              <w:rPr>
                <w:rFonts w:ascii="Calibri" w:hAnsi="Calibri" w:cs="Calibri"/>
                <w:sz w:val="20"/>
                <w:szCs w:val="20"/>
              </w:rPr>
              <w:t xml:space="preserve"> Study Group 1 meeting. Contributions that need translation should be submitted before </w:t>
            </w:r>
            <w:r w:rsidRPr="008A330E">
              <w:rPr>
                <w:rFonts w:ascii="Calibri" w:hAnsi="Calibri" w:cs="Calibri"/>
                <w:b/>
                <w:bCs/>
                <w:sz w:val="20"/>
                <w:szCs w:val="20"/>
              </w:rPr>
              <w:t>10 July 2012</w:t>
            </w:r>
            <w:r w:rsidRPr="008A330E">
              <w:rPr>
                <w:rFonts w:ascii="Calibri" w:hAnsi="Calibri" w:cs="Calibri"/>
                <w:sz w:val="20"/>
                <w:szCs w:val="20"/>
              </w:rPr>
              <w:t xml:space="preserve">. Contributions that arrive after this date will </w:t>
            </w:r>
            <w:r w:rsidR="003D5B6E" w:rsidRPr="008A330E">
              <w:rPr>
                <w:rFonts w:ascii="Calibri" w:hAnsi="Calibri" w:cs="Calibri"/>
                <w:sz w:val="20"/>
                <w:szCs w:val="20"/>
              </w:rPr>
              <w:t xml:space="preserve">be </w:t>
            </w:r>
            <w:r w:rsidRPr="008A330E">
              <w:rPr>
                <w:rFonts w:ascii="Calibri" w:hAnsi="Calibri" w:cs="Calibri"/>
                <w:sz w:val="20"/>
                <w:szCs w:val="20"/>
              </w:rPr>
              <w:t>shared in the original language only.</w:t>
            </w:r>
          </w:p>
          <w:p w:rsidR="002570BB" w:rsidRPr="008A330E" w:rsidRDefault="002570BB" w:rsidP="002570BB">
            <w:pPr>
              <w:pStyle w:val="CEOHeading1Underlined"/>
              <w:spacing w:before="120" w:after="120"/>
              <w:rPr>
                <w:rFonts w:ascii="Calibri" w:eastAsiaTheme="minorEastAsia" w:hAnsi="Calibri" w:cs="Calibri"/>
                <w:sz w:val="20"/>
              </w:rPr>
            </w:pPr>
            <w:r w:rsidRPr="008A330E">
              <w:rPr>
                <w:rFonts w:ascii="Calibri" w:hAnsi="Calibri" w:cs="Calibri"/>
                <w:sz w:val="20"/>
              </w:rPr>
              <w:t>Information requests</w:t>
            </w:r>
          </w:p>
          <w:p w:rsidR="003D5B6E" w:rsidRPr="008A330E" w:rsidRDefault="004D30F6" w:rsidP="003D5B6E">
            <w:pPr>
              <w:pStyle w:val="CEONormal"/>
              <w:spacing w:before="60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8A330E">
              <w:rPr>
                <w:rFonts w:ascii="Calibri" w:hAnsi="Calibri" w:cs="Calibri"/>
                <w:sz w:val="20"/>
                <w:szCs w:val="20"/>
              </w:rPr>
              <w:t xml:space="preserve">Queries or requests for further information regarding this call for contributions can be addressed to the ITU-D Study Groups Secretariat (Tel.: +41 22 730 5999, e-mail: </w:t>
            </w:r>
            <w:hyperlink r:id="rId12" w:history="1">
              <w:r w:rsidRPr="008A330E">
                <w:rPr>
                  <w:rStyle w:val="Hyperlink"/>
                  <w:rFonts w:ascii="Calibri" w:hAnsi="Calibri" w:cs="Calibri"/>
                  <w:sz w:val="20"/>
                  <w:szCs w:val="20"/>
                </w:rPr>
                <w:t>devsg@itu.int</w:t>
              </w:r>
            </w:hyperlink>
            <w:r w:rsidRPr="008A330E">
              <w:rPr>
                <w:rFonts w:ascii="Calibri" w:hAnsi="Calibri" w:cs="Calibri"/>
                <w:sz w:val="20"/>
                <w:szCs w:val="20"/>
              </w:rPr>
              <w:t>)</w:t>
            </w:r>
            <w:r w:rsidR="003D5B6E" w:rsidRPr="008A330E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F57888" w:rsidRPr="008A330E" w:rsidRDefault="004D30F6" w:rsidP="0074364E">
            <w:pPr>
              <w:pStyle w:val="CEONormal"/>
              <w:spacing w:before="60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8A330E">
              <w:rPr>
                <w:rFonts w:ascii="Calibri" w:hAnsi="Calibri" w:cs="Calibri"/>
                <w:sz w:val="20"/>
                <w:szCs w:val="20"/>
              </w:rPr>
              <w:t>More information about the ITU-D Study Groups can be found online at:</w:t>
            </w:r>
            <w:r w:rsidR="0074364E" w:rsidRPr="008A330E">
              <w:rPr>
                <w:rFonts w:ascii="Calibri" w:hAnsi="Calibri" w:cs="Calibri"/>
                <w:sz w:val="20"/>
                <w:szCs w:val="20"/>
              </w:rPr>
              <w:br/>
            </w:r>
            <w:hyperlink r:id="rId13" w:history="1">
              <w:r w:rsidRPr="008A330E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http://www.itu.int/ITU-D/study_groups/</w:t>
              </w:r>
            </w:hyperlink>
            <w:r w:rsidRPr="008A330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46067E" w:rsidRPr="008A330E" w:rsidRDefault="0046067E" w:rsidP="002570BB">
            <w:pPr>
              <w:pStyle w:val="CEO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330E">
              <w:rPr>
                <w:rFonts w:ascii="Calibri" w:hAnsi="Calibri" w:cs="Calibri"/>
                <w:sz w:val="20"/>
                <w:szCs w:val="20"/>
              </w:rPr>
              <w:t>__________</w:t>
            </w:r>
          </w:p>
        </w:tc>
      </w:tr>
    </w:tbl>
    <w:p w:rsidR="00563963" w:rsidRPr="008A330E" w:rsidRDefault="00563963" w:rsidP="002570BB">
      <w:pPr>
        <w:pStyle w:val="BDTHorizontalLine"/>
        <w:jc w:val="left"/>
        <w:rPr>
          <w:rFonts w:cs="Calibri"/>
          <w:sz w:val="20"/>
          <w:lang w:val="en-US"/>
        </w:rPr>
      </w:pPr>
    </w:p>
    <w:sectPr w:rsidR="00563963" w:rsidRPr="008A330E" w:rsidSect="00563963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A08" w:rsidRDefault="00314A0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314A08" w:rsidRDefault="00314A0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314A08" w:rsidRDefault="00314A08"/>
  </w:endnote>
  <w:endnote w:type="continuationSeparator" w:id="0">
    <w:p w:rsidR="00314A08" w:rsidRDefault="00314A0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314A08" w:rsidRDefault="00314A0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314A08" w:rsidRDefault="00314A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63A" w:rsidRDefault="0045363A">
    <w:pPr>
      <w:pStyle w:val="BDTFooter"/>
      <w:jc w:val="center"/>
      <w:rPr>
        <w:lang w:val="fr-CH"/>
      </w:rPr>
    </w:pPr>
    <w:r>
      <w:rPr>
        <w:lang w:val="fr-CH"/>
      </w:rPr>
      <w:t xml:space="preserve">International </w:t>
    </w:r>
    <w:proofErr w:type="spellStart"/>
    <w:r>
      <w:rPr>
        <w:lang w:val="fr-CH"/>
      </w:rPr>
      <w:t>Telecommunication</w:t>
    </w:r>
    <w:proofErr w:type="spellEnd"/>
    <w:r>
      <w:rPr>
        <w:lang w:val="fr-CH"/>
      </w:rPr>
      <w:t xml:space="preserve"> Union • Place des Nations • CH</w:t>
    </w:r>
    <w:r>
      <w:rPr>
        <w:lang w:val="fr-CH"/>
      </w:rPr>
      <w:noBreakHyphen/>
      <w:t xml:space="preserve">1211 Geneva 20 • </w:t>
    </w:r>
    <w:proofErr w:type="spellStart"/>
    <w:r>
      <w:rPr>
        <w:lang w:val="fr-CH"/>
      </w:rPr>
      <w:t>Switzerland</w:t>
    </w:r>
    <w:proofErr w:type="spellEnd"/>
    <w:r>
      <w:rPr>
        <w:lang w:val="fr-CH"/>
      </w:rPr>
      <w:t xml:space="preserve"> </w:t>
    </w:r>
    <w:r>
      <w:rPr>
        <w:lang w:val="fr-CH"/>
      </w:rPr>
      <w:br/>
      <w:t xml:space="preserve">Tel: +41 22 730 5111 • Fax: +41 22 730 5545/730 5484 • E-mail: </w:t>
    </w:r>
    <w:hyperlink r:id="rId1" w:history="1">
      <w:r>
        <w:rPr>
          <w:rStyle w:val="Hyperlink"/>
          <w:rFonts w:cs="Traditional Arabic"/>
          <w:szCs w:val="18"/>
          <w:lang w:val="fr-CH"/>
        </w:rPr>
        <w:t>bdtmail@itu.int</w:t>
      </w:r>
    </w:hyperlink>
    <w:r>
      <w:rPr>
        <w:lang w:val="fr-CH"/>
      </w:rPr>
      <w:t xml:space="preserve"> • </w:t>
    </w:r>
    <w:hyperlink r:id="rId2" w:history="1">
      <w:r>
        <w:rPr>
          <w:lang w:val="fr-CH"/>
        </w:rPr>
        <w:t>www.itu.int</w:t>
      </w:r>
    </w:hyperlink>
    <w:r>
      <w:t>/</w:t>
    </w:r>
    <w:proofErr w:type="spellStart"/>
    <w:r>
      <w:t>itu-d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A08" w:rsidRDefault="00314A0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314A08" w:rsidRDefault="00314A0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314A08" w:rsidRDefault="00314A08"/>
  </w:footnote>
  <w:footnote w:type="continuationSeparator" w:id="0">
    <w:p w:rsidR="00314A08" w:rsidRDefault="00314A0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314A08" w:rsidRDefault="00314A0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314A08" w:rsidRDefault="00314A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63A" w:rsidRDefault="0045363A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>
      <w:t xml:space="preserve">– </w:t>
    </w: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 PAGE </w:instrText>
    </w:r>
    <w:r>
      <w:rPr>
        <w:rStyle w:val="PageNumber"/>
        <w:rFonts w:cs="Traditional Arabic"/>
      </w:rPr>
      <w:fldChar w:fldCharType="separate"/>
    </w:r>
    <w:r w:rsidR="00FE62BD">
      <w:rPr>
        <w:rStyle w:val="PageNumber"/>
        <w:rFonts w:cs="Traditional Arabic"/>
        <w:noProof/>
      </w:rPr>
      <w:t>2</w:t>
    </w:r>
    <w:r>
      <w:rPr>
        <w:rStyle w:val="PageNumber"/>
        <w:rFonts w:cs="Traditional Arabic"/>
      </w:rPr>
      <w:fldChar w:fldCharType="end"/>
    </w:r>
    <w:r>
      <w:rPr>
        <w:rStyle w:val="PageNumber"/>
        <w:rFonts w:cs="Traditional Arabic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63A" w:rsidRDefault="0045363A" w:rsidP="006E7F23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 w:rsidRPr="00AA3D4C">
      <w:t xml:space="preserve">– </w:t>
    </w:r>
    <w:r>
      <w:fldChar w:fldCharType="begin"/>
    </w:r>
    <w:r>
      <w:instrText xml:space="preserve"> PAGE </w:instrText>
    </w:r>
    <w:r>
      <w:fldChar w:fldCharType="separate"/>
    </w:r>
    <w:r w:rsidR="007620C9">
      <w:rPr>
        <w:noProof/>
      </w:rPr>
      <w:t>3</w:t>
    </w:r>
    <w:r>
      <w:rPr>
        <w:noProof/>
      </w:rPr>
      <w:fldChar w:fldCharType="end"/>
    </w:r>
    <w:r w:rsidRPr="00AA3D4C"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63A" w:rsidRDefault="0045363A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textAlignment w:val="base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09E653F"/>
    <w:multiLevelType w:val="hybridMultilevel"/>
    <w:tmpl w:val="D3D8C5C4"/>
    <w:lvl w:ilvl="0" w:tplc="D30C1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7340E20"/>
    <w:multiLevelType w:val="hybridMultilevel"/>
    <w:tmpl w:val="21123C28"/>
    <w:lvl w:ilvl="0" w:tplc="BB4E1D96">
      <w:start w:val="1"/>
      <w:numFmt w:val="bullet"/>
      <w:pStyle w:val="CEOindentblackdo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78A2CF0"/>
    <w:multiLevelType w:val="hybridMultilevel"/>
    <w:tmpl w:val="6EE47B26"/>
    <w:lvl w:ilvl="0" w:tplc="D4E4A85E">
      <w:start w:val="1"/>
      <w:numFmt w:val="bullet"/>
      <w:pStyle w:val="MOSindentdash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9">
    <w:nsid w:val="1D882D0B"/>
    <w:multiLevelType w:val="hybridMultilevel"/>
    <w:tmpl w:val="9446C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573C5C"/>
    <w:multiLevelType w:val="hybridMultilevel"/>
    <w:tmpl w:val="A1640EDA"/>
    <w:lvl w:ilvl="0" w:tplc="47E4782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A0E6EF9"/>
    <w:multiLevelType w:val="hybridMultilevel"/>
    <w:tmpl w:val="3BBADE14"/>
    <w:lvl w:ilvl="0" w:tplc="47E4782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3136B4"/>
    <w:multiLevelType w:val="hybridMultilevel"/>
    <w:tmpl w:val="A25C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abstractNum w:abstractNumId="22">
    <w:nsid w:val="7FEA156D"/>
    <w:multiLevelType w:val="hybridMultilevel"/>
    <w:tmpl w:val="3CF6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  <w:lvlOverride w:ilvl="0">
      <w:startOverride w:val="1"/>
    </w:lvlOverride>
  </w:num>
  <w:num w:numId="3">
    <w:abstractNumId w:val="14"/>
  </w:num>
  <w:num w:numId="4">
    <w:abstractNumId w:val="21"/>
  </w:num>
  <w:num w:numId="5">
    <w:abstractNumId w:val="13"/>
  </w:num>
  <w:num w:numId="6">
    <w:abstractNumId w:val="10"/>
  </w:num>
  <w:num w:numId="7">
    <w:abstractNumId w:val="5"/>
  </w:num>
  <w:num w:numId="8">
    <w:abstractNumId w:val="16"/>
  </w:num>
  <w:num w:numId="9">
    <w:abstractNumId w:val="15"/>
  </w:num>
  <w:num w:numId="10">
    <w:abstractNumId w:val="7"/>
  </w:num>
  <w:num w:numId="11">
    <w:abstractNumId w:val="19"/>
  </w:num>
  <w:num w:numId="12">
    <w:abstractNumId w:val="6"/>
  </w:num>
  <w:num w:numId="13">
    <w:abstractNumId w:val="8"/>
  </w:num>
  <w:num w:numId="14">
    <w:abstractNumId w:val="22"/>
  </w:num>
  <w:num w:numId="15">
    <w:abstractNumId w:val="18"/>
  </w:num>
  <w:num w:numId="16">
    <w:abstractNumId w:val="9"/>
  </w:num>
  <w:num w:numId="17">
    <w:abstractNumId w:val="17"/>
  </w:num>
  <w:num w:numId="18">
    <w:abstractNumId w:val="4"/>
  </w:num>
  <w:num w:numId="1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563963"/>
    <w:rsid w:val="00000391"/>
    <w:rsid w:val="00005867"/>
    <w:rsid w:val="00045538"/>
    <w:rsid w:val="00095923"/>
    <w:rsid w:val="000B337B"/>
    <w:rsid w:val="00141491"/>
    <w:rsid w:val="0014626C"/>
    <w:rsid w:val="001528F7"/>
    <w:rsid w:val="001C1C51"/>
    <w:rsid w:val="001C1D17"/>
    <w:rsid w:val="001F75EF"/>
    <w:rsid w:val="00211543"/>
    <w:rsid w:val="00225737"/>
    <w:rsid w:val="00230CA6"/>
    <w:rsid w:val="002556E3"/>
    <w:rsid w:val="002570BB"/>
    <w:rsid w:val="002636E6"/>
    <w:rsid w:val="00286F43"/>
    <w:rsid w:val="002A7366"/>
    <w:rsid w:val="002B2F69"/>
    <w:rsid w:val="002D0331"/>
    <w:rsid w:val="002F137C"/>
    <w:rsid w:val="002F7FD3"/>
    <w:rsid w:val="00307787"/>
    <w:rsid w:val="00311FF0"/>
    <w:rsid w:val="00314A08"/>
    <w:rsid w:val="0033597E"/>
    <w:rsid w:val="0033741F"/>
    <w:rsid w:val="00351919"/>
    <w:rsid w:val="003600E0"/>
    <w:rsid w:val="003754FF"/>
    <w:rsid w:val="00393BD8"/>
    <w:rsid w:val="003D5B6E"/>
    <w:rsid w:val="003E14A3"/>
    <w:rsid w:val="003E3C07"/>
    <w:rsid w:val="003E4048"/>
    <w:rsid w:val="003E51C9"/>
    <w:rsid w:val="003F0808"/>
    <w:rsid w:val="00405169"/>
    <w:rsid w:val="004135B7"/>
    <w:rsid w:val="00426677"/>
    <w:rsid w:val="00431710"/>
    <w:rsid w:val="0045363A"/>
    <w:rsid w:val="00453D41"/>
    <w:rsid w:val="0046067E"/>
    <w:rsid w:val="00486650"/>
    <w:rsid w:val="004907C1"/>
    <w:rsid w:val="004A4B4F"/>
    <w:rsid w:val="004B2C1F"/>
    <w:rsid w:val="004C2CB0"/>
    <w:rsid w:val="004D2D10"/>
    <w:rsid w:val="004D30F6"/>
    <w:rsid w:val="004D7446"/>
    <w:rsid w:val="005005F8"/>
    <w:rsid w:val="00511515"/>
    <w:rsid w:val="00517DFD"/>
    <w:rsid w:val="00563963"/>
    <w:rsid w:val="00582542"/>
    <w:rsid w:val="00595133"/>
    <w:rsid w:val="005C7F76"/>
    <w:rsid w:val="005D57B0"/>
    <w:rsid w:val="005D708F"/>
    <w:rsid w:val="006075C3"/>
    <w:rsid w:val="0063155A"/>
    <w:rsid w:val="00646CFD"/>
    <w:rsid w:val="00652E65"/>
    <w:rsid w:val="0065788F"/>
    <w:rsid w:val="00690DFD"/>
    <w:rsid w:val="006A7BF6"/>
    <w:rsid w:val="006E7F23"/>
    <w:rsid w:val="00704DCB"/>
    <w:rsid w:val="00705422"/>
    <w:rsid w:val="0074364E"/>
    <w:rsid w:val="007616EA"/>
    <w:rsid w:val="007620C9"/>
    <w:rsid w:val="007662F4"/>
    <w:rsid w:val="007827F0"/>
    <w:rsid w:val="00784E20"/>
    <w:rsid w:val="007B29D4"/>
    <w:rsid w:val="007C0186"/>
    <w:rsid w:val="007C1D8F"/>
    <w:rsid w:val="00805EB9"/>
    <w:rsid w:val="00817170"/>
    <w:rsid w:val="008203DE"/>
    <w:rsid w:val="008253E2"/>
    <w:rsid w:val="0084002C"/>
    <w:rsid w:val="008758EA"/>
    <w:rsid w:val="008961C5"/>
    <w:rsid w:val="008A3134"/>
    <w:rsid w:val="008A330E"/>
    <w:rsid w:val="008B1B46"/>
    <w:rsid w:val="008B5D94"/>
    <w:rsid w:val="008B7DF4"/>
    <w:rsid w:val="008D2B2D"/>
    <w:rsid w:val="008D4790"/>
    <w:rsid w:val="008E3956"/>
    <w:rsid w:val="00950302"/>
    <w:rsid w:val="00953646"/>
    <w:rsid w:val="009670EA"/>
    <w:rsid w:val="0097562D"/>
    <w:rsid w:val="00986D24"/>
    <w:rsid w:val="009A11C6"/>
    <w:rsid w:val="009D158F"/>
    <w:rsid w:val="009E22E9"/>
    <w:rsid w:val="009F6E55"/>
    <w:rsid w:val="00A02840"/>
    <w:rsid w:val="00A2373A"/>
    <w:rsid w:val="00A26A5F"/>
    <w:rsid w:val="00A32B9B"/>
    <w:rsid w:val="00A369CC"/>
    <w:rsid w:val="00A50C8D"/>
    <w:rsid w:val="00A720B2"/>
    <w:rsid w:val="00A80A21"/>
    <w:rsid w:val="00A848BF"/>
    <w:rsid w:val="00A91DFE"/>
    <w:rsid w:val="00A974D2"/>
    <w:rsid w:val="00AA387C"/>
    <w:rsid w:val="00AA3D4C"/>
    <w:rsid w:val="00AB3DAF"/>
    <w:rsid w:val="00AC313F"/>
    <w:rsid w:val="00AD7175"/>
    <w:rsid w:val="00AE1F3A"/>
    <w:rsid w:val="00AE2978"/>
    <w:rsid w:val="00AE2C1B"/>
    <w:rsid w:val="00AE56C4"/>
    <w:rsid w:val="00AE6279"/>
    <w:rsid w:val="00B014A2"/>
    <w:rsid w:val="00B0250A"/>
    <w:rsid w:val="00B1054B"/>
    <w:rsid w:val="00B220ED"/>
    <w:rsid w:val="00B262A7"/>
    <w:rsid w:val="00B2786A"/>
    <w:rsid w:val="00B85663"/>
    <w:rsid w:val="00B95C08"/>
    <w:rsid w:val="00B96D0B"/>
    <w:rsid w:val="00BA06AF"/>
    <w:rsid w:val="00BC5741"/>
    <w:rsid w:val="00BE16D0"/>
    <w:rsid w:val="00C102EF"/>
    <w:rsid w:val="00C2736A"/>
    <w:rsid w:val="00C27C70"/>
    <w:rsid w:val="00C33D06"/>
    <w:rsid w:val="00C52718"/>
    <w:rsid w:val="00C743A2"/>
    <w:rsid w:val="00C8102D"/>
    <w:rsid w:val="00C97BB3"/>
    <w:rsid w:val="00C97ED7"/>
    <w:rsid w:val="00CB279F"/>
    <w:rsid w:val="00CB37B7"/>
    <w:rsid w:val="00D031C6"/>
    <w:rsid w:val="00D10C56"/>
    <w:rsid w:val="00D275AA"/>
    <w:rsid w:val="00D27C5E"/>
    <w:rsid w:val="00D64978"/>
    <w:rsid w:val="00D7493A"/>
    <w:rsid w:val="00D85C96"/>
    <w:rsid w:val="00DA2E89"/>
    <w:rsid w:val="00DA6FD5"/>
    <w:rsid w:val="00DB600F"/>
    <w:rsid w:val="00DC2998"/>
    <w:rsid w:val="00DC5164"/>
    <w:rsid w:val="00DD48D7"/>
    <w:rsid w:val="00DE3B88"/>
    <w:rsid w:val="00DF3D43"/>
    <w:rsid w:val="00E03C79"/>
    <w:rsid w:val="00E27448"/>
    <w:rsid w:val="00E91D57"/>
    <w:rsid w:val="00EA5E75"/>
    <w:rsid w:val="00EA7B95"/>
    <w:rsid w:val="00EB5DBC"/>
    <w:rsid w:val="00EC2510"/>
    <w:rsid w:val="00EC535D"/>
    <w:rsid w:val="00EC7329"/>
    <w:rsid w:val="00EC7DD5"/>
    <w:rsid w:val="00ED1B69"/>
    <w:rsid w:val="00EE4301"/>
    <w:rsid w:val="00F30D9A"/>
    <w:rsid w:val="00F32D8C"/>
    <w:rsid w:val="00F42C7A"/>
    <w:rsid w:val="00F43B85"/>
    <w:rsid w:val="00F57888"/>
    <w:rsid w:val="00F7401E"/>
    <w:rsid w:val="00F853A0"/>
    <w:rsid w:val="00F86889"/>
    <w:rsid w:val="00F90FFE"/>
    <w:rsid w:val="00F9416C"/>
    <w:rsid w:val="00F957B2"/>
    <w:rsid w:val="00FB234D"/>
    <w:rsid w:val="00FB53D6"/>
    <w:rsid w:val="00FC258E"/>
    <w:rsid w:val="00FC6F22"/>
    <w:rsid w:val="00FE62BD"/>
    <w:rsid w:val="00FF2F4B"/>
    <w:rsid w:val="00FF3A4A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uiPriority w:val="99"/>
    <w:rsid w:val="00A848BF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SignatureTitle">
    <w:name w:val="BDT_SignatureTitle"/>
    <w:next w:val="BDTVisa"/>
    <w:uiPriority w:val="99"/>
    <w:rsid w:val="00A848BF"/>
    <w:rPr>
      <w:rFonts w:eastAsia="SimSun" w:cs="Traditional Arabic"/>
      <w:szCs w:val="30"/>
      <w:lang w:val="es-ES" w:eastAsia="en-US"/>
    </w:r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next w:val="BDTSignatureName"/>
    <w:uiPriority w:val="99"/>
    <w:rsid w:val="00A848BF"/>
    <w:pPr>
      <w:spacing w:before="360" w:after="360"/>
    </w:pPr>
    <w:rPr>
      <w:rFonts w:eastAsia="SimSun" w:cs="Times New Roman"/>
      <w:szCs w:val="24"/>
      <w:lang w:val="es-ES"/>
    </w:rPr>
  </w:style>
  <w:style w:type="paragraph" w:customStyle="1" w:styleId="BDTNormal">
    <w:name w:val="BDT_Normal"/>
    <w:link w:val="BDTNormalChar"/>
    <w:uiPriority w:val="99"/>
    <w:rsid w:val="001C1C51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uiPriority w:val="99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uiPriority w:val="99"/>
    <w:rsid w:val="00B85663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basedOn w:val="BDTNormal"/>
    <w:uiPriority w:val="99"/>
    <w:rsid w:val="00B856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uiPriority w:val="99"/>
    <w:rsid w:val="00AE29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AE2978"/>
    <w:rPr>
      <w:rFonts w:eastAsia="SimSun" w:cs="Traditional Arabic"/>
      <w:szCs w:val="30"/>
      <w:lang w:val="en-GB" w:eastAsia="en-US"/>
    </w:rPr>
  </w:style>
  <w:style w:type="character" w:styleId="Hyperlink">
    <w:name w:val="Hyperlink"/>
    <w:basedOn w:val="DefaultParagraphFont"/>
    <w:uiPriority w:val="99"/>
    <w:semiHidden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CEONormal">
    <w:name w:val="CEO_Normal"/>
    <w:link w:val="CEONormalChar"/>
    <w:uiPriority w:val="99"/>
    <w:rsid w:val="00C33D06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SignatureTitle">
    <w:name w:val="CEO_SignatureTitle"/>
    <w:basedOn w:val="CEOSignatureName"/>
    <w:rsid w:val="00C33D06"/>
    <w:pPr>
      <w:spacing w:before="0"/>
    </w:pPr>
  </w:style>
  <w:style w:type="paragraph" w:customStyle="1" w:styleId="CEOSignatureName">
    <w:name w:val="CEO_SignatureName"/>
    <w:basedOn w:val="Normal"/>
    <w:rsid w:val="00C33D06"/>
    <w:pPr>
      <w:spacing w:before="720" w:after="0"/>
    </w:pPr>
    <w:rPr>
      <w:rFonts w:ascii="Arial" w:eastAsia="SimHei" w:hAnsi="Arial" w:cs="Simplified Arabic"/>
      <w:bCs/>
      <w:sz w:val="19"/>
      <w:szCs w:val="19"/>
      <w:lang w:val="en-GB"/>
    </w:rPr>
  </w:style>
  <w:style w:type="paragraph" w:customStyle="1" w:styleId="CEODistributionEmdash">
    <w:name w:val="CEO_Distribution_Emdash"/>
    <w:basedOn w:val="MOSindentdash"/>
    <w:rsid w:val="00C33D06"/>
    <w:pPr>
      <w:tabs>
        <w:tab w:val="num" w:pos="785"/>
      </w:tabs>
      <w:ind w:left="785" w:hanging="283"/>
    </w:pPr>
    <w:rPr>
      <w:rFonts w:ascii="Verdana" w:hAnsi="Verdana"/>
      <w:sz w:val="19"/>
      <w:szCs w:val="19"/>
    </w:rPr>
  </w:style>
  <w:style w:type="paragraph" w:customStyle="1" w:styleId="CEODistribution">
    <w:name w:val="CEO_Distribution"/>
    <w:basedOn w:val="Normal"/>
    <w:next w:val="CEODistributionEmdash"/>
    <w:rsid w:val="00C33D06"/>
    <w:pPr>
      <w:spacing w:before="480"/>
      <w:ind w:left="709" w:hanging="709"/>
    </w:pPr>
    <w:rPr>
      <w:rFonts w:ascii="Verdana" w:hAnsi="Verdana" w:cs="Times New Roman"/>
      <w:sz w:val="19"/>
      <w:szCs w:val="20"/>
      <w:lang w:val="en-GB"/>
    </w:rPr>
  </w:style>
  <w:style w:type="paragraph" w:customStyle="1" w:styleId="CEOHeading1Underlined">
    <w:name w:val="CEO_Heading 1_Underlined"/>
    <w:basedOn w:val="Normal"/>
    <w:link w:val="CEOHeading1UnderlinedChar"/>
    <w:rsid w:val="00C33D06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paragraph" w:customStyle="1" w:styleId="CEOindentblackdots">
    <w:name w:val="CEO_indentblackdots"/>
    <w:rsid w:val="00C33D06"/>
    <w:pPr>
      <w:numPr>
        <w:numId w:val="12"/>
      </w:numPr>
    </w:pPr>
    <w:rPr>
      <w:rFonts w:ascii="Verdana" w:eastAsia="SimSun" w:hAnsi="Verdana" w:cs="Times New Roman"/>
      <w:sz w:val="19"/>
      <w:szCs w:val="20"/>
      <w:lang w:val="fr-CH" w:eastAsia="en-US"/>
    </w:rPr>
  </w:style>
  <w:style w:type="paragraph" w:customStyle="1" w:styleId="CEOClosing">
    <w:name w:val="CEO_Closing"/>
    <w:basedOn w:val="CEONormal"/>
    <w:rsid w:val="00C33D06"/>
    <w:pPr>
      <w:spacing w:before="360"/>
    </w:pPr>
    <w:rPr>
      <w:rFonts w:eastAsia="SimSun" w:cs="Times New Roman"/>
      <w:szCs w:val="24"/>
      <w:lang w:val="en-US" w:eastAsia="zh-CN"/>
    </w:rPr>
  </w:style>
  <w:style w:type="paragraph" w:customStyle="1" w:styleId="CEOOriginalSigned">
    <w:name w:val="CEO_OriginalSigned"/>
    <w:basedOn w:val="CEONormal"/>
    <w:next w:val="CEOSignatureName"/>
    <w:rsid w:val="00C33D06"/>
    <w:pPr>
      <w:spacing w:before="360" w:after="360"/>
    </w:pPr>
    <w:rPr>
      <w:rFonts w:eastAsia="SimSun" w:cs="Times New Roman"/>
      <w:szCs w:val="24"/>
      <w:lang w:val="en-US" w:eastAsia="zh-CN"/>
    </w:rPr>
  </w:style>
  <w:style w:type="paragraph" w:customStyle="1" w:styleId="MOS-Hyperlink">
    <w:name w:val="MOS-Hyperlink"/>
    <w:basedOn w:val="Normal"/>
    <w:link w:val="MOS-HyperlinkChar"/>
    <w:rsid w:val="00C33D06"/>
    <w:pPr>
      <w:spacing w:before="0" w:after="0"/>
      <w:ind w:right="-426"/>
    </w:pPr>
    <w:rPr>
      <w:rFonts w:ascii="Verdana" w:hAnsi="Verdana"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rsid w:val="00C33D06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MOSindentdash">
    <w:name w:val="MOS indent dash"/>
    <w:basedOn w:val="Normal"/>
    <w:rsid w:val="00C33D06"/>
    <w:pPr>
      <w:numPr>
        <w:numId w:val="13"/>
      </w:numPr>
      <w:spacing w:before="0" w:after="0"/>
    </w:pPr>
    <w:rPr>
      <w:rFonts w:ascii="Arial" w:hAnsi="Arial" w:cs="Times New Roman"/>
      <w:szCs w:val="24"/>
      <w:lang w:eastAsia="zh-CN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C33D06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C33D06"/>
    <w:pPr>
      <w:pBdr>
        <w:bottom w:val="none" w:sz="0" w:space="0" w:color="auto"/>
      </w:pBdr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rsid w:val="00C33D06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33D06"/>
    <w:pPr>
      <w:spacing w:before="0" w:after="0"/>
      <w:ind w:left="720"/>
      <w:contextualSpacing/>
    </w:pPr>
    <w:rPr>
      <w:rFonts w:ascii="Arial" w:hAnsi="Arial" w:cs="Times New Roman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33D06"/>
    <w:rPr>
      <w:color w:val="800080" w:themeColor="followedHyperlink"/>
      <w:u w:val="single"/>
    </w:rPr>
  </w:style>
  <w:style w:type="character" w:customStyle="1" w:styleId="CEONormalCharChar">
    <w:name w:val="CEO_Normal Char Char"/>
    <w:basedOn w:val="DefaultParagraphFont"/>
    <w:uiPriority w:val="99"/>
    <w:locked/>
    <w:rsid w:val="00AE2C1B"/>
    <w:rPr>
      <w:rFonts w:ascii="Verdana" w:eastAsia="SimSun" w:hAnsi="Verdana" w:cs="Times New Roman"/>
      <w:lang w:val="en-GB" w:eastAsia="en-US" w:bidi="ar-SA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AE2C1B"/>
    <w:rPr>
      <w:rFonts w:ascii="Verdana" w:eastAsia="SimSun" w:hAnsi="Verdana" w:cs="Traditional Arabic"/>
      <w:szCs w:val="30"/>
      <w:lang w:val="es-ES" w:eastAsia="en-US" w:bidi="ar-SA"/>
    </w:rPr>
  </w:style>
  <w:style w:type="table" w:styleId="TableGrid">
    <w:name w:val="Table Grid"/>
    <w:basedOn w:val="TableNormal"/>
    <w:uiPriority w:val="59"/>
    <w:locked/>
    <w:rsid w:val="006E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uiPriority w:val="99"/>
    <w:rsid w:val="00A848BF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SignatureTitle">
    <w:name w:val="BDT_SignatureTitle"/>
    <w:next w:val="BDTVisa"/>
    <w:uiPriority w:val="99"/>
    <w:rsid w:val="00A848BF"/>
    <w:rPr>
      <w:rFonts w:eastAsia="SimSun" w:cs="Traditional Arabic"/>
      <w:szCs w:val="30"/>
      <w:lang w:val="es-ES" w:eastAsia="en-US"/>
    </w:r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next w:val="BDTSignatureName"/>
    <w:uiPriority w:val="99"/>
    <w:rsid w:val="00A848BF"/>
    <w:pPr>
      <w:spacing w:before="360" w:after="360"/>
    </w:pPr>
    <w:rPr>
      <w:rFonts w:eastAsia="SimSun" w:cs="Times New Roman"/>
      <w:szCs w:val="24"/>
      <w:lang w:val="es-ES"/>
    </w:rPr>
  </w:style>
  <w:style w:type="paragraph" w:customStyle="1" w:styleId="BDTNormal">
    <w:name w:val="BDT_Normal"/>
    <w:link w:val="BDTNormalChar"/>
    <w:uiPriority w:val="99"/>
    <w:rsid w:val="001C1C51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uiPriority w:val="99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uiPriority w:val="99"/>
    <w:rsid w:val="00B85663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basedOn w:val="BDTNormal"/>
    <w:uiPriority w:val="99"/>
    <w:rsid w:val="00B856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uiPriority w:val="99"/>
    <w:rsid w:val="00AE29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AE2978"/>
    <w:rPr>
      <w:rFonts w:eastAsia="SimSun" w:cs="Traditional Arabic"/>
      <w:szCs w:val="30"/>
      <w:lang w:val="en-GB" w:eastAsia="en-US"/>
    </w:rPr>
  </w:style>
  <w:style w:type="character" w:styleId="Hyperlink">
    <w:name w:val="Hyperlink"/>
    <w:basedOn w:val="DefaultParagraphFont"/>
    <w:uiPriority w:val="99"/>
    <w:semiHidden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CEONormal">
    <w:name w:val="CEO_Normal"/>
    <w:link w:val="CEONormalChar"/>
    <w:uiPriority w:val="99"/>
    <w:rsid w:val="00C33D06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SignatureTitle">
    <w:name w:val="CEO_SignatureTitle"/>
    <w:basedOn w:val="CEOSignatureName"/>
    <w:rsid w:val="00C33D06"/>
    <w:pPr>
      <w:spacing w:before="0"/>
    </w:pPr>
  </w:style>
  <w:style w:type="paragraph" w:customStyle="1" w:styleId="CEOSignatureName">
    <w:name w:val="CEO_SignatureName"/>
    <w:basedOn w:val="Normal"/>
    <w:rsid w:val="00C33D06"/>
    <w:pPr>
      <w:spacing w:before="720" w:after="0"/>
    </w:pPr>
    <w:rPr>
      <w:rFonts w:ascii="Arial" w:eastAsia="SimHei" w:hAnsi="Arial" w:cs="Simplified Arabic"/>
      <w:bCs/>
      <w:sz w:val="19"/>
      <w:szCs w:val="19"/>
      <w:lang w:val="en-GB"/>
    </w:rPr>
  </w:style>
  <w:style w:type="paragraph" w:customStyle="1" w:styleId="CEODistributionEmdash">
    <w:name w:val="CEO_Distribution_Emdash"/>
    <w:basedOn w:val="MOSindentdash"/>
    <w:rsid w:val="00C33D06"/>
    <w:pPr>
      <w:tabs>
        <w:tab w:val="num" w:pos="785"/>
      </w:tabs>
      <w:ind w:left="785" w:hanging="283"/>
    </w:pPr>
    <w:rPr>
      <w:rFonts w:ascii="Verdana" w:hAnsi="Verdana"/>
      <w:sz w:val="19"/>
      <w:szCs w:val="19"/>
    </w:rPr>
  </w:style>
  <w:style w:type="paragraph" w:customStyle="1" w:styleId="CEODistribution">
    <w:name w:val="CEO_Distribution"/>
    <w:basedOn w:val="Normal"/>
    <w:next w:val="CEODistributionEmdash"/>
    <w:rsid w:val="00C33D06"/>
    <w:pPr>
      <w:spacing w:before="480"/>
      <w:ind w:left="709" w:hanging="709"/>
    </w:pPr>
    <w:rPr>
      <w:rFonts w:ascii="Verdana" w:hAnsi="Verdana" w:cs="Times New Roman"/>
      <w:sz w:val="19"/>
      <w:szCs w:val="20"/>
      <w:lang w:val="en-GB"/>
    </w:rPr>
  </w:style>
  <w:style w:type="paragraph" w:customStyle="1" w:styleId="CEOHeading1Underlined">
    <w:name w:val="CEO_Heading 1_Underlined"/>
    <w:basedOn w:val="Normal"/>
    <w:link w:val="CEOHeading1UnderlinedChar"/>
    <w:rsid w:val="00C33D06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paragraph" w:customStyle="1" w:styleId="CEOindentblackdots">
    <w:name w:val="CEO_indentblackdots"/>
    <w:rsid w:val="00C33D06"/>
    <w:pPr>
      <w:numPr>
        <w:numId w:val="12"/>
      </w:numPr>
    </w:pPr>
    <w:rPr>
      <w:rFonts w:ascii="Verdana" w:eastAsia="SimSun" w:hAnsi="Verdana" w:cs="Times New Roman"/>
      <w:sz w:val="19"/>
      <w:szCs w:val="20"/>
      <w:lang w:val="fr-CH" w:eastAsia="en-US"/>
    </w:rPr>
  </w:style>
  <w:style w:type="paragraph" w:customStyle="1" w:styleId="CEOClosing">
    <w:name w:val="CEO_Closing"/>
    <w:basedOn w:val="CEONormal"/>
    <w:rsid w:val="00C33D06"/>
    <w:pPr>
      <w:spacing w:before="360"/>
    </w:pPr>
    <w:rPr>
      <w:rFonts w:eastAsia="SimSun" w:cs="Times New Roman"/>
      <w:szCs w:val="24"/>
      <w:lang w:val="en-US" w:eastAsia="zh-CN"/>
    </w:rPr>
  </w:style>
  <w:style w:type="paragraph" w:customStyle="1" w:styleId="CEOOriginalSigned">
    <w:name w:val="CEO_OriginalSigned"/>
    <w:basedOn w:val="CEONormal"/>
    <w:next w:val="CEOSignatureName"/>
    <w:rsid w:val="00C33D06"/>
    <w:pPr>
      <w:spacing w:before="360" w:after="360"/>
    </w:pPr>
    <w:rPr>
      <w:rFonts w:eastAsia="SimSun" w:cs="Times New Roman"/>
      <w:szCs w:val="24"/>
      <w:lang w:val="en-US" w:eastAsia="zh-CN"/>
    </w:rPr>
  </w:style>
  <w:style w:type="paragraph" w:customStyle="1" w:styleId="MOS-Hyperlink">
    <w:name w:val="MOS-Hyperlink"/>
    <w:basedOn w:val="Normal"/>
    <w:link w:val="MOS-HyperlinkChar"/>
    <w:rsid w:val="00C33D06"/>
    <w:pPr>
      <w:spacing w:before="0" w:after="0"/>
      <w:ind w:right="-426"/>
    </w:pPr>
    <w:rPr>
      <w:rFonts w:ascii="Verdana" w:hAnsi="Verdana"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rsid w:val="00C33D06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MOSindentdash">
    <w:name w:val="MOS indent dash"/>
    <w:basedOn w:val="Normal"/>
    <w:rsid w:val="00C33D06"/>
    <w:pPr>
      <w:numPr>
        <w:numId w:val="13"/>
      </w:numPr>
      <w:spacing w:before="0" w:after="0"/>
    </w:pPr>
    <w:rPr>
      <w:rFonts w:ascii="Arial" w:hAnsi="Arial" w:cs="Times New Roman"/>
      <w:szCs w:val="24"/>
      <w:lang w:eastAsia="zh-CN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C33D06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C33D06"/>
    <w:pPr>
      <w:pBdr>
        <w:bottom w:val="none" w:sz="0" w:space="0" w:color="auto"/>
      </w:pBdr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rsid w:val="00C33D06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33D06"/>
    <w:pPr>
      <w:spacing w:before="0" w:after="0"/>
      <w:ind w:left="720"/>
      <w:contextualSpacing/>
    </w:pPr>
    <w:rPr>
      <w:rFonts w:ascii="Arial" w:hAnsi="Arial" w:cs="Times New Roman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33D06"/>
    <w:rPr>
      <w:color w:val="800080" w:themeColor="followedHyperlink"/>
      <w:u w:val="single"/>
    </w:rPr>
  </w:style>
  <w:style w:type="character" w:customStyle="1" w:styleId="CEONormalCharChar">
    <w:name w:val="CEO_Normal Char Char"/>
    <w:basedOn w:val="DefaultParagraphFont"/>
    <w:uiPriority w:val="99"/>
    <w:locked/>
    <w:rsid w:val="00AE2C1B"/>
    <w:rPr>
      <w:rFonts w:ascii="Verdana" w:eastAsia="SimSun" w:hAnsi="Verdana" w:cs="Times New Roman"/>
      <w:lang w:val="en-GB" w:eastAsia="en-US" w:bidi="ar-SA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AE2C1B"/>
    <w:rPr>
      <w:rFonts w:ascii="Verdana" w:eastAsia="SimSun" w:hAnsi="Verdana" w:cs="Traditional Arabic"/>
      <w:szCs w:val="30"/>
      <w:lang w:val="es-ES" w:eastAsia="en-US" w:bidi="ar-SA"/>
    </w:rPr>
  </w:style>
  <w:style w:type="table" w:styleId="TableGrid">
    <w:name w:val="Table Grid"/>
    <w:basedOn w:val="TableNormal"/>
    <w:uiPriority w:val="59"/>
    <w:locked/>
    <w:rsid w:val="006E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D/study_group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evsg@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D/CDS/contributions/sg/index.asp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net3/ITU-D/stg/rgqlist.aspx?rgq=D10-RGQ22.1.1&amp;stg=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AD797-0D25-4E26-8C3A-C46F216E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BDT</vt:lpstr>
    </vt:vector>
  </TitlesOfParts>
  <Company>ITU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BDT</dc:title>
  <dc:subject>BDT</dc:subject>
  <dc:creator>BDT</dc:creator>
  <cp:lastModifiedBy>Stoudmann, Catherine</cp:lastModifiedBy>
  <cp:revision>5</cp:revision>
  <cp:lastPrinted>2012-06-06T09:53:00Z</cp:lastPrinted>
  <dcterms:created xsi:type="dcterms:W3CDTF">2012-06-11T14:07:00Z</dcterms:created>
  <dcterms:modified xsi:type="dcterms:W3CDTF">2012-06-13T13:55:00Z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