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A0"/>
      </w:tblPr>
      <w:tblGrid>
        <w:gridCol w:w="1242"/>
        <w:gridCol w:w="3827"/>
        <w:gridCol w:w="284"/>
        <w:gridCol w:w="4536"/>
      </w:tblGrid>
      <w:tr w:rsidR="0085107D" w:rsidRPr="0085107D" w:rsidTr="00353978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85107D" w:rsidRPr="0085107D" w:rsidRDefault="0085107D" w:rsidP="0085107D">
            <w:pPr>
              <w:spacing w:after="0" w:line="240" w:lineRule="auto"/>
              <w:jc w:val="center"/>
              <w:rPr>
                <w:rFonts w:ascii="Calibri" w:eastAsia="SimHei" w:hAnsi="Calibri" w:cs="Simplified Arabic"/>
                <w:noProof/>
                <w:szCs w:val="28"/>
                <w:lang w:val="en-GB" w:eastAsia="fr-CH"/>
              </w:rPr>
            </w:pPr>
            <w:r w:rsidRPr="0085107D">
              <w:rPr>
                <w:rFonts w:ascii="Calibri" w:eastAsia="SimHei" w:hAnsi="Calibri" w:cs="Simplified Arabic"/>
                <w:noProof/>
                <w:szCs w:val="28"/>
              </w:rPr>
              <w:drawing>
                <wp:inline distT="0" distB="0" distL="0" distR="0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07D" w:rsidRPr="006C791C" w:rsidTr="00353978">
        <w:trPr>
          <w:jc w:val="center"/>
        </w:trPr>
        <w:tc>
          <w:tcPr>
            <w:tcW w:w="9889" w:type="dxa"/>
            <w:gridSpan w:val="4"/>
          </w:tcPr>
          <w:p w:rsidR="0085107D" w:rsidRPr="00963E10" w:rsidRDefault="00963E10" w:rsidP="00963E10">
            <w:pPr>
              <w:spacing w:before="120" w:after="120" w:line="240" w:lineRule="auto"/>
              <w:rPr>
                <w:rFonts w:ascii="Calibri" w:eastAsia="SimSun" w:hAnsi="Calibri" w:cs="Traditional Arabic"/>
                <w:b/>
                <w:color w:val="808080"/>
                <w:sz w:val="28"/>
                <w:szCs w:val="30"/>
                <w:lang w:val="es-ES_tradnl" w:eastAsia="en-US"/>
              </w:rPr>
            </w:pPr>
            <w:r w:rsidRPr="00963E10">
              <w:rPr>
                <w:rFonts w:ascii="Calibri" w:eastAsia="SimSun" w:hAnsi="Calibri" w:cs="Times New Roman"/>
                <w:b/>
                <w:color w:val="808080"/>
                <w:sz w:val="28"/>
                <w:szCs w:val="30"/>
                <w:lang w:val="es-ES_tradnl" w:eastAsia="en-US"/>
              </w:rPr>
              <w:t xml:space="preserve">Oficina de Desarrollo de las Telecomunicaciones </w:t>
            </w:r>
            <w:r w:rsidR="0085107D" w:rsidRPr="00963E10">
              <w:rPr>
                <w:rFonts w:ascii="Calibri" w:eastAsia="SimSun" w:hAnsi="Calibri" w:cs="Traditional Arabic"/>
                <w:b/>
                <w:color w:val="808080"/>
                <w:sz w:val="28"/>
                <w:szCs w:val="30"/>
                <w:lang w:val="es-ES_tradnl" w:eastAsia="en-US"/>
              </w:rPr>
              <w:t>(BDT)</w:t>
            </w:r>
          </w:p>
        </w:tc>
      </w:tr>
      <w:tr w:rsidR="0085107D" w:rsidRPr="006C791C" w:rsidTr="00353978">
        <w:trPr>
          <w:jc w:val="center"/>
        </w:trPr>
        <w:tc>
          <w:tcPr>
            <w:tcW w:w="9889" w:type="dxa"/>
            <w:gridSpan w:val="4"/>
          </w:tcPr>
          <w:p w:rsidR="0085107D" w:rsidRPr="0085107D" w:rsidRDefault="0085107D" w:rsidP="0085107D">
            <w:pPr>
              <w:spacing w:after="0" w:line="240" w:lineRule="auto"/>
              <w:rPr>
                <w:rFonts w:ascii="Calibri" w:eastAsia="SimSun" w:hAnsi="Calibri" w:cs="Traditional Arabic"/>
                <w:szCs w:val="30"/>
                <w:lang w:val="es-ES_tradnl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85107D" w:rsidRDefault="0085107D" w:rsidP="0085107D">
            <w:pPr>
              <w:spacing w:before="120" w:after="120" w:line="240" w:lineRule="auto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r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Ref.</w:t>
            </w:r>
            <w:r w:rsidR="00353978">
              <w:rPr>
                <w:rFonts w:ascii="Calibri" w:eastAsia="SimSun" w:hAnsi="Calibri" w:cs="Traditional Arabic"/>
                <w:szCs w:val="30"/>
                <w:lang w:val="en-GB" w:eastAsia="en-US"/>
              </w:rPr>
              <w:t>:</w:t>
            </w:r>
          </w:p>
        </w:tc>
        <w:tc>
          <w:tcPr>
            <w:tcW w:w="4111" w:type="dxa"/>
            <w:gridSpan w:val="2"/>
          </w:tcPr>
          <w:p w:rsidR="0085107D" w:rsidRPr="0085107D" w:rsidRDefault="0085107D" w:rsidP="0085107D">
            <w:pPr>
              <w:spacing w:before="120" w:after="120" w:line="240" w:lineRule="auto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r w:rsidRPr="0085107D">
              <w:rPr>
                <w:rFonts w:ascii="Calibri" w:eastAsia="SimSun" w:hAnsi="Calibri" w:cs="Traditional Arabic"/>
                <w:szCs w:val="30"/>
                <w:lang w:val="pt-BR" w:eastAsia="en-US"/>
              </w:rPr>
              <w:t>Circular BDT/IP/CSTG-5</w:t>
            </w:r>
          </w:p>
        </w:tc>
        <w:tc>
          <w:tcPr>
            <w:tcW w:w="4536" w:type="dxa"/>
          </w:tcPr>
          <w:p w:rsidR="0085107D" w:rsidRPr="0085107D" w:rsidRDefault="0085107D" w:rsidP="00963E10">
            <w:pPr>
              <w:spacing w:before="120" w:after="120" w:line="240" w:lineRule="auto"/>
              <w:rPr>
                <w:rFonts w:ascii="Calibri" w:eastAsia="SimSun" w:hAnsi="Calibri" w:cs="Arial"/>
                <w:szCs w:val="30"/>
                <w:lang w:val="en-GB" w:eastAsia="en-US"/>
              </w:rPr>
            </w:pPr>
            <w:proofErr w:type="spellStart"/>
            <w:r w:rsidRPr="0085107D">
              <w:rPr>
                <w:rFonts w:ascii="Calibri" w:eastAsia="SimSun" w:hAnsi="Calibri" w:cs="Arial"/>
                <w:szCs w:val="30"/>
                <w:lang w:val="en-GB" w:eastAsia="en-US"/>
              </w:rPr>
              <w:t>G</w:t>
            </w:r>
            <w:r w:rsidR="00963E10">
              <w:rPr>
                <w:rFonts w:ascii="Calibri" w:eastAsia="SimSun" w:hAnsi="Calibri" w:cs="Arial"/>
                <w:szCs w:val="30"/>
                <w:lang w:val="en-GB" w:eastAsia="en-US"/>
              </w:rPr>
              <w:t>inebra</w:t>
            </w:r>
            <w:proofErr w:type="spellEnd"/>
            <w:r w:rsidR="00963E10">
              <w:rPr>
                <w:rFonts w:ascii="Calibri" w:eastAsia="SimSun" w:hAnsi="Calibri" w:cs="Arial"/>
                <w:szCs w:val="30"/>
                <w:lang w:val="en-GB" w:eastAsia="en-US"/>
              </w:rPr>
              <w:t xml:space="preserve">, 24 de mayo de </w:t>
            </w:r>
            <w:r w:rsidRPr="0085107D">
              <w:rPr>
                <w:rFonts w:ascii="Calibri" w:eastAsia="SimSun" w:hAnsi="Calibri" w:cs="Arial"/>
                <w:szCs w:val="30"/>
                <w:lang w:val="en-GB" w:eastAsia="en-US"/>
              </w:rPr>
              <w:t>2011</w:t>
            </w: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85107D" w:rsidRDefault="0085107D" w:rsidP="0085107D">
            <w:pPr>
              <w:spacing w:after="0" w:line="240" w:lineRule="auto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  <w:tc>
          <w:tcPr>
            <w:tcW w:w="4111" w:type="dxa"/>
            <w:gridSpan w:val="2"/>
          </w:tcPr>
          <w:p w:rsidR="0085107D" w:rsidRPr="0085107D" w:rsidRDefault="0085107D" w:rsidP="0085107D">
            <w:pPr>
              <w:spacing w:after="0" w:line="240" w:lineRule="auto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  <w:tc>
          <w:tcPr>
            <w:tcW w:w="4536" w:type="dxa"/>
          </w:tcPr>
          <w:p w:rsidR="0085107D" w:rsidRPr="0085107D" w:rsidRDefault="0085107D" w:rsidP="0085107D">
            <w:pPr>
              <w:spacing w:after="0" w:line="240" w:lineRule="auto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proofErr w:type="spellStart"/>
            <w:r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Contact</w:t>
            </w:r>
            <w:r w:rsidR="00963E10">
              <w:rPr>
                <w:rFonts w:ascii="Calibri" w:eastAsia="SimSun" w:hAnsi="Calibri" w:cs="Traditional Arabic"/>
                <w:szCs w:val="30"/>
                <w:lang w:val="en-GB" w:eastAsia="en-US"/>
              </w:rPr>
              <w:t>o</w:t>
            </w:r>
            <w:proofErr w:type="spellEnd"/>
            <w:r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:</w:t>
            </w:r>
          </w:p>
        </w:tc>
        <w:tc>
          <w:tcPr>
            <w:tcW w:w="3827" w:type="dxa"/>
          </w:tcPr>
          <w:p w:rsidR="0085107D" w:rsidRPr="0085107D" w:rsidRDefault="004D5732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s-ES_tradnl" w:eastAsia="en-US"/>
              </w:rPr>
            </w:pPr>
            <w:bookmarkStart w:id="0" w:name="Contact"/>
            <w:bookmarkEnd w:id="0"/>
            <w:r>
              <w:rPr>
                <w:rFonts w:ascii="Calibri" w:eastAsia="SimSun" w:hAnsi="Calibri" w:cs="Traditional Arabic"/>
                <w:szCs w:val="30"/>
                <w:lang w:val="es-ES_tradnl" w:eastAsia="en-US"/>
              </w:rPr>
              <w:t xml:space="preserve">Christine </w:t>
            </w:r>
            <w:proofErr w:type="spellStart"/>
            <w:r>
              <w:rPr>
                <w:rFonts w:ascii="Calibri" w:eastAsia="SimSun" w:hAnsi="Calibri" w:cs="Traditional Arabic"/>
                <w:szCs w:val="30"/>
                <w:lang w:val="es-ES_tradnl" w:eastAsia="en-US"/>
              </w:rPr>
              <w:t>Sund</w:t>
            </w:r>
            <w:proofErr w:type="spellEnd"/>
            <w:r>
              <w:rPr>
                <w:rFonts w:ascii="Calibri" w:eastAsia="SimSun" w:hAnsi="Calibri" w:cs="Traditional Arabic"/>
                <w:szCs w:val="30"/>
                <w:lang w:val="es-ES_tradnl" w:eastAsia="en-US"/>
              </w:rPr>
              <w:t>, Coordinad</w:t>
            </w:r>
            <w:r w:rsidR="0085107D" w:rsidRPr="0085107D">
              <w:rPr>
                <w:rFonts w:ascii="Calibri" w:eastAsia="SimSun" w:hAnsi="Calibri" w:cs="Traditional Arabic"/>
                <w:szCs w:val="30"/>
                <w:lang w:val="es-ES_tradnl" w:eastAsia="en-US"/>
              </w:rPr>
              <w:t>or</w:t>
            </w:r>
            <w:r w:rsidR="00963E10" w:rsidRPr="00963E10">
              <w:rPr>
                <w:rFonts w:ascii="Calibri" w:eastAsia="SimSun" w:hAnsi="Calibri" w:cs="Traditional Arabic"/>
                <w:szCs w:val="30"/>
                <w:lang w:val="es-ES_tradnl" w:eastAsia="en-US"/>
              </w:rPr>
              <w:t>a en funciones,</w:t>
            </w:r>
            <w:r w:rsidR="0085107D" w:rsidRPr="0085107D">
              <w:rPr>
                <w:rFonts w:ascii="Calibri" w:eastAsia="SimSun" w:hAnsi="Calibri" w:cs="Traditional Arabic"/>
                <w:szCs w:val="30"/>
                <w:lang w:val="es-ES_tradnl" w:eastAsia="en-US"/>
              </w:rPr>
              <w:t xml:space="preserve"> </w:t>
            </w:r>
            <w:r w:rsidR="00963E10" w:rsidRPr="00963E10">
              <w:rPr>
                <w:rFonts w:ascii="Calibri" w:eastAsia="SimSun" w:hAnsi="Calibri" w:cs="Traditional Arabic"/>
                <w:szCs w:val="30"/>
                <w:lang w:val="es-ES_tradnl" w:eastAsia="en-US"/>
              </w:rPr>
              <w:t>Comisiones de Estudio del UIT-D</w:t>
            </w:r>
          </w:p>
        </w:tc>
        <w:tc>
          <w:tcPr>
            <w:tcW w:w="284" w:type="dxa"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s-ES_tradnl" w:eastAsia="en-US"/>
              </w:rPr>
            </w:pPr>
          </w:p>
        </w:tc>
        <w:tc>
          <w:tcPr>
            <w:tcW w:w="4536" w:type="dxa"/>
            <w:vMerge w:val="restart"/>
          </w:tcPr>
          <w:p w:rsidR="0031443B" w:rsidRDefault="0031443B" w:rsidP="0031443B">
            <w:pPr>
              <w:pStyle w:val="BDTContact-Details"/>
              <w:numPr>
                <w:ilvl w:val="0"/>
                <w:numId w:val="3"/>
              </w:numPr>
              <w:spacing w:before="0" w:after="0"/>
              <w:rPr>
                <w:lang w:val="es-ES_tradnl"/>
              </w:rPr>
            </w:pPr>
            <w:r w:rsidRPr="0031443B">
              <w:rPr>
                <w:lang w:val="es-ES_tradnl"/>
              </w:rPr>
              <w:t xml:space="preserve">Administraciones de los Estados Miembros de la UIT </w:t>
            </w:r>
          </w:p>
          <w:p w:rsidR="0031443B" w:rsidRDefault="0031443B" w:rsidP="0031443B">
            <w:pPr>
              <w:pStyle w:val="BDTContact-Details"/>
              <w:numPr>
                <w:ilvl w:val="0"/>
                <w:numId w:val="3"/>
              </w:numPr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 xml:space="preserve">Miembros del Sector UIT-D </w:t>
            </w:r>
          </w:p>
          <w:p w:rsidR="0031443B" w:rsidRDefault="0031443B" w:rsidP="0031443B">
            <w:pPr>
              <w:pStyle w:val="BDTContact-Details"/>
              <w:numPr>
                <w:ilvl w:val="0"/>
                <w:numId w:val="3"/>
              </w:numPr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 xml:space="preserve">Asociados del UIT-D </w:t>
            </w:r>
          </w:p>
          <w:p w:rsidR="0031443B" w:rsidRPr="0031443B" w:rsidRDefault="0031443B" w:rsidP="0031443B">
            <w:pPr>
              <w:pStyle w:val="BDTContact-Details"/>
              <w:numPr>
                <w:ilvl w:val="0"/>
                <w:numId w:val="3"/>
              </w:numPr>
              <w:spacing w:before="0" w:after="0"/>
              <w:rPr>
                <w:lang w:val="es-ES_tradnl"/>
              </w:rPr>
            </w:pPr>
            <w:r w:rsidRPr="0031443B">
              <w:rPr>
                <w:lang w:val="es-ES_tradnl"/>
              </w:rPr>
              <w:t>Personas de contacto en las Comisiones de Estudio 1 y 2 del UIT-D</w:t>
            </w:r>
          </w:p>
          <w:p w:rsidR="0085107D" w:rsidRPr="0085107D" w:rsidRDefault="00DD021E" w:rsidP="0031443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r w:rsidRPr="0085107D">
              <w:rPr>
                <w:rFonts w:ascii="Calibri" w:eastAsia="SimSun" w:hAnsi="Calibri" w:cs="Traditional Arabic"/>
                <w:vanish/>
                <w:szCs w:val="30"/>
                <w:lang w:eastAsia="en-US"/>
              </w:rPr>
              <w:fldChar w:fldCharType="begin"/>
            </w:r>
            <w:r w:rsidR="0085107D" w:rsidRPr="0085107D">
              <w:rPr>
                <w:rFonts w:ascii="Calibri" w:eastAsia="SimSun" w:hAnsi="Calibri" w:cs="Traditional Arabic"/>
                <w:vanish/>
                <w:szCs w:val="30"/>
                <w:lang w:eastAsia="en-US"/>
              </w:rPr>
              <w:instrText xml:space="preserve"> MERGEFIELD EmailFax_PersOrg </w:instrText>
            </w:r>
            <w:r w:rsidRPr="0085107D">
              <w:rPr>
                <w:rFonts w:ascii="Calibri" w:eastAsia="SimSun" w:hAnsi="Calibri" w:cs="Traditional Arabic"/>
                <w:vanish/>
                <w:szCs w:val="30"/>
                <w:lang w:eastAsia="en-US"/>
              </w:rPr>
              <w:fldChar w:fldCharType="separate"/>
            </w:r>
            <w:r w:rsidR="00750FD0">
              <w:rPr>
                <w:rFonts w:ascii="Calibri" w:eastAsia="SimSun" w:hAnsi="Calibri" w:cs="Traditional Arabic"/>
                <w:noProof/>
                <w:vanish/>
                <w:szCs w:val="30"/>
                <w:lang w:eastAsia="en-US"/>
              </w:rPr>
              <w:t>«EmailFax_PersOrg»</w:t>
            </w:r>
            <w:r w:rsidRPr="0085107D">
              <w:rPr>
                <w:rFonts w:ascii="Calibri" w:eastAsia="SimSun" w:hAnsi="Calibri" w:cs="Traditional Arabic"/>
                <w:vanish/>
                <w:szCs w:val="30"/>
                <w:lang w:eastAsia="en-US"/>
              </w:rPr>
              <w:fldChar w:fldCharType="end"/>
            </w: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85107D" w:rsidRDefault="0085107D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proofErr w:type="spellStart"/>
            <w:r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T</w:t>
            </w:r>
            <w:r w:rsidR="00963E10">
              <w:rPr>
                <w:rFonts w:ascii="Calibri" w:eastAsia="SimSun" w:hAnsi="Calibri" w:cs="Traditional Arabic"/>
                <w:szCs w:val="30"/>
                <w:lang w:val="en-GB" w:eastAsia="en-US"/>
              </w:rPr>
              <w:t>eléfono</w:t>
            </w:r>
            <w:proofErr w:type="spellEnd"/>
            <w:r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:</w:t>
            </w:r>
          </w:p>
        </w:tc>
        <w:tc>
          <w:tcPr>
            <w:tcW w:w="3827" w:type="dxa"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r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+41 22 730 5990</w:t>
            </w:r>
          </w:p>
        </w:tc>
        <w:tc>
          <w:tcPr>
            <w:tcW w:w="284" w:type="dxa"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  <w:tc>
          <w:tcPr>
            <w:tcW w:w="4536" w:type="dxa"/>
            <w:vMerge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80" w:lineRule="exact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proofErr w:type="spellStart"/>
            <w:r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Telefax</w:t>
            </w:r>
            <w:proofErr w:type="spellEnd"/>
            <w:r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:</w:t>
            </w:r>
          </w:p>
        </w:tc>
        <w:tc>
          <w:tcPr>
            <w:tcW w:w="3827" w:type="dxa"/>
          </w:tcPr>
          <w:p w:rsidR="0085107D" w:rsidRPr="0085107D" w:rsidRDefault="0085107D" w:rsidP="004D57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r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+41 22 730 5545/730 5484</w:t>
            </w:r>
          </w:p>
        </w:tc>
        <w:tc>
          <w:tcPr>
            <w:tcW w:w="284" w:type="dxa"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  <w:tc>
          <w:tcPr>
            <w:tcW w:w="4536" w:type="dxa"/>
            <w:vMerge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80" w:lineRule="exact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1242" w:type="dxa"/>
          </w:tcPr>
          <w:p w:rsidR="0085107D" w:rsidRPr="0085107D" w:rsidRDefault="00963E10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proofErr w:type="spellStart"/>
            <w:r>
              <w:rPr>
                <w:rFonts w:ascii="Calibri" w:eastAsia="SimSun" w:hAnsi="Calibri" w:cs="Traditional Arabic"/>
                <w:szCs w:val="30"/>
                <w:lang w:val="en-GB" w:eastAsia="en-US"/>
              </w:rPr>
              <w:t>Correo</w:t>
            </w:r>
            <w:proofErr w:type="spellEnd"/>
            <w:r>
              <w:rPr>
                <w:rFonts w:ascii="Calibri" w:eastAsia="SimSun" w:hAnsi="Calibri" w:cs="Traditional Arabic"/>
                <w:szCs w:val="30"/>
                <w:lang w:val="en-GB" w:eastAsia="en-US"/>
              </w:rPr>
              <w:t>-e</w:t>
            </w:r>
            <w:r w:rsidR="0085107D"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>:</w:t>
            </w:r>
          </w:p>
        </w:tc>
        <w:tc>
          <w:tcPr>
            <w:tcW w:w="3827" w:type="dxa"/>
          </w:tcPr>
          <w:p w:rsidR="0085107D" w:rsidRPr="0085107D" w:rsidRDefault="00DD021E" w:rsidP="004D57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hyperlink r:id="rId9" w:history="1">
              <w:r w:rsidR="0085107D" w:rsidRPr="0085107D">
                <w:rPr>
                  <w:rFonts w:ascii="Calibri" w:eastAsia="SimSun" w:hAnsi="Calibri" w:cs="Traditional Arabic"/>
                  <w:color w:val="0000FF"/>
                  <w:szCs w:val="30"/>
                  <w:u w:val="single"/>
                  <w:lang w:val="en-GB" w:eastAsia="en-US"/>
                </w:rPr>
                <w:t>devsg@itu.int</w:t>
              </w:r>
            </w:hyperlink>
            <w:r w:rsidR="0085107D" w:rsidRPr="0085107D">
              <w:rPr>
                <w:rFonts w:ascii="Calibri" w:eastAsia="SimSun" w:hAnsi="Calibri" w:cs="Traditional Arabic"/>
                <w:szCs w:val="30"/>
                <w:lang w:val="en-GB" w:eastAsia="en-US"/>
              </w:rPr>
              <w:t xml:space="preserve"> </w:t>
            </w:r>
          </w:p>
        </w:tc>
        <w:tc>
          <w:tcPr>
            <w:tcW w:w="284" w:type="dxa"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4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  <w:tc>
          <w:tcPr>
            <w:tcW w:w="4536" w:type="dxa"/>
            <w:vMerge/>
          </w:tcPr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80" w:lineRule="exact"/>
              <w:textAlignment w:val="baseline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9889" w:type="dxa"/>
            <w:gridSpan w:val="4"/>
          </w:tcPr>
          <w:p w:rsidR="0085107D" w:rsidRPr="0085107D" w:rsidRDefault="0085107D" w:rsidP="0085107D">
            <w:pPr>
              <w:spacing w:after="0" w:line="240" w:lineRule="auto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</w:p>
        </w:tc>
      </w:tr>
      <w:tr w:rsidR="0085107D" w:rsidRPr="006C791C" w:rsidTr="00353978">
        <w:trPr>
          <w:jc w:val="center"/>
        </w:trPr>
        <w:tc>
          <w:tcPr>
            <w:tcW w:w="1242" w:type="dxa"/>
          </w:tcPr>
          <w:p w:rsidR="0085107D" w:rsidRPr="0085107D" w:rsidRDefault="00963E10" w:rsidP="00963E10">
            <w:pPr>
              <w:spacing w:before="120" w:after="80" w:line="240" w:lineRule="auto"/>
              <w:rPr>
                <w:rFonts w:ascii="Calibri" w:eastAsia="SimSun" w:hAnsi="Calibri" w:cs="Traditional Arabic"/>
                <w:szCs w:val="30"/>
                <w:lang w:val="en-GB" w:eastAsia="en-US"/>
              </w:rPr>
            </w:pPr>
            <w:proofErr w:type="spellStart"/>
            <w:r>
              <w:rPr>
                <w:rFonts w:ascii="Calibri" w:eastAsia="SimSun" w:hAnsi="Calibri" w:cs="Traditional Arabic"/>
                <w:szCs w:val="30"/>
                <w:lang w:val="en-GB" w:eastAsia="en-US"/>
              </w:rPr>
              <w:t>Asunto</w:t>
            </w:r>
            <w:proofErr w:type="spellEnd"/>
            <w:r>
              <w:rPr>
                <w:rFonts w:ascii="Calibri" w:eastAsia="SimSun" w:hAnsi="Calibri" w:cs="Traditional Arabic"/>
                <w:szCs w:val="30"/>
                <w:lang w:val="en-GB" w:eastAsia="en-US"/>
              </w:rPr>
              <w:t>:</w:t>
            </w:r>
          </w:p>
        </w:tc>
        <w:tc>
          <w:tcPr>
            <w:tcW w:w="8647" w:type="dxa"/>
            <w:gridSpan w:val="3"/>
          </w:tcPr>
          <w:p w:rsidR="0085107D" w:rsidRPr="0085107D" w:rsidRDefault="0085107D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s-ES_tradnl" w:eastAsia="en-US"/>
              </w:rPr>
            </w:pPr>
            <w:bookmarkStart w:id="1" w:name="Subject"/>
            <w:bookmarkEnd w:id="1"/>
            <w:r w:rsidRPr="0085107D">
              <w:rPr>
                <w:rFonts w:ascii="Calibri" w:eastAsia="SimSun" w:hAnsi="Calibri" w:cs="Traditional Arabic"/>
                <w:szCs w:val="30"/>
                <w:lang w:val="es-ES_tradnl" w:eastAsia="en-US"/>
              </w:rPr>
              <w:t>Conv</w:t>
            </w:r>
            <w:r w:rsidR="00963E10">
              <w:rPr>
                <w:rFonts w:ascii="Calibri" w:eastAsia="SimSun" w:hAnsi="Calibri" w:cs="Traditional Arabic"/>
                <w:szCs w:val="30"/>
                <w:lang w:val="es-ES_tradnl" w:eastAsia="en-US"/>
              </w:rPr>
              <w:t>ocatoria de la</w:t>
            </w:r>
            <w:r w:rsidR="00963E10" w:rsidRPr="00963E10">
              <w:rPr>
                <w:rFonts w:ascii="Calibri" w:eastAsia="SimSun" w:hAnsi="Calibri" w:cs="Traditional Arabic"/>
                <w:szCs w:val="30"/>
                <w:lang w:val="es-ES_tradnl" w:eastAsia="en-US"/>
              </w:rPr>
              <w:t xml:space="preserve"> segunda reunión de las Comisiones de Estudio del UIT-D para el quinto periodo de estudios: </w:t>
            </w:r>
          </w:p>
          <w:p w:rsidR="0085107D" w:rsidRPr="0085107D" w:rsidRDefault="0085107D" w:rsidP="00963E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s-ES_tradnl" w:eastAsia="en-US"/>
              </w:rPr>
            </w:pPr>
            <w:r w:rsidRPr="0085107D">
              <w:rPr>
                <w:rFonts w:ascii="Calibri" w:eastAsia="SimSun" w:hAnsi="Calibri" w:cs="Traditional Arabic"/>
                <w:szCs w:val="30"/>
                <w:lang w:val="es-ES_tradnl" w:eastAsia="en-US"/>
              </w:rPr>
              <w:tab/>
            </w:r>
            <w:r w:rsidR="00963E10" w:rsidRPr="00963E10">
              <w:rPr>
                <w:rFonts w:ascii="Calibri" w:eastAsia="SimSun" w:hAnsi="Calibri" w:cs="Traditional Arabic"/>
                <w:szCs w:val="30"/>
                <w:lang w:val="es-ES_tradnl" w:eastAsia="en-US"/>
              </w:rPr>
              <w:t>Comisión de Estudio</w:t>
            </w:r>
            <w:r w:rsidRPr="0085107D">
              <w:rPr>
                <w:rFonts w:ascii="Calibri" w:eastAsia="SimSun" w:hAnsi="Calibri" w:cs="Traditional Arabic"/>
                <w:szCs w:val="30"/>
                <w:lang w:val="es-ES_tradnl" w:eastAsia="en-US"/>
              </w:rPr>
              <w:t xml:space="preserve"> 1: 5-9 </w:t>
            </w:r>
            <w:r w:rsidR="00963E10">
              <w:rPr>
                <w:rFonts w:ascii="Calibri" w:eastAsia="SimSun" w:hAnsi="Calibri" w:cs="Traditional Arabic"/>
                <w:szCs w:val="30"/>
                <w:lang w:val="es-ES_tradnl" w:eastAsia="en-US"/>
              </w:rPr>
              <w:t xml:space="preserve">de septiembre de </w:t>
            </w:r>
            <w:r w:rsidRPr="0085107D">
              <w:rPr>
                <w:rFonts w:ascii="Calibri" w:eastAsia="SimSun" w:hAnsi="Calibri" w:cs="Traditional Arabic"/>
                <w:szCs w:val="30"/>
                <w:lang w:val="es-ES_tradnl" w:eastAsia="en-US"/>
              </w:rPr>
              <w:t>2011</w:t>
            </w:r>
          </w:p>
          <w:p w:rsidR="0085107D" w:rsidRPr="0085107D" w:rsidRDefault="0085107D" w:rsidP="008510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SimSun" w:hAnsi="Calibri" w:cs="Traditional Arabic"/>
                <w:szCs w:val="30"/>
                <w:lang w:val="es-ES_tradnl" w:eastAsia="en-US"/>
              </w:rPr>
            </w:pPr>
            <w:r w:rsidRPr="0085107D">
              <w:rPr>
                <w:rFonts w:ascii="Calibri" w:eastAsia="SimSun" w:hAnsi="Calibri" w:cs="Traditional Arabic"/>
                <w:szCs w:val="30"/>
                <w:lang w:val="es-ES_tradnl" w:eastAsia="en-US"/>
              </w:rPr>
              <w:tab/>
            </w:r>
            <w:r w:rsidR="00963E10" w:rsidRPr="00963E10">
              <w:rPr>
                <w:rFonts w:ascii="Calibri" w:eastAsia="SimSun" w:hAnsi="Calibri" w:cs="Traditional Arabic"/>
                <w:szCs w:val="30"/>
                <w:lang w:val="es-ES_tradnl" w:eastAsia="en-US"/>
              </w:rPr>
              <w:t>Comisión de Estudio</w:t>
            </w:r>
            <w:r w:rsidRPr="0085107D">
              <w:rPr>
                <w:rFonts w:ascii="Calibri" w:eastAsia="SimSun" w:hAnsi="Calibri" w:cs="Traditional Arabic"/>
                <w:szCs w:val="30"/>
                <w:lang w:val="es-ES_tradnl" w:eastAsia="en-US"/>
              </w:rPr>
              <w:t xml:space="preserve"> 2: 12-16 </w:t>
            </w:r>
            <w:r w:rsidR="00963E10">
              <w:rPr>
                <w:rFonts w:ascii="Calibri" w:eastAsia="SimSun" w:hAnsi="Calibri" w:cs="Traditional Arabic"/>
                <w:szCs w:val="30"/>
                <w:lang w:val="es-ES_tradnl" w:eastAsia="en-US"/>
              </w:rPr>
              <w:t xml:space="preserve">de septiembre de </w:t>
            </w:r>
            <w:r w:rsidRPr="0085107D">
              <w:rPr>
                <w:rFonts w:ascii="Calibri" w:eastAsia="SimSun" w:hAnsi="Calibri" w:cs="Traditional Arabic"/>
                <w:szCs w:val="30"/>
                <w:lang w:val="es-ES_tradnl" w:eastAsia="en-US"/>
              </w:rPr>
              <w:t>2011</w:t>
            </w:r>
          </w:p>
        </w:tc>
      </w:tr>
      <w:tr w:rsidR="0085107D" w:rsidRPr="006C791C" w:rsidTr="00353978">
        <w:trPr>
          <w:jc w:val="center"/>
        </w:trPr>
        <w:tc>
          <w:tcPr>
            <w:tcW w:w="9889" w:type="dxa"/>
            <w:gridSpan w:val="4"/>
          </w:tcPr>
          <w:p w:rsidR="0085107D" w:rsidRPr="0085107D" w:rsidRDefault="0085107D" w:rsidP="0085107D">
            <w:pPr>
              <w:spacing w:after="0" w:line="240" w:lineRule="auto"/>
              <w:rPr>
                <w:rFonts w:ascii="Calibri" w:eastAsia="SimSun" w:hAnsi="Calibri" w:cs="Traditional Arabic"/>
                <w:szCs w:val="30"/>
                <w:lang w:val="es-ES_tradnl" w:eastAsia="en-US"/>
              </w:rPr>
            </w:pPr>
          </w:p>
        </w:tc>
      </w:tr>
      <w:tr w:rsidR="0085107D" w:rsidRPr="0085107D" w:rsidTr="00353978">
        <w:trPr>
          <w:jc w:val="center"/>
        </w:trPr>
        <w:tc>
          <w:tcPr>
            <w:tcW w:w="9889" w:type="dxa"/>
            <w:gridSpan w:val="4"/>
          </w:tcPr>
          <w:p w:rsidR="00963E10" w:rsidRPr="006C791C" w:rsidRDefault="000C7FF4" w:rsidP="004D5732">
            <w:pPr>
              <w:spacing w:before="480" w:after="240" w:line="240" w:lineRule="auto"/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6C791C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Estimada Señora/Estimado Señor:</w:t>
            </w:r>
          </w:p>
          <w:p w:rsidR="00963E10" w:rsidRPr="00963E10" w:rsidRDefault="00963E10" w:rsidP="003674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</w:pP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En consulta con la Sra. Roxanne </w:t>
            </w:r>
            <w:proofErr w:type="spellStart"/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McElvane</w:t>
            </w:r>
            <w:proofErr w:type="spellEnd"/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, Presidenta de la Comisión de Estudio 1, y el Sr. </w:t>
            </w:r>
            <w:proofErr w:type="spellStart"/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Mokrane</w:t>
            </w:r>
            <w:proofErr w:type="spellEnd"/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 </w:t>
            </w:r>
            <w:proofErr w:type="spellStart"/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Akli</w:t>
            </w:r>
            <w:proofErr w:type="spellEnd"/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, Presidente de la Comisión de Estudio 2</w:t>
            </w:r>
            <w:r w:rsidR="003674F6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,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 y de acuerdo con ellos, me complace in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vitarla/lo a la segunda reunión 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de las Comisiones de Estudio del UIT-D para el quinto periodo de estudios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, que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 tendrá lugar </w:t>
            </w:r>
            <w:r w:rsidR="006C791C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en la S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ede de la UIT, en Ginebra, 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con arreglo al calendario siguiente:</w:t>
            </w:r>
          </w:p>
          <w:p w:rsidR="00963E10" w:rsidRPr="00963E10" w:rsidRDefault="00963E10" w:rsidP="00963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</w:pP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•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ab/>
              <w:t>Comisión de Estudio 1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: 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5 a 9 de 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septiembre de 201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1</w:t>
            </w:r>
          </w:p>
          <w:p w:rsidR="00963E10" w:rsidRPr="00963E10" w:rsidRDefault="00963E10" w:rsidP="00963E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</w:pP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•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ab/>
              <w:t xml:space="preserve">Comisión de Estudio 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2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: 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12 a 16 de 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septiembre de 201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1</w:t>
            </w:r>
          </w:p>
          <w:p w:rsidR="00963E10" w:rsidRPr="0085107D" w:rsidRDefault="00963E10" w:rsidP="003674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</w:pP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Las Comisiones de Estudio están abiertas a la participación de los Estados Miembros de la UIT y de los Miembros de Sector y los Asociados del UIT-D, que 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están invitados a a</w:t>
            </w:r>
            <w:r w:rsidR="003674F6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sistir a las reuniones de amb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as Comisiones y de los Grupos de Relator, presentar contrib</w:t>
            </w:r>
            <w:r w:rsidR="00022636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uciones para las Cuestiones de E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studio pertinentes, poner a disposición los servicios de expertos para que participen en las actividades de las Comisiones de Estudio, y asumir puestos de gestión, como 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los</w:t>
            </w:r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 de Relator y </w:t>
            </w:r>
            <w:proofErr w:type="spellStart"/>
            <w:r w:rsidRPr="00963E1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Vicerrelator</w:t>
            </w:r>
            <w:proofErr w:type="spellEnd"/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.</w:t>
            </w:r>
          </w:p>
          <w:p w:rsidR="004E78D6" w:rsidRDefault="004E78D6" w:rsidP="0002263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</w:pPr>
            <w:r w:rsidRPr="004E78D6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Con el propósito de avanzar en los trabajos de las Cuestiones en estudio en ambas Comisiones de Estudio del UIT-D aprobadas en la CMDT-10, se han organizado dos 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bloques de reuniones para 2011, además de las reuniones anuales de las Comisiones de Estudio que se celebrarán en septiembre de 2011. El primer bloque de reuniones del Grupo </w:t>
            </w:r>
            <w:r w:rsidR="00022636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de Relator tuvo lugar del 21 de 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marzo al 1 de abril (para las Cuestiones relativas a la Comisión de Estudio </w:t>
            </w:r>
            <w:r w:rsidR="00022636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2</w:t>
            </w:r>
            <w:r w:rsidR="002F45D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) y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 el segundo (</w:t>
            </w:r>
            <w:r w:rsidR="002F45D0" w:rsidRPr="002F45D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para las Cuestiones relativas a la Comisión de Estudio </w:t>
            </w:r>
            <w:r w:rsidR="00022636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1</w:t>
            </w:r>
            <w:r w:rsidR="002F45D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), del 2 al 13 de mayo. Por otra parte, el Grupo Mixto sobre la Resolución 9 (Rev. </w:t>
            </w:r>
            <w:proofErr w:type="spellStart"/>
            <w:r w:rsidR="002F45D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Hyderabad</w:t>
            </w:r>
            <w:proofErr w:type="spellEnd"/>
            <w:r w:rsidR="002F45D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, 2010), </w:t>
            </w:r>
            <w:r w:rsidR="00EE7B94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"</w:t>
            </w:r>
            <w:r w:rsidR="002F45D0" w:rsidRPr="006C791C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Participación de los países, especialmente de los países en desarrollo, en la gestión del espectro</w:t>
            </w:r>
            <w:r w:rsidR="00EE7B94" w:rsidRPr="006C791C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"</w:t>
            </w:r>
            <w:r w:rsidR="002F45D0" w:rsidRPr="006C791C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,</w:t>
            </w:r>
            <w:r w:rsidR="004D5732" w:rsidRPr="006C791C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 </w:t>
            </w:r>
            <w:r w:rsidR="002F45D0" w:rsidRPr="006C791C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>que se considera parte de la Comisión de Estudio 2, se reunirá el 6 y 7 de junio de 2011, inmediatamente después de la reunión de la Comisión de Estudio 1 del UIT-R (Gestión del espectro). Puede hallarse una información más completa sobre los dos bloques de reuniones y la reunión del Grupo Mixto sobre la Resolución 9 en las siguientes páginas web:</w:t>
            </w:r>
            <w:r w:rsidR="002F45D0">
              <w:rPr>
                <w:rFonts w:ascii="Verdana" w:eastAsia="SimSun" w:hAnsi="Verdana" w:cs="Verdana"/>
                <w:sz w:val="19"/>
                <w:szCs w:val="19"/>
                <w:lang w:val="es-ES_tradnl" w:eastAsia="en-US"/>
              </w:rPr>
              <w:t xml:space="preserve"> </w:t>
            </w:r>
          </w:p>
          <w:p w:rsidR="0085107D" w:rsidRPr="0085107D" w:rsidRDefault="00E53F5B" w:rsidP="006C79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contextualSpacing/>
              <w:rPr>
                <w:rFonts w:ascii="Verdana" w:eastAsia="SimSun" w:hAnsi="Verdana" w:cs="Verdana"/>
                <w:sz w:val="19"/>
                <w:szCs w:val="19"/>
                <w:lang w:val="es-ES_tradnl"/>
              </w:rPr>
            </w:pPr>
            <w:r w:rsidRPr="00E53F5B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lastRenderedPageBreak/>
              <w:t xml:space="preserve">Primer bloque de reuniones del Grupo de Relator </w:t>
            </w:r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(21 </w:t>
            </w:r>
            <w:r w:rsidRPr="00E53F5B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de marzo</w:t>
            </w:r>
            <w:r w:rsidR="00353978" w:rsidRPr="00353978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–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1 de abril</w:t>
            </w:r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), 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en</w:t>
            </w:r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: </w:t>
            </w:r>
            <w:hyperlink r:id="rId10" w:history="1">
              <w:r w:rsidR="0085107D" w:rsidRPr="00E53F5B">
                <w:rPr>
                  <w:rFonts w:ascii="Verdana" w:eastAsia="SimSun" w:hAnsi="Verdana" w:cs="Verdana"/>
                  <w:color w:val="0000FF"/>
                  <w:sz w:val="19"/>
                  <w:szCs w:val="19"/>
                  <w:u w:val="single"/>
                  <w:lang w:val="es-ES_tradnl"/>
                </w:rPr>
                <w:t>http://www.itu.int/net3/ITU-D/stg/blkmeetings.aspx?blk=11946</w:t>
              </w:r>
            </w:hyperlink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 </w:t>
            </w:r>
          </w:p>
          <w:p w:rsidR="0085107D" w:rsidRPr="0085107D" w:rsidRDefault="0085107D" w:rsidP="00E53F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Verdana" w:eastAsia="SimSun" w:hAnsi="Verdana" w:cs="Verdana"/>
                <w:sz w:val="19"/>
                <w:szCs w:val="19"/>
                <w:lang w:val="es-ES_tradnl"/>
              </w:rPr>
            </w:pPr>
            <w:r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Se</w:t>
            </w:r>
            <w:r w:rsidR="00E53F5B" w:rsidRPr="00E53F5B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gundo</w:t>
            </w:r>
            <w:r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 </w:t>
            </w:r>
            <w:r w:rsidR="00E53F5B" w:rsidRPr="00E53F5B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bloque de reuniones del Grupo de Relator (2-</w:t>
            </w:r>
            <w:r w:rsidR="00E53F5B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1</w:t>
            </w:r>
            <w:r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3 </w:t>
            </w:r>
            <w:r w:rsidR="00E53F5B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de mayo</w:t>
            </w:r>
            <w:r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), </w:t>
            </w:r>
            <w:r w:rsidR="00E53F5B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en</w:t>
            </w:r>
            <w:r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: </w:t>
            </w:r>
            <w:hyperlink r:id="rId11" w:history="1">
              <w:r w:rsidRPr="00E53F5B">
                <w:rPr>
                  <w:rFonts w:ascii="Verdana" w:eastAsia="SimSun" w:hAnsi="Verdana" w:cs="Verdana"/>
                  <w:color w:val="0000FF"/>
                  <w:sz w:val="19"/>
                  <w:szCs w:val="19"/>
                  <w:u w:val="single"/>
                  <w:lang w:val="es-ES_tradnl"/>
                </w:rPr>
                <w:t>http://www.itu.int/net3/ITU-D/stg/blkmeetings.aspx?blk=11945</w:t>
              </w:r>
            </w:hyperlink>
          </w:p>
          <w:p w:rsidR="0085107D" w:rsidRPr="0085107D" w:rsidRDefault="00E53F5B" w:rsidP="00E53F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Verdana" w:eastAsia="SimSun" w:hAnsi="Verdana" w:cs="Verdana"/>
                <w:sz w:val="19"/>
                <w:szCs w:val="19"/>
                <w:lang w:val="es-ES_tradnl"/>
              </w:rPr>
            </w:pPr>
            <w:r w:rsidRPr="00E53F5B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Reunión del Grupo Mixto sobre la Resolución 9 </w:t>
            </w:r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(Rev. </w:t>
            </w:r>
            <w:proofErr w:type="spellStart"/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Hyderabad</w:t>
            </w:r>
            <w:proofErr w:type="spellEnd"/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, 2010) (6-7 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de junio</w:t>
            </w:r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), </w:t>
            </w:r>
            <w:r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>en</w:t>
            </w:r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: </w:t>
            </w:r>
            <w:hyperlink r:id="rId12" w:history="1">
              <w:r w:rsidR="0085107D" w:rsidRPr="00E53F5B">
                <w:rPr>
                  <w:rFonts w:ascii="Verdana" w:eastAsia="SimSun" w:hAnsi="Verdana" w:cs="Verdana"/>
                  <w:color w:val="0000FF"/>
                  <w:sz w:val="19"/>
                  <w:szCs w:val="19"/>
                  <w:u w:val="single"/>
                  <w:lang w:val="es-ES_tradnl"/>
                </w:rPr>
                <w:t>http://www.itu.int/net3/ITU-D/stg/blkmeetings.aspx?blk=12063</w:t>
              </w:r>
            </w:hyperlink>
            <w:r w:rsidR="0085107D" w:rsidRPr="0085107D">
              <w:rPr>
                <w:rFonts w:ascii="Verdana" w:eastAsia="SimSun" w:hAnsi="Verdana" w:cs="Verdana"/>
                <w:sz w:val="19"/>
                <w:szCs w:val="19"/>
                <w:lang w:val="es-ES_tradnl"/>
              </w:rPr>
              <w:t xml:space="preserve"> </w:t>
            </w:r>
          </w:p>
          <w:p w:rsidR="00DA583C" w:rsidRPr="00974C69" w:rsidRDefault="00DA583C" w:rsidP="00DA583C">
            <w:pPr>
              <w:pStyle w:val="CEOHeading1Underlined"/>
              <w:spacing w:before="360"/>
              <w:rPr>
                <w:b/>
                <w:lang w:val="es-ES_tradnl"/>
              </w:rPr>
            </w:pPr>
            <w:r w:rsidRPr="00974C69">
              <w:rPr>
                <w:b/>
                <w:lang w:val="es-ES_tradnl"/>
              </w:rPr>
              <w:t>Proyecto de orden del día y calendario de las reuniones</w:t>
            </w:r>
          </w:p>
          <w:p w:rsidR="00DA583C" w:rsidRPr="00CE2367" w:rsidRDefault="00DA583C" w:rsidP="00DA583C">
            <w:pPr>
              <w:pStyle w:val="CEONormal"/>
              <w:rPr>
                <w:lang w:val="es-ES_tradnl"/>
              </w:rPr>
            </w:pPr>
            <w:r w:rsidRPr="00974C69">
              <w:rPr>
                <w:lang w:val="es-ES_tradnl"/>
              </w:rPr>
              <w:t>Los proyecto</w:t>
            </w:r>
            <w:r w:rsidR="003674F6">
              <w:rPr>
                <w:lang w:val="es-ES_tradnl"/>
              </w:rPr>
              <w:t xml:space="preserve">s de orden del día y calendarios </w:t>
            </w:r>
            <w:r w:rsidRPr="00974C69">
              <w:rPr>
                <w:lang w:val="es-ES_tradnl"/>
              </w:rPr>
              <w:t xml:space="preserve">de las reuniones de las dos </w:t>
            </w:r>
            <w:r w:rsidRPr="00CE2367">
              <w:rPr>
                <w:b/>
                <w:bCs/>
                <w:lang w:val="es-ES_tradnl"/>
              </w:rPr>
              <w:t>Comisiones de Estudio</w:t>
            </w:r>
            <w:r w:rsidRPr="00CE2367">
              <w:rPr>
                <w:lang w:val="es-ES_tradnl"/>
              </w:rPr>
              <w:t xml:space="preserve"> figuran en:</w:t>
            </w:r>
          </w:p>
          <w:p w:rsidR="00DA583C" w:rsidRPr="00974C69" w:rsidRDefault="00DA583C" w:rsidP="00DA583C">
            <w:pPr>
              <w:pStyle w:val="CEOHeading2"/>
              <w:rPr>
                <w:lang w:val="es-ES_tradnl"/>
              </w:rPr>
            </w:pPr>
            <w:r w:rsidRPr="00974C69">
              <w:rPr>
                <w:lang w:val="es-ES_tradnl"/>
              </w:rPr>
              <w:t xml:space="preserve">Comisión de Estudio </w:t>
            </w:r>
            <w:r>
              <w:rPr>
                <w:lang w:val="es-ES_tradnl"/>
              </w:rPr>
              <w:t>1</w:t>
            </w:r>
          </w:p>
          <w:p w:rsidR="0085107D" w:rsidRPr="0085107D" w:rsidRDefault="00353978" w:rsidP="002624D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Verdana" w:eastAsia="SimSun" w:hAnsi="Verdana" w:cs="Times New Roman"/>
                <w:sz w:val="19"/>
                <w:szCs w:val="20"/>
                <w:lang w:val="de-CH" w:eastAsia="en-US"/>
              </w:rPr>
            </w:pPr>
            <w:r w:rsidRPr="00353978">
              <w:rPr>
                <w:lang w:val="es-ES_tradnl"/>
              </w:rPr>
              <w:t>•</w:t>
            </w:r>
            <w:r>
              <w:rPr>
                <w:lang w:val="es-ES_tradnl"/>
              </w:rPr>
              <w:tab/>
            </w:r>
            <w:r w:rsidR="00DA583C" w:rsidRPr="006C791C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>Proyecto de orden del día</w:t>
            </w:r>
            <w:r w:rsidR="00DA583C" w:rsidRPr="00974C69">
              <w:rPr>
                <w:lang w:val="es-ES_tradnl"/>
              </w:rPr>
              <w:t xml:space="preserve"> </w:t>
            </w:r>
            <w:r w:rsidR="0085107D" w:rsidRPr="0085107D">
              <w:rPr>
                <w:rFonts w:ascii="Verdana" w:eastAsia="SimSun" w:hAnsi="Verdana" w:cs="Times New Roman"/>
                <w:sz w:val="19"/>
                <w:szCs w:val="20"/>
                <w:lang w:val="de-CH" w:eastAsia="en-US"/>
              </w:rPr>
              <w:t>(</w:t>
            </w:r>
            <w:hyperlink r:id="rId13" w:history="1">
              <w:r w:rsidR="002624D0" w:rsidRPr="005F67AC">
                <w:rPr>
                  <w:rStyle w:val="Hyperlink"/>
                  <w:rFonts w:ascii="Verdana" w:eastAsia="SimSun" w:hAnsi="Verdana"/>
                  <w:sz w:val="19"/>
                  <w:szCs w:val="20"/>
                  <w:lang w:val="sv-SE" w:eastAsia="en-US"/>
                </w:rPr>
                <w:t>http://www.itu.int/md/D10-SG01-OJ/es</w:t>
              </w:r>
            </w:hyperlink>
            <w:r w:rsidR="0085107D" w:rsidRPr="0085107D">
              <w:rPr>
                <w:rFonts w:ascii="Verdana" w:eastAsia="SimSun" w:hAnsi="Verdana" w:cs="Times New Roman"/>
                <w:sz w:val="19"/>
                <w:szCs w:val="20"/>
                <w:lang w:val="sv-SE" w:eastAsia="en-US"/>
              </w:rPr>
              <w:t xml:space="preserve"> </w:t>
            </w:r>
            <w:r w:rsidR="0085107D" w:rsidRPr="0085107D">
              <w:rPr>
                <w:rFonts w:ascii="Verdana" w:eastAsia="SimSun" w:hAnsi="Verdana" w:cs="Times New Roman"/>
                <w:sz w:val="19"/>
                <w:szCs w:val="20"/>
                <w:lang w:val="de-CH" w:eastAsia="en-US"/>
              </w:rPr>
              <w:t xml:space="preserve">) </w:t>
            </w:r>
          </w:p>
          <w:p w:rsidR="0085107D" w:rsidRPr="0085107D" w:rsidRDefault="00353978" w:rsidP="00DA583C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  <w:r w:rsidRPr="00353978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•</w:t>
            </w:r>
            <w:r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ab/>
            </w:r>
            <w:r w:rsidR="00DA583C" w:rsidRPr="00DA583C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 xml:space="preserve">Calendario de las reuniones </w:t>
            </w:r>
            <w:r w:rsidR="0085107D" w:rsidRPr="0085107D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(</w:t>
            </w:r>
            <w:hyperlink r:id="rId14" w:history="1">
              <w:r w:rsidR="0085107D" w:rsidRPr="00DA583C">
                <w:rPr>
                  <w:rFonts w:ascii="Verdana" w:eastAsia="SimSun" w:hAnsi="Verdana" w:cs="Times New Roman"/>
                  <w:color w:val="0000FF"/>
                  <w:sz w:val="19"/>
                  <w:szCs w:val="20"/>
                  <w:u w:val="single"/>
                  <w:lang w:val="es-ES_tradnl" w:eastAsia="en-US"/>
                </w:rPr>
                <w:t>http://www.itu.int/md/D10-SG01-ADM/e</w:t>
              </w:r>
            </w:hyperlink>
            <w:r w:rsidR="0085107D" w:rsidRPr="0085107D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 xml:space="preserve">) </w:t>
            </w:r>
          </w:p>
          <w:p w:rsidR="0085107D" w:rsidRPr="0085107D" w:rsidRDefault="00DA583C" w:rsidP="00DA583C">
            <w:pPr>
              <w:keepNext/>
              <w:keepLines/>
              <w:spacing w:before="120" w:after="60" w:line="240" w:lineRule="auto"/>
              <w:ind w:left="720"/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</w:pPr>
            <w:r w:rsidRPr="00DA583C"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  <w:t xml:space="preserve">Comisión de Estudio </w:t>
            </w:r>
            <w:r w:rsidR="0085107D" w:rsidRPr="0085107D"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  <w:t>2</w:t>
            </w:r>
          </w:p>
          <w:p w:rsidR="0085107D" w:rsidRPr="0085107D" w:rsidRDefault="00353978" w:rsidP="002624D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Verdana" w:eastAsia="SimSun" w:hAnsi="Verdana" w:cs="Times New Roman"/>
                <w:sz w:val="19"/>
                <w:szCs w:val="20"/>
                <w:lang w:val="de-CH" w:eastAsia="en-US"/>
              </w:rPr>
            </w:pPr>
            <w:r w:rsidRPr="00353978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•</w:t>
            </w:r>
            <w:r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ab/>
            </w:r>
            <w:r w:rsidR="00DA583C" w:rsidRPr="00DA583C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 xml:space="preserve">Proyecto de orden del día </w:t>
            </w:r>
            <w:r w:rsidR="0085107D" w:rsidRPr="0085107D">
              <w:rPr>
                <w:rFonts w:ascii="Verdana" w:eastAsia="SimSun" w:hAnsi="Verdana" w:cs="Times New Roman"/>
                <w:sz w:val="19"/>
                <w:szCs w:val="20"/>
                <w:lang w:val="de-CH" w:eastAsia="en-US"/>
              </w:rPr>
              <w:t>(</w:t>
            </w:r>
            <w:r w:rsidR="0085107D" w:rsidRPr="0085107D">
              <w:rPr>
                <w:rFonts w:ascii="Verdana" w:eastAsia="SimSun" w:hAnsi="Verdana" w:cs="Times New Roman"/>
                <w:color w:val="0000FF"/>
                <w:sz w:val="19"/>
                <w:szCs w:val="19"/>
                <w:u w:val="single"/>
                <w:lang w:val="de-CH" w:eastAsia="en-US"/>
              </w:rPr>
              <w:t>http://www.itu.int/md/D10-SG02-OJ/</w:t>
            </w:r>
            <w:r w:rsidR="002624D0">
              <w:rPr>
                <w:rFonts w:ascii="Verdana" w:eastAsia="SimSun" w:hAnsi="Verdana" w:cs="Times New Roman"/>
                <w:color w:val="0000FF"/>
                <w:sz w:val="19"/>
                <w:szCs w:val="19"/>
                <w:u w:val="single"/>
                <w:lang w:val="de-CH" w:eastAsia="en-US"/>
              </w:rPr>
              <w:t>es</w:t>
            </w:r>
            <w:r w:rsidR="0085107D" w:rsidRPr="0085107D">
              <w:rPr>
                <w:rFonts w:ascii="Verdana" w:eastAsia="SimSun" w:hAnsi="Verdana" w:cs="Times New Roman"/>
                <w:sz w:val="19"/>
                <w:szCs w:val="20"/>
                <w:lang w:val="de-CH" w:eastAsia="en-US"/>
              </w:rPr>
              <w:t>)</w:t>
            </w:r>
          </w:p>
          <w:p w:rsidR="0085107D" w:rsidRPr="0085107D" w:rsidRDefault="00353978" w:rsidP="00DA583C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  <w:r w:rsidRPr="00353978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•</w:t>
            </w:r>
            <w:r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ab/>
            </w:r>
            <w:r w:rsidR="00DA583C" w:rsidRPr="00DA583C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 xml:space="preserve">Calendario de las reuniones </w:t>
            </w:r>
            <w:r w:rsidR="0085107D" w:rsidRPr="0085107D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(</w:t>
            </w:r>
            <w:hyperlink r:id="rId15" w:history="1">
              <w:r w:rsidR="0085107D" w:rsidRPr="00F44C58">
                <w:rPr>
                  <w:rFonts w:ascii="Verdana" w:eastAsia="SimSun" w:hAnsi="Verdana" w:cs="Times New Roman"/>
                  <w:color w:val="0000FF"/>
                  <w:sz w:val="19"/>
                  <w:szCs w:val="19"/>
                  <w:u w:val="single"/>
                  <w:lang w:val="es-ES_tradnl" w:eastAsia="en-US"/>
                </w:rPr>
                <w:t>http://www.itu.int/md/D10-SG02-ADM/e</w:t>
              </w:r>
            </w:hyperlink>
            <w:r w:rsidR="0085107D" w:rsidRPr="0085107D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)</w:t>
            </w:r>
          </w:p>
          <w:p w:rsidR="00F44C58" w:rsidRPr="00F44C58" w:rsidRDefault="00F44C58" w:rsidP="00F44C58">
            <w:pPr>
              <w:keepNext/>
              <w:keepLines/>
              <w:pBdr>
                <w:bottom w:val="single" w:sz="12" w:space="1" w:color="808080"/>
              </w:pBdr>
              <w:spacing w:before="360" w:after="0" w:line="240" w:lineRule="auto"/>
              <w:rPr>
                <w:rFonts w:ascii="Verdana" w:eastAsia="SimSun" w:hAnsi="Verdana" w:cs="Times New Roman"/>
                <w:b/>
                <w:sz w:val="19"/>
                <w:szCs w:val="20"/>
                <w:lang w:val="es-ES_tradnl" w:eastAsia="en-US"/>
              </w:rPr>
            </w:pPr>
            <w:r w:rsidRPr="00F44C58">
              <w:rPr>
                <w:rFonts w:ascii="Verdana" w:eastAsia="SimSun" w:hAnsi="Verdana" w:cs="Times New Roman"/>
                <w:b/>
                <w:sz w:val="19"/>
                <w:szCs w:val="20"/>
                <w:lang w:val="es-ES_tradnl" w:eastAsia="en-US"/>
              </w:rPr>
              <w:t>Inscripción y solicitud de becas</w:t>
            </w:r>
          </w:p>
          <w:p w:rsidR="00F44C58" w:rsidRDefault="00F44C58" w:rsidP="00F44C58">
            <w:pPr>
              <w:spacing w:before="120" w:after="120" w:line="240" w:lineRule="auto"/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</w:pPr>
            <w:r w:rsidRPr="00F44C58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La preinscripción se efectuará exclusivamente en línea a través de los coordinadores designados por cada administración y entidad con derecho a participar. </w:t>
            </w:r>
          </w:p>
          <w:p w:rsidR="00F44C58" w:rsidRDefault="00F44C58" w:rsidP="003674F6">
            <w:pPr>
              <w:spacing w:before="120" w:after="120" w:line="240" w:lineRule="auto"/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</w:pPr>
            <w:r w:rsidRPr="00F44C58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La inscripción in situ comenzará el lunes </w:t>
            </w:r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5 de septiembre de 2011, a las </w:t>
            </w:r>
            <w:r w:rsidR="00353978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>0</w:t>
            </w:r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8.30 horas, en el Edificio </w:t>
            </w:r>
            <w:proofErr w:type="spellStart"/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>Montbrillant</w:t>
            </w:r>
            <w:proofErr w:type="spellEnd"/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. Los delegados que no </w:t>
            </w:r>
            <w:r w:rsidRPr="00F44C58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hayan </w:t>
            </w:r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efectuado la </w:t>
            </w:r>
            <w:r w:rsidR="004D5732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>preinscripción</w:t>
            </w:r>
            <w:r w:rsidRPr="00F44C58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 necesitarán una carta de acreditación del coordinador designado de su entidad para inscribirse in situ. Los delegados preinscritos sólo tendrán que presentar su carta de confirmación y un documento de identidad con una fotografía.</w:t>
            </w:r>
          </w:p>
          <w:p w:rsidR="00F44C58" w:rsidRPr="00F44C58" w:rsidRDefault="003674F6" w:rsidP="003674F6">
            <w:pPr>
              <w:spacing w:before="120" w:after="120" w:line="240" w:lineRule="auto"/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</w:pPr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Los </w:t>
            </w:r>
            <w:r w:rsidR="00F44C58" w:rsidRPr="00F44C58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coordinadores </w:t>
            </w:r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se encargarán de </w:t>
            </w:r>
            <w:r w:rsidR="00F44C58" w:rsidRPr="00F44C58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tramitar las formalidades de inscripción para sus administraciones y entidades respectivas. La lista de los coordinadores puede consultarse, utilizando el log-in </w:t>
            </w:r>
            <w:r w:rsidR="00F44C58" w:rsidRPr="003674F6">
              <w:rPr>
                <w:rFonts w:ascii="Verdana" w:eastAsia="SimSun" w:hAnsi="Verdana" w:cs="Times New Roman"/>
                <w:b/>
                <w:bCs/>
                <w:sz w:val="19"/>
                <w:szCs w:val="24"/>
                <w:lang w:val="es-ES_tradnl"/>
              </w:rPr>
              <w:t>TIES</w:t>
            </w:r>
            <w:r w:rsidR="00F44C58" w:rsidRPr="00F44C58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, en la siguiente </w:t>
            </w:r>
            <w:hyperlink r:id="rId16" w:history="1">
              <w:r w:rsidR="00F44C58" w:rsidRPr="00F44C58">
                <w:rPr>
                  <w:rStyle w:val="Hyperlink"/>
                  <w:rFonts w:ascii="Verdana" w:eastAsia="SimSun" w:hAnsi="Verdana"/>
                  <w:sz w:val="19"/>
                  <w:szCs w:val="24"/>
                  <w:lang w:val="es-ES"/>
                </w:rPr>
                <w:t>dirección</w:t>
              </w:r>
            </w:hyperlink>
            <w:r w:rsidR="00F44C58" w:rsidRPr="00F44C58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>.</w:t>
            </w:r>
          </w:p>
          <w:p w:rsidR="0085107D" w:rsidRPr="0085107D" w:rsidRDefault="00F44C58" w:rsidP="00F44C58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 w:rsidRPr="00F44C58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Si su Administración u organización no tiene un coordinador o si es necesario efectuar alg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ún cambio al respecto, diríjase a </w:t>
            </w:r>
            <w:hyperlink r:id="rId17" w:history="1">
              <w:r w:rsidR="0085107D" w:rsidRPr="00F44C58">
                <w:rPr>
                  <w:rFonts w:ascii="Verdana" w:eastAsia="SimHei" w:hAnsi="Verdana" w:cs="Simplified Arabic"/>
                  <w:color w:val="0000FF"/>
                  <w:sz w:val="19"/>
                  <w:szCs w:val="28"/>
                  <w:u w:val="single"/>
                  <w:lang w:val="es-ES_tradnl" w:eastAsia="en-US"/>
                </w:rPr>
                <w:t>bdtmeetingsregistration@itu.int</w:t>
              </w:r>
            </w:hyperlink>
            <w:r w:rsidR="0085107D" w:rsidRPr="0085107D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. </w:t>
            </w:r>
          </w:p>
          <w:p w:rsidR="00F44C58" w:rsidRPr="006C791C" w:rsidRDefault="003674F6" w:rsidP="003674F6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 w:rsidRPr="006C791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L</w:t>
            </w:r>
            <w:r w:rsidR="00F44C58" w:rsidRPr="006C791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os detalles relativos a la inscripción</w:t>
            </w:r>
            <w:r w:rsidRPr="006C791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y toda</w:t>
            </w:r>
            <w:r w:rsidR="00F44C58" w:rsidRPr="006C791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otra información logística, como el alojamiento y los trámites para la obtención de visados</w:t>
            </w:r>
            <w:r w:rsidRPr="006C791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, pueden consultarse</w:t>
            </w:r>
            <w:r w:rsidR="00F44C58" w:rsidRPr="006C791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:</w:t>
            </w:r>
          </w:p>
          <w:p w:rsidR="0085107D" w:rsidRPr="0085107D" w:rsidRDefault="00B57AFB" w:rsidP="00B57AFB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para la Comisión de Estudio </w:t>
            </w:r>
            <w:r w:rsidR="0085107D" w:rsidRPr="0085107D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1</w:t>
            </w:r>
            <w:r w:rsidRPr="00B57AFB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,</w:t>
            </w:r>
            <w:r w:rsidR="003674F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en</w:t>
            </w:r>
            <w:r w:rsidRPr="00B57AFB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</w:t>
            </w:r>
            <w:r w:rsidR="0085107D" w:rsidRPr="0085107D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(</w:t>
            </w:r>
            <w:hyperlink r:id="rId18" w:history="1">
              <w:r w:rsidR="0085107D" w:rsidRPr="00B57AFB">
                <w:rPr>
                  <w:rFonts w:ascii="Verdana" w:eastAsia="SimHei" w:hAnsi="Verdana" w:cs="Simplified Arabic"/>
                  <w:color w:val="0000FF"/>
                  <w:sz w:val="19"/>
                  <w:szCs w:val="28"/>
                  <w:u w:val="single"/>
                  <w:lang w:val="es-ES_tradnl" w:eastAsia="en-US"/>
                </w:rPr>
                <w:t>http://www.itu.int/net3/ITU-D/stg/blkmeetings.aspx?blk=11947</w:t>
              </w:r>
            </w:hyperlink>
            <w:r w:rsidR="0085107D" w:rsidRPr="0085107D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)</w:t>
            </w:r>
          </w:p>
          <w:p w:rsidR="0085107D" w:rsidRPr="0085107D" w:rsidRDefault="00B57AFB" w:rsidP="00B57AFB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 w:rsidRPr="0079743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para la Comisión de Estudio 2,</w:t>
            </w:r>
            <w:r w:rsidR="003674F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en</w:t>
            </w:r>
            <w:r w:rsidRPr="0079743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</w:t>
            </w:r>
            <w:r w:rsidR="0085107D" w:rsidRPr="0085107D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(</w:t>
            </w:r>
            <w:hyperlink r:id="rId19" w:history="1">
              <w:r w:rsidR="0085107D" w:rsidRPr="0079743C">
                <w:rPr>
                  <w:rFonts w:ascii="Verdana" w:eastAsia="SimHei" w:hAnsi="Verdana" w:cs="Simplified Arabic"/>
                  <w:color w:val="0000FF"/>
                  <w:sz w:val="19"/>
                  <w:szCs w:val="28"/>
                  <w:u w:val="single"/>
                  <w:lang w:val="es-ES_tradnl" w:eastAsia="en-US"/>
                </w:rPr>
                <w:t>http://www.itu.int/net3/ITU-D/stg/blkmeetings.aspx?blk=11948</w:t>
              </w:r>
            </w:hyperlink>
            <w:r w:rsidR="0085107D" w:rsidRPr="0085107D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)</w:t>
            </w:r>
          </w:p>
          <w:p w:rsidR="0085107D" w:rsidRPr="0079743C" w:rsidRDefault="0079743C" w:rsidP="0079743C">
            <w:pPr>
              <w:spacing w:before="120" w:after="120" w:line="240" w:lineRule="auto"/>
              <w:rPr>
                <w:rFonts w:ascii="Calibri" w:eastAsia="SimHei" w:hAnsi="Calibri" w:cs="Simplified Arabic"/>
                <w:sz w:val="19"/>
                <w:lang w:val="es-ES_tradnl" w:eastAsia="en-US"/>
              </w:rPr>
            </w:pPr>
            <w:r w:rsidRPr="0079743C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Si su Administración u organización no tiene un coordinador o desea modificar datos de la persona de contacto o algún cambio al respecto, </w:t>
            </w:r>
            <w:r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la/</w:t>
            </w:r>
            <w:r w:rsidRPr="0079743C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lo invitamos a que envíe los correspondientes nombre y apellido y dirección de correo electrónico en un fax a</w:t>
            </w:r>
            <w:r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l </w:t>
            </w:r>
            <w:r w:rsidR="0085107D" w:rsidRPr="0085107D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+41 2</w:t>
            </w:r>
            <w:r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2 730 5545/+41 22 730 5484 o por correo electrónico a </w:t>
            </w:r>
            <w:hyperlink r:id="rId20" w:history="1">
              <w:r w:rsidR="0085107D" w:rsidRPr="0079743C">
                <w:rPr>
                  <w:rFonts w:ascii="Verdana" w:eastAsia="SimHei" w:hAnsi="Verdana" w:cs="Verdana"/>
                  <w:color w:val="0000FF"/>
                  <w:sz w:val="19"/>
                  <w:szCs w:val="19"/>
                  <w:u w:val="single"/>
                  <w:lang w:val="es-ES_tradnl" w:eastAsia="en-US"/>
                </w:rPr>
                <w:t>bdtmeetingsregistration@itu.int</w:t>
              </w:r>
            </w:hyperlink>
            <w:r w:rsidR="0085107D" w:rsidRPr="0085107D">
              <w:rPr>
                <w:rFonts w:ascii="Calibri" w:eastAsia="SimHei" w:hAnsi="Calibri" w:cs="Simplified Arabic"/>
                <w:sz w:val="19"/>
                <w:lang w:val="es-ES_tradnl" w:eastAsia="en-US"/>
              </w:rPr>
              <w:t>.</w:t>
            </w:r>
          </w:p>
          <w:p w:rsidR="0079743C" w:rsidRPr="0085107D" w:rsidRDefault="0079743C" w:rsidP="003674F6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 w:rsidRPr="0079743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Dentro del presupuesto disponible, podrá concederse </w:t>
            </w:r>
            <w:r w:rsidRPr="0079743C">
              <w:rPr>
                <w:rFonts w:ascii="Verdana" w:eastAsia="SimHei" w:hAnsi="Verdana" w:cs="Simplified Arabic"/>
                <w:i/>
                <w:iCs/>
                <w:sz w:val="19"/>
                <w:szCs w:val="28"/>
                <w:lang w:val="es-ES_tradnl" w:eastAsia="en-US"/>
              </w:rPr>
              <w:t>una beca</w:t>
            </w:r>
            <w:r w:rsidRPr="0079743C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a los participantes procedentes de países cuyo PNB per cápita sea inferior a 2 000 USD, a razón de una beca por país, concediéndose prioridad a los países menos adelantados (PMA) y a los participantes que presenten una contribución a la reunión</w:t>
            </w:r>
            <w:r w:rsidR="00750FD0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.</w:t>
            </w:r>
          </w:p>
          <w:p w:rsidR="00002162" w:rsidRPr="00002162" w:rsidRDefault="00002162" w:rsidP="00002162">
            <w:pPr>
              <w:spacing w:before="120" w:after="120" w:line="240" w:lineRule="auto"/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</w:pPr>
            <w:r w:rsidRPr="00002162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El </w:t>
            </w:r>
            <w:r w:rsidRPr="00002162">
              <w:rPr>
                <w:rFonts w:ascii="Verdana" w:eastAsia="SimSun" w:hAnsi="Verdana" w:cs="Times New Roman"/>
                <w:b/>
                <w:bCs/>
                <w:sz w:val="19"/>
                <w:szCs w:val="24"/>
                <w:lang w:val="es-ES_tradnl"/>
              </w:rPr>
              <w:t>formulario de solicitud de beca, debidamente aprobado y firmado</w:t>
            </w:r>
            <w:r w:rsidRPr="00002162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, deberá remitirse al Servicio de Becas </w:t>
            </w:r>
            <w:r w:rsidRPr="00002162">
              <w:rPr>
                <w:rFonts w:ascii="Verdana" w:eastAsia="SimSun" w:hAnsi="Verdana" w:cs="Times New Roman"/>
                <w:b/>
                <w:bCs/>
                <w:sz w:val="19"/>
                <w:szCs w:val="24"/>
                <w:lang w:val="es-ES_tradnl"/>
              </w:rPr>
              <w:t>a más tardar e</w:t>
            </w:r>
            <w:r>
              <w:rPr>
                <w:rFonts w:ascii="Verdana" w:eastAsia="SimSun" w:hAnsi="Verdana" w:cs="Times New Roman"/>
                <w:b/>
                <w:bCs/>
                <w:sz w:val="19"/>
                <w:szCs w:val="24"/>
                <w:lang w:val="es-ES_tradnl"/>
              </w:rPr>
              <w:t>l 9</w:t>
            </w:r>
            <w:r w:rsidRPr="00002162">
              <w:rPr>
                <w:rFonts w:ascii="Verdana" w:eastAsia="SimSun" w:hAnsi="Verdana" w:cs="Times New Roman"/>
                <w:b/>
                <w:bCs/>
                <w:sz w:val="19"/>
                <w:szCs w:val="24"/>
                <w:lang w:val="es-ES_tradnl"/>
              </w:rPr>
              <w:t xml:space="preserve"> de agosto de 201</w:t>
            </w:r>
            <w:r>
              <w:rPr>
                <w:rFonts w:ascii="Verdana" w:eastAsia="SimSun" w:hAnsi="Verdana" w:cs="Times New Roman"/>
                <w:b/>
                <w:bCs/>
                <w:sz w:val="19"/>
                <w:szCs w:val="24"/>
                <w:lang w:val="es-ES_tradnl"/>
              </w:rPr>
              <w:t>1</w:t>
            </w:r>
            <w:r w:rsidRPr="00002162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. Rogamos tenga presente que deberá </w:t>
            </w:r>
            <w:r w:rsidRPr="00002162">
              <w:rPr>
                <w:rFonts w:ascii="Verdana" w:eastAsia="SimSun" w:hAnsi="Verdana" w:cs="Times New Roman"/>
                <w:b/>
                <w:bCs/>
                <w:sz w:val="19"/>
                <w:szCs w:val="24"/>
                <w:u w:val="single"/>
                <w:lang w:val="es-ES_tradnl"/>
              </w:rPr>
              <w:t>presentar</w:t>
            </w:r>
            <w:r w:rsidRPr="00002162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 su solicitud de inscripción antes de poder recibir el formulario de solicitud de beca.</w:t>
            </w:r>
          </w:p>
          <w:p w:rsidR="00002162" w:rsidRPr="006C791C" w:rsidRDefault="00002162" w:rsidP="00002162">
            <w:pPr>
              <w:spacing w:before="120" w:after="120" w:line="240" w:lineRule="auto"/>
              <w:rPr>
                <w:rFonts w:ascii="Verdana" w:eastAsia="SimHei" w:hAnsi="Verdana" w:cs="Simplified Arabic"/>
                <w:i/>
                <w:iCs/>
                <w:sz w:val="19"/>
                <w:szCs w:val="28"/>
                <w:u w:val="single"/>
                <w:lang w:val="es-ES_tradnl" w:eastAsia="en-US"/>
              </w:rPr>
            </w:pPr>
            <w:r w:rsidRPr="006C791C">
              <w:rPr>
                <w:rFonts w:ascii="Verdana" w:eastAsia="SimHei" w:hAnsi="Verdana" w:cs="Simplified Arabic"/>
                <w:i/>
                <w:iCs/>
                <w:sz w:val="19"/>
                <w:szCs w:val="28"/>
                <w:u w:val="single"/>
                <w:lang w:val="es-ES_tradnl" w:eastAsia="en-US"/>
              </w:rPr>
              <w:t>No se tomarán en consideración los formularios que se reciban después del plazo indicado.</w:t>
            </w:r>
          </w:p>
          <w:p w:rsidR="0085107D" w:rsidRPr="0085107D" w:rsidRDefault="0085107D" w:rsidP="00750FD0">
            <w:pPr>
              <w:keepNext/>
              <w:keepLines/>
              <w:pBdr>
                <w:bottom w:val="single" w:sz="12" w:space="1" w:color="808080"/>
              </w:pBdr>
              <w:spacing w:before="360" w:after="0" w:line="240" w:lineRule="auto"/>
              <w:rPr>
                <w:rFonts w:ascii="Verdana" w:eastAsia="SimSun" w:hAnsi="Verdana" w:cs="Times New Roman Bold"/>
                <w:bCs/>
                <w:sz w:val="19"/>
                <w:szCs w:val="20"/>
                <w:lang w:val="es-ES_tradnl" w:eastAsia="en-US"/>
              </w:rPr>
            </w:pPr>
            <w:r w:rsidRPr="0085107D"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  <w:t>Interpreta</w:t>
            </w:r>
            <w:r w:rsidR="00002162" w:rsidRPr="00A70203"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  <w:t>ció</w:t>
            </w:r>
            <w:r w:rsidRPr="0085107D"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  <w:t>n</w:t>
            </w:r>
          </w:p>
          <w:p w:rsidR="00002162" w:rsidRPr="003674F6" w:rsidRDefault="00002162" w:rsidP="003674F6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</w:pPr>
            <w:r w:rsidRPr="00002162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Se proporcionarán servicios de interpretación</w:t>
            </w:r>
            <w:r w:rsidR="003674F6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 con arreglo a </w:t>
            </w:r>
            <w:r w:rsidRPr="00002162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las solicitudes de los participantes. </w:t>
            </w:r>
            <w:r w:rsidRPr="003674F6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En consecuencia, la/lo invito a indicar en el formulario de inscripción si necesita un idioma distinto del inglés antes del 3 de agosto </w:t>
            </w:r>
            <w:r w:rsidR="003674F6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de 2011 </w:t>
            </w:r>
            <w:r w:rsidRPr="003674F6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para la Comisi</w:t>
            </w:r>
            <w:r w:rsidR="00353978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ón de Estudio 1, y antes del 10 de </w:t>
            </w:r>
            <w:r w:rsidRPr="003674F6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agosto</w:t>
            </w:r>
            <w:r w:rsidR="00353978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 </w:t>
            </w:r>
            <w:r w:rsidR="00353978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lastRenderedPageBreak/>
              <w:t>de </w:t>
            </w:r>
            <w:r w:rsidR="003674F6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2011</w:t>
            </w:r>
            <w:r w:rsidRPr="003674F6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 para la Comisión de Estudio 2.</w:t>
            </w:r>
          </w:p>
          <w:p w:rsidR="00002162" w:rsidRPr="00002162" w:rsidRDefault="003674F6" w:rsidP="00750FD0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</w:pPr>
            <w:r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Teniendo en cuenta</w:t>
            </w:r>
            <w:r w:rsidR="00002162" w:rsidRPr="00002162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 las solicitudes recibidas en el plazo indicado, y siempre que haya al menos cinco solicitudes para un idioma determinado, se proporcionarán servicios de interpretación en los idiomas solicitados.</w:t>
            </w:r>
          </w:p>
          <w:p w:rsidR="0085107D" w:rsidRPr="0085107D" w:rsidRDefault="00A70203" w:rsidP="00A70203">
            <w:pPr>
              <w:keepNext/>
              <w:keepLines/>
              <w:pBdr>
                <w:bottom w:val="single" w:sz="12" w:space="1" w:color="808080"/>
              </w:pBdr>
              <w:spacing w:before="360" w:after="0" w:line="240" w:lineRule="auto"/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</w:pPr>
            <w:r w:rsidRPr="00A70203"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  <w:t xml:space="preserve">Información sobre las Cuestiones en estudio </w:t>
            </w:r>
          </w:p>
          <w:p w:rsidR="00A70203" w:rsidRPr="00A70203" w:rsidRDefault="00A70203" w:rsidP="00A70203">
            <w:pPr>
              <w:spacing w:before="120" w:after="120" w:line="240" w:lineRule="auto"/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</w:pPr>
            <w:r w:rsidRPr="00A70203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>Los títulos y definiciones de las Cuestiones que abordarán las Comisiones de Estudio, aprobadas por la CMDT</w:t>
            </w:r>
            <w:r w:rsidRPr="00A70203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noBreakHyphen/>
              <w:t>10, pueden consultarse en la página web de las Comisiones de Estudio del UIT-D:</w:t>
            </w:r>
          </w:p>
          <w:p w:rsidR="0085107D" w:rsidRPr="0085107D" w:rsidRDefault="00A70203" w:rsidP="00A70203">
            <w:pPr>
              <w:spacing w:before="120" w:after="60" w:line="240" w:lineRule="auto"/>
              <w:rPr>
                <w:rFonts w:ascii="Verdana" w:eastAsia="SimHei" w:hAnsi="Verdana" w:cs="Simplified Arabic"/>
                <w:sz w:val="19"/>
                <w:szCs w:val="19"/>
                <w:highlight w:val="yellow"/>
                <w:lang w:val="es-ES_tradnl" w:eastAsia="en-US"/>
              </w:rPr>
            </w:pPr>
            <w:r w:rsidRPr="00A70203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Comisión de Estudio </w:t>
            </w:r>
            <w:r w:rsidR="0085107D" w:rsidRPr="0085107D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1: </w:t>
            </w:r>
            <w:hyperlink r:id="rId21" w:history="1">
              <w:r w:rsidR="002624D0" w:rsidRPr="005F67AC">
                <w:rPr>
                  <w:rStyle w:val="Hyperlink"/>
                  <w:rFonts w:ascii="Verdana" w:eastAsia="SimHei" w:hAnsi="Verdana" w:cs="Simplified Arabic"/>
                  <w:sz w:val="19"/>
                  <w:szCs w:val="28"/>
                  <w:lang w:val="es-ES_tradnl" w:eastAsia="en-US"/>
                </w:rPr>
                <w:t>http://www.itu.int/net3/ITU-D/stg/index-es.aspx?stg=1</w:t>
              </w:r>
            </w:hyperlink>
            <w:r w:rsidR="004D5732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</w:t>
            </w:r>
          </w:p>
          <w:p w:rsidR="0085107D" w:rsidRDefault="00A70203" w:rsidP="0085107D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</w:pPr>
            <w:r w:rsidRPr="00A70203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>Comisión de Estudio</w:t>
            </w:r>
            <w:r w:rsidR="0085107D" w:rsidRPr="0085107D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 2: </w:t>
            </w:r>
            <w:hyperlink r:id="rId22" w:history="1">
              <w:r w:rsidR="002624D0" w:rsidRPr="005F67AC">
                <w:rPr>
                  <w:rStyle w:val="Hyperlink"/>
                  <w:rFonts w:ascii="Verdana" w:eastAsia="SimHei" w:hAnsi="Verdana" w:cs="Simplified Arabic"/>
                  <w:sz w:val="19"/>
                  <w:szCs w:val="28"/>
                  <w:lang w:val="es-ES_tradnl" w:eastAsia="en-US"/>
                </w:rPr>
                <w:t>http://www.itu.int/net3/ITU-D/stg/index-es.aspx?stg=2</w:t>
              </w:r>
            </w:hyperlink>
            <w:r w:rsidR="004D5732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</w:t>
            </w:r>
          </w:p>
          <w:p w:rsidR="00353978" w:rsidRPr="00353978" w:rsidRDefault="004D5732" w:rsidP="004D5732">
            <w:pPr>
              <w:pStyle w:val="CEOHeading1Underlined"/>
              <w:spacing w:before="48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Contribuc</w:t>
            </w:r>
            <w:r w:rsidR="00353978" w:rsidRPr="00353978">
              <w:rPr>
                <w:b/>
                <w:bCs/>
                <w:lang w:val="es-ES_tradnl"/>
              </w:rPr>
              <w:t>iones a las Comisiones de Estudio</w:t>
            </w:r>
          </w:p>
          <w:p w:rsidR="00203476" w:rsidRPr="00203476" w:rsidRDefault="00203476" w:rsidP="003674F6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Se apreciará en gran medida su contribución a las Cuestiones que figuran en el calendario de reuniones para su examen por cualquiera de las Comisiones de Estudio.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Como es natural, tiene usted la</w:t>
            </w: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libertad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de</w:t>
            </w: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coordinar sus propuestas con las de otras administraciones y organizaciones.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Con arreglo a l</w:t>
            </w: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a política de la UIT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respecto </w:t>
            </w: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a la reducción de los costos y el volumen de la documentación, las contribuciones que no sean breves y concisas y no propongan acciones claras se considerarán únicamente </w:t>
            </w:r>
            <w:r w:rsidR="003674F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a título </w:t>
            </w: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informativo.</w:t>
            </w:r>
          </w:p>
          <w:p w:rsidR="00203476" w:rsidRDefault="00203476" w:rsidP="00203476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Las contribuciones para acción y/o información no deben tener una longitud mayor de cinco (5) páginas y deben presentarse en la plantilla oficial que figura en:</w:t>
            </w:r>
          </w:p>
          <w:p w:rsidR="0085107D" w:rsidRPr="0085107D" w:rsidRDefault="00DD021E" w:rsidP="00203476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hyperlink r:id="rId23" w:history="1">
              <w:r w:rsidR="002624D0" w:rsidRPr="005F67AC">
                <w:rPr>
                  <w:rStyle w:val="Hyperlink"/>
                  <w:rFonts w:ascii="Verdana" w:eastAsia="SimHei" w:hAnsi="Verdana"/>
                  <w:sz w:val="19"/>
                  <w:szCs w:val="28"/>
                  <w:lang w:val="es-ES_tradnl" w:eastAsia="en-US"/>
                </w:rPr>
                <w:t>http://www.itu.int/ITU-D/CDS/contributions/sg/index-es.asp</w:t>
              </w:r>
            </w:hyperlink>
            <w:r w:rsidR="0085107D" w:rsidRPr="0085107D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</w:t>
            </w:r>
          </w:p>
          <w:p w:rsidR="00203476" w:rsidRPr="0085107D" w:rsidRDefault="00203476" w:rsidP="00203476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De conformidad con lo dispuesto en el § 12.1.1 de la Resolución 1, el plazo para la presentación de contribuciones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vence </w:t>
            </w: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el </w:t>
            </w:r>
            <w:r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>4</w:t>
            </w:r>
            <w:r w:rsidRPr="00203476"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 xml:space="preserve"> de julio de 201</w:t>
            </w:r>
            <w:r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>1</w:t>
            </w:r>
            <w:r w:rsidRPr="00203476"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 xml:space="preserve"> para la Comisión de Estudio </w:t>
            </w:r>
            <w:r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>1</w:t>
            </w: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y el </w:t>
            </w:r>
            <w:r w:rsidR="00353978"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>13 de </w:t>
            </w:r>
            <w:r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>julio d</w:t>
            </w:r>
            <w:r w:rsidR="00353978"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>e </w:t>
            </w:r>
            <w:r w:rsidRPr="00203476"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>201</w:t>
            </w:r>
            <w:r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>1</w:t>
            </w:r>
            <w:r w:rsidRPr="00203476"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 xml:space="preserve"> para la Comisión de Estudio </w:t>
            </w:r>
            <w:r>
              <w:rPr>
                <w:rFonts w:ascii="Verdana" w:eastAsia="SimHei" w:hAnsi="Verdana" w:cs="Simplified Arabic"/>
                <w:b/>
                <w:bCs/>
                <w:sz w:val="19"/>
                <w:szCs w:val="28"/>
                <w:lang w:val="es-ES_tradnl" w:eastAsia="en-US"/>
              </w:rPr>
              <w:t>2</w:t>
            </w:r>
            <w:r w:rsidRPr="0020347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. Los documentos que se reciban después de este plazo se distribuirán únicamente en el idioma original.</w:t>
            </w:r>
          </w:p>
          <w:p w:rsidR="0085107D" w:rsidRPr="0085107D" w:rsidRDefault="0085107D" w:rsidP="004D5732">
            <w:pPr>
              <w:keepNext/>
              <w:keepLines/>
              <w:pBdr>
                <w:bottom w:val="single" w:sz="12" w:space="1" w:color="808080"/>
              </w:pBdr>
              <w:spacing w:before="480" w:after="0" w:line="240" w:lineRule="auto"/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</w:pPr>
            <w:r w:rsidRPr="0085107D"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  <w:t>Documenta</w:t>
            </w:r>
            <w:r w:rsidR="0017296E" w:rsidRPr="004563AE"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  <w:t>ción</w:t>
            </w:r>
          </w:p>
          <w:p w:rsidR="0017296E" w:rsidRPr="0085107D" w:rsidRDefault="003674F6" w:rsidP="003674F6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En l</w:t>
            </w:r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as reuniones de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las </w:t>
            </w:r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Comisi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ones</w:t>
            </w:r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de Estudio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no se utilizarán versiones impresas</w:t>
            </w:r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.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Se invita </w:t>
            </w:r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pues a los delegados a traer consigo sus </w:t>
            </w:r>
            <w:r w:rsid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computadoras</w:t>
            </w:r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portátiles </w:t>
            </w:r>
            <w:r w:rsid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para </w:t>
            </w:r>
            <w:proofErr w:type="spellStart"/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telecargar</w:t>
            </w:r>
            <w:proofErr w:type="spellEnd"/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todos los documentos de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las reuniones </w:t>
            </w:r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y acceder al sitio web </w:t>
            </w:r>
            <w:r w:rsid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de </w:t>
            </w:r>
            <w:r w:rsidR="0017296E" w:rsidRP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nuevos documentos.</w:t>
            </w:r>
            <w:r w:rsidR="0017296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Se puede consultar una guía de usuario para la sincronización de documentos en:</w:t>
            </w:r>
          </w:p>
          <w:p w:rsidR="0085107D" w:rsidRPr="0085107D" w:rsidRDefault="00DD021E" w:rsidP="0085107D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hyperlink r:id="rId24" w:history="1">
              <w:r w:rsidR="0085107D" w:rsidRPr="0017296E">
                <w:rPr>
                  <w:rFonts w:ascii="Verdana" w:eastAsia="SimHei" w:hAnsi="Verdana" w:cs="Times New Roman"/>
                  <w:color w:val="0000FF"/>
                  <w:sz w:val="19"/>
                  <w:szCs w:val="28"/>
                  <w:u w:val="single"/>
                  <w:lang w:val="es-ES_tradnl" w:eastAsia="en-US"/>
                </w:rPr>
                <w:t>http://www.itu.int/ITU-D/study_groups/SGP_2010-2014/reference_documents/ITU-D_UserGuideSync.html</w:t>
              </w:r>
            </w:hyperlink>
          </w:p>
          <w:p w:rsidR="004563AE" w:rsidRPr="0085107D" w:rsidRDefault="004563AE" w:rsidP="004563AE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 w:rsidRPr="004563A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Se invita</w:t>
            </w:r>
            <w:r w:rsidR="003674F6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también</w:t>
            </w:r>
            <w:r w:rsidRPr="004563A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a los delegados a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que procuren asegurarse de que tienen una</w:t>
            </w:r>
            <w:r w:rsidRPr="004563A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cuenta TIES para tener acceso a los documentos de las Comisiones de Estudio. 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En la página web siguiente encontrarán información sobre la manera de solicitar una cuenta TIES:</w:t>
            </w:r>
          </w:p>
          <w:p w:rsidR="0085107D" w:rsidRPr="003674F6" w:rsidRDefault="00DD021E" w:rsidP="0085107D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hyperlink r:id="rId25" w:history="1">
              <w:r w:rsidR="0085107D" w:rsidRPr="003674F6">
                <w:rPr>
                  <w:rFonts w:ascii="Verdana" w:eastAsia="SimHei" w:hAnsi="Verdana" w:cs="Times New Roman"/>
                  <w:color w:val="0000FF"/>
                  <w:sz w:val="19"/>
                  <w:szCs w:val="28"/>
                  <w:u w:val="single"/>
                  <w:lang w:val="es-ES_tradnl" w:eastAsia="en-US"/>
                </w:rPr>
                <w:t>http://www.itu.int/TIES/index.html</w:t>
              </w:r>
            </w:hyperlink>
          </w:p>
          <w:p w:rsidR="004563AE" w:rsidRPr="0085107D" w:rsidRDefault="004563AE" w:rsidP="004563AE">
            <w:pPr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</w:pP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>Los</w:t>
            </w:r>
            <w:r w:rsidRPr="004563AE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delegados que lo soliciten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 tendrán a su disposición un número limitado de computadoras portátiles. </w:t>
            </w:r>
          </w:p>
          <w:p w:rsidR="0085107D" w:rsidRPr="0085107D" w:rsidRDefault="004563AE" w:rsidP="004D5732">
            <w:pPr>
              <w:keepNext/>
              <w:keepLines/>
              <w:pBdr>
                <w:bottom w:val="single" w:sz="12" w:space="1" w:color="808080"/>
              </w:pBdr>
              <w:spacing w:before="480" w:after="0" w:line="240" w:lineRule="auto"/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</w:pPr>
            <w:r>
              <w:rPr>
                <w:rFonts w:ascii="Verdana" w:eastAsia="SimSun" w:hAnsi="Verdana" w:cs="Times New Roman Bold"/>
                <w:b/>
                <w:bCs/>
                <w:sz w:val="19"/>
                <w:szCs w:val="20"/>
                <w:lang w:val="es-ES_tradnl" w:eastAsia="en-US"/>
              </w:rPr>
              <w:t xml:space="preserve">Información práctica </w:t>
            </w:r>
          </w:p>
          <w:p w:rsidR="0085107D" w:rsidRPr="0085107D" w:rsidRDefault="009222CB" w:rsidP="009222CB">
            <w:pPr>
              <w:keepNext/>
              <w:keepLines/>
              <w:spacing w:before="120" w:after="120" w:line="240" w:lineRule="auto"/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</w:pPr>
            <w:r w:rsidRPr="009222CB">
              <w:rPr>
                <w:rFonts w:ascii="Verdana" w:eastAsia="SimHei" w:hAnsi="Verdana" w:cs="Simplified Arabic"/>
                <w:sz w:val="19"/>
                <w:szCs w:val="28"/>
                <w:lang w:val="es-ES" w:eastAsia="en-US"/>
              </w:rPr>
              <w:t>El procedimiento en vigor para la obtención de visado en Suiza es muy estricto. Se insta a los participantes a leer con atención la descripción d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" w:eastAsia="en-US"/>
              </w:rPr>
              <w:t>el procedimiento en</w:t>
            </w:r>
            <w:r w:rsidR="0085107D" w:rsidRPr="0085107D">
              <w:rPr>
                <w:rFonts w:ascii="Verdana" w:eastAsia="SimHei" w:hAnsi="Verdana" w:cs="Simplified Arabic"/>
                <w:sz w:val="19"/>
                <w:szCs w:val="28"/>
                <w:lang w:val="es-ES_tradnl" w:eastAsia="en-US"/>
              </w:rPr>
              <w:t xml:space="preserve">: </w:t>
            </w:r>
            <w:hyperlink r:id="rId26" w:history="1">
              <w:r w:rsidR="0085107D" w:rsidRPr="009222CB">
                <w:rPr>
                  <w:rFonts w:ascii="Verdana" w:eastAsia="SimHei" w:hAnsi="Verdana" w:cs="Simplified Arabic"/>
                  <w:color w:val="0000FF"/>
                  <w:sz w:val="19"/>
                  <w:szCs w:val="28"/>
                  <w:u w:val="single"/>
                  <w:lang w:val="es-ES_tradnl" w:eastAsia="en-US"/>
                </w:rPr>
                <w:t>http://www.itu.int/net3/ITU-D/stg/visa.aspx</w:t>
              </w:r>
            </w:hyperlink>
            <w:r w:rsidR="0085107D" w:rsidRPr="0085107D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. </w:t>
            </w:r>
            <w:r w:rsidRPr="009222CB">
              <w:rPr>
                <w:rFonts w:ascii="Verdana" w:eastAsia="SimHei" w:hAnsi="Verdana" w:cs="Simplified Arabic"/>
                <w:sz w:val="19"/>
                <w:szCs w:val="28"/>
                <w:lang w:val="es-ES" w:eastAsia="en-US"/>
              </w:rPr>
              <w:t xml:space="preserve">Tenga presente que la tramitación de una solicitud para la obtención de un visado </w:t>
            </w:r>
            <w:proofErr w:type="spellStart"/>
            <w:r w:rsidRPr="009222CB">
              <w:rPr>
                <w:rFonts w:ascii="Verdana" w:eastAsia="SimHei" w:hAnsi="Verdana" w:cs="Simplified Arabic"/>
                <w:sz w:val="19"/>
                <w:szCs w:val="28"/>
                <w:lang w:val="es-ES" w:eastAsia="en-US"/>
              </w:rPr>
              <w:t>Schengen</w:t>
            </w:r>
            <w:proofErr w:type="spellEnd"/>
            <w:r w:rsidRPr="009222CB">
              <w:rPr>
                <w:rFonts w:ascii="Verdana" w:eastAsia="SimHei" w:hAnsi="Verdana" w:cs="Simplified Arabic"/>
                <w:sz w:val="19"/>
                <w:szCs w:val="28"/>
                <w:lang w:val="es-ES" w:eastAsia="en-US"/>
              </w:rPr>
              <w:t xml:space="preserve"> requiere tres semanas como mínimo</w:t>
            </w:r>
            <w:r>
              <w:rPr>
                <w:rFonts w:ascii="Verdana" w:eastAsia="SimHei" w:hAnsi="Verdana" w:cs="Simplified Arabic"/>
                <w:sz w:val="19"/>
                <w:szCs w:val="28"/>
                <w:lang w:val="es-ES" w:eastAsia="en-US"/>
              </w:rPr>
              <w:t>.</w:t>
            </w:r>
          </w:p>
          <w:p w:rsidR="009222CB" w:rsidRDefault="009222CB" w:rsidP="009222CB">
            <w:pPr>
              <w:keepNext/>
              <w:keepLines/>
              <w:spacing w:before="120" w:after="120" w:line="240" w:lineRule="auto"/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</w:pPr>
            <w:r w:rsidRPr="009222CB">
              <w:rPr>
                <w:rFonts w:ascii="Verdana" w:eastAsia="SimHei" w:hAnsi="Verdana" w:cs="Simplified Arabic"/>
                <w:sz w:val="19"/>
                <w:szCs w:val="19"/>
                <w:lang w:val="es-ES_tradnl" w:eastAsia="en-US"/>
              </w:rPr>
              <w:t xml:space="preserve">La página web </w:t>
            </w:r>
            <w:hyperlink r:id="rId27" w:history="1">
              <w:r w:rsidR="0085107D" w:rsidRPr="009222CB">
                <w:rPr>
                  <w:rFonts w:ascii="Verdana" w:eastAsia="SimHei" w:hAnsi="Verdana" w:cs="Simplified Arabic"/>
                  <w:color w:val="0000FF"/>
                  <w:sz w:val="19"/>
                  <w:szCs w:val="19"/>
                  <w:u w:val="single"/>
                  <w:lang w:val="es-ES_tradnl" w:eastAsia="en-US"/>
                </w:rPr>
                <w:t>http://</w:t>
              </w:r>
              <w:r w:rsidR="0085107D" w:rsidRPr="009222CB">
                <w:rPr>
                  <w:rFonts w:ascii="Verdana" w:eastAsia="SimHei" w:hAnsi="Verdana" w:cs="Times New Roman"/>
                  <w:color w:val="0000FF"/>
                  <w:sz w:val="19"/>
                  <w:szCs w:val="19"/>
                  <w:u w:val="single"/>
                  <w:lang w:val="es-ES_tradnl" w:eastAsia="en-US"/>
                </w:rPr>
                <w:t>www.itu.int/travel/</w:t>
              </w:r>
            </w:hyperlink>
            <w:r w:rsidRPr="009222CB">
              <w:rPr>
                <w:rFonts w:ascii="Verdana" w:eastAsia="SimHei" w:hAnsi="Verdana" w:cs="Times New Roman"/>
                <w:color w:val="0000FF"/>
                <w:sz w:val="19"/>
                <w:szCs w:val="19"/>
                <w:lang w:val="es-ES_tradnl" w:eastAsia="en-US"/>
              </w:rPr>
              <w:t xml:space="preserve"> </w:t>
            </w:r>
            <w:r w:rsidRPr="009222CB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>contiene la lista de hoteles de Ginebra con precios preferenciales para la UIT. Durante las próximas semanas se pondrán a disposición</w:t>
            </w:r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 de todos los interesados</w:t>
            </w:r>
            <w:r w:rsidRPr="009222CB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 otras informaciones prácticas en </w:t>
            </w:r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>la página</w:t>
            </w:r>
            <w:r w:rsidRPr="009222CB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 web de las Comisiones de Estudio.</w:t>
            </w:r>
          </w:p>
          <w:p w:rsidR="009222CB" w:rsidRPr="009222CB" w:rsidRDefault="009222CB" w:rsidP="00750FD0">
            <w:pPr>
              <w:keepNext/>
              <w:keepLines/>
              <w:spacing w:before="240" w:after="120" w:line="240" w:lineRule="auto"/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</w:pPr>
            <w:r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lastRenderedPageBreak/>
              <w:t>Esperamos contar con su activa participación en la labor de nuestras Comisiones de Estudio.</w:t>
            </w:r>
          </w:p>
          <w:p w:rsidR="0085107D" w:rsidRPr="006C791C" w:rsidRDefault="009222CB" w:rsidP="009222CB">
            <w:pPr>
              <w:spacing w:before="120"/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</w:pPr>
            <w:r w:rsidRPr="006C791C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>Atentam</w:t>
            </w:r>
            <w:bookmarkStart w:id="5" w:name="_GoBack"/>
            <w:bookmarkEnd w:id="5"/>
            <w:r w:rsidRPr="006C791C">
              <w:rPr>
                <w:rFonts w:ascii="Verdana" w:eastAsia="SimSun" w:hAnsi="Verdana" w:cs="Times New Roman"/>
                <w:sz w:val="19"/>
                <w:szCs w:val="24"/>
                <w:lang w:val="es-ES_tradnl"/>
              </w:rPr>
              <w:t xml:space="preserve">ente, </w:t>
            </w:r>
          </w:p>
          <w:p w:rsidR="009B7494" w:rsidRPr="009B7494" w:rsidRDefault="009B7494" w:rsidP="009B7494">
            <w:pPr>
              <w:spacing w:before="840" w:after="360" w:line="240" w:lineRule="auto"/>
              <w:rPr>
                <w:rFonts w:ascii="Verdana" w:eastAsia="SimSun" w:hAnsi="Verdana" w:cs="Times New Roman"/>
                <w:sz w:val="19"/>
                <w:szCs w:val="19"/>
                <w:lang w:val="es-ES_tradnl" w:bidi="ar-EG"/>
              </w:rPr>
            </w:pPr>
            <w:r w:rsidRPr="009B7494">
              <w:rPr>
                <w:rFonts w:ascii="Verdana" w:eastAsia="SimSun" w:hAnsi="Verdana" w:cs="Times New Roman"/>
                <w:sz w:val="19"/>
                <w:szCs w:val="19"/>
                <w:lang w:val="es-ES_tradnl" w:bidi="ar-EG"/>
              </w:rPr>
              <w:t>[Original firmado]</w:t>
            </w:r>
          </w:p>
          <w:p w:rsidR="0085107D" w:rsidRPr="003674F6" w:rsidRDefault="0085107D" w:rsidP="0085107D">
            <w:pPr>
              <w:spacing w:before="840" w:after="360" w:line="240" w:lineRule="auto"/>
              <w:rPr>
                <w:rFonts w:ascii="Verdana" w:eastAsia="SimSun" w:hAnsi="Verdana" w:cs="Times New Roman"/>
                <w:sz w:val="19"/>
                <w:szCs w:val="19"/>
                <w:lang w:val="es-ES_tradnl" w:bidi="ar-EG"/>
              </w:rPr>
            </w:pPr>
          </w:p>
          <w:p w:rsidR="0085107D" w:rsidRPr="003674F6" w:rsidRDefault="0085107D" w:rsidP="0085107D">
            <w:pPr>
              <w:spacing w:before="240" w:after="0" w:line="240" w:lineRule="auto"/>
              <w:rPr>
                <w:rFonts w:ascii="Verdana" w:eastAsia="SimHei" w:hAnsi="Verdana" w:cs="Simplified Arabic"/>
                <w:bCs/>
                <w:sz w:val="19"/>
                <w:szCs w:val="19"/>
                <w:lang w:val="es-ES_tradnl" w:eastAsia="en-US"/>
              </w:rPr>
            </w:pPr>
            <w:bookmarkStart w:id="6" w:name="Signature"/>
            <w:bookmarkEnd w:id="6"/>
            <w:proofErr w:type="spellStart"/>
            <w:r w:rsidRPr="003674F6">
              <w:rPr>
                <w:rFonts w:ascii="Verdana" w:eastAsia="SimHei" w:hAnsi="Verdana" w:cs="Simplified Arabic"/>
                <w:bCs/>
                <w:sz w:val="19"/>
                <w:szCs w:val="19"/>
                <w:lang w:val="es-ES_tradnl" w:eastAsia="en-US"/>
              </w:rPr>
              <w:t>Brahima</w:t>
            </w:r>
            <w:proofErr w:type="spellEnd"/>
            <w:r w:rsidRPr="003674F6">
              <w:rPr>
                <w:rFonts w:ascii="Verdana" w:eastAsia="SimHei" w:hAnsi="Verdana" w:cs="Simplified Arabic"/>
                <w:bCs/>
                <w:sz w:val="19"/>
                <w:szCs w:val="19"/>
                <w:lang w:val="es-ES_tradnl" w:eastAsia="en-US"/>
              </w:rPr>
              <w:t xml:space="preserve"> </w:t>
            </w:r>
            <w:proofErr w:type="spellStart"/>
            <w:r w:rsidRPr="003674F6">
              <w:rPr>
                <w:rFonts w:ascii="Verdana" w:eastAsia="SimHei" w:hAnsi="Verdana" w:cs="Simplified Arabic"/>
                <w:bCs/>
                <w:sz w:val="19"/>
                <w:szCs w:val="19"/>
                <w:lang w:val="es-ES_tradnl" w:eastAsia="en-US"/>
              </w:rPr>
              <w:t>Sanou</w:t>
            </w:r>
            <w:proofErr w:type="spellEnd"/>
          </w:p>
          <w:p w:rsidR="0085107D" w:rsidRDefault="0085107D" w:rsidP="0085107D">
            <w:pPr>
              <w:spacing w:after="0" w:line="240" w:lineRule="auto"/>
              <w:rPr>
                <w:rFonts w:ascii="Verdana" w:eastAsia="SimSun" w:hAnsi="Verdana" w:cs="Traditional Arabic"/>
                <w:sz w:val="19"/>
                <w:szCs w:val="19"/>
                <w:lang w:val="es-ES_tradnl" w:eastAsia="en-US"/>
              </w:rPr>
            </w:pPr>
            <w:r w:rsidRPr="003674F6">
              <w:rPr>
                <w:rFonts w:ascii="Verdana" w:eastAsia="SimSun" w:hAnsi="Verdana" w:cs="Traditional Arabic"/>
                <w:sz w:val="19"/>
                <w:szCs w:val="19"/>
                <w:lang w:val="es-ES_tradnl" w:eastAsia="en-US"/>
              </w:rPr>
              <w:t>Director</w:t>
            </w:r>
          </w:p>
          <w:p w:rsidR="00353978" w:rsidRDefault="00353978" w:rsidP="00353978">
            <w:pPr>
              <w:spacing w:before="2280" w:after="12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353978" w:rsidRDefault="00353978" w:rsidP="00353978">
            <w:pPr>
              <w:spacing w:before="2280" w:after="12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4D5732" w:rsidRDefault="004D5732" w:rsidP="004D5732">
            <w:pPr>
              <w:spacing w:before="120" w:after="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4D5732" w:rsidRDefault="004D5732" w:rsidP="004D5732">
            <w:pPr>
              <w:spacing w:before="120" w:after="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4D5732" w:rsidRDefault="004D5732" w:rsidP="004D5732">
            <w:pPr>
              <w:spacing w:before="120" w:after="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4D5732" w:rsidRDefault="004D5732" w:rsidP="004D5732">
            <w:pPr>
              <w:spacing w:before="120" w:after="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4D5732" w:rsidRDefault="004D5732" w:rsidP="004D5732">
            <w:pPr>
              <w:spacing w:before="120" w:after="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4D5732" w:rsidRDefault="004D5732" w:rsidP="004D5732">
            <w:pPr>
              <w:spacing w:before="120" w:after="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4D5732" w:rsidRDefault="004D5732" w:rsidP="004D5732">
            <w:pPr>
              <w:spacing w:before="120" w:after="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4D5732" w:rsidRDefault="004D5732" w:rsidP="004D5732">
            <w:pPr>
              <w:spacing w:before="120" w:after="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</w:p>
          <w:p w:rsidR="009222CB" w:rsidRPr="009222CB" w:rsidRDefault="009222CB" w:rsidP="004D5732">
            <w:pPr>
              <w:spacing w:before="120" w:after="0" w:line="240" w:lineRule="auto"/>
              <w:ind w:left="896" w:hanging="896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Distribución:</w:t>
            </w:r>
          </w:p>
          <w:p w:rsidR="009222CB" w:rsidRPr="009222CB" w:rsidRDefault="009222CB" w:rsidP="009222CB">
            <w:pPr>
              <w:spacing w:before="100" w:beforeAutospacing="1" w:after="120" w:line="240" w:lineRule="auto"/>
              <w:ind w:left="397"/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</w:pP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–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ab/>
              <w:t xml:space="preserve">Administraciones de los Estados Miembros de la UIT 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br/>
              <w:t>–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ab/>
              <w:t xml:space="preserve">Miembros del Sector UIT-D 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br/>
              <w:t>–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ab/>
              <w:t xml:space="preserve">Asociados del UIT-D 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br/>
              <w:t>–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ab/>
            </w:r>
            <w:r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Personas de c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 xml:space="preserve">ontacto </w:t>
            </w:r>
            <w:r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en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 xml:space="preserve"> la</w:t>
            </w:r>
            <w:r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s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 xml:space="preserve"> Comisi</w:t>
            </w:r>
            <w:r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ones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 xml:space="preserve"> de Estudio </w:t>
            </w:r>
            <w:r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 xml:space="preserve">1 y </w:t>
            </w:r>
            <w:r w:rsidRPr="009222CB">
              <w:rPr>
                <w:rFonts w:ascii="Verdana" w:eastAsia="SimSun" w:hAnsi="Verdana" w:cs="Times New Roman"/>
                <w:sz w:val="19"/>
                <w:szCs w:val="20"/>
                <w:lang w:val="es-ES_tradnl" w:eastAsia="en-US"/>
              </w:rPr>
              <w:t>2 del UIT-D</w:t>
            </w:r>
          </w:p>
          <w:p w:rsidR="0085107D" w:rsidRPr="0085107D" w:rsidRDefault="0085107D" w:rsidP="0085107D">
            <w:pPr>
              <w:spacing w:after="0" w:line="240" w:lineRule="auto"/>
              <w:rPr>
                <w:rFonts w:ascii="Calibri" w:eastAsia="SimSun" w:hAnsi="Calibri" w:cs="Traditional Arabic"/>
                <w:szCs w:val="30"/>
                <w:lang w:eastAsia="en-US"/>
              </w:rPr>
            </w:pPr>
          </w:p>
        </w:tc>
      </w:tr>
    </w:tbl>
    <w:p w:rsidR="00EE0E5D" w:rsidRDefault="00EE0E5D" w:rsidP="004D5732">
      <w:pPr>
        <w:spacing w:before="120" w:after="240" w:line="240" w:lineRule="auto"/>
        <w:jc w:val="center"/>
      </w:pPr>
    </w:p>
    <w:sectPr w:rsidR="00EE0E5D" w:rsidSect="0035397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D0" w:rsidRDefault="00750FD0" w:rsidP="008906F2">
      <w:pPr>
        <w:spacing w:after="0" w:line="240" w:lineRule="auto"/>
      </w:pPr>
      <w:r>
        <w:separator/>
      </w:r>
    </w:p>
  </w:endnote>
  <w:endnote w:type="continuationSeparator" w:id="0">
    <w:p w:rsidR="00750FD0" w:rsidRDefault="00750FD0" w:rsidP="0089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DB" w:rsidRDefault="00C033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D0" w:rsidRPr="00C033DB" w:rsidRDefault="00DD021E">
    <w:pPr>
      <w:pStyle w:val="Footer"/>
      <w:rPr>
        <w:vanish/>
        <w:sz w:val="16"/>
        <w:szCs w:val="16"/>
      </w:rPr>
    </w:pPr>
    <w:fldSimple w:instr=" FILENAME \p  \* MERGEFORMAT ">
      <w:r w:rsidR="00750FD0" w:rsidRPr="00C033DB">
        <w:rPr>
          <w:noProof/>
          <w:vanish/>
          <w:sz w:val="16"/>
          <w:szCs w:val="16"/>
        </w:rPr>
        <w:t>P:\ESP\ITU-D\SG-D\CSTG\005S.docx</w:t>
      </w:r>
    </w:fldSimple>
    <w:r w:rsidR="00750FD0" w:rsidRPr="00C033DB">
      <w:rPr>
        <w:noProof/>
        <w:vanish/>
        <w:sz w:val="16"/>
        <w:szCs w:val="16"/>
      </w:rPr>
      <w:t xml:space="preserve"> (307988)</w:t>
    </w:r>
    <w:r w:rsidR="00750FD0" w:rsidRPr="00C033DB">
      <w:rPr>
        <w:vanish/>
        <w:sz w:val="16"/>
        <w:szCs w:val="16"/>
      </w:rPr>
      <w:tab/>
    </w:r>
    <w:r w:rsidRPr="00C033DB">
      <w:rPr>
        <w:vanish/>
        <w:sz w:val="16"/>
        <w:szCs w:val="16"/>
      </w:rPr>
      <w:fldChar w:fldCharType="begin"/>
    </w:r>
    <w:r w:rsidR="00750FD0" w:rsidRPr="00C033DB">
      <w:rPr>
        <w:vanish/>
        <w:sz w:val="16"/>
        <w:szCs w:val="16"/>
      </w:rPr>
      <w:instrText xml:space="preserve"> SAVEDATE \@ DD.MM.YY </w:instrText>
    </w:r>
    <w:r w:rsidRPr="00C033DB">
      <w:rPr>
        <w:vanish/>
        <w:sz w:val="16"/>
        <w:szCs w:val="16"/>
      </w:rPr>
      <w:fldChar w:fldCharType="separate"/>
    </w:r>
    <w:r w:rsidR="009B7494">
      <w:rPr>
        <w:noProof/>
        <w:vanish/>
        <w:sz w:val="16"/>
        <w:szCs w:val="16"/>
      </w:rPr>
      <w:t>31.05.11</w:t>
    </w:r>
    <w:r w:rsidRPr="00C033DB">
      <w:rPr>
        <w:vanish/>
        <w:sz w:val="16"/>
        <w:szCs w:val="16"/>
      </w:rPr>
      <w:fldChar w:fldCharType="end"/>
    </w:r>
    <w:r w:rsidR="00750FD0" w:rsidRPr="00C033DB">
      <w:rPr>
        <w:vanish/>
        <w:sz w:val="16"/>
        <w:szCs w:val="16"/>
      </w:rPr>
      <w:tab/>
    </w:r>
    <w:r w:rsidRPr="00C033DB">
      <w:rPr>
        <w:vanish/>
        <w:sz w:val="16"/>
        <w:szCs w:val="16"/>
      </w:rPr>
      <w:fldChar w:fldCharType="begin"/>
    </w:r>
    <w:r w:rsidR="00750FD0" w:rsidRPr="00C033DB">
      <w:rPr>
        <w:vanish/>
        <w:sz w:val="16"/>
        <w:szCs w:val="16"/>
      </w:rPr>
      <w:instrText xml:space="preserve"> PRINTDATE \@ DD.MM.YY </w:instrText>
    </w:r>
    <w:r w:rsidRPr="00C033DB">
      <w:rPr>
        <w:vanish/>
        <w:sz w:val="16"/>
        <w:szCs w:val="16"/>
      </w:rPr>
      <w:fldChar w:fldCharType="separate"/>
    </w:r>
    <w:r w:rsidR="00750FD0" w:rsidRPr="00C033DB">
      <w:rPr>
        <w:noProof/>
        <w:vanish/>
        <w:sz w:val="16"/>
        <w:szCs w:val="16"/>
      </w:rPr>
      <w:t>27.05.11</w:t>
    </w:r>
    <w:r w:rsidRPr="00C033DB">
      <w:rPr>
        <w:vanish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D0" w:rsidRPr="00353978" w:rsidRDefault="00750FD0" w:rsidP="00554422">
    <w:pPr>
      <w:pStyle w:val="BDTFooter"/>
      <w:jc w:val="center"/>
      <w:rPr>
        <w:lang w:val="es-ES_tradnl"/>
      </w:rPr>
    </w:pPr>
    <w:r w:rsidRPr="00353978">
      <w:rPr>
        <w:lang w:val="es-ES_tradnl"/>
      </w:rPr>
      <w:t xml:space="preserve">Unión Internacional de Telecomunicaciones • Place des </w:t>
    </w:r>
    <w:proofErr w:type="spellStart"/>
    <w:r w:rsidRPr="00353978">
      <w:rPr>
        <w:lang w:val="es-ES_tradnl"/>
      </w:rPr>
      <w:t>Nations</w:t>
    </w:r>
    <w:proofErr w:type="spellEnd"/>
    <w:r w:rsidRPr="00353978">
      <w:rPr>
        <w:lang w:val="es-ES_tradnl"/>
      </w:rPr>
      <w:t xml:space="preserve"> • CH</w:t>
    </w:r>
    <w:r w:rsidRPr="00353978">
      <w:rPr>
        <w:lang w:val="es-ES_tradnl"/>
      </w:rPr>
      <w:noBreakHyphen/>
      <w:t>1211 Ginebra 20 • Suiza</w:t>
    </w:r>
    <w:r w:rsidRPr="00353978">
      <w:rPr>
        <w:lang w:val="es-ES_tradnl"/>
      </w:rPr>
      <w:br/>
      <w:t xml:space="preserve">Tel: +41 22 730 5111 • Fax: +41 22 733 5545/730 5484 • Correo-e: </w:t>
    </w:r>
    <w:hyperlink r:id="rId1" w:history="1">
      <w:r w:rsidRPr="00353978">
        <w:rPr>
          <w:rStyle w:val="Hyperlink"/>
          <w:szCs w:val="18"/>
          <w:lang w:val="es-ES_tradnl"/>
        </w:rPr>
        <w:t>bdtmail@itu.int</w:t>
      </w:r>
    </w:hyperlink>
    <w:r w:rsidRPr="00353978">
      <w:rPr>
        <w:lang w:val="es-ES_tradnl"/>
      </w:rPr>
      <w:t xml:space="preserve"> • </w:t>
    </w:r>
    <w:hyperlink r:id="rId2" w:history="1">
      <w:r w:rsidRPr="00353978">
        <w:rPr>
          <w:lang w:val="es-ES_tradnl"/>
        </w:rPr>
        <w:t>www.itu.int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D0" w:rsidRDefault="00750FD0" w:rsidP="008906F2">
      <w:pPr>
        <w:spacing w:after="0" w:line="240" w:lineRule="auto"/>
      </w:pPr>
      <w:r>
        <w:separator/>
      </w:r>
    </w:p>
  </w:footnote>
  <w:footnote w:type="continuationSeparator" w:id="0">
    <w:p w:rsidR="00750FD0" w:rsidRDefault="00750FD0" w:rsidP="0089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D0" w:rsidRDefault="00750FD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DD021E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DD021E"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</w:rPr>
      <w:t>1</w:t>
    </w:r>
    <w:r w:rsidR="00DD021E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D0" w:rsidRPr="00116A4F" w:rsidRDefault="00750FD0" w:rsidP="00116A4F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</w:rPr>
    </w:pPr>
    <w:r>
      <w:rPr>
        <w:sz w:val="18"/>
        <w:szCs w:val="18"/>
      </w:rPr>
      <w:t>-</w:t>
    </w:r>
    <w:r w:rsidRPr="00116A4F">
      <w:rPr>
        <w:sz w:val="18"/>
        <w:szCs w:val="18"/>
      </w:rPr>
      <w:t xml:space="preserve"> </w:t>
    </w:r>
    <w:r w:rsidR="00DD021E" w:rsidRPr="00116A4F">
      <w:rPr>
        <w:sz w:val="18"/>
        <w:szCs w:val="18"/>
      </w:rPr>
      <w:fldChar w:fldCharType="begin"/>
    </w:r>
    <w:r w:rsidRPr="00116A4F">
      <w:rPr>
        <w:sz w:val="18"/>
        <w:szCs w:val="18"/>
      </w:rPr>
      <w:instrText xml:space="preserve"> PAGE </w:instrText>
    </w:r>
    <w:r w:rsidR="00DD021E" w:rsidRPr="00116A4F">
      <w:rPr>
        <w:sz w:val="18"/>
        <w:szCs w:val="18"/>
      </w:rPr>
      <w:fldChar w:fldCharType="separate"/>
    </w:r>
    <w:r w:rsidR="009B7494">
      <w:rPr>
        <w:noProof/>
        <w:sz w:val="18"/>
        <w:szCs w:val="18"/>
      </w:rPr>
      <w:t>2</w:t>
    </w:r>
    <w:r w:rsidR="00DD021E" w:rsidRPr="00116A4F">
      <w:rPr>
        <w:noProof/>
        <w:sz w:val="18"/>
        <w:szCs w:val="18"/>
      </w:rPr>
      <w:fldChar w:fldCharType="end"/>
    </w:r>
    <w:r w:rsidRPr="00116A4F">
      <w:rPr>
        <w:sz w:val="18"/>
        <w:szCs w:val="18"/>
      </w:rPr>
      <w:t xml:space="preserve"> </w:t>
    </w:r>
    <w:r>
      <w:rPr>
        <w:sz w:val="18"/>
        <w:szCs w:val="18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D0" w:rsidRDefault="00750FD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97D04"/>
    <w:multiLevelType w:val="hybridMultilevel"/>
    <w:tmpl w:val="CC9C0D80"/>
    <w:lvl w:ilvl="0" w:tplc="69623F40">
      <w:numFmt w:val="bullet"/>
      <w:lvlText w:val="–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A156D"/>
    <w:multiLevelType w:val="hybridMultilevel"/>
    <w:tmpl w:val="7780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107D"/>
    <w:rsid w:val="00002162"/>
    <w:rsid w:val="00022636"/>
    <w:rsid w:val="000C7FF4"/>
    <w:rsid w:val="00116A4F"/>
    <w:rsid w:val="0017296E"/>
    <w:rsid w:val="001841C0"/>
    <w:rsid w:val="00203476"/>
    <w:rsid w:val="00237284"/>
    <w:rsid w:val="002624D0"/>
    <w:rsid w:val="002E0B41"/>
    <w:rsid w:val="002F45D0"/>
    <w:rsid w:val="0031443B"/>
    <w:rsid w:val="00353978"/>
    <w:rsid w:val="003674F6"/>
    <w:rsid w:val="0038340C"/>
    <w:rsid w:val="004563AE"/>
    <w:rsid w:val="004D5732"/>
    <w:rsid w:val="004E78D6"/>
    <w:rsid w:val="00554422"/>
    <w:rsid w:val="005C320D"/>
    <w:rsid w:val="005D506B"/>
    <w:rsid w:val="00602D23"/>
    <w:rsid w:val="006C791C"/>
    <w:rsid w:val="00750FD0"/>
    <w:rsid w:val="0079743C"/>
    <w:rsid w:val="007A05F0"/>
    <w:rsid w:val="007B44F7"/>
    <w:rsid w:val="0085107D"/>
    <w:rsid w:val="008906F2"/>
    <w:rsid w:val="009222CB"/>
    <w:rsid w:val="00963E10"/>
    <w:rsid w:val="009B7494"/>
    <w:rsid w:val="00A140CD"/>
    <w:rsid w:val="00A2391F"/>
    <w:rsid w:val="00A70203"/>
    <w:rsid w:val="00B57AFB"/>
    <w:rsid w:val="00BA4D58"/>
    <w:rsid w:val="00BF653F"/>
    <w:rsid w:val="00C033DB"/>
    <w:rsid w:val="00D162ED"/>
    <w:rsid w:val="00D940AB"/>
    <w:rsid w:val="00DA583C"/>
    <w:rsid w:val="00DD021E"/>
    <w:rsid w:val="00DD4271"/>
    <w:rsid w:val="00E53F5B"/>
    <w:rsid w:val="00EE0E5D"/>
    <w:rsid w:val="00EE7B94"/>
    <w:rsid w:val="00F44C58"/>
    <w:rsid w:val="00FD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85107D"/>
    <w:rPr>
      <w:rFonts w:cs="Times New Roman"/>
    </w:rPr>
  </w:style>
  <w:style w:type="paragraph" w:customStyle="1" w:styleId="BDTFooter">
    <w:name w:val="BDT_Footer"/>
    <w:uiPriority w:val="99"/>
    <w:rsid w:val="0085107D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character" w:styleId="Hyperlink">
    <w:name w:val="Hyperlink"/>
    <w:basedOn w:val="DefaultParagraphFont"/>
    <w:uiPriority w:val="99"/>
    <w:semiHidden/>
    <w:rsid w:val="0085107D"/>
    <w:rPr>
      <w:rFonts w:cs="Times New Roman"/>
      <w:color w:val="0000FF"/>
      <w:u w:val="single"/>
    </w:rPr>
  </w:style>
  <w:style w:type="paragraph" w:customStyle="1" w:styleId="MOSindentdash">
    <w:name w:val="MOS indent dash"/>
    <w:basedOn w:val="Normal"/>
    <w:rsid w:val="0085107D"/>
    <w:pPr>
      <w:numPr>
        <w:numId w:val="1"/>
      </w:numPr>
      <w:spacing w:after="0" w:line="240" w:lineRule="auto"/>
    </w:pPr>
    <w:rPr>
      <w:rFonts w:ascii="Arial" w:eastAsia="SimSun" w:hAnsi="Arial" w:cs="Times New Roman"/>
      <w:szCs w:val="24"/>
    </w:rPr>
  </w:style>
  <w:style w:type="paragraph" w:customStyle="1" w:styleId="CEOHeading1Underlined">
    <w:name w:val="CEO_Heading 1_Underlined"/>
    <w:basedOn w:val="Normal"/>
    <w:link w:val="CEOHeading1UnderlinedChar"/>
    <w:rsid w:val="00DA583C"/>
    <w:pPr>
      <w:keepNext/>
      <w:keepLines/>
      <w:pBdr>
        <w:bottom w:val="single" w:sz="12" w:space="1" w:color="808080"/>
      </w:pBdr>
      <w:spacing w:before="600" w:after="0" w:line="240" w:lineRule="auto"/>
    </w:pPr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Normal">
    <w:name w:val="CEO_Normal"/>
    <w:link w:val="CEONormalChar"/>
    <w:uiPriority w:val="99"/>
    <w:rsid w:val="00DA583C"/>
    <w:pPr>
      <w:spacing w:before="120" w:after="120" w:line="240" w:lineRule="auto"/>
    </w:pPr>
    <w:rPr>
      <w:rFonts w:ascii="Verdana" w:eastAsia="SimSun" w:hAnsi="Verdana" w:cs="Times New Roman"/>
      <w:sz w:val="19"/>
      <w:szCs w:val="24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DA583C"/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uiPriority w:val="99"/>
    <w:rsid w:val="00DA583C"/>
    <w:pPr>
      <w:pBdr>
        <w:bottom w:val="none" w:sz="0" w:space="0" w:color="auto"/>
      </w:pBdr>
      <w:spacing w:before="120" w:after="120"/>
      <w:ind w:left="720"/>
    </w:pPr>
    <w:rPr>
      <w:rFonts w:cs="Times New Roman Bold"/>
      <w:b/>
      <w:bCs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DA583C"/>
    <w:rPr>
      <w:rFonts w:ascii="Verdana" w:eastAsia="SimSun" w:hAnsi="Verdana" w:cs="Times New Roman"/>
      <w:sz w:val="19"/>
      <w:szCs w:val="24"/>
    </w:rPr>
  </w:style>
  <w:style w:type="paragraph" w:styleId="Footer">
    <w:name w:val="footer"/>
    <w:basedOn w:val="Normal"/>
    <w:link w:val="FooterChar"/>
    <w:unhideWhenUsed/>
    <w:rsid w:val="0089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2"/>
  </w:style>
  <w:style w:type="paragraph" w:customStyle="1" w:styleId="BDTContact-Details">
    <w:name w:val="BDT_Contact-Details"/>
    <w:basedOn w:val="Normal"/>
    <w:uiPriority w:val="99"/>
    <w:rsid w:val="003144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85107D"/>
    <w:rPr>
      <w:rFonts w:cs="Times New Roman"/>
    </w:rPr>
  </w:style>
  <w:style w:type="paragraph" w:customStyle="1" w:styleId="BDTFooter">
    <w:name w:val="BDT_Footer"/>
    <w:uiPriority w:val="99"/>
    <w:rsid w:val="0085107D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character" w:styleId="Hyperlink">
    <w:name w:val="Hyperlink"/>
    <w:basedOn w:val="DefaultParagraphFont"/>
    <w:uiPriority w:val="99"/>
    <w:semiHidden/>
    <w:rsid w:val="0085107D"/>
    <w:rPr>
      <w:rFonts w:cs="Times New Roman"/>
      <w:color w:val="0000FF"/>
      <w:u w:val="single"/>
    </w:rPr>
  </w:style>
  <w:style w:type="paragraph" w:customStyle="1" w:styleId="MOSindentdash">
    <w:name w:val="MOS indent dash"/>
    <w:basedOn w:val="Normal"/>
    <w:rsid w:val="0085107D"/>
    <w:pPr>
      <w:numPr>
        <w:numId w:val="1"/>
      </w:numPr>
      <w:spacing w:after="0" w:line="240" w:lineRule="auto"/>
    </w:pPr>
    <w:rPr>
      <w:rFonts w:ascii="Arial" w:eastAsia="SimSun" w:hAnsi="Arial" w:cs="Times New Roman"/>
      <w:szCs w:val="24"/>
    </w:rPr>
  </w:style>
  <w:style w:type="paragraph" w:customStyle="1" w:styleId="CEOHeading1Underlined">
    <w:name w:val="CEO_Heading 1_Underlined"/>
    <w:basedOn w:val="Normal"/>
    <w:link w:val="CEOHeading1UnderlinedChar"/>
    <w:rsid w:val="00DA583C"/>
    <w:pPr>
      <w:keepNext/>
      <w:keepLines/>
      <w:pBdr>
        <w:bottom w:val="single" w:sz="12" w:space="1" w:color="808080"/>
      </w:pBdr>
      <w:spacing w:before="600" w:after="0" w:line="240" w:lineRule="auto"/>
    </w:pPr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Normal">
    <w:name w:val="CEO_Normal"/>
    <w:link w:val="CEONormalChar"/>
    <w:uiPriority w:val="99"/>
    <w:rsid w:val="00DA583C"/>
    <w:pPr>
      <w:spacing w:before="120" w:after="120" w:line="240" w:lineRule="auto"/>
    </w:pPr>
    <w:rPr>
      <w:rFonts w:ascii="Verdana" w:eastAsia="SimSun" w:hAnsi="Verdana" w:cs="Times New Roman"/>
      <w:sz w:val="19"/>
      <w:szCs w:val="24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DA583C"/>
    <w:rPr>
      <w:rFonts w:ascii="Verdana" w:eastAsia="SimSun" w:hAnsi="Verdana" w:cs="Times New Roman"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uiPriority w:val="99"/>
    <w:rsid w:val="00DA583C"/>
    <w:pPr>
      <w:pBdr>
        <w:bottom w:val="none" w:sz="0" w:space="0" w:color="auto"/>
      </w:pBdr>
      <w:spacing w:before="120" w:after="120"/>
      <w:ind w:left="720"/>
    </w:pPr>
    <w:rPr>
      <w:rFonts w:cs="Times New Roman Bold"/>
      <w:b/>
      <w:bCs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DA583C"/>
    <w:rPr>
      <w:rFonts w:ascii="Verdana" w:eastAsia="SimSun" w:hAnsi="Verdana" w:cs="Times New Roman"/>
      <w:sz w:val="19"/>
      <w:szCs w:val="24"/>
    </w:rPr>
  </w:style>
  <w:style w:type="paragraph" w:styleId="Footer">
    <w:name w:val="footer"/>
    <w:basedOn w:val="Normal"/>
    <w:link w:val="FooterChar"/>
    <w:unhideWhenUsed/>
    <w:rsid w:val="0089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md/D10-SG01-OJ/es" TargetMode="External"/><Relationship Id="rId18" Type="http://schemas.openxmlformats.org/officeDocument/2006/relationships/hyperlink" Target="http://www.itu.int/net3/ITU-D/stg/blkmeetings.aspx?blk=11947" TargetMode="External"/><Relationship Id="rId26" Type="http://schemas.openxmlformats.org/officeDocument/2006/relationships/hyperlink" Target="http://www.itu.int/net3/ITU-D/stg/visa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net3/ITU-D/stg/index-es.aspx?stg=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net3/ITU-D/stg/blkmeetings.aspx?blk=12063" TargetMode="External"/><Relationship Id="rId17" Type="http://schemas.openxmlformats.org/officeDocument/2006/relationships/hyperlink" Target="mailto:bdtmeetingsregistration@itu.int" TargetMode="External"/><Relationship Id="rId25" Type="http://schemas.openxmlformats.org/officeDocument/2006/relationships/hyperlink" Target="http://www.itu.int/TIES/index.html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cgi-bin/htsh/edrs/TIES/auth/ITU-D/delegate/edrs.focalpoint?_eventid=4000059" TargetMode="External"/><Relationship Id="rId20" Type="http://schemas.openxmlformats.org/officeDocument/2006/relationships/hyperlink" Target="mailto:bdtmeetingsregistration@itu.in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3/ITU-D/stg/blkmeetings.aspx?blk=11945" TargetMode="External"/><Relationship Id="rId24" Type="http://schemas.openxmlformats.org/officeDocument/2006/relationships/hyperlink" Target="http://www.itu.int/ITU-D/study_groups/SGP_2010-2014/reference_documents/ITU-D_UserGuideSync.html" TargetMode="External"/><Relationship Id="rId32" Type="http://schemas.openxmlformats.org/officeDocument/2006/relationships/header" Target="header3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D10-SG02-ADM/e" TargetMode="External"/><Relationship Id="rId23" Type="http://schemas.openxmlformats.org/officeDocument/2006/relationships/hyperlink" Target="http://www.itu.int/ITU-D/CDS/contributions/sg/index-es.asp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net3/ITU-D/stg/blkmeetings.aspx?blk=11946" TargetMode="External"/><Relationship Id="rId19" Type="http://schemas.openxmlformats.org/officeDocument/2006/relationships/hyperlink" Target="http://www.itu.int/net3/ITU-D/stg/blkmeetings.aspx?blk=11948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md/D10-SG01-ADM/e" TargetMode="External"/><Relationship Id="rId22" Type="http://schemas.openxmlformats.org/officeDocument/2006/relationships/hyperlink" Target="http://www.itu.int/net3/ITU-D/stg/index-es.aspx?stg=2" TargetMode="External"/><Relationship Id="rId27" Type="http://schemas.openxmlformats.org/officeDocument/2006/relationships/hyperlink" Target="http://www.itu.int/travel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1EE3-11DD-4D50-B758-CB431CDE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</dc:creator>
  <cp:keywords/>
  <dc:description/>
  <cp:lastModifiedBy>magistri</cp:lastModifiedBy>
  <cp:revision>7</cp:revision>
  <cp:lastPrinted>2011-05-27T14:43:00Z</cp:lastPrinted>
  <dcterms:created xsi:type="dcterms:W3CDTF">2011-05-31T09:59:00Z</dcterms:created>
  <dcterms:modified xsi:type="dcterms:W3CDTF">2011-06-01T13:04:00Z</dcterms:modified>
</cp:coreProperties>
</file>