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63D82" w14:textId="46AA6110" w:rsidR="002E2B0F" w:rsidRDefault="002E2B0F" w:rsidP="002E2B0F">
      <w:pPr>
        <w:pStyle w:val="Heading1"/>
        <w:spacing w:line="372" w:lineRule="auto"/>
        <w:ind w:left="0"/>
        <w:jc w:val="left"/>
      </w:pPr>
      <w:r>
        <w:t>NOTES</w:t>
      </w:r>
      <w:r>
        <w:rPr>
          <w:spacing w:val="-3"/>
        </w:rPr>
        <w:t xml:space="preserve"> </w:t>
      </w:r>
      <w:r>
        <w:t>BY</w:t>
      </w:r>
      <w:r>
        <w:rPr>
          <w:spacing w:val="-5"/>
        </w:rPr>
        <w:t xml:space="preserve"> </w:t>
      </w:r>
      <w:r>
        <w:t>THE</w:t>
      </w:r>
      <w:r>
        <w:rPr>
          <w:spacing w:val="-7"/>
        </w:rPr>
        <w:t xml:space="preserve"> </w:t>
      </w:r>
      <w:r>
        <w:t>ADMINISTRATION</w:t>
      </w:r>
      <w:r>
        <w:rPr>
          <w:spacing w:val="-4"/>
        </w:rPr>
        <w:t xml:space="preserve"> </w:t>
      </w:r>
      <w:r>
        <w:t>FOR</w:t>
      </w:r>
      <w:r>
        <w:rPr>
          <w:spacing w:val="-6"/>
        </w:rPr>
        <w:t xml:space="preserve"> </w:t>
      </w:r>
      <w:r w:rsidR="00AC35EF">
        <w:t>SEM</w:t>
      </w:r>
      <w:r w:rsidR="00475B62">
        <w:t>A</w:t>
      </w:r>
      <w:r w:rsidR="00AC35EF">
        <w:t>PHORE</w:t>
      </w:r>
    </w:p>
    <w:p w14:paraId="56F429C5" w14:textId="77777777" w:rsidR="00475B62" w:rsidRDefault="00475B62" w:rsidP="002E2B0F">
      <w:pPr>
        <w:pStyle w:val="Heading1"/>
        <w:spacing w:line="372" w:lineRule="auto"/>
        <w:ind w:left="0"/>
        <w:jc w:val="left"/>
      </w:pPr>
    </w:p>
    <w:p w14:paraId="03F81572" w14:textId="5CF92D28" w:rsidR="002E2B0F" w:rsidRDefault="002E2B0F" w:rsidP="002E2B0F">
      <w:pPr>
        <w:pStyle w:val="Heading1"/>
        <w:spacing w:line="372" w:lineRule="auto"/>
        <w:ind w:left="0"/>
      </w:pPr>
      <w:r>
        <w:t>NOTE 1</w:t>
      </w:r>
    </w:p>
    <w:p w14:paraId="5F5B641E" w14:textId="77777777" w:rsidR="002E2B0F" w:rsidRDefault="002E2B0F" w:rsidP="002E2B0F">
      <w:pPr>
        <w:pStyle w:val="BodyText"/>
        <w:rPr>
          <w:spacing w:val="-2"/>
        </w:rPr>
      </w:pPr>
      <w:r>
        <w:t>Assignment</w:t>
      </w:r>
      <w:r>
        <w:rPr>
          <w:spacing w:val="-1"/>
        </w:rPr>
        <w:t xml:space="preserve"> </w:t>
      </w:r>
      <w:r>
        <w:t>will comply</w:t>
      </w:r>
      <w:r>
        <w:rPr>
          <w:spacing w:val="-2"/>
        </w:rPr>
        <w:t xml:space="preserve"> </w:t>
      </w:r>
      <w:r>
        <w:t>with</w:t>
      </w:r>
      <w:r>
        <w:rPr>
          <w:spacing w:val="-3"/>
        </w:rPr>
        <w:t xml:space="preserve"> </w:t>
      </w:r>
      <w:r>
        <w:t>Article</w:t>
      </w:r>
      <w:r>
        <w:rPr>
          <w:spacing w:val="-1"/>
        </w:rPr>
        <w:t xml:space="preserve"> </w:t>
      </w:r>
      <w:r>
        <w:t>21</w:t>
      </w:r>
      <w:r>
        <w:rPr>
          <w:spacing w:val="-3"/>
        </w:rPr>
        <w:t xml:space="preserve"> </w:t>
      </w:r>
      <w:r>
        <w:t>PFD</w:t>
      </w:r>
      <w:r>
        <w:rPr>
          <w:spacing w:val="-3"/>
        </w:rPr>
        <w:t xml:space="preserve"> </w:t>
      </w:r>
      <w:r>
        <w:t>limits</w:t>
      </w:r>
      <w:r>
        <w:rPr>
          <w:spacing w:val="-1"/>
        </w:rPr>
        <w:t xml:space="preserve"> </w:t>
      </w:r>
      <w:r>
        <w:t>if</w:t>
      </w:r>
      <w:r>
        <w:rPr>
          <w:spacing w:val="-5"/>
        </w:rPr>
        <w:t xml:space="preserve"> </w:t>
      </w:r>
      <w:r>
        <w:t>and</w:t>
      </w:r>
      <w:r>
        <w:rPr>
          <w:spacing w:val="-3"/>
        </w:rPr>
        <w:t xml:space="preserve"> </w:t>
      </w:r>
      <w:r>
        <w:t xml:space="preserve">where </w:t>
      </w:r>
      <w:r>
        <w:rPr>
          <w:spacing w:val="-2"/>
        </w:rPr>
        <w:t>applicable.</w:t>
      </w:r>
    </w:p>
    <w:p w14:paraId="11D66830" w14:textId="77777777" w:rsidR="00475B62" w:rsidRDefault="00475B62" w:rsidP="002E2B0F">
      <w:pPr>
        <w:pStyle w:val="BodyText"/>
      </w:pPr>
    </w:p>
    <w:p w14:paraId="501CCB75" w14:textId="77777777" w:rsidR="002E2B0F" w:rsidRDefault="002E2B0F" w:rsidP="002E2B0F">
      <w:pPr>
        <w:pStyle w:val="Heading1"/>
        <w:spacing w:before="183"/>
        <w:ind w:left="0"/>
      </w:pPr>
      <w:r>
        <w:t xml:space="preserve">NOTE </w:t>
      </w:r>
      <w:r>
        <w:rPr>
          <w:spacing w:val="-10"/>
        </w:rPr>
        <w:t>2</w:t>
      </w:r>
    </w:p>
    <w:p w14:paraId="02559CA8" w14:textId="77777777" w:rsidR="00E45C60" w:rsidRDefault="00E45C60" w:rsidP="00E45C60">
      <w:pPr>
        <w:pStyle w:val="BodyText"/>
        <w:spacing w:before="188"/>
      </w:pPr>
      <w:r>
        <w:t xml:space="preserve">The space station in the constellation will remain in operation in the case that their orbital altitudes </w:t>
      </w:r>
      <w:proofErr w:type="gramStart"/>
      <w:r>
        <w:t>reduces</w:t>
      </w:r>
      <w:proofErr w:type="gramEnd"/>
      <w:r>
        <w:t xml:space="preserve"> over time.  This is accounted for in the network by means of the inclusion of four distinct circular orbital shells at 620km, 560km, 500km and 440 km.  These altitudes are defined such that when considering a tolerance of +/- 30km, the altitude ranges of the adjacent shells touch.  The assignments of the constellation are repeated for sets of orbits of each shell, with the emission powers adjusted accordingly.</w:t>
      </w:r>
    </w:p>
    <w:p w14:paraId="2967908E" w14:textId="77777777" w:rsidR="00E45C60" w:rsidRDefault="00E45C60" w:rsidP="00E45C60">
      <w:pPr>
        <w:pStyle w:val="BodyText"/>
        <w:spacing w:before="188"/>
      </w:pPr>
      <w:r>
        <w:t>As such time when the loss of altitude of the space stations are such that they enter the upper altitude range of the next lower shell, the administration will declare the space stations as no longer operating under the assignments of the initial shell and as operating under the assignments of this next lower shell.</w:t>
      </w:r>
    </w:p>
    <w:p w14:paraId="052161EC" w14:textId="77777777" w:rsidR="00E45C60" w:rsidRDefault="00E45C60" w:rsidP="00E45C60">
      <w:pPr>
        <w:pStyle w:val="BodyText"/>
        <w:spacing w:before="188"/>
      </w:pPr>
      <w:r>
        <w:t>In line with the general principles of suspension and bringing back into use of RR No. 11.49, should there not be a set of new space-stations launched to operate in the assignments of the vacated shell within a 6-months period, this will be declared as such by the administration, along with a request to keep the related assignments in the MIFR with the same protection date and without reducing the number of space-stations, this for a period up to 3 years from the date that the space-stations vacated the shell.</w:t>
      </w:r>
    </w:p>
    <w:p w14:paraId="6CB6460A" w14:textId="77777777" w:rsidR="00E45C60" w:rsidRDefault="00E45C60" w:rsidP="00E45C60">
      <w:pPr>
        <w:pStyle w:val="BodyText"/>
        <w:spacing w:before="188"/>
      </w:pPr>
      <w:r>
        <w:t>The intention of this approach is to provide for more certainty of the regulatory regime and increased clarity in which the assignments are reflected in the MIFR.  This approach is *not* intended to provide for more protection, nor to allow the space-station to operate in a way that would cause more interference, than that when the space-stations are operating at the highest altitude shell.</w:t>
      </w:r>
    </w:p>
    <w:p w14:paraId="068180E5" w14:textId="27A9ED63" w:rsidR="00E45C60" w:rsidRDefault="00E45C60" w:rsidP="00E45C60">
      <w:pPr>
        <w:pStyle w:val="BodyText"/>
        <w:spacing w:before="188" w:line="259" w:lineRule="auto"/>
      </w:pPr>
      <w:r>
        <w:t>Besides this declaration, this latter intention is further illustrated by the fact that the emission power levels for an associated C/N objective are reduced proportionately with each lower altitude shell.”</w:t>
      </w:r>
    </w:p>
    <w:p w14:paraId="7BB62B4E" w14:textId="0A6CAEFB" w:rsidR="002E2B0F" w:rsidRDefault="002E2B0F" w:rsidP="00AC35EF">
      <w:pPr>
        <w:pStyle w:val="BodyText"/>
        <w:spacing w:before="188" w:line="259" w:lineRule="auto"/>
        <w:rPr>
          <w:spacing w:val="-2"/>
        </w:rPr>
      </w:pPr>
      <w:r>
        <w:t>Assignment will comply</w:t>
      </w:r>
      <w:r>
        <w:rPr>
          <w:spacing w:val="-1"/>
        </w:rPr>
        <w:t xml:space="preserve"> </w:t>
      </w:r>
      <w:r>
        <w:t>with</w:t>
      </w:r>
      <w:r>
        <w:rPr>
          <w:spacing w:val="-2"/>
        </w:rPr>
        <w:t xml:space="preserve"> </w:t>
      </w:r>
      <w:r>
        <w:t>relevant ITU Radio Regulations to</w:t>
      </w:r>
      <w:r>
        <w:rPr>
          <w:spacing w:val="-3"/>
        </w:rPr>
        <w:t xml:space="preserve"> </w:t>
      </w:r>
      <w:r>
        <w:t>protect</w:t>
      </w:r>
      <w:r>
        <w:rPr>
          <w:spacing w:val="-4"/>
        </w:rPr>
        <w:t xml:space="preserve"> </w:t>
      </w:r>
      <w:r>
        <w:t>radio astronomy</w:t>
      </w:r>
      <w:r>
        <w:rPr>
          <w:spacing w:val="-7"/>
        </w:rPr>
        <w:t xml:space="preserve"> </w:t>
      </w:r>
      <w:r>
        <w:t>service,</w:t>
      </w:r>
      <w:r>
        <w:rPr>
          <w:spacing w:val="-1"/>
        </w:rPr>
        <w:t xml:space="preserve"> </w:t>
      </w:r>
      <w:r>
        <w:t>if</w:t>
      </w:r>
      <w:r>
        <w:rPr>
          <w:spacing w:val="-7"/>
        </w:rPr>
        <w:t xml:space="preserve"> </w:t>
      </w:r>
      <w:r>
        <w:t>and</w:t>
      </w:r>
      <w:r>
        <w:rPr>
          <w:spacing w:val="-4"/>
        </w:rPr>
        <w:t xml:space="preserve"> </w:t>
      </w:r>
      <w:r>
        <w:t>where</w:t>
      </w:r>
      <w:r>
        <w:rPr>
          <w:spacing w:val="4"/>
        </w:rPr>
        <w:t xml:space="preserve"> </w:t>
      </w:r>
      <w:r>
        <w:t>applicable</w:t>
      </w:r>
      <w:r w:rsidR="00AC35EF">
        <w:t xml:space="preserve"> including as per No </w:t>
      </w:r>
      <w:r w:rsidR="00AC35EF" w:rsidRPr="00531310">
        <w:t>5.372</w:t>
      </w:r>
      <w:r w:rsidR="00AC35EF">
        <w:t xml:space="preserve">, </w:t>
      </w:r>
      <w:r>
        <w:t>No.</w:t>
      </w:r>
      <w:r>
        <w:rPr>
          <w:spacing w:val="-3"/>
        </w:rPr>
        <w:t xml:space="preserve"> </w:t>
      </w:r>
      <w:r>
        <w:t>5.208A</w:t>
      </w:r>
      <w:r>
        <w:rPr>
          <w:spacing w:val="-4"/>
        </w:rPr>
        <w:t xml:space="preserve"> </w:t>
      </w:r>
      <w:r>
        <w:t>and</w:t>
      </w:r>
      <w:r>
        <w:rPr>
          <w:spacing w:val="-4"/>
        </w:rPr>
        <w:t xml:space="preserve"> </w:t>
      </w:r>
      <w:r>
        <w:t>No.</w:t>
      </w:r>
      <w:r>
        <w:rPr>
          <w:spacing w:val="-3"/>
        </w:rPr>
        <w:t xml:space="preserve"> </w:t>
      </w:r>
      <w:r>
        <w:rPr>
          <w:spacing w:val="-2"/>
        </w:rPr>
        <w:t>5.208B).</w:t>
      </w:r>
    </w:p>
    <w:p w14:paraId="4CDF6D76" w14:textId="77777777" w:rsidR="00475B62" w:rsidRDefault="00475B62" w:rsidP="00AC35EF">
      <w:pPr>
        <w:pStyle w:val="BodyText"/>
        <w:spacing w:before="188" w:line="259" w:lineRule="auto"/>
      </w:pPr>
    </w:p>
    <w:p w14:paraId="16A84D71" w14:textId="77777777" w:rsidR="002E2B0F" w:rsidRDefault="002E2B0F" w:rsidP="002E2B0F">
      <w:pPr>
        <w:pStyle w:val="Heading1"/>
        <w:spacing w:before="162"/>
        <w:ind w:left="0"/>
        <w:rPr>
          <w:spacing w:val="-10"/>
        </w:rPr>
      </w:pPr>
      <w:r>
        <w:t xml:space="preserve">NOTE </w:t>
      </w:r>
      <w:r>
        <w:rPr>
          <w:spacing w:val="-10"/>
        </w:rPr>
        <w:t>3</w:t>
      </w:r>
    </w:p>
    <w:p w14:paraId="79F95D80" w14:textId="79DDAC6C" w:rsidR="00AC35EF" w:rsidRDefault="00AC35EF" w:rsidP="00AC35EF">
      <w:pPr>
        <w:pStyle w:val="BodyText"/>
        <w:spacing w:before="188" w:line="259" w:lineRule="auto"/>
      </w:pPr>
      <w:r w:rsidRPr="00AC35EF">
        <w:t xml:space="preserve">In the band 2500-2520 MSS operations will </w:t>
      </w:r>
      <w:r w:rsidR="00E45C60" w:rsidRPr="00AC35EF">
        <w:t>ensure</w:t>
      </w:r>
      <w:r w:rsidRPr="00AC35EF">
        <w:t xml:space="preserve"> that the power flux density at the surface of the Earth shall not exceed -152 dB(W/m2/4KHz) in Argentina unless otherwise agreed.</w:t>
      </w:r>
    </w:p>
    <w:p w14:paraId="214ED7AB" w14:textId="77777777" w:rsidR="00475B62" w:rsidRDefault="00475B62" w:rsidP="00AC35EF">
      <w:pPr>
        <w:pStyle w:val="BodyText"/>
        <w:spacing w:before="188" w:line="259" w:lineRule="auto"/>
      </w:pPr>
    </w:p>
    <w:p w14:paraId="1EB32F61" w14:textId="77777777" w:rsidR="00475B62" w:rsidRDefault="00475B62" w:rsidP="00475B62">
      <w:pPr>
        <w:pStyle w:val="Heading1"/>
        <w:spacing w:before="183"/>
        <w:ind w:left="0"/>
        <w:rPr>
          <w:spacing w:val="-10"/>
        </w:rPr>
      </w:pPr>
      <w:r>
        <w:t xml:space="preserve">NOTE </w:t>
      </w:r>
      <w:r>
        <w:rPr>
          <w:spacing w:val="-10"/>
        </w:rPr>
        <w:t>4</w:t>
      </w:r>
    </w:p>
    <w:p w14:paraId="5B2D5675" w14:textId="21ED75CB" w:rsidR="00475B62" w:rsidRDefault="00475B62" w:rsidP="00475B62">
      <w:pPr>
        <w:pStyle w:val="BodyText"/>
        <w:spacing w:before="188" w:line="259" w:lineRule="auto"/>
      </w:pPr>
      <w:r>
        <w:t xml:space="preserve">MES uplink </w:t>
      </w:r>
      <w:r w:rsidR="00E45C60">
        <w:t>operations</w:t>
      </w:r>
      <w:r>
        <w:t xml:space="preserve"> in the band 1610-1626.5 shall comply with footnote No 5.364.</w:t>
      </w:r>
    </w:p>
    <w:p w14:paraId="6D7C6FD2" w14:textId="77777777" w:rsidR="00475B62" w:rsidRDefault="00475B62" w:rsidP="00475B62">
      <w:pPr>
        <w:pStyle w:val="BodyText"/>
        <w:spacing w:before="188" w:line="259" w:lineRule="auto"/>
      </w:pPr>
    </w:p>
    <w:p w14:paraId="74E360CF" w14:textId="77777777" w:rsidR="00475B62" w:rsidRDefault="00475B62" w:rsidP="00475B62">
      <w:pPr>
        <w:pStyle w:val="Heading1"/>
        <w:spacing w:before="183"/>
        <w:ind w:left="0"/>
        <w:rPr>
          <w:spacing w:val="-10"/>
        </w:rPr>
      </w:pPr>
      <w:r>
        <w:t xml:space="preserve">NOTE </w:t>
      </w:r>
      <w:r>
        <w:rPr>
          <w:spacing w:val="-10"/>
        </w:rPr>
        <w:t>5</w:t>
      </w:r>
    </w:p>
    <w:p w14:paraId="5205D3B8" w14:textId="1590D9B3" w:rsidR="00475B62" w:rsidRDefault="00475B62" w:rsidP="00475B62">
      <w:pPr>
        <w:pStyle w:val="Heading1"/>
        <w:spacing w:before="183"/>
        <w:ind w:left="0"/>
        <w:jc w:val="left"/>
        <w:rPr>
          <w:b w:val="0"/>
          <w:bCs w:val="0"/>
        </w:rPr>
      </w:pPr>
      <w:r>
        <w:rPr>
          <w:b w:val="0"/>
          <w:bCs w:val="0"/>
        </w:rPr>
        <w:t>Regarding A4b3a and A4b3b, it is noted</w:t>
      </w:r>
      <w:r w:rsidRPr="00475B62">
        <w:rPr>
          <w:b w:val="0"/>
          <w:bCs w:val="0"/>
        </w:rPr>
        <w:t xml:space="preserve"> there may be more than 999 satellites operating in each of the Northern and Southern hemisphere (i.e.</w:t>
      </w:r>
      <w:r w:rsidR="00E45C60">
        <w:rPr>
          <w:b w:val="0"/>
          <w:bCs w:val="0"/>
        </w:rPr>
        <w:t xml:space="preserve"> current</w:t>
      </w:r>
      <w:r w:rsidRPr="00475B62">
        <w:rPr>
          <w:b w:val="0"/>
          <w:bCs w:val="0"/>
        </w:rPr>
        <w:t xml:space="preserve"> ITU tools </w:t>
      </w:r>
      <w:r>
        <w:rPr>
          <w:b w:val="0"/>
          <w:bCs w:val="0"/>
        </w:rPr>
        <w:t>do</w:t>
      </w:r>
      <w:r w:rsidRPr="00475B62">
        <w:rPr>
          <w:b w:val="0"/>
          <w:bCs w:val="0"/>
        </w:rPr>
        <w:t xml:space="preserve"> not anticipate large NGSO constellations).</w:t>
      </w:r>
    </w:p>
    <w:p w14:paraId="36BB152E" w14:textId="77777777" w:rsidR="00475B62" w:rsidRDefault="00475B62" w:rsidP="00475B62">
      <w:pPr>
        <w:pStyle w:val="Heading1"/>
        <w:spacing w:before="183"/>
        <w:ind w:left="0"/>
        <w:jc w:val="left"/>
        <w:rPr>
          <w:b w:val="0"/>
          <w:bCs w:val="0"/>
        </w:rPr>
      </w:pPr>
    </w:p>
    <w:p w14:paraId="61878BAF" w14:textId="77777777" w:rsidR="00C63591" w:rsidRDefault="00C63591" w:rsidP="00475B62">
      <w:pPr>
        <w:pStyle w:val="Heading1"/>
        <w:spacing w:before="183"/>
        <w:ind w:left="0"/>
      </w:pPr>
    </w:p>
    <w:p w14:paraId="42C997E7" w14:textId="77777777" w:rsidR="00C63591" w:rsidRDefault="00C63591" w:rsidP="00C63591">
      <w:pPr>
        <w:pStyle w:val="Heading1"/>
        <w:spacing w:before="183"/>
        <w:ind w:left="0"/>
        <w:rPr>
          <w:spacing w:val="-10"/>
        </w:rPr>
      </w:pPr>
      <w:r>
        <w:t xml:space="preserve">NOTE </w:t>
      </w:r>
      <w:r>
        <w:rPr>
          <w:spacing w:val="-10"/>
        </w:rPr>
        <w:t>6</w:t>
      </w:r>
    </w:p>
    <w:p w14:paraId="4AD5535B" w14:textId="0A8181FB" w:rsidR="00C63591" w:rsidRDefault="00C63591" w:rsidP="00C63591">
      <w:pPr>
        <w:pStyle w:val="Heading1"/>
        <w:spacing w:before="183"/>
        <w:ind w:left="0"/>
        <w:jc w:val="left"/>
        <w:rPr>
          <w:b w:val="0"/>
          <w:bCs w:val="0"/>
        </w:rPr>
      </w:pPr>
      <w:r w:rsidRPr="00C63591">
        <w:rPr>
          <w:b w:val="0"/>
          <w:bCs w:val="0"/>
        </w:rPr>
        <w:t xml:space="preserve">The </w:t>
      </w:r>
      <w:r>
        <w:rPr>
          <w:b w:val="0"/>
          <w:bCs w:val="0"/>
        </w:rPr>
        <w:t>SEMAPHORE</w:t>
      </w:r>
      <w:r w:rsidRPr="00C63591">
        <w:rPr>
          <w:b w:val="0"/>
          <w:bCs w:val="0"/>
        </w:rPr>
        <w:t xml:space="preserve"> satellite network will not transmit over USA territory of </w:t>
      </w:r>
      <w:proofErr w:type="gramStart"/>
      <w:r w:rsidRPr="00C63591">
        <w:rPr>
          <w:b w:val="0"/>
          <w:bCs w:val="0"/>
        </w:rPr>
        <w:t>Region</w:t>
      </w:r>
      <w:proofErr w:type="gramEnd"/>
      <w:r w:rsidRPr="00C63591">
        <w:rPr>
          <w:b w:val="0"/>
          <w:bCs w:val="0"/>
        </w:rPr>
        <w:t xml:space="preserve"> 2 in the band 1518-1525 </w:t>
      </w:r>
      <w:proofErr w:type="spellStart"/>
      <w:r w:rsidRPr="00C63591">
        <w:rPr>
          <w:b w:val="0"/>
          <w:bCs w:val="0"/>
        </w:rPr>
        <w:t>MHz</w:t>
      </w:r>
      <w:r>
        <w:rPr>
          <w:b w:val="0"/>
          <w:bCs w:val="0"/>
        </w:rPr>
        <w:t>.</w:t>
      </w:r>
      <w:proofErr w:type="spellEnd"/>
    </w:p>
    <w:p w14:paraId="74EBAD1C" w14:textId="77777777" w:rsidR="00C63591" w:rsidRDefault="00C63591" w:rsidP="00C63591">
      <w:pPr>
        <w:pStyle w:val="Heading1"/>
        <w:spacing w:before="183"/>
        <w:ind w:left="0"/>
        <w:jc w:val="left"/>
        <w:rPr>
          <w:b w:val="0"/>
          <w:bCs w:val="0"/>
        </w:rPr>
      </w:pPr>
    </w:p>
    <w:p w14:paraId="0E60E7C5" w14:textId="77777777" w:rsidR="00C63591" w:rsidRDefault="00C63591" w:rsidP="00C63591">
      <w:pPr>
        <w:pStyle w:val="Heading1"/>
        <w:spacing w:before="183"/>
        <w:ind w:left="0"/>
        <w:jc w:val="left"/>
        <w:rPr>
          <w:b w:val="0"/>
          <w:bCs w:val="0"/>
        </w:rPr>
      </w:pPr>
    </w:p>
    <w:p w14:paraId="105D1053" w14:textId="77777777" w:rsidR="00C63591" w:rsidRDefault="00C63591" w:rsidP="00C63591">
      <w:pPr>
        <w:pStyle w:val="Heading1"/>
        <w:spacing w:before="183"/>
        <w:ind w:left="0"/>
        <w:rPr>
          <w:spacing w:val="-10"/>
        </w:rPr>
      </w:pPr>
      <w:r>
        <w:t xml:space="preserve">NOTE </w:t>
      </w:r>
      <w:r>
        <w:rPr>
          <w:spacing w:val="-10"/>
        </w:rPr>
        <w:t>6</w:t>
      </w:r>
    </w:p>
    <w:p w14:paraId="5D47EB16" w14:textId="77777777" w:rsidR="00C63591" w:rsidRDefault="00C63591" w:rsidP="00C63591">
      <w:pPr>
        <w:pStyle w:val="Heading1"/>
        <w:spacing w:before="183"/>
        <w:ind w:left="0"/>
        <w:jc w:val="left"/>
        <w:rPr>
          <w:b w:val="0"/>
          <w:bCs w:val="0"/>
        </w:rPr>
      </w:pPr>
      <w:r w:rsidRPr="00475B62">
        <w:rPr>
          <w:b w:val="0"/>
          <w:bCs w:val="0"/>
        </w:rPr>
        <w:t xml:space="preserve">Commitments </w:t>
      </w:r>
      <w:r>
        <w:rPr>
          <w:b w:val="0"/>
          <w:bCs w:val="0"/>
        </w:rPr>
        <w:t>is hereby made to</w:t>
      </w:r>
      <w:r w:rsidRPr="00475B62">
        <w:rPr>
          <w:b w:val="0"/>
          <w:bCs w:val="0"/>
        </w:rPr>
        <w:t xml:space="preserve"> follow the rules and principles of Art. 4.4 where applicable</w:t>
      </w:r>
      <w:r>
        <w:rPr>
          <w:b w:val="0"/>
          <w:bCs w:val="0"/>
        </w:rPr>
        <w:t>.</w:t>
      </w:r>
    </w:p>
    <w:p w14:paraId="2B1287E8" w14:textId="77777777" w:rsidR="00C63591" w:rsidRDefault="00C63591" w:rsidP="00C63591">
      <w:pPr>
        <w:pStyle w:val="Heading1"/>
        <w:spacing w:before="183"/>
        <w:ind w:left="0"/>
        <w:jc w:val="left"/>
        <w:rPr>
          <w:b w:val="0"/>
          <w:bCs w:val="0"/>
        </w:rPr>
      </w:pPr>
    </w:p>
    <w:sectPr w:rsidR="00C63591" w:rsidSect="002E2B0F">
      <w:pgSz w:w="11910" w:h="16840"/>
      <w:pgMar w:top="1360" w:right="156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B0F"/>
    <w:rsid w:val="00080907"/>
    <w:rsid w:val="001605C3"/>
    <w:rsid w:val="00165DFC"/>
    <w:rsid w:val="002E2B0F"/>
    <w:rsid w:val="00475B62"/>
    <w:rsid w:val="00AC35EF"/>
    <w:rsid w:val="00C63591"/>
    <w:rsid w:val="00E1696E"/>
    <w:rsid w:val="00E45C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04F56"/>
  <w15:chartTrackingRefBased/>
  <w15:docId w15:val="{F99292F2-5CE4-4E95-A793-C8D05C24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E2B0F"/>
    <w:pPr>
      <w:widowControl w:val="0"/>
      <w:autoSpaceDE w:val="0"/>
      <w:autoSpaceDN w:val="0"/>
      <w:spacing w:before="84" w:after="0" w:line="240" w:lineRule="auto"/>
      <w:ind w:left="1023" w:right="797"/>
      <w:jc w:val="center"/>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B0F"/>
    <w:rPr>
      <w:rFonts w:ascii="Calibri" w:eastAsia="Calibri" w:hAnsi="Calibri" w:cs="Calibri"/>
      <w:b/>
      <w:bCs/>
      <w:sz w:val="28"/>
      <w:szCs w:val="28"/>
    </w:rPr>
  </w:style>
  <w:style w:type="paragraph" w:styleId="BodyText">
    <w:name w:val="Body Text"/>
    <w:basedOn w:val="Normal"/>
    <w:link w:val="BodyTextChar"/>
    <w:uiPriority w:val="1"/>
    <w:qFormat/>
    <w:rsid w:val="002E2B0F"/>
    <w:pPr>
      <w:widowControl w:val="0"/>
      <w:autoSpaceDE w:val="0"/>
      <w:autoSpaceDN w:val="0"/>
      <w:spacing w:before="1" w:after="0" w:line="240" w:lineRule="auto"/>
      <w:ind w:left="100"/>
    </w:pPr>
    <w:rPr>
      <w:rFonts w:ascii="Calibri" w:eastAsia="Calibri" w:hAnsi="Calibri" w:cs="Calibri"/>
      <w:sz w:val="28"/>
      <w:szCs w:val="28"/>
    </w:rPr>
  </w:style>
  <w:style w:type="character" w:customStyle="1" w:styleId="BodyTextChar">
    <w:name w:val="Body Text Char"/>
    <w:basedOn w:val="DefaultParagraphFont"/>
    <w:link w:val="BodyText"/>
    <w:uiPriority w:val="1"/>
    <w:rsid w:val="002E2B0F"/>
    <w:rPr>
      <w:rFonts w:ascii="Calibri" w:eastAsia="Calibri" w:hAnsi="Calibri" w:cs="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63F29-A27D-42CB-BD4E-47F612F2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Lavan</dc:creator>
  <cp:keywords/>
  <dc:description/>
  <cp:lastModifiedBy>E-Space</cp:lastModifiedBy>
  <cp:revision>2</cp:revision>
  <dcterms:created xsi:type="dcterms:W3CDTF">2024-08-01T13:43:00Z</dcterms:created>
  <dcterms:modified xsi:type="dcterms:W3CDTF">2024-08-01T13:43:00Z</dcterms:modified>
</cp:coreProperties>
</file>