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575"/>
      </w:tblGrid>
      <w:tr w:rsidR="002132F4" w:rsidRPr="004E0C14" w:rsidTr="002132F4">
        <w:trPr>
          <w:trHeight w:val="1833"/>
        </w:trPr>
        <w:tc>
          <w:tcPr>
            <w:tcW w:w="1810" w:type="dxa"/>
          </w:tcPr>
          <w:p w:rsidR="002132F4" w:rsidRPr="00F678CE" w:rsidRDefault="002132F4" w:rsidP="002132F4">
            <w:r w:rsidRPr="00F678CE">
              <w:rPr>
                <w:noProof/>
              </w:rPr>
              <w:drawing>
                <wp:inline distT="0" distB="0" distL="0" distR="0" wp14:anchorId="6CFE661F" wp14:editId="76A0B14A">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2132F4" w:rsidRPr="002132F4" w:rsidRDefault="002132F4" w:rsidP="00617103">
            <w:pPr>
              <w:pStyle w:val="GSRTitle"/>
            </w:pPr>
            <w:r w:rsidRPr="002132F4">
              <w:t>Directrices del GSR12</w:t>
            </w:r>
            <w:r w:rsidR="00617103">
              <w:t xml:space="preserve"> sobre p</w:t>
            </w:r>
            <w:r w:rsidRPr="002132F4">
              <w:t xml:space="preserve">rácticas </w:t>
            </w:r>
            <w:r w:rsidR="00617103">
              <w:t>i</w:t>
            </w:r>
            <w:r w:rsidRPr="002132F4">
              <w:t xml:space="preserve">dóneas </w:t>
            </w:r>
            <w:r w:rsidRPr="002132F4">
              <w:br/>
              <w:t>enfoques de reglamentación para fomentar el acceso a las oportunidades digitales mediante servicios en nube</w:t>
            </w:r>
            <w:r w:rsidR="00C146C7" w:rsidRPr="00C146C7">
              <w:footnoteReference w:id="1"/>
            </w:r>
          </w:p>
        </w:tc>
      </w:tr>
    </w:tbl>
    <w:p w:rsidR="00C67254" w:rsidRDefault="00C67254" w:rsidP="00E2392D">
      <w:pPr>
        <w:spacing w:before="120" w:after="120" w:line="240" w:lineRule="auto"/>
        <w:rPr>
          <w:lang w:val="es-ES_tradnl"/>
        </w:rPr>
      </w:pPr>
      <w:r>
        <w:rPr>
          <w:lang w:val="es-ES_tradnl"/>
        </w:rPr>
        <w:t>El crecimiento de la computación en nube podría dar lugar a enormes ahorros en los costos, y potenciar la eficiencia y la innovación a nivel de los gobiernos, las empresas y los particulares en todo el mundo.</w:t>
      </w:r>
      <w:r w:rsidR="00617103">
        <w:rPr>
          <w:lang w:val="es-ES_tradnl"/>
        </w:rPr>
        <w:t xml:space="preserve"> </w:t>
      </w:r>
      <w:r>
        <w:rPr>
          <w:lang w:val="es-ES_tradnl"/>
        </w:rPr>
        <w:t>Para los empresarios y las actividades económicas, en gran y pequeña escala, la computación en nube ofrece oportunidades económicas excepcionales, gracias a las cuales la inversión puede generar impresionantes ganancias y ahorros en los costos.</w:t>
      </w:r>
      <w:r w:rsidR="00617103">
        <w:rPr>
          <w:lang w:val="es-ES_tradnl"/>
        </w:rPr>
        <w:t xml:space="preserve"> </w:t>
      </w:r>
      <w:r>
        <w:rPr>
          <w:lang w:val="es-ES_tradnl"/>
        </w:rPr>
        <w:t>Actualmente, debido al surgimiento de la computación en nube, los recursos digitales pasan a ser accesible</w:t>
      </w:r>
      <w:r w:rsidR="00FE736C">
        <w:rPr>
          <w:lang w:val="es-ES_tradnl"/>
        </w:rPr>
        <w:t>s</w:t>
      </w:r>
      <w:r>
        <w:rPr>
          <w:lang w:val="es-ES_tradnl"/>
        </w:rPr>
        <w:t xml:space="preserve"> a través de múltiples redes</w:t>
      </w:r>
      <w:r w:rsidR="00DD72F3">
        <w:rPr>
          <w:lang w:val="es-ES_tradnl"/>
        </w:rPr>
        <w:t>,</w:t>
      </w:r>
      <w:r>
        <w:rPr>
          <w:lang w:val="es-ES_tradnl"/>
        </w:rPr>
        <w:t xml:space="preserve"> en todo momento y en cualquier lugar.</w:t>
      </w:r>
      <w:r w:rsidR="00617103">
        <w:rPr>
          <w:lang w:val="es-ES_tradnl"/>
        </w:rPr>
        <w:t xml:space="preserve"> </w:t>
      </w:r>
      <w:r>
        <w:rPr>
          <w:lang w:val="es-ES_tradnl"/>
        </w:rPr>
        <w:t>Sin embargo, para aprovechar cabalmente la computación en nube será necesario que los gobiernos, los diferentes sectores de la industria y los consumidores cooperen y colaboren entre sí para crear confianza en los servicios basados en la computación en nube.</w:t>
      </w:r>
      <w:r w:rsidR="00617103">
        <w:rPr>
          <w:lang w:val="es-ES_tradnl"/>
        </w:rPr>
        <w:t xml:space="preserve"> </w:t>
      </w:r>
      <w:r>
        <w:rPr>
          <w:lang w:val="es-ES_tradnl"/>
        </w:rPr>
        <w:t>Es importante observar que el crecimiento de la computación en nube dependerá de la disponibilidad de redes de banda ancha ubicuas y asequibles a las que tengan acceso los proveedores de servici</w:t>
      </w:r>
      <w:r w:rsidR="00617103">
        <w:rPr>
          <w:lang w:val="es-ES_tradnl"/>
        </w:rPr>
        <w:t>os sin discriminación alguna.</w:t>
      </w:r>
    </w:p>
    <w:p w:rsidR="004D34C6" w:rsidRDefault="00C67254" w:rsidP="00E2392D">
      <w:pPr>
        <w:spacing w:before="120" w:after="120" w:line="240" w:lineRule="auto"/>
        <w:rPr>
          <w:lang w:val="es-ES_tradnl"/>
        </w:rPr>
      </w:pPr>
      <w:r>
        <w:rPr>
          <w:lang w:val="es-ES_tradnl"/>
        </w:rPr>
        <w:t xml:space="preserve">Nosotros, los reguladores participantes en el Simposio Mundial para Organismos Reguladores de 2012, reconocemos que, una reglamentación efectiva y dinámica, </w:t>
      </w:r>
      <w:r w:rsidR="00E2392D">
        <w:rPr>
          <w:lang w:val="es-ES_tradnl"/>
        </w:rPr>
        <w:t>puede facilitar las aportaciones clave para que</w:t>
      </w:r>
      <w:r>
        <w:rPr>
          <w:lang w:val="es-ES_tradnl"/>
        </w:rPr>
        <w:t xml:space="preserve"> la computación en nube </w:t>
      </w:r>
      <w:r w:rsidR="00E2392D">
        <w:rPr>
          <w:lang w:val="es-ES_tradnl"/>
        </w:rPr>
        <w:t>prospere e impulse el</w:t>
      </w:r>
      <w:r>
        <w:rPr>
          <w:lang w:val="es-ES_tradnl"/>
        </w:rPr>
        <w:t xml:space="preserve"> crecimiento económico.</w:t>
      </w:r>
      <w:r w:rsidR="00617103">
        <w:rPr>
          <w:lang w:val="es-ES_tradnl"/>
        </w:rPr>
        <w:t xml:space="preserve"> </w:t>
      </w:r>
      <w:r>
        <w:rPr>
          <w:lang w:val="es-ES_tradnl"/>
        </w:rPr>
        <w:t xml:space="preserve">Por lo tanto, hemos identificado y apoyamos estas prácticas reglamentarias idóneas para </w:t>
      </w:r>
      <w:r w:rsidR="00E2392D">
        <w:rPr>
          <w:lang w:val="es-ES_tradnl"/>
        </w:rPr>
        <w:t>promover</w:t>
      </w:r>
      <w:r w:rsidR="004D34C6">
        <w:rPr>
          <w:lang w:val="es-ES_tradnl"/>
        </w:rPr>
        <w:t xml:space="preserve"> la innovación, la inversión y la competencia en la infraestructura y los servicios en nube y proteja los intereses de los consumidores.</w:t>
      </w:r>
    </w:p>
    <w:p w:rsidR="004D34C6" w:rsidRDefault="00A6057C" w:rsidP="00E2392D">
      <w:pPr>
        <w:spacing w:before="120" w:after="120" w:line="240" w:lineRule="auto"/>
        <w:rPr>
          <w:lang w:val="es-ES_tradnl"/>
        </w:rPr>
      </w:pPr>
      <w:r w:rsidRPr="00A6057C">
        <w:rPr>
          <w:rFonts w:ascii="Calibri" w:hAnsi="Calibri" w:cs="Times New Roman Bold"/>
          <w:b/>
          <w:bCs/>
          <w:iCs/>
          <w:color w:val="A50021"/>
          <w:lang w:val="es-ES_tradnl"/>
        </w:rPr>
        <w:t>Divulgación y fomento de la adopción por parte del sector público:</w:t>
      </w:r>
      <w:r w:rsidR="004D34C6">
        <w:rPr>
          <w:lang w:val="es-ES_tradnl"/>
        </w:rPr>
        <w:t xml:space="preserve"> se deberían tratar de obtener y promover activamente los servicios en nube y las oportunidades y los ahorros que éstos traen consigo para los gobiernos de todo el mundo.</w:t>
      </w:r>
      <w:r w:rsidR="00617103">
        <w:rPr>
          <w:lang w:val="es-ES_tradnl"/>
        </w:rPr>
        <w:t xml:space="preserve"> </w:t>
      </w:r>
      <w:r w:rsidR="004D34C6">
        <w:rPr>
          <w:lang w:val="es-ES_tradnl"/>
        </w:rPr>
        <w:t xml:space="preserve">La </w:t>
      </w:r>
      <w:r w:rsidR="00E2392D">
        <w:rPr>
          <w:lang w:val="es-ES_tradnl"/>
        </w:rPr>
        <w:t>toma de conciencia de estas</w:t>
      </w:r>
      <w:r w:rsidR="004D34C6">
        <w:rPr>
          <w:lang w:val="es-ES_tradnl"/>
        </w:rPr>
        <w:t xml:space="preserve"> </w:t>
      </w:r>
      <w:r w:rsidR="00DD72F3">
        <w:rPr>
          <w:lang w:val="es-ES_tradnl"/>
        </w:rPr>
        <w:t xml:space="preserve">oportunidades </w:t>
      </w:r>
      <w:r w:rsidR="00E2392D">
        <w:rPr>
          <w:lang w:val="es-ES_tradnl"/>
        </w:rPr>
        <w:t>generará</w:t>
      </w:r>
      <w:r w:rsidR="004D34C6">
        <w:rPr>
          <w:lang w:val="es-ES_tradnl"/>
        </w:rPr>
        <w:t xml:space="preserve"> </w:t>
      </w:r>
      <w:r w:rsidR="00DD72F3">
        <w:rPr>
          <w:lang w:val="es-ES_tradnl"/>
        </w:rPr>
        <w:t>posibilida</w:t>
      </w:r>
      <w:r w:rsidR="00E2392D">
        <w:rPr>
          <w:lang w:val="es-ES_tradnl"/>
        </w:rPr>
        <w:t>des económicas y ofrecerá</w:t>
      </w:r>
      <w:r w:rsidR="004D34C6">
        <w:rPr>
          <w:lang w:val="es-ES_tradnl"/>
        </w:rPr>
        <w:t xml:space="preserve"> mayor valor a los ciudadanos, los consumidores y las empresas.</w:t>
      </w:r>
    </w:p>
    <w:p w:rsidR="000B3EA0" w:rsidRDefault="00A6057C" w:rsidP="00E2392D">
      <w:pPr>
        <w:spacing w:before="120" w:after="120" w:line="240" w:lineRule="auto"/>
        <w:rPr>
          <w:lang w:val="es-ES_tradnl"/>
        </w:rPr>
      </w:pPr>
      <w:r w:rsidRPr="00A6057C">
        <w:rPr>
          <w:rFonts w:ascii="Calibri" w:hAnsi="Calibri" w:cs="Times New Roman Bold"/>
          <w:b/>
          <w:bCs/>
          <w:iCs/>
          <w:color w:val="A50021"/>
          <w:lang w:val="es-ES_tradnl"/>
        </w:rPr>
        <w:t>Infraestructura de banda ancha:</w:t>
      </w:r>
      <w:r w:rsidR="004D34C6">
        <w:rPr>
          <w:lang w:val="es-ES_tradnl"/>
        </w:rPr>
        <w:t xml:space="preserve"> los reguladores deben reducir las barreras para el despliegue de la banda ancha, facilitar activamente</w:t>
      </w:r>
      <w:r w:rsidR="000B3EA0">
        <w:rPr>
          <w:lang w:val="es-ES_tradnl"/>
        </w:rPr>
        <w:t xml:space="preserve"> el despliegue de las redes nacionales de fibra óptica y los enlaces</w:t>
      </w:r>
      <w:r w:rsidR="00DD72F3">
        <w:rPr>
          <w:lang w:val="es-ES_tradnl"/>
        </w:rPr>
        <w:t xml:space="preserve"> de</w:t>
      </w:r>
      <w:r w:rsidR="000B3EA0">
        <w:rPr>
          <w:lang w:val="es-ES_tradnl"/>
        </w:rPr>
        <w:t xml:space="preserve"> conectividad internacionales, con inclusión de los cables submarinos, y promover la compartición de infraestructura</w:t>
      </w:r>
      <w:r w:rsidR="00617103">
        <w:rPr>
          <w:lang w:val="es-ES_tradnl"/>
        </w:rPr>
        <w:t xml:space="preserve"> </w:t>
      </w:r>
      <w:r w:rsidR="00E2392D">
        <w:rPr>
          <w:lang w:val="es-ES_tradnl"/>
        </w:rPr>
        <w:t xml:space="preserve">y la coordinación de los trabajos de ingeniería civil </w:t>
      </w:r>
      <w:r w:rsidR="000B3EA0">
        <w:rPr>
          <w:lang w:val="es-ES_tradnl"/>
        </w:rPr>
        <w:t>a través de todos los sectores, así como políticas destinadas a acelerar</w:t>
      </w:r>
      <w:r w:rsidR="00DD72F3">
        <w:rPr>
          <w:lang w:val="es-ES_tradnl"/>
        </w:rPr>
        <w:t xml:space="preserve"> el acceso a</w:t>
      </w:r>
      <w:r w:rsidR="000B3EA0">
        <w:rPr>
          <w:lang w:val="es-ES_tradnl"/>
        </w:rPr>
        <w:t xml:space="preserve"> los derechos de paso, e instalar infraestructuras de centros de datos</w:t>
      </w:r>
      <w:r w:rsidR="00E2392D">
        <w:rPr>
          <w:lang w:val="es-ES_tradnl"/>
        </w:rPr>
        <w:t>. Así se ofrecerán</w:t>
      </w:r>
      <w:r w:rsidR="000B3EA0">
        <w:rPr>
          <w:lang w:val="es-ES_tradnl"/>
        </w:rPr>
        <w:t xml:space="preserve"> incentivos para que se instalen a nivel local redes de distribución de contenidos y empresas de centros de datos.</w:t>
      </w:r>
      <w:r w:rsidR="00617103">
        <w:rPr>
          <w:lang w:val="es-ES_tradnl"/>
        </w:rPr>
        <w:t xml:space="preserve"> </w:t>
      </w:r>
      <w:r w:rsidR="000B3EA0">
        <w:rPr>
          <w:lang w:val="es-ES_tradnl"/>
        </w:rPr>
        <w:t xml:space="preserve">Asimismo, es necesario garantizar la prestación de servicios en zonas con servicios escasos o nulos, incluidos los servicios </w:t>
      </w:r>
      <w:r w:rsidR="00E2392D">
        <w:rPr>
          <w:lang w:val="es-ES_tradnl"/>
        </w:rPr>
        <w:t xml:space="preserve">mejorados </w:t>
      </w:r>
      <w:r w:rsidR="000B3EA0">
        <w:rPr>
          <w:lang w:val="es-ES_tradnl"/>
        </w:rPr>
        <w:t>de emergencia y de acceso.</w:t>
      </w:r>
    </w:p>
    <w:p w:rsidR="00636524" w:rsidRDefault="00636524" w:rsidP="001C02B7">
      <w:pPr>
        <w:spacing w:before="120" w:after="120" w:line="240" w:lineRule="auto"/>
        <w:rPr>
          <w:lang w:val="es-ES_tradnl"/>
        </w:rPr>
      </w:pPr>
      <w:r w:rsidRPr="00636524">
        <w:rPr>
          <w:rFonts w:ascii="Calibri" w:hAnsi="Calibri" w:cs="Times New Roman Bold"/>
          <w:b/>
          <w:bCs/>
          <w:iCs/>
          <w:color w:val="A50021"/>
          <w:lang w:val="es-ES_tradnl"/>
        </w:rPr>
        <w:t>Interconexión IP:</w:t>
      </w:r>
      <w:r>
        <w:rPr>
          <w:lang w:val="es-ES_tradnl"/>
        </w:rPr>
        <w:t xml:space="preserve"> los reguladores deben procurar asegurarse de que todos los usuarios obtienen las máximas ventajas en cuanto a elección, precio y calidad de servicio y minimizar cualquier distorsión o restricción de la competencia.</w:t>
      </w:r>
    </w:p>
    <w:p w:rsidR="00903379" w:rsidRDefault="00A6057C" w:rsidP="009328AA">
      <w:pPr>
        <w:spacing w:before="120" w:after="120" w:line="240" w:lineRule="auto"/>
        <w:rPr>
          <w:lang w:val="es-ES_tradnl"/>
        </w:rPr>
      </w:pPr>
      <w:r w:rsidRPr="00A6057C">
        <w:rPr>
          <w:rFonts w:ascii="Calibri" w:hAnsi="Calibri" w:cs="Times New Roman Bold"/>
          <w:b/>
          <w:bCs/>
          <w:iCs/>
          <w:color w:val="A50021"/>
          <w:lang w:val="es-ES_tradnl"/>
        </w:rPr>
        <w:lastRenderedPageBreak/>
        <w:t>Espectro:</w:t>
      </w:r>
      <w:r w:rsidR="00903379">
        <w:rPr>
          <w:lang w:val="es-ES_tradnl"/>
        </w:rPr>
        <w:t xml:space="preserve"> se pueden tomar diversas medidas para propiciar el futuro de la computación en nube con el fin de liberar el espectro adicional que se necesita absolutamente para la banda ancha inalámbrica, con inclusión de la redistribución del espectro, la apertura de espacios </w:t>
      </w:r>
      <w:r w:rsidR="00DD72F3">
        <w:rPr>
          <w:lang w:val="es-ES_tradnl"/>
        </w:rPr>
        <w:t>blancos</w:t>
      </w:r>
      <w:r w:rsidR="00903379">
        <w:rPr>
          <w:lang w:val="es-ES_tradnl"/>
        </w:rPr>
        <w:t xml:space="preserve"> para utilización sin licencia</w:t>
      </w:r>
      <w:r w:rsidR="004D34C6">
        <w:rPr>
          <w:lang w:val="es-ES_tradnl"/>
        </w:rPr>
        <w:t xml:space="preserve"> </w:t>
      </w:r>
      <w:r w:rsidR="00903379">
        <w:rPr>
          <w:lang w:val="es-ES_tradnl"/>
        </w:rPr>
        <w:t>y la organización de subastas con incentivos.</w:t>
      </w:r>
      <w:r w:rsidR="00617103">
        <w:rPr>
          <w:lang w:val="es-ES_tradnl"/>
        </w:rPr>
        <w:t xml:space="preserve"> </w:t>
      </w:r>
      <w:r w:rsidR="00903379">
        <w:rPr>
          <w:lang w:val="es-ES_tradnl"/>
        </w:rPr>
        <w:t xml:space="preserve">Además, se deben formular políticas que alienten </w:t>
      </w:r>
      <w:r w:rsidR="009328AA">
        <w:rPr>
          <w:lang w:val="es-ES_tradnl"/>
        </w:rPr>
        <w:t xml:space="preserve">de forma general </w:t>
      </w:r>
      <w:r w:rsidR="00903379">
        <w:rPr>
          <w:lang w:val="es-ES_tradnl"/>
        </w:rPr>
        <w:t>la armonización del espectro internacional y la homologación de los dispositivos de comunicaciones.</w:t>
      </w:r>
    </w:p>
    <w:p w:rsidR="00BA629F" w:rsidRDefault="00A6057C" w:rsidP="009328AA">
      <w:pPr>
        <w:spacing w:before="120" w:after="120" w:line="240" w:lineRule="auto"/>
        <w:rPr>
          <w:lang w:val="es-ES_tradnl"/>
        </w:rPr>
      </w:pPr>
      <w:r w:rsidRPr="00A6057C">
        <w:rPr>
          <w:rFonts w:ascii="Calibri" w:hAnsi="Calibri" w:cs="Times New Roman Bold"/>
          <w:b/>
          <w:bCs/>
          <w:iCs/>
          <w:color w:val="A50021"/>
          <w:lang w:val="es-ES_tradnl"/>
        </w:rPr>
        <w:t>Definición de mercado en una nube convergente:</w:t>
      </w:r>
      <w:r w:rsidR="00903379">
        <w:rPr>
          <w:lang w:val="es-ES_tradnl"/>
        </w:rPr>
        <w:t xml:space="preserve"> habida cuenta de la convergencia de redes y servicios, el fomento de la transición a las NGN y la promoción de la competencia, los reguladores podrían considerar la adopción de un enfoque ligero, a nuevos agentes del sector de las TIC tales como los proveedores de </w:t>
      </w:r>
      <w:r w:rsidR="00DD72F3">
        <w:rPr>
          <w:lang w:val="es-ES_tradnl"/>
        </w:rPr>
        <w:t>contenidos</w:t>
      </w:r>
      <w:r w:rsidR="00903379">
        <w:rPr>
          <w:lang w:val="es-ES_tradnl"/>
        </w:rPr>
        <w:t xml:space="preserve"> y aplicaciones</w:t>
      </w:r>
      <w:r w:rsidR="00BA629F">
        <w:rPr>
          <w:lang w:val="es-ES_tradnl"/>
        </w:rPr>
        <w:t>.</w:t>
      </w:r>
    </w:p>
    <w:p w:rsidR="000D4876" w:rsidRDefault="00A6057C" w:rsidP="009328AA">
      <w:pPr>
        <w:spacing w:before="120" w:after="120" w:line="240" w:lineRule="auto"/>
        <w:rPr>
          <w:lang w:val="es-ES_tradnl"/>
        </w:rPr>
      </w:pPr>
      <w:r w:rsidRPr="00A6057C">
        <w:rPr>
          <w:rFonts w:ascii="Calibri" w:hAnsi="Calibri" w:cs="Times New Roman Bold"/>
          <w:b/>
          <w:bCs/>
          <w:iCs/>
          <w:color w:val="A50021"/>
          <w:lang w:val="es-ES_tradnl"/>
        </w:rPr>
        <w:t>Influencia en el mercado:</w:t>
      </w:r>
      <w:r w:rsidR="00BA629F">
        <w:rPr>
          <w:lang w:val="es-ES_tradnl"/>
        </w:rPr>
        <w:t xml:space="preserve"> los reguladores deben </w:t>
      </w:r>
      <w:r w:rsidR="000D4876">
        <w:rPr>
          <w:lang w:val="es-ES_tradnl"/>
        </w:rPr>
        <w:t xml:space="preserve">velar por que los proveedores de comunicaciones no adopten una </w:t>
      </w:r>
      <w:r w:rsidR="00DD72F3">
        <w:rPr>
          <w:lang w:val="es-ES_tradnl"/>
        </w:rPr>
        <w:t>actitud</w:t>
      </w:r>
      <w:r w:rsidR="000D4876">
        <w:rPr>
          <w:lang w:val="es-ES_tradnl"/>
        </w:rPr>
        <w:t xml:space="preserve"> que </w:t>
      </w:r>
      <w:r w:rsidR="009328AA">
        <w:rPr>
          <w:lang w:val="es-ES_tradnl"/>
        </w:rPr>
        <w:t>restrinja la prestación</w:t>
      </w:r>
      <w:r w:rsidR="000D4876">
        <w:rPr>
          <w:lang w:val="es-ES_tradnl"/>
        </w:rPr>
        <w:t xml:space="preserve"> de servicios en nube por motivos que no sean transparentes, objetivos, no discriminatorios y proporcionados.</w:t>
      </w:r>
    </w:p>
    <w:p w:rsidR="000D4876" w:rsidRDefault="00A6057C" w:rsidP="009328AA">
      <w:pPr>
        <w:spacing w:before="120" w:after="120" w:line="240" w:lineRule="auto"/>
        <w:rPr>
          <w:lang w:val="es-ES_tradnl"/>
        </w:rPr>
      </w:pPr>
      <w:r w:rsidRPr="00A6057C">
        <w:rPr>
          <w:rFonts w:ascii="Calibri" w:hAnsi="Calibri" w:cs="Times New Roman Bold"/>
          <w:b/>
          <w:bCs/>
          <w:iCs/>
          <w:color w:val="A50021"/>
          <w:lang w:val="es-ES_tradnl"/>
        </w:rPr>
        <w:t>Observancia:</w:t>
      </w:r>
      <w:r w:rsidR="000D4876">
        <w:rPr>
          <w:lang w:val="es-ES_tradnl"/>
        </w:rPr>
        <w:t xml:space="preserve"> los reguladores deben concebir medios para identificar las infracciones, para asegurar que están en condiciones de responder eficazmente.</w:t>
      </w:r>
      <w:r w:rsidR="00617103">
        <w:rPr>
          <w:lang w:val="es-ES_tradnl"/>
        </w:rPr>
        <w:t xml:space="preserve"> </w:t>
      </w:r>
      <w:r w:rsidR="000D4876">
        <w:rPr>
          <w:lang w:val="es-ES_tradnl"/>
        </w:rPr>
        <w:t xml:space="preserve">Esto puede lograrse mediante 1) la adopción de mecanismos </w:t>
      </w:r>
      <w:proofErr w:type="spellStart"/>
      <w:r w:rsidR="000D4876">
        <w:rPr>
          <w:lang w:val="es-ES_tradnl"/>
        </w:rPr>
        <w:t>autor</w:t>
      </w:r>
      <w:r w:rsidR="00617103">
        <w:rPr>
          <w:lang w:val="es-ES_tradnl"/>
        </w:rPr>
        <w:t>r</w:t>
      </w:r>
      <w:r w:rsidR="000D4876">
        <w:rPr>
          <w:lang w:val="es-ES_tradnl"/>
        </w:rPr>
        <w:t>eguladores</w:t>
      </w:r>
      <w:proofErr w:type="spellEnd"/>
      <w:r w:rsidR="000D4876">
        <w:rPr>
          <w:lang w:val="es-ES_tradnl"/>
        </w:rPr>
        <w:t>, a tenor de los cuales los proveedores de servicios de contenidos notifican al correspondiente regulador las brechas de la seguridad, 2) la introducción de cambios ideales en ciertos aspectos de la legislación sobre protección de datos que son imposibles de controlar y por consiguiente no pueden hacerse cumplir en la práctica</w:t>
      </w:r>
      <w:r w:rsidR="00942939">
        <w:rPr>
          <w:lang w:val="es-ES_tradnl"/>
        </w:rPr>
        <w:t xml:space="preserve"> y 3) mecanismos eficaces para atender las quejas y solucionar los litigios, incluidos mecanismos alternativos para resolución de controversias</w:t>
      </w:r>
      <w:r w:rsidR="000D4876">
        <w:rPr>
          <w:lang w:val="es-ES_tradnl"/>
        </w:rPr>
        <w:t>.</w:t>
      </w:r>
    </w:p>
    <w:p w:rsidR="000D4876" w:rsidRDefault="00A6057C" w:rsidP="00942939">
      <w:pPr>
        <w:spacing w:before="120" w:after="120" w:line="240" w:lineRule="auto"/>
        <w:rPr>
          <w:lang w:val="es-ES_tradnl"/>
        </w:rPr>
      </w:pPr>
      <w:r w:rsidRPr="00A6057C">
        <w:rPr>
          <w:rFonts w:ascii="Calibri" w:hAnsi="Calibri" w:cs="Times New Roman Bold"/>
          <w:b/>
          <w:bCs/>
          <w:iCs/>
          <w:color w:val="A50021"/>
          <w:lang w:val="es-ES_tradnl"/>
        </w:rPr>
        <w:t>Transparencia en nube:</w:t>
      </w:r>
      <w:r w:rsidR="000D4876">
        <w:rPr>
          <w:lang w:val="es-ES_tradnl"/>
        </w:rPr>
        <w:t xml:space="preserve"> los reguladores podrían considerar la posibilidad de </w:t>
      </w:r>
      <w:r w:rsidR="00942939">
        <w:rPr>
          <w:lang w:val="es-ES_tradnl"/>
        </w:rPr>
        <w:t>alentar</w:t>
      </w:r>
      <w:r w:rsidR="000D4876">
        <w:rPr>
          <w:lang w:val="es-ES_tradnl"/>
        </w:rPr>
        <w:t xml:space="preserve"> a los proveedores de servicios en nube (PSN) </w:t>
      </w:r>
      <w:r w:rsidR="00942939">
        <w:rPr>
          <w:lang w:val="es-ES_tradnl"/>
        </w:rPr>
        <w:t>o incluir</w:t>
      </w:r>
      <w:r w:rsidR="000D4876">
        <w:rPr>
          <w:lang w:val="es-ES_tradnl"/>
        </w:rPr>
        <w:t xml:space="preserve"> obligaciones específicas como la de notificar a los usuarios acerca de la cadena de proveedores que respaldan el suministro </w:t>
      </w:r>
      <w:r w:rsidR="00942939">
        <w:rPr>
          <w:lang w:val="es-ES_tradnl"/>
        </w:rPr>
        <w:t>de servicios en nube</w:t>
      </w:r>
      <w:r w:rsidR="000D4876">
        <w:rPr>
          <w:lang w:val="es-ES_tradnl"/>
        </w:rPr>
        <w:t>.</w:t>
      </w:r>
      <w:r w:rsidR="00617103">
        <w:rPr>
          <w:lang w:val="es-ES_tradnl"/>
        </w:rPr>
        <w:t xml:space="preserve"> </w:t>
      </w:r>
      <w:r w:rsidR="000D4876">
        <w:rPr>
          <w:lang w:val="es-ES_tradnl"/>
        </w:rPr>
        <w:t>Asimismo, los reguladores deben garantizar que los PSI ofrecen mayor transparencia a los usuarios en relación con las prácticas de gestión del tráfico que aplican las empresas en sus redes.</w:t>
      </w:r>
    </w:p>
    <w:p w:rsidR="00E729D5" w:rsidRDefault="00A6057C" w:rsidP="001C02B7">
      <w:pPr>
        <w:spacing w:before="120" w:after="120" w:line="240" w:lineRule="auto"/>
        <w:rPr>
          <w:lang w:val="es-ES_tradnl"/>
        </w:rPr>
      </w:pPr>
      <w:r w:rsidRPr="00A6057C">
        <w:rPr>
          <w:rFonts w:ascii="Calibri" w:hAnsi="Calibri" w:cs="Times New Roman Bold"/>
          <w:b/>
          <w:bCs/>
          <w:iCs/>
          <w:color w:val="A50021"/>
          <w:lang w:val="es-ES_tradnl"/>
        </w:rPr>
        <w:t>Proceso consultivo:</w:t>
      </w:r>
      <w:r w:rsidR="000D4876">
        <w:rPr>
          <w:lang w:val="es-ES_tradnl"/>
        </w:rPr>
        <w:t xml:space="preserve"> los reguladores deben consultar a los PSN y a otros agentes de mercado acerca del tratamiento y la clasificación reglamentaria adecuados de ciertos servicios en nube, con miras a divulgar orientaciones que proporcionen certidumbre jurídica a los nuevos agentes de mercado y los usuarios </w:t>
      </w:r>
      <w:r w:rsidR="00DD72F3">
        <w:rPr>
          <w:lang w:val="es-ES_tradnl"/>
        </w:rPr>
        <w:t xml:space="preserve">de servicios </w:t>
      </w:r>
      <w:r w:rsidR="000D4876">
        <w:rPr>
          <w:lang w:val="es-ES_tradnl"/>
        </w:rPr>
        <w:t>en nube, po</w:t>
      </w:r>
      <w:r w:rsidR="00DD72F3">
        <w:rPr>
          <w:lang w:val="es-ES_tradnl"/>
        </w:rPr>
        <w:t>r</w:t>
      </w:r>
      <w:r w:rsidR="000D4876">
        <w:rPr>
          <w:lang w:val="es-ES_tradnl"/>
        </w:rPr>
        <w:t xml:space="preserve"> ejemplo mediante la organización de foros con participación de múltiples interesados </w:t>
      </w:r>
      <w:r w:rsidR="00E729D5">
        <w:rPr>
          <w:lang w:val="es-ES_tradnl"/>
        </w:rPr>
        <w:t xml:space="preserve">con el fin de </w:t>
      </w:r>
      <w:r w:rsidR="00DD72F3">
        <w:rPr>
          <w:lang w:val="es-ES_tradnl"/>
        </w:rPr>
        <w:t>concebir</w:t>
      </w:r>
      <w:r w:rsidR="00E729D5">
        <w:rPr>
          <w:lang w:val="es-ES_tradnl"/>
        </w:rPr>
        <w:t xml:space="preserve"> prácticas idóneas para proteger a los consumidores.</w:t>
      </w:r>
    </w:p>
    <w:p w:rsidR="00E729D5" w:rsidRDefault="00A6057C" w:rsidP="00942939">
      <w:pPr>
        <w:spacing w:before="120" w:after="120" w:line="240" w:lineRule="auto"/>
        <w:rPr>
          <w:lang w:val="es-ES_tradnl"/>
        </w:rPr>
      </w:pPr>
      <w:r w:rsidRPr="00A6057C">
        <w:rPr>
          <w:rFonts w:ascii="Calibri" w:hAnsi="Calibri" w:cs="Times New Roman Bold"/>
          <w:b/>
          <w:bCs/>
          <w:iCs/>
          <w:color w:val="A50021"/>
          <w:lang w:val="es-ES_tradnl"/>
        </w:rPr>
        <w:t>Neutralidad de la red:</w:t>
      </w:r>
      <w:r w:rsidR="000D4876">
        <w:rPr>
          <w:lang w:val="es-ES_tradnl"/>
        </w:rPr>
        <w:t xml:space="preserve"> </w:t>
      </w:r>
      <w:r w:rsidR="00E729D5">
        <w:rPr>
          <w:lang w:val="es-ES_tradnl"/>
        </w:rPr>
        <w:t>siempre se necesitará cierta gestión del tráfico para reducir al mínimo la congestión de la red.</w:t>
      </w:r>
      <w:r w:rsidR="00617103">
        <w:rPr>
          <w:lang w:val="es-ES_tradnl"/>
        </w:rPr>
        <w:t xml:space="preserve"> </w:t>
      </w:r>
      <w:r w:rsidR="00E729D5">
        <w:rPr>
          <w:lang w:val="es-ES_tradnl"/>
        </w:rPr>
        <w:t xml:space="preserve">Los reguladores deberían tratar de regular la utilización de </w:t>
      </w:r>
      <w:r w:rsidR="00942939">
        <w:rPr>
          <w:lang w:val="es-ES_tradnl"/>
        </w:rPr>
        <w:t xml:space="preserve">las </w:t>
      </w:r>
      <w:r w:rsidR="00A02FE9">
        <w:rPr>
          <w:lang w:val="es-ES_tradnl"/>
        </w:rPr>
        <w:t>técnicas</w:t>
      </w:r>
      <w:r w:rsidR="00942939">
        <w:rPr>
          <w:lang w:val="es-ES_tradnl"/>
        </w:rPr>
        <w:t xml:space="preserve"> de gestión de tráfico</w:t>
      </w:r>
      <w:r w:rsidR="00E729D5">
        <w:rPr>
          <w:lang w:val="es-ES_tradnl"/>
        </w:rPr>
        <w:t xml:space="preserve"> y aplicar ciertas </w:t>
      </w:r>
      <w:r w:rsidR="00942939">
        <w:rPr>
          <w:lang w:val="es-ES_tradnl"/>
        </w:rPr>
        <w:t>medidas</w:t>
      </w:r>
      <w:r w:rsidR="00E729D5">
        <w:rPr>
          <w:lang w:val="es-ES_tradnl"/>
        </w:rPr>
        <w:t xml:space="preserve"> de una manera que no resulte injustamente discriminatoria para los </w:t>
      </w:r>
      <w:r w:rsidR="00942939">
        <w:rPr>
          <w:lang w:val="es-ES_tradnl"/>
        </w:rPr>
        <w:t>actores del mercado</w:t>
      </w:r>
      <w:r w:rsidR="00E729D5">
        <w:rPr>
          <w:lang w:val="es-ES_tradnl"/>
        </w:rPr>
        <w:t>.</w:t>
      </w:r>
    </w:p>
    <w:p w:rsidR="00E729D5" w:rsidRDefault="00E729D5" w:rsidP="001C02B7">
      <w:pPr>
        <w:spacing w:before="120" w:after="120" w:line="240" w:lineRule="auto"/>
        <w:rPr>
          <w:lang w:val="es-ES_tradnl"/>
        </w:rPr>
      </w:pPr>
      <w:r>
        <w:rPr>
          <w:lang w:val="es-ES_tradnl"/>
        </w:rPr>
        <w:t>Los reguladores también podrían tener que revisar la legislación sobre competencia para determinar si en las leyes o reglamentaciones antidiscriminatorias en vigor se abordan adecuadamente los aspectos relacionados con la competencia que tienden a afectar la neutralidad de la red.</w:t>
      </w:r>
    </w:p>
    <w:p w:rsidR="00E729D5" w:rsidRDefault="001C02B7" w:rsidP="00942939">
      <w:pPr>
        <w:spacing w:before="120" w:after="120" w:line="240" w:lineRule="auto"/>
        <w:rPr>
          <w:lang w:val="es-ES_tradnl"/>
        </w:rPr>
      </w:pPr>
      <w:r w:rsidRPr="001C02B7">
        <w:rPr>
          <w:rFonts w:ascii="Calibri" w:hAnsi="Calibri" w:cs="Times New Roman Bold"/>
          <w:b/>
          <w:bCs/>
          <w:iCs/>
          <w:color w:val="A50021"/>
          <w:lang w:val="es-ES_tradnl"/>
        </w:rPr>
        <w:t>Calidad de servicio (</w:t>
      </w:r>
      <w:proofErr w:type="spellStart"/>
      <w:r w:rsidR="00744DEB" w:rsidRPr="001C02B7">
        <w:rPr>
          <w:rFonts w:ascii="Calibri" w:hAnsi="Calibri" w:cs="Times New Roman Bold"/>
          <w:b/>
          <w:bCs/>
          <w:iCs/>
          <w:color w:val="A50021"/>
          <w:lang w:val="es-ES_tradnl"/>
        </w:rPr>
        <w:t>quality</w:t>
      </w:r>
      <w:proofErr w:type="spellEnd"/>
      <w:r w:rsidR="00744DEB" w:rsidRPr="001C02B7">
        <w:rPr>
          <w:rFonts w:ascii="Calibri" w:hAnsi="Calibri" w:cs="Times New Roman Bold"/>
          <w:b/>
          <w:bCs/>
          <w:iCs/>
          <w:color w:val="A50021"/>
          <w:lang w:val="es-ES_tradnl"/>
        </w:rPr>
        <w:t xml:space="preserve"> </w:t>
      </w:r>
      <w:r w:rsidRPr="001C02B7">
        <w:rPr>
          <w:rFonts w:ascii="Calibri" w:hAnsi="Calibri" w:cs="Times New Roman Bold"/>
          <w:b/>
          <w:bCs/>
          <w:iCs/>
          <w:color w:val="A50021"/>
          <w:lang w:val="es-ES_tradnl"/>
        </w:rPr>
        <w:t xml:space="preserve">of </w:t>
      </w:r>
      <w:proofErr w:type="spellStart"/>
      <w:r w:rsidRPr="001C02B7">
        <w:rPr>
          <w:rFonts w:ascii="Calibri" w:hAnsi="Calibri" w:cs="Times New Roman Bold"/>
          <w:b/>
          <w:bCs/>
          <w:iCs/>
          <w:color w:val="A50021"/>
          <w:lang w:val="es-ES_tradnl"/>
        </w:rPr>
        <w:t>service</w:t>
      </w:r>
      <w:proofErr w:type="spellEnd"/>
      <w:r w:rsidRPr="001C02B7">
        <w:rPr>
          <w:rFonts w:ascii="Calibri" w:hAnsi="Calibri" w:cs="Times New Roman Bold"/>
          <w:b/>
          <w:bCs/>
          <w:iCs/>
          <w:color w:val="A50021"/>
          <w:lang w:val="es-ES_tradnl"/>
        </w:rPr>
        <w:t xml:space="preserve">, </w:t>
      </w:r>
      <w:proofErr w:type="spellStart"/>
      <w:r w:rsidRPr="001C02B7">
        <w:rPr>
          <w:rFonts w:ascii="Calibri" w:hAnsi="Calibri" w:cs="Times New Roman Bold"/>
          <w:b/>
          <w:bCs/>
          <w:iCs/>
          <w:color w:val="A50021"/>
          <w:lang w:val="es-ES_tradnl"/>
        </w:rPr>
        <w:t>QoS</w:t>
      </w:r>
      <w:proofErr w:type="spellEnd"/>
      <w:r w:rsidRPr="001C02B7">
        <w:rPr>
          <w:rFonts w:ascii="Calibri" w:hAnsi="Calibri" w:cs="Times New Roman Bold"/>
          <w:b/>
          <w:bCs/>
          <w:iCs/>
          <w:color w:val="A50021"/>
          <w:lang w:val="es-ES_tradnl"/>
        </w:rPr>
        <w:t>):</w:t>
      </w:r>
      <w:r>
        <w:rPr>
          <w:lang w:val="es-ES_tradnl"/>
        </w:rPr>
        <w:t xml:space="preserve"> </w:t>
      </w:r>
      <w:r w:rsidR="00942939">
        <w:rPr>
          <w:lang w:val="es-ES_tradnl"/>
        </w:rPr>
        <w:t>un cierto número de</w:t>
      </w:r>
      <w:r w:rsidR="00E729D5">
        <w:rPr>
          <w:lang w:val="es-ES_tradnl"/>
        </w:rPr>
        <w:t xml:space="preserve"> reguladores </w:t>
      </w:r>
      <w:r w:rsidR="00942939">
        <w:rPr>
          <w:lang w:val="es-ES_tradnl"/>
        </w:rPr>
        <w:t>cumplen los</w:t>
      </w:r>
      <w:r w:rsidR="00E729D5">
        <w:rPr>
          <w:lang w:val="es-ES_tradnl"/>
        </w:rPr>
        <w:t xml:space="preserve"> requisitos mínimos de </w:t>
      </w:r>
      <w:proofErr w:type="spellStart"/>
      <w:r w:rsidR="00E729D5">
        <w:rPr>
          <w:lang w:val="es-ES_tradnl"/>
        </w:rPr>
        <w:t>QoS</w:t>
      </w:r>
      <w:proofErr w:type="spellEnd"/>
      <w:r w:rsidR="00E729D5">
        <w:rPr>
          <w:lang w:val="es-ES_tradnl"/>
        </w:rPr>
        <w:t xml:space="preserve">, con el fin de asegurar que los </w:t>
      </w:r>
      <w:r w:rsidR="00DD72F3">
        <w:rPr>
          <w:lang w:val="es-ES_tradnl"/>
        </w:rPr>
        <w:t xml:space="preserve">consumidores y los proveedores </w:t>
      </w:r>
      <w:r w:rsidR="00942939">
        <w:rPr>
          <w:lang w:val="es-ES_tradnl"/>
        </w:rPr>
        <w:t>cuentan con servicios fiables e ininterrumpidos incluido el acceso a la información personal en la nube</w:t>
      </w:r>
      <w:r w:rsidR="00E729D5">
        <w:rPr>
          <w:lang w:val="es-ES_tradnl"/>
        </w:rPr>
        <w:t>.</w:t>
      </w:r>
      <w:r w:rsidR="00617103">
        <w:rPr>
          <w:lang w:val="es-ES_tradnl"/>
        </w:rPr>
        <w:t xml:space="preserve"> </w:t>
      </w:r>
      <w:r w:rsidR="00E729D5">
        <w:rPr>
          <w:lang w:val="es-ES_tradnl"/>
        </w:rPr>
        <w:t xml:space="preserve">Para prestar esos servicios, los proveedores de red deberán velar por 1) la transparencia y claridad de los términos de los contratos firmados por los consumidores; 2) la publicación de información comparable sobre la disponibilidad y la </w:t>
      </w:r>
      <w:proofErr w:type="spellStart"/>
      <w:r w:rsidR="00E729D5">
        <w:rPr>
          <w:lang w:val="es-ES_tradnl"/>
        </w:rPr>
        <w:t>QoS</w:t>
      </w:r>
      <w:proofErr w:type="spellEnd"/>
      <w:r w:rsidR="00942939">
        <w:rPr>
          <w:lang w:val="es-ES_tradnl"/>
        </w:rPr>
        <w:t xml:space="preserve"> y</w:t>
      </w:r>
      <w:r w:rsidR="00E729D5">
        <w:rPr>
          <w:lang w:val="es-ES_tradnl"/>
        </w:rPr>
        <w:t xml:space="preserve"> 3) </w:t>
      </w:r>
      <w:r w:rsidR="00942939">
        <w:rPr>
          <w:lang w:val="es-ES_tradnl"/>
        </w:rPr>
        <w:t>comunicar los</w:t>
      </w:r>
      <w:r w:rsidR="00E729D5">
        <w:rPr>
          <w:lang w:val="es-ES_tradnl"/>
        </w:rPr>
        <w:t xml:space="preserve"> requisitos mínimos de </w:t>
      </w:r>
      <w:proofErr w:type="spellStart"/>
      <w:r w:rsidR="00E729D5">
        <w:rPr>
          <w:lang w:val="es-ES_tradnl"/>
        </w:rPr>
        <w:t>QoS</w:t>
      </w:r>
      <w:proofErr w:type="spellEnd"/>
      <w:r w:rsidR="00E729D5">
        <w:rPr>
          <w:lang w:val="es-ES_tradnl"/>
        </w:rPr>
        <w:t xml:space="preserve"> a los consumidores.</w:t>
      </w:r>
    </w:p>
    <w:p w:rsidR="00864F99" w:rsidRDefault="00A6057C" w:rsidP="001C02B7">
      <w:pPr>
        <w:spacing w:before="120" w:after="120" w:line="240" w:lineRule="auto"/>
        <w:rPr>
          <w:lang w:val="es-ES_tradnl"/>
        </w:rPr>
      </w:pPr>
      <w:r w:rsidRPr="00A6057C">
        <w:rPr>
          <w:rFonts w:ascii="Calibri" w:hAnsi="Calibri" w:cs="Times New Roman Bold"/>
          <w:b/>
          <w:bCs/>
          <w:iCs/>
          <w:color w:val="A50021"/>
          <w:lang w:val="es-ES_tradnl"/>
        </w:rPr>
        <w:t>Capacitación del consumidor:</w:t>
      </w:r>
      <w:r w:rsidR="00E729D5">
        <w:rPr>
          <w:lang w:val="es-ES_tradnl"/>
        </w:rPr>
        <w:t xml:space="preserve"> los encargados de elaborar políticas deben garantizar que los consumidores están capacitados para controlar sus datos personales y proteger su privacidad, facilitando con ese fin la alfabetización en nube.</w:t>
      </w:r>
      <w:r w:rsidR="00617103">
        <w:rPr>
          <w:lang w:val="es-ES_tradnl"/>
        </w:rPr>
        <w:t xml:space="preserve"> </w:t>
      </w:r>
      <w:r w:rsidR="00864F99">
        <w:rPr>
          <w:lang w:val="es-ES_tradnl"/>
        </w:rPr>
        <w:t xml:space="preserve">Los usuarios en nube deben estar seguros de que la </w:t>
      </w:r>
      <w:r w:rsidR="00864F99">
        <w:rPr>
          <w:lang w:val="es-ES_tradnl"/>
        </w:rPr>
        <w:lastRenderedPageBreak/>
        <w:t xml:space="preserve">información almacenada o procesada en la nube no se utilizará </w:t>
      </w:r>
      <w:r w:rsidR="00DD72F3">
        <w:rPr>
          <w:lang w:val="es-ES_tradnl"/>
        </w:rPr>
        <w:t>o</w:t>
      </w:r>
      <w:r w:rsidR="00864F99">
        <w:rPr>
          <w:lang w:val="es-ES_tradnl"/>
        </w:rPr>
        <w:t xml:space="preserve"> divulgará de una manera imprevista o perjudicial.</w:t>
      </w:r>
    </w:p>
    <w:p w:rsidR="00864F99" w:rsidRDefault="001C02B7" w:rsidP="001C02B7">
      <w:pPr>
        <w:spacing w:before="120" w:after="120" w:line="240" w:lineRule="auto"/>
        <w:rPr>
          <w:lang w:val="es-ES_tradnl"/>
        </w:rPr>
      </w:pPr>
      <w:r w:rsidRPr="001C02B7">
        <w:rPr>
          <w:rFonts w:ascii="Calibri" w:hAnsi="Calibri" w:cs="Times New Roman Bold"/>
          <w:b/>
          <w:bCs/>
          <w:iCs/>
          <w:color w:val="A50021"/>
          <w:lang w:val="es-ES_tradnl"/>
        </w:rPr>
        <w:t>Protección de los datos y la privacidad</w:t>
      </w:r>
      <w:r>
        <w:rPr>
          <w:rFonts w:ascii="Calibri" w:hAnsi="Calibri" w:cs="Times New Roman Bold"/>
          <w:b/>
          <w:bCs/>
          <w:iCs/>
          <w:color w:val="A50021"/>
          <w:lang w:val="es-ES_tradnl"/>
        </w:rPr>
        <w:t>:</w:t>
      </w:r>
      <w:r>
        <w:rPr>
          <w:lang w:val="es-ES_tradnl"/>
        </w:rPr>
        <w:t xml:space="preserve"> </w:t>
      </w:r>
      <w:r w:rsidR="00864F99">
        <w:rPr>
          <w:lang w:val="es-ES_tradnl"/>
        </w:rPr>
        <w:t xml:space="preserve">los organismos internacionales, así como los reguladores y los encargados de formular políticas a nivel nacional, deben aunar sus esfuerzos por elaborar leyes eficaces, efectivas, proporcionales y </w:t>
      </w:r>
      <w:r w:rsidR="00DD72F3">
        <w:rPr>
          <w:lang w:val="es-ES_tradnl"/>
        </w:rPr>
        <w:t>ejecutables</w:t>
      </w:r>
      <w:r w:rsidR="00864F99">
        <w:rPr>
          <w:lang w:val="es-ES_tradnl"/>
        </w:rPr>
        <w:t xml:space="preserve"> para proteger la razonable expectativa de privacidad del consumidor.</w:t>
      </w:r>
      <w:r w:rsidR="00617103">
        <w:rPr>
          <w:lang w:val="es-ES_tradnl"/>
        </w:rPr>
        <w:t xml:space="preserve"> </w:t>
      </w:r>
      <w:r w:rsidR="00864F99">
        <w:rPr>
          <w:lang w:val="es-ES_tradnl"/>
        </w:rPr>
        <w:t>Los interesados también deberían asumir la responsabilidad de la autor</w:t>
      </w:r>
      <w:r w:rsidR="00617103">
        <w:rPr>
          <w:lang w:val="es-ES_tradnl"/>
        </w:rPr>
        <w:t>r</w:t>
      </w:r>
      <w:r w:rsidR="00864F99">
        <w:rPr>
          <w:lang w:val="es-ES_tradnl"/>
        </w:rPr>
        <w:t>egulación, por ejemplo mediante el establecimiento de políticas de privacidad transparentes y adecuadas para los servicios que proporcionan.</w:t>
      </w:r>
      <w:r w:rsidR="00617103">
        <w:rPr>
          <w:lang w:val="es-ES_tradnl"/>
        </w:rPr>
        <w:t xml:space="preserve"> </w:t>
      </w:r>
      <w:r w:rsidR="00864F99">
        <w:rPr>
          <w:lang w:val="es-ES_tradnl"/>
        </w:rPr>
        <w:t>Asimismo, los gobiernos deberían seguir trabajando de consuno para asegurarse de que ninguna entidad individual adopta reglamentaciones sobre privacidad que resulten tan engorrosas que restrinjan el libre flujo de información o impidan a los PSN aumentar al máximo el ahorro en los costos inherente a esos servicios.</w:t>
      </w:r>
    </w:p>
    <w:p w:rsidR="00DF7C4A" w:rsidRDefault="00AB7263" w:rsidP="001C02B7">
      <w:pPr>
        <w:spacing w:before="120" w:after="120" w:line="240" w:lineRule="auto"/>
        <w:rPr>
          <w:lang w:val="es-ES_tradnl"/>
        </w:rPr>
      </w:pPr>
      <w:r w:rsidRPr="00AB7263">
        <w:rPr>
          <w:rFonts w:ascii="Calibri" w:hAnsi="Calibri" w:cs="Times New Roman Bold"/>
          <w:b/>
          <w:bCs/>
          <w:iCs/>
          <w:color w:val="A50021"/>
          <w:lang w:val="es-ES_tradnl"/>
        </w:rPr>
        <w:t>Normas en nube</w:t>
      </w:r>
      <w:r w:rsidR="00A6057C" w:rsidRPr="00A6057C">
        <w:rPr>
          <w:rFonts w:ascii="Calibri" w:hAnsi="Calibri" w:cs="Times New Roman Bold"/>
          <w:b/>
          <w:bCs/>
          <w:iCs/>
          <w:color w:val="A50021"/>
          <w:lang w:val="es-ES_tradnl"/>
        </w:rPr>
        <w:t>:</w:t>
      </w:r>
      <w:r>
        <w:rPr>
          <w:lang w:val="es-ES_tradnl"/>
        </w:rPr>
        <w:t xml:space="preserve"> </w:t>
      </w:r>
      <w:r w:rsidR="00864F99">
        <w:rPr>
          <w:lang w:val="es-ES_tradnl"/>
        </w:rPr>
        <w:t xml:space="preserve">es preciso establecer y adoptar normas técnicas y orgánicas adecuadas a nivel nacional, regional e internacional </w:t>
      </w:r>
      <w:r w:rsidR="00DF7C4A">
        <w:rPr>
          <w:lang w:val="es-ES_tradnl"/>
        </w:rPr>
        <w:t>para atender toda una serie de inquietudes entre los proveedores y usuarios de servicios en nube, incluida la integración de los sistemas tradicionales con las interfaces en nube, la portabilidad y la seguridad de los datos y las aplicaciones.</w:t>
      </w:r>
    </w:p>
    <w:p w:rsidR="00DF7C4A" w:rsidRDefault="00AB7263" w:rsidP="006726CC">
      <w:pPr>
        <w:spacing w:before="120" w:after="120" w:line="240" w:lineRule="auto"/>
        <w:rPr>
          <w:lang w:val="es-ES_tradnl"/>
        </w:rPr>
      </w:pPr>
      <w:r w:rsidRPr="00AB7263">
        <w:rPr>
          <w:rFonts w:ascii="Calibri" w:hAnsi="Calibri" w:cs="Times New Roman Bold"/>
          <w:b/>
          <w:bCs/>
          <w:iCs/>
          <w:color w:val="A50021"/>
          <w:lang w:val="es-ES_tradnl"/>
        </w:rPr>
        <w:t>Portabilidad de los datos</w:t>
      </w:r>
      <w:r w:rsidR="00A6057C" w:rsidRPr="00A6057C">
        <w:rPr>
          <w:rFonts w:ascii="Calibri" w:hAnsi="Calibri" w:cs="Times New Roman Bold"/>
          <w:b/>
          <w:bCs/>
          <w:iCs/>
          <w:color w:val="A50021"/>
          <w:lang w:val="es-ES_tradnl"/>
        </w:rPr>
        <w:t>:</w:t>
      </w:r>
      <w:r w:rsidR="00DF7C4A">
        <w:rPr>
          <w:lang w:val="es-ES_tradnl"/>
        </w:rPr>
        <w:t xml:space="preserve"> l</w:t>
      </w:r>
      <w:r w:rsidR="006726CC">
        <w:rPr>
          <w:lang w:val="es-ES_tradnl"/>
        </w:rPr>
        <w:t>a</w:t>
      </w:r>
      <w:r w:rsidR="00DF7C4A">
        <w:rPr>
          <w:lang w:val="es-ES_tradnl"/>
        </w:rPr>
        <w:t>s interfaces de programación de aplicación (</w:t>
      </w:r>
      <w:proofErr w:type="spellStart"/>
      <w:r w:rsidR="005E2694" w:rsidRPr="005E2694">
        <w:rPr>
          <w:lang w:val="es-ES_tradnl"/>
        </w:rPr>
        <w:t>application</w:t>
      </w:r>
      <w:proofErr w:type="spellEnd"/>
      <w:r w:rsidR="005E2694" w:rsidRPr="005E2694">
        <w:rPr>
          <w:lang w:val="es-ES_tradnl"/>
        </w:rPr>
        <w:t xml:space="preserve"> </w:t>
      </w:r>
      <w:proofErr w:type="spellStart"/>
      <w:r w:rsidR="005E2694" w:rsidRPr="005E2694">
        <w:rPr>
          <w:lang w:val="es-ES_tradnl"/>
        </w:rPr>
        <w:t>programming</w:t>
      </w:r>
      <w:proofErr w:type="spellEnd"/>
      <w:r w:rsidR="005E2694" w:rsidRPr="005E2694">
        <w:rPr>
          <w:lang w:val="es-ES_tradnl"/>
        </w:rPr>
        <w:t xml:space="preserve"> interfaces</w:t>
      </w:r>
      <w:r w:rsidR="00DF7C4A">
        <w:rPr>
          <w:lang w:val="es-ES_tradnl"/>
        </w:rPr>
        <w:t>, API) de la computación en nube patentad</w:t>
      </w:r>
      <w:r w:rsidR="006726CC">
        <w:rPr>
          <w:lang w:val="es-ES_tradnl"/>
        </w:rPr>
        <w:t>a</w:t>
      </w:r>
      <w:r w:rsidR="00DF7C4A">
        <w:rPr>
          <w:lang w:val="es-ES_tradnl"/>
        </w:rPr>
        <w:t xml:space="preserve">s </w:t>
      </w:r>
      <w:r w:rsidR="006726CC">
        <w:rPr>
          <w:lang w:val="es-ES_tradnl"/>
        </w:rPr>
        <w:t>pueden limitar</w:t>
      </w:r>
      <w:r w:rsidR="00DF7C4A">
        <w:rPr>
          <w:lang w:val="es-ES_tradnl"/>
        </w:rPr>
        <w:t xml:space="preserve"> la capacidad de los consumidores para cambiar de proveedor (efecto de </w:t>
      </w:r>
      <w:r w:rsidR="005E2694">
        <w:rPr>
          <w:lang w:val="es-ES_tradnl"/>
        </w:rPr>
        <w:t>"</w:t>
      </w:r>
      <w:r w:rsidR="00DF7C4A">
        <w:rPr>
          <w:lang w:val="es-ES_tradnl"/>
        </w:rPr>
        <w:t>enganche</w:t>
      </w:r>
      <w:r w:rsidR="005E2694">
        <w:rPr>
          <w:lang w:val="es-ES_tradnl"/>
        </w:rPr>
        <w:t>"</w:t>
      </w:r>
      <w:r w:rsidR="00DF7C4A">
        <w:rPr>
          <w:lang w:val="es-ES_tradnl"/>
        </w:rPr>
        <w:t>).</w:t>
      </w:r>
      <w:r w:rsidR="00617103">
        <w:rPr>
          <w:lang w:val="es-ES_tradnl"/>
        </w:rPr>
        <w:t xml:space="preserve"> </w:t>
      </w:r>
      <w:r w:rsidR="00DF7C4A">
        <w:rPr>
          <w:lang w:val="es-ES_tradnl"/>
        </w:rPr>
        <w:t>La normalización de las API facilitaría la portabilidad de los datos y conduciría a una mayor fiabilidad, al permitir que múltiples proveedores de computación en nube desempeñen las mismas funciones.</w:t>
      </w:r>
    </w:p>
    <w:p w:rsidR="00DF7C4A" w:rsidRDefault="00AB7263" w:rsidP="001C02B7">
      <w:pPr>
        <w:spacing w:before="120" w:after="120" w:line="240" w:lineRule="auto"/>
        <w:rPr>
          <w:lang w:val="es-ES_tradnl"/>
        </w:rPr>
      </w:pPr>
      <w:r w:rsidRPr="00AB7263">
        <w:rPr>
          <w:rFonts w:ascii="Calibri" w:hAnsi="Calibri" w:cs="Times New Roman Bold"/>
          <w:b/>
          <w:bCs/>
          <w:iCs/>
          <w:color w:val="A50021"/>
          <w:lang w:val="es-ES_tradnl"/>
        </w:rPr>
        <w:t>Compatibilidad</w:t>
      </w:r>
      <w:r w:rsidR="00A6057C" w:rsidRPr="00A6057C">
        <w:rPr>
          <w:rFonts w:ascii="Calibri" w:hAnsi="Calibri" w:cs="Times New Roman Bold"/>
          <w:b/>
          <w:bCs/>
          <w:iCs/>
          <w:color w:val="A50021"/>
          <w:lang w:val="es-ES_tradnl"/>
        </w:rPr>
        <w:t>:</w:t>
      </w:r>
      <w:r w:rsidR="00DF7C4A">
        <w:rPr>
          <w:lang w:val="es-ES_tradnl"/>
        </w:rPr>
        <w:t xml:space="preserve"> la compatibilidad es un aspecto clave para los usuarios de servicios de computación en nube, pues facilita los flujos de información con una seguridad y una protección de la privacidad adecuadas.</w:t>
      </w:r>
      <w:r w:rsidR="00617103">
        <w:rPr>
          <w:lang w:val="es-ES_tradnl"/>
        </w:rPr>
        <w:t xml:space="preserve"> </w:t>
      </w:r>
      <w:r w:rsidR="00DF7C4A">
        <w:rPr>
          <w:lang w:val="es-ES_tradnl"/>
        </w:rPr>
        <w:t>Por consiguiente, los gobiernos deberían fomentar el establecimiento de normas y la adopción de medidas tendientes a acelerar el ingreso en los mercados de dispositivos de comunicaciones y asegurar conectividad y servicios inalámbricos sin interrupciones.</w:t>
      </w:r>
      <w:r w:rsidR="00617103">
        <w:rPr>
          <w:lang w:val="es-ES_tradnl"/>
        </w:rPr>
        <w:t xml:space="preserve"> </w:t>
      </w:r>
      <w:r w:rsidR="00DF7C4A">
        <w:rPr>
          <w:lang w:val="es-ES_tradnl"/>
        </w:rPr>
        <w:t>En este sentido, reviste particular importancia suprimir las restricciones innecesarias del flujo transfronterizo de datos.</w:t>
      </w:r>
    </w:p>
    <w:p w:rsidR="009F7623" w:rsidRDefault="001C02B7" w:rsidP="001C02B7">
      <w:pPr>
        <w:spacing w:before="120" w:after="120" w:line="240" w:lineRule="auto"/>
        <w:rPr>
          <w:lang w:val="es-ES_tradnl"/>
        </w:rPr>
      </w:pPr>
      <w:r w:rsidRPr="001C02B7">
        <w:rPr>
          <w:rFonts w:ascii="Calibri" w:hAnsi="Calibri" w:cs="Times New Roman Bold"/>
          <w:b/>
          <w:bCs/>
          <w:iCs/>
          <w:color w:val="A50021"/>
          <w:lang w:val="es-ES_tradnl"/>
        </w:rPr>
        <w:t>Estímulo de la demanda</w:t>
      </w:r>
      <w:r w:rsidRPr="00A6057C">
        <w:rPr>
          <w:rFonts w:ascii="Calibri" w:hAnsi="Calibri" w:cs="Times New Roman Bold"/>
          <w:b/>
          <w:bCs/>
          <w:iCs/>
          <w:color w:val="A50021"/>
          <w:lang w:val="es-ES_tradnl"/>
        </w:rPr>
        <w:t>:</w:t>
      </w:r>
      <w:r w:rsidR="00DF7C4A">
        <w:rPr>
          <w:lang w:val="es-ES_tradnl"/>
        </w:rPr>
        <w:t xml:space="preserve"> </w:t>
      </w:r>
      <w:r w:rsidR="009F7623">
        <w:rPr>
          <w:lang w:val="es-ES_tradnl"/>
        </w:rPr>
        <w:t>los gobiernos deben actuar como precursores de la adopción de la computación en nube.</w:t>
      </w:r>
      <w:r w:rsidR="00617103">
        <w:rPr>
          <w:lang w:val="es-ES_tradnl"/>
        </w:rPr>
        <w:t xml:space="preserve"> </w:t>
      </w:r>
      <w:r w:rsidR="009F7623">
        <w:rPr>
          <w:lang w:val="es-ES_tradnl"/>
        </w:rPr>
        <w:t>Además, es preciso esforzarse por superar las barreras que frenan la adopción de la banda ancha, y adoptar múltiples iniciativas destinadas tanto a los consumidore</w:t>
      </w:r>
      <w:r w:rsidR="00617103">
        <w:rPr>
          <w:lang w:val="es-ES_tradnl"/>
        </w:rPr>
        <w:t>s como a las pequeñas empresas.</w:t>
      </w:r>
    </w:p>
    <w:p w:rsidR="009F7623" w:rsidRDefault="00AB7263" w:rsidP="001C02B7">
      <w:pPr>
        <w:spacing w:before="120" w:after="120" w:line="240" w:lineRule="auto"/>
        <w:rPr>
          <w:lang w:val="es-ES_tradnl"/>
        </w:rPr>
      </w:pPr>
      <w:r w:rsidRPr="00AB7263">
        <w:rPr>
          <w:rFonts w:ascii="Calibri" w:hAnsi="Calibri" w:cs="Times New Roman Bold"/>
          <w:b/>
          <w:bCs/>
          <w:iCs/>
          <w:color w:val="A50021"/>
          <w:lang w:val="es-ES_tradnl"/>
        </w:rPr>
        <w:t>Investigación y desarrollo (I&amp;D)</w:t>
      </w:r>
      <w:r w:rsidR="00A6057C" w:rsidRPr="00A6057C">
        <w:rPr>
          <w:rFonts w:ascii="Calibri" w:hAnsi="Calibri" w:cs="Times New Roman Bold"/>
          <w:b/>
          <w:bCs/>
          <w:iCs/>
          <w:color w:val="A50021"/>
          <w:lang w:val="es-ES_tradnl"/>
        </w:rPr>
        <w:t>:</w:t>
      </w:r>
      <w:r w:rsidR="009F7623">
        <w:rPr>
          <w:lang w:val="es-ES_tradnl"/>
        </w:rPr>
        <w:t xml:space="preserve"> el fomento de las actividades I&amp;D en la e</w:t>
      </w:r>
      <w:r w:rsidR="00FE736C">
        <w:rPr>
          <w:lang w:val="es-ES_tradnl"/>
        </w:rPr>
        <w:t>sfera de la computación en nube</w:t>
      </w:r>
      <w:r w:rsidR="009F7623">
        <w:rPr>
          <w:lang w:val="es-ES_tradnl"/>
        </w:rPr>
        <w:t xml:space="preserve"> </w:t>
      </w:r>
      <w:r w:rsidR="00DD72F3">
        <w:rPr>
          <w:lang w:val="es-ES_tradnl"/>
        </w:rPr>
        <w:t xml:space="preserve">es </w:t>
      </w:r>
      <w:r w:rsidR="009F7623">
        <w:rPr>
          <w:lang w:val="es-ES_tradnl"/>
        </w:rPr>
        <w:t>un aspecto esencial para el diseño de economías digitales resistentes al futuro.</w:t>
      </w:r>
      <w:r w:rsidR="00617103">
        <w:rPr>
          <w:lang w:val="es-ES_tradnl"/>
        </w:rPr>
        <w:t xml:space="preserve"> </w:t>
      </w:r>
      <w:r w:rsidR="009F7623">
        <w:rPr>
          <w:lang w:val="es-ES_tradnl"/>
        </w:rPr>
        <w:t xml:space="preserve">Se debería promover una estrecha cooperación regional e internacional con </w:t>
      </w:r>
      <w:r w:rsidR="00617103">
        <w:rPr>
          <w:lang w:val="es-ES_tradnl"/>
        </w:rPr>
        <w:t>los</w:t>
      </w:r>
      <w:r w:rsidR="009F7623">
        <w:rPr>
          <w:lang w:val="es-ES_tradnl"/>
        </w:rPr>
        <w:t xml:space="preserve"> correspondientes organismos internacionales, </w:t>
      </w:r>
      <w:r w:rsidR="00617103">
        <w:rPr>
          <w:lang w:val="es-ES_tradnl"/>
        </w:rPr>
        <w:t>así como con las universidades.</w:t>
      </w:r>
    </w:p>
    <w:p w:rsidR="009F7623" w:rsidRDefault="001C02B7" w:rsidP="006726CC">
      <w:pPr>
        <w:spacing w:before="120" w:after="120" w:line="240" w:lineRule="auto"/>
        <w:rPr>
          <w:lang w:val="es-ES_tradnl"/>
        </w:rPr>
      </w:pPr>
      <w:r w:rsidRPr="001C02B7">
        <w:rPr>
          <w:rFonts w:ascii="Calibri" w:hAnsi="Calibri" w:cs="Times New Roman Bold"/>
          <w:b/>
          <w:bCs/>
          <w:iCs/>
          <w:color w:val="A50021"/>
          <w:lang w:val="es-ES_tradnl"/>
        </w:rPr>
        <w:t>Cooperación en materia de reglamentación:</w:t>
      </w:r>
      <w:r w:rsidR="009F7623">
        <w:rPr>
          <w:lang w:val="es-ES_tradnl"/>
        </w:rPr>
        <w:t xml:space="preserve"> los servicios en nube inciden en toda una serie de ámbitos de la reglamentación, tanto dentro como entre las diferentes jurisdicciones.</w:t>
      </w:r>
      <w:r w:rsidR="00617103">
        <w:rPr>
          <w:lang w:val="es-ES_tradnl"/>
        </w:rPr>
        <w:t xml:space="preserve"> </w:t>
      </w:r>
      <w:r w:rsidR="009F7623">
        <w:rPr>
          <w:lang w:val="es-ES_tradnl"/>
        </w:rPr>
        <w:t xml:space="preserve">Los reguladores </w:t>
      </w:r>
      <w:r w:rsidR="006726CC">
        <w:rPr>
          <w:lang w:val="es-ES_tradnl"/>
        </w:rPr>
        <w:t>deben cooperar y coordinar</w:t>
      </w:r>
      <w:r w:rsidR="009F7623">
        <w:rPr>
          <w:lang w:val="es-ES_tradnl"/>
        </w:rPr>
        <w:t xml:space="preserve"> la adopción de decisiones reglamentarias para velar por que ésta apunte a los PSN.</w:t>
      </w:r>
    </w:p>
    <w:p w:rsidR="009F7623" w:rsidRDefault="009F7623" w:rsidP="00B21480">
      <w:pPr>
        <w:spacing w:line="240" w:lineRule="auto"/>
        <w:rPr>
          <w:lang w:val="es-ES_tradnl"/>
        </w:rPr>
      </w:pPr>
      <w:r>
        <w:rPr>
          <w:lang w:val="es-ES_tradnl"/>
        </w:rPr>
        <w:t xml:space="preserve">A escala internacional, los gobiernos deben colaborar para aumentar la </w:t>
      </w:r>
      <w:r w:rsidR="00B21480" w:rsidRPr="00B21480">
        <w:rPr>
          <w:lang w:val="es-ES_tradnl"/>
        </w:rPr>
        <w:t xml:space="preserve">previsibilidad </w:t>
      </w:r>
      <w:bookmarkStart w:id="0" w:name="_GoBack"/>
      <w:bookmarkEnd w:id="0"/>
      <w:r>
        <w:rPr>
          <w:lang w:val="es-ES_tradnl"/>
        </w:rPr>
        <w:t>reglamentaria en relación con la computación en nube, y establecer principios de política básica comunes que faciliten el establecimiento y la adopción de servicios de computación en nube, evitando al mismo tiempo la creación de barreras reglamentarias para el ingreso en el mercado.</w:t>
      </w:r>
    </w:p>
    <w:p w:rsidR="002E48CC" w:rsidRDefault="001C02B7" w:rsidP="001C02B7">
      <w:pPr>
        <w:spacing w:before="120" w:after="120" w:line="240" w:lineRule="auto"/>
        <w:rPr>
          <w:lang w:val="es-ES_tradnl"/>
        </w:rPr>
      </w:pPr>
      <w:r w:rsidRPr="001C02B7">
        <w:rPr>
          <w:rFonts w:ascii="Calibri" w:hAnsi="Calibri" w:cs="Times New Roman Bold"/>
          <w:b/>
          <w:bCs/>
          <w:iCs/>
          <w:color w:val="A50021"/>
          <w:lang w:val="es-ES_tradnl"/>
        </w:rPr>
        <w:t>Nubes regionales</w:t>
      </w:r>
      <w:r w:rsidR="00A6057C" w:rsidRPr="00A6057C">
        <w:rPr>
          <w:rFonts w:ascii="Calibri" w:hAnsi="Calibri" w:cs="Times New Roman Bold"/>
          <w:b/>
          <w:bCs/>
          <w:iCs/>
          <w:color w:val="A50021"/>
          <w:lang w:val="es-ES_tradnl"/>
        </w:rPr>
        <w:t>:</w:t>
      </w:r>
      <w:r w:rsidR="009F7623">
        <w:rPr>
          <w:lang w:val="es-ES_tradnl"/>
        </w:rPr>
        <w:t xml:space="preserve"> las nubes regionales representan una oportunidad excepcional para que un grupo de países coopere con el fin de promover servicios en nube y aprovechar </w:t>
      </w:r>
      <w:r w:rsidR="002E48CC">
        <w:rPr>
          <w:lang w:val="es-ES_tradnl"/>
        </w:rPr>
        <w:t>sus</w:t>
      </w:r>
      <w:r w:rsidR="009F7623">
        <w:rPr>
          <w:lang w:val="es-ES_tradnl"/>
        </w:rPr>
        <w:t xml:space="preserve"> venta</w:t>
      </w:r>
      <w:r w:rsidR="002E48CC">
        <w:rPr>
          <w:lang w:val="es-ES_tradnl"/>
        </w:rPr>
        <w:t>ja</w:t>
      </w:r>
      <w:r w:rsidR="009F7623">
        <w:rPr>
          <w:lang w:val="es-ES_tradnl"/>
        </w:rPr>
        <w:t>s</w:t>
      </w:r>
      <w:r w:rsidR="002E48CC">
        <w:rPr>
          <w:lang w:val="es-ES_tradnl"/>
        </w:rPr>
        <w:t>, reduciendo al mismo tiempo las inquietudes en materia de seguridad</w:t>
      </w:r>
      <w:r w:rsidR="00DD72F3">
        <w:rPr>
          <w:lang w:val="es-ES_tradnl"/>
        </w:rPr>
        <w:t>,</w:t>
      </w:r>
      <w:r w:rsidR="002E48CC">
        <w:rPr>
          <w:lang w:val="es-ES_tradnl"/>
        </w:rPr>
        <w:t xml:space="preserve"> confidencialidad</w:t>
      </w:r>
      <w:r w:rsidR="00DD72F3">
        <w:rPr>
          <w:lang w:val="es-ES_tradnl"/>
        </w:rPr>
        <w:t xml:space="preserve"> y demás aspectos vitales</w:t>
      </w:r>
      <w:r w:rsidR="002E48CC">
        <w:rPr>
          <w:lang w:val="es-ES_tradnl"/>
        </w:rPr>
        <w:t>, mediante el establecimiento de marcos regionales de reglamentación y la adopción de otras medidas encaminadas a la protección de las empresas y los consumidores.</w:t>
      </w:r>
    </w:p>
    <w:p w:rsidR="009F7623" w:rsidRDefault="002E48CC" w:rsidP="00617103">
      <w:pPr>
        <w:spacing w:before="120" w:after="120" w:line="240" w:lineRule="auto"/>
        <w:rPr>
          <w:lang w:val="es-ES_tradnl"/>
        </w:rPr>
      </w:pPr>
      <w:r>
        <w:rPr>
          <w:lang w:val="es-ES_tradnl"/>
        </w:rPr>
        <w:lastRenderedPageBreak/>
        <w:t>Con esa finalidad, se podría fomentar la adopción de un enfoque subregional</w:t>
      </w:r>
      <w:r w:rsidR="00DD72F3">
        <w:rPr>
          <w:lang w:val="es-ES_tradnl"/>
        </w:rPr>
        <w:t>,</w:t>
      </w:r>
      <w:r>
        <w:rPr>
          <w:lang w:val="es-ES_tradnl"/>
        </w:rPr>
        <w:t xml:space="preserve"> a tenor del cual las asociaciones de reguladores promovieran esfuerzos destinados a armonizar los instrumentos de reglamentación entre sus países miembros.</w:t>
      </w:r>
    </w:p>
    <w:p w:rsidR="004E0C14" w:rsidRPr="00AD71B0" w:rsidRDefault="004E0C14" w:rsidP="004E0C14">
      <w:pPr>
        <w:spacing w:before="720" w:after="0"/>
        <w:ind w:right="-136"/>
        <w:jc w:val="center"/>
        <w:rPr>
          <w:lang w:val="ru-RU"/>
        </w:rPr>
      </w:pPr>
      <w:r w:rsidRPr="00AD71B0">
        <w:rPr>
          <w:lang w:val="ru-RU"/>
        </w:rPr>
        <w:t>______________</w:t>
      </w:r>
    </w:p>
    <w:p w:rsidR="004E0C14" w:rsidRDefault="004E0C14" w:rsidP="00617103">
      <w:pPr>
        <w:spacing w:before="120" w:after="120" w:line="240" w:lineRule="auto"/>
        <w:rPr>
          <w:lang w:val="es-ES_tradnl"/>
        </w:rPr>
      </w:pPr>
    </w:p>
    <w:sectPr w:rsidR="004E0C14" w:rsidSect="00946FEB">
      <w:footerReference w:type="default" r:id="rId9"/>
      <w:footnotePr>
        <w:numFmt w:val="chicago"/>
      </w:footnotePr>
      <w:type w:val="continuous"/>
      <w:pgSz w:w="11907" w:h="16839"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EB" w:rsidRDefault="00946FEB" w:rsidP="002D5151">
      <w:pPr>
        <w:spacing w:after="0" w:line="240" w:lineRule="auto"/>
      </w:pPr>
      <w:r>
        <w:separator/>
      </w:r>
    </w:p>
  </w:endnote>
  <w:endnote w:type="continuationSeparator" w:id="0">
    <w:p w:rsidR="00946FEB" w:rsidRDefault="00946FEB" w:rsidP="002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45655"/>
      <w:docPartObj>
        <w:docPartGallery w:val="Page Numbers (Bottom of Page)"/>
        <w:docPartUnique/>
      </w:docPartObj>
    </w:sdtPr>
    <w:sdtEndPr>
      <w:rPr>
        <w:color w:val="595959" w:themeColor="text1" w:themeTint="A6"/>
        <w:sz w:val="16"/>
        <w:szCs w:val="16"/>
      </w:rPr>
    </w:sdtEndPr>
    <w:sdtContent>
      <w:p w:rsidR="00946FEB" w:rsidRPr="004E0C14" w:rsidRDefault="00946FEB" w:rsidP="004E0C14">
        <w:pPr>
          <w:pStyle w:val="Footer"/>
          <w:rPr>
            <w:noProof/>
            <w:color w:val="595959" w:themeColor="text1" w:themeTint="A6"/>
          </w:rPr>
        </w:pPr>
        <w:r w:rsidRPr="004E0C14">
          <w:rPr>
            <w:color w:val="595959" w:themeColor="text1" w:themeTint="A6"/>
          </w:rPr>
          <w:fldChar w:fldCharType="begin"/>
        </w:r>
        <w:r w:rsidRPr="004E0C14">
          <w:rPr>
            <w:color w:val="595959" w:themeColor="text1" w:themeTint="A6"/>
          </w:rPr>
          <w:instrText xml:space="preserve"> PAGE   \* MERGEFORMAT </w:instrText>
        </w:r>
        <w:r w:rsidRPr="004E0C14">
          <w:rPr>
            <w:color w:val="595959" w:themeColor="text1" w:themeTint="A6"/>
          </w:rPr>
          <w:fldChar w:fldCharType="separate"/>
        </w:r>
        <w:r w:rsidR="00B21480">
          <w:rPr>
            <w:noProof/>
            <w:color w:val="595959" w:themeColor="text1" w:themeTint="A6"/>
          </w:rPr>
          <w:t>3</w:t>
        </w:r>
        <w:r w:rsidRPr="004E0C14">
          <w:rPr>
            <w:noProof/>
            <w:color w:val="595959" w:themeColor="text1" w:themeTint="A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EB" w:rsidRDefault="00946FEB" w:rsidP="002D5151">
      <w:pPr>
        <w:spacing w:after="0" w:line="240" w:lineRule="auto"/>
      </w:pPr>
      <w:r>
        <w:separator/>
      </w:r>
    </w:p>
  </w:footnote>
  <w:footnote w:type="continuationSeparator" w:id="0">
    <w:p w:rsidR="00946FEB" w:rsidRDefault="00946FEB" w:rsidP="002D5151">
      <w:pPr>
        <w:spacing w:after="0" w:line="240" w:lineRule="auto"/>
      </w:pPr>
      <w:r>
        <w:continuationSeparator/>
      </w:r>
    </w:p>
  </w:footnote>
  <w:footnote w:id="1">
    <w:p w:rsidR="00946FEB" w:rsidRPr="00617103" w:rsidRDefault="00946FEB" w:rsidP="00C146C7">
      <w:pPr>
        <w:pStyle w:val="FootnoteText"/>
        <w:spacing w:before="120" w:after="120"/>
        <w:ind w:left="567" w:right="-138" w:hanging="567"/>
        <w:rPr>
          <w:rFonts w:ascii="Calibri" w:eastAsia="SimSun" w:hAnsi="Calibri" w:cs="Times New Roman"/>
          <w:color w:val="C00000"/>
          <w:lang w:val="es-ES_tradnl" w:eastAsia="en-US"/>
        </w:rPr>
      </w:pPr>
      <w:r w:rsidRPr="00FE736C">
        <w:rPr>
          <w:rStyle w:val="FootnoteReference"/>
          <w:rFonts w:ascii="Calibri" w:eastAsia="SimSun" w:hAnsi="Calibri" w:cs="Times New Roman"/>
          <w:color w:val="C00000"/>
          <w:sz w:val="22"/>
          <w:szCs w:val="22"/>
          <w:lang w:val="en-GB" w:eastAsia="en-US"/>
        </w:rPr>
        <w:footnoteRef/>
      </w:r>
      <w:r w:rsidRPr="00617103">
        <w:rPr>
          <w:rStyle w:val="FootnoteReference"/>
          <w:rFonts w:ascii="Calibri" w:eastAsia="SimSun" w:hAnsi="Calibri" w:cs="Times New Roman"/>
          <w:color w:val="C00000"/>
          <w:sz w:val="22"/>
          <w:szCs w:val="22"/>
          <w:lang w:val="es-ES_tradnl" w:eastAsia="en-US"/>
        </w:rPr>
        <w:t xml:space="preserve"> </w:t>
      </w:r>
      <w:r w:rsidRPr="00617103">
        <w:rPr>
          <w:rStyle w:val="FootnoteReference"/>
          <w:rFonts w:ascii="Calibri" w:eastAsia="SimSun" w:hAnsi="Calibri" w:cs="Times New Roman"/>
          <w:color w:val="C00000"/>
          <w:lang w:val="es-ES_tradnl" w:eastAsia="en-US"/>
        </w:rPr>
        <w:tab/>
      </w:r>
      <w:r w:rsidRPr="00617103">
        <w:rPr>
          <w:rFonts w:ascii="Calibri" w:eastAsia="SimSun" w:hAnsi="Calibri" w:cs="Times New Roman"/>
          <w:color w:val="C00000"/>
          <w:lang w:val="es-ES_tradnl" w:eastAsia="en-US"/>
        </w:rPr>
        <w:t>Las Directrices están basadas en contribuciones de AREGNET/Líbano, Burkina Faso, Colombia, Egipto, Polonia, Estados Unidos</w:t>
      </w:r>
      <w:r>
        <w:rPr>
          <w:rFonts w:ascii="Calibri" w:eastAsia="SimSun" w:hAnsi="Calibri" w:cs="Times New Roman"/>
          <w:color w:val="C00000"/>
          <w:lang w:val="es-ES_tradnl" w:eastAsia="en-US"/>
        </w:rPr>
        <w:t>, Suiza, Tailandia</w:t>
      </w:r>
      <w:r w:rsidRPr="00617103">
        <w:rPr>
          <w:rFonts w:ascii="Calibri" w:eastAsia="SimSun" w:hAnsi="Calibri" w:cs="Times New Roman"/>
          <w:color w:val="C00000"/>
          <w:lang w:val="es-ES_tradnl" w:eastAsia="en-US"/>
        </w:rPr>
        <w:t xml:space="preserve"> y </w:t>
      </w:r>
      <w:proofErr w:type="spellStart"/>
      <w:r w:rsidRPr="00617103">
        <w:rPr>
          <w:rFonts w:ascii="Calibri" w:eastAsia="SimSun" w:hAnsi="Calibri" w:cs="Times New Roman"/>
          <w:color w:val="C00000"/>
          <w:lang w:val="es-ES_tradnl" w:eastAsia="en-US"/>
        </w:rPr>
        <w:t>Zimbabwe</w:t>
      </w:r>
      <w:proofErr w:type="spellEnd"/>
      <w:r w:rsidRPr="00617103">
        <w:rPr>
          <w:rFonts w:ascii="Calibri" w:eastAsia="SimSun" w:hAnsi="Calibri" w:cs="Times New Roman"/>
          <w:color w:val="C00000"/>
          <w:lang w:val="es-ES_tradnl" w:eastAsia="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51"/>
    <w:rsid w:val="000A1228"/>
    <w:rsid w:val="000B3EA0"/>
    <w:rsid w:val="000D4876"/>
    <w:rsid w:val="00110D23"/>
    <w:rsid w:val="001C02B7"/>
    <w:rsid w:val="001C6E8B"/>
    <w:rsid w:val="002132F4"/>
    <w:rsid w:val="0023267F"/>
    <w:rsid w:val="002402D6"/>
    <w:rsid w:val="002D5151"/>
    <w:rsid w:val="002E48CC"/>
    <w:rsid w:val="003048EC"/>
    <w:rsid w:val="00372C8A"/>
    <w:rsid w:val="004B0EFD"/>
    <w:rsid w:val="004D34C6"/>
    <w:rsid w:val="004E0C14"/>
    <w:rsid w:val="00593CCA"/>
    <w:rsid w:val="005E2694"/>
    <w:rsid w:val="00617103"/>
    <w:rsid w:val="00636524"/>
    <w:rsid w:val="006726CC"/>
    <w:rsid w:val="0071593D"/>
    <w:rsid w:val="00744DEB"/>
    <w:rsid w:val="007579BA"/>
    <w:rsid w:val="00864F99"/>
    <w:rsid w:val="00903379"/>
    <w:rsid w:val="009328AA"/>
    <w:rsid w:val="00942939"/>
    <w:rsid w:val="00946FEB"/>
    <w:rsid w:val="009F7623"/>
    <w:rsid w:val="00A02FE9"/>
    <w:rsid w:val="00A53018"/>
    <w:rsid w:val="00A6057C"/>
    <w:rsid w:val="00AB7263"/>
    <w:rsid w:val="00B21480"/>
    <w:rsid w:val="00BA629F"/>
    <w:rsid w:val="00BE7398"/>
    <w:rsid w:val="00BF5B2F"/>
    <w:rsid w:val="00C146C7"/>
    <w:rsid w:val="00C20EA7"/>
    <w:rsid w:val="00C67254"/>
    <w:rsid w:val="00D60F62"/>
    <w:rsid w:val="00DD478A"/>
    <w:rsid w:val="00DD72F3"/>
    <w:rsid w:val="00DF7C4A"/>
    <w:rsid w:val="00E2392D"/>
    <w:rsid w:val="00E729D5"/>
    <w:rsid w:val="00FE7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5151"/>
    <w:pPr>
      <w:spacing w:after="0" w:line="240" w:lineRule="auto"/>
    </w:pPr>
    <w:rPr>
      <w:sz w:val="20"/>
      <w:szCs w:val="20"/>
    </w:rPr>
  </w:style>
  <w:style w:type="character" w:customStyle="1" w:styleId="FootnoteTextChar">
    <w:name w:val="Footnote Text Char"/>
    <w:basedOn w:val="DefaultParagraphFont"/>
    <w:link w:val="FootnoteText"/>
    <w:uiPriority w:val="99"/>
    <w:rsid w:val="002D5151"/>
    <w:rPr>
      <w:sz w:val="20"/>
      <w:szCs w:val="20"/>
    </w:rPr>
  </w:style>
  <w:style w:type="character" w:styleId="FootnoteReference">
    <w:name w:val="footnote reference"/>
    <w:basedOn w:val="DefaultParagraphFont"/>
    <w:uiPriority w:val="99"/>
    <w:unhideWhenUsed/>
    <w:rsid w:val="002D5151"/>
    <w:rPr>
      <w:vertAlign w:val="superscript"/>
    </w:rPr>
  </w:style>
  <w:style w:type="paragraph" w:styleId="Header">
    <w:name w:val="header"/>
    <w:basedOn w:val="Normal"/>
    <w:link w:val="HeaderChar"/>
    <w:uiPriority w:val="99"/>
    <w:unhideWhenUsed/>
    <w:rsid w:val="000B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A0"/>
  </w:style>
  <w:style w:type="paragraph" w:styleId="Footer">
    <w:name w:val="footer"/>
    <w:basedOn w:val="Normal"/>
    <w:link w:val="FooterChar"/>
    <w:unhideWhenUsed/>
    <w:rsid w:val="000B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A0"/>
  </w:style>
  <w:style w:type="table" w:styleId="TableGrid">
    <w:name w:val="Table Grid"/>
    <w:basedOn w:val="TableNormal"/>
    <w:uiPriority w:val="59"/>
    <w:rsid w:val="002132F4"/>
    <w:pPr>
      <w:spacing w:after="0" w:line="240" w:lineRule="auto"/>
    </w:pPr>
    <w:rPr>
      <w:rFonts w:ascii="Calibri" w:eastAsia="SimSu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2132F4"/>
    <w:pPr>
      <w:spacing w:before="120" w:after="120" w:line="240" w:lineRule="auto"/>
      <w:ind w:right="-138"/>
      <w:jc w:val="center"/>
    </w:pPr>
    <w:rPr>
      <w:rFonts w:ascii="Calibri" w:eastAsia="SimSun" w:hAnsi="Calibri" w:cs="Times New Roman"/>
      <w:b/>
      <w:bCs/>
      <w:smallCaps/>
      <w:color w:val="A50021"/>
      <w:sz w:val="32"/>
      <w:szCs w:val="32"/>
      <w:lang w:val="es-ES_tradnl"/>
    </w:rPr>
  </w:style>
  <w:style w:type="paragraph" w:styleId="BalloonText">
    <w:name w:val="Balloon Text"/>
    <w:basedOn w:val="Normal"/>
    <w:link w:val="BalloonTextChar"/>
    <w:uiPriority w:val="99"/>
    <w:semiHidden/>
    <w:unhideWhenUsed/>
    <w:rsid w:val="00715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5151"/>
    <w:pPr>
      <w:spacing w:after="0" w:line="240" w:lineRule="auto"/>
    </w:pPr>
    <w:rPr>
      <w:sz w:val="20"/>
      <w:szCs w:val="20"/>
    </w:rPr>
  </w:style>
  <w:style w:type="character" w:customStyle="1" w:styleId="FootnoteTextChar">
    <w:name w:val="Footnote Text Char"/>
    <w:basedOn w:val="DefaultParagraphFont"/>
    <w:link w:val="FootnoteText"/>
    <w:uiPriority w:val="99"/>
    <w:rsid w:val="002D5151"/>
    <w:rPr>
      <w:sz w:val="20"/>
      <w:szCs w:val="20"/>
    </w:rPr>
  </w:style>
  <w:style w:type="character" w:styleId="FootnoteReference">
    <w:name w:val="footnote reference"/>
    <w:basedOn w:val="DefaultParagraphFont"/>
    <w:uiPriority w:val="99"/>
    <w:unhideWhenUsed/>
    <w:rsid w:val="002D5151"/>
    <w:rPr>
      <w:vertAlign w:val="superscript"/>
    </w:rPr>
  </w:style>
  <w:style w:type="paragraph" w:styleId="Header">
    <w:name w:val="header"/>
    <w:basedOn w:val="Normal"/>
    <w:link w:val="HeaderChar"/>
    <w:uiPriority w:val="99"/>
    <w:unhideWhenUsed/>
    <w:rsid w:val="000B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A0"/>
  </w:style>
  <w:style w:type="paragraph" w:styleId="Footer">
    <w:name w:val="footer"/>
    <w:basedOn w:val="Normal"/>
    <w:link w:val="FooterChar"/>
    <w:unhideWhenUsed/>
    <w:rsid w:val="000B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A0"/>
  </w:style>
  <w:style w:type="table" w:styleId="TableGrid">
    <w:name w:val="Table Grid"/>
    <w:basedOn w:val="TableNormal"/>
    <w:uiPriority w:val="59"/>
    <w:rsid w:val="002132F4"/>
    <w:pPr>
      <w:spacing w:after="0" w:line="240" w:lineRule="auto"/>
    </w:pPr>
    <w:rPr>
      <w:rFonts w:ascii="Calibri" w:eastAsia="SimSu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2132F4"/>
    <w:pPr>
      <w:spacing w:before="120" w:after="120" w:line="240" w:lineRule="auto"/>
      <w:ind w:right="-138"/>
      <w:jc w:val="center"/>
    </w:pPr>
    <w:rPr>
      <w:rFonts w:ascii="Calibri" w:eastAsia="SimSun" w:hAnsi="Calibri" w:cs="Times New Roman"/>
      <w:b/>
      <w:bCs/>
      <w:smallCaps/>
      <w:color w:val="A50021"/>
      <w:sz w:val="32"/>
      <w:szCs w:val="32"/>
      <w:lang w:val="es-ES_tradnl"/>
    </w:rPr>
  </w:style>
  <w:style w:type="paragraph" w:styleId="BalloonText">
    <w:name w:val="Balloon Text"/>
    <w:basedOn w:val="Normal"/>
    <w:link w:val="BalloonTextChar"/>
    <w:uiPriority w:val="99"/>
    <w:semiHidden/>
    <w:unhideWhenUsed/>
    <w:rsid w:val="00715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6047">
      <w:bodyDiv w:val="1"/>
      <w:marLeft w:val="0"/>
      <w:marRight w:val="0"/>
      <w:marTop w:val="0"/>
      <w:marBottom w:val="0"/>
      <w:divBdr>
        <w:top w:val="none" w:sz="0" w:space="0" w:color="auto"/>
        <w:left w:val="none" w:sz="0" w:space="0" w:color="auto"/>
        <w:bottom w:val="none" w:sz="0" w:space="0" w:color="auto"/>
        <w:right w:val="none" w:sz="0" w:space="0" w:color="auto"/>
      </w:divBdr>
      <w:divsChild>
        <w:div w:id="280654453">
          <w:marLeft w:val="0"/>
          <w:marRight w:val="0"/>
          <w:marTop w:val="0"/>
          <w:marBottom w:val="0"/>
          <w:divBdr>
            <w:top w:val="none" w:sz="0" w:space="0" w:color="auto"/>
            <w:left w:val="none" w:sz="0" w:space="0" w:color="auto"/>
            <w:bottom w:val="none" w:sz="0" w:space="0" w:color="auto"/>
            <w:right w:val="none" w:sz="0" w:space="0" w:color="auto"/>
          </w:divBdr>
          <w:divsChild>
            <w:div w:id="1531259387">
              <w:marLeft w:val="0"/>
              <w:marRight w:val="0"/>
              <w:marTop w:val="0"/>
              <w:marBottom w:val="0"/>
              <w:divBdr>
                <w:top w:val="none" w:sz="0" w:space="0" w:color="auto"/>
                <w:left w:val="none" w:sz="0" w:space="0" w:color="auto"/>
                <w:bottom w:val="none" w:sz="0" w:space="0" w:color="auto"/>
                <w:right w:val="none" w:sz="0" w:space="0" w:color="auto"/>
              </w:divBdr>
              <w:divsChild>
                <w:div w:id="198050785">
                  <w:marLeft w:val="0"/>
                  <w:marRight w:val="0"/>
                  <w:marTop w:val="0"/>
                  <w:marBottom w:val="0"/>
                  <w:divBdr>
                    <w:top w:val="none" w:sz="0" w:space="0" w:color="auto"/>
                    <w:left w:val="none" w:sz="0" w:space="0" w:color="auto"/>
                    <w:bottom w:val="none" w:sz="0" w:space="0" w:color="auto"/>
                    <w:right w:val="none" w:sz="0" w:space="0" w:color="auto"/>
                  </w:divBdr>
                  <w:divsChild>
                    <w:div w:id="839197782">
                      <w:marLeft w:val="0"/>
                      <w:marRight w:val="0"/>
                      <w:marTop w:val="0"/>
                      <w:marBottom w:val="0"/>
                      <w:divBdr>
                        <w:top w:val="none" w:sz="0" w:space="0" w:color="auto"/>
                        <w:left w:val="none" w:sz="0" w:space="0" w:color="auto"/>
                        <w:bottom w:val="none" w:sz="0" w:space="0" w:color="auto"/>
                        <w:right w:val="none" w:sz="0" w:space="0" w:color="auto"/>
                      </w:divBdr>
                      <w:divsChild>
                        <w:div w:id="1562015503">
                          <w:marLeft w:val="0"/>
                          <w:marRight w:val="0"/>
                          <w:marTop w:val="0"/>
                          <w:marBottom w:val="0"/>
                          <w:divBdr>
                            <w:top w:val="none" w:sz="0" w:space="0" w:color="auto"/>
                            <w:left w:val="none" w:sz="0" w:space="0" w:color="auto"/>
                            <w:bottom w:val="none" w:sz="0" w:space="0" w:color="auto"/>
                            <w:right w:val="none" w:sz="0" w:space="0" w:color="auto"/>
                          </w:divBdr>
                          <w:divsChild>
                            <w:div w:id="829061604">
                              <w:marLeft w:val="0"/>
                              <w:marRight w:val="0"/>
                              <w:marTop w:val="0"/>
                              <w:marBottom w:val="0"/>
                              <w:divBdr>
                                <w:top w:val="none" w:sz="0" w:space="0" w:color="auto"/>
                                <w:left w:val="none" w:sz="0" w:space="0" w:color="auto"/>
                                <w:bottom w:val="none" w:sz="0" w:space="0" w:color="auto"/>
                                <w:right w:val="none" w:sz="0" w:space="0" w:color="auto"/>
                              </w:divBdr>
                              <w:divsChild>
                                <w:div w:id="441613272">
                                  <w:marLeft w:val="0"/>
                                  <w:marRight w:val="0"/>
                                  <w:marTop w:val="0"/>
                                  <w:marBottom w:val="0"/>
                                  <w:divBdr>
                                    <w:top w:val="none" w:sz="0" w:space="0" w:color="auto"/>
                                    <w:left w:val="none" w:sz="0" w:space="0" w:color="auto"/>
                                    <w:bottom w:val="none" w:sz="0" w:space="0" w:color="auto"/>
                                    <w:right w:val="none" w:sz="0" w:space="0" w:color="auto"/>
                                  </w:divBdr>
                                  <w:divsChild>
                                    <w:div w:id="462890518">
                                      <w:marLeft w:val="0"/>
                                      <w:marRight w:val="0"/>
                                      <w:marTop w:val="0"/>
                                      <w:marBottom w:val="0"/>
                                      <w:divBdr>
                                        <w:top w:val="single" w:sz="6" w:space="0" w:color="F5F5F5"/>
                                        <w:left w:val="single" w:sz="6" w:space="0" w:color="F5F5F5"/>
                                        <w:bottom w:val="single" w:sz="6" w:space="0" w:color="F5F5F5"/>
                                        <w:right w:val="single" w:sz="6" w:space="0" w:color="F5F5F5"/>
                                      </w:divBdr>
                                      <w:divsChild>
                                        <w:div w:id="2053116887">
                                          <w:marLeft w:val="0"/>
                                          <w:marRight w:val="0"/>
                                          <w:marTop w:val="0"/>
                                          <w:marBottom w:val="0"/>
                                          <w:divBdr>
                                            <w:top w:val="none" w:sz="0" w:space="0" w:color="auto"/>
                                            <w:left w:val="none" w:sz="0" w:space="0" w:color="auto"/>
                                            <w:bottom w:val="none" w:sz="0" w:space="0" w:color="auto"/>
                                            <w:right w:val="none" w:sz="0" w:space="0" w:color="auto"/>
                                          </w:divBdr>
                                          <w:divsChild>
                                            <w:div w:id="20630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A3ACD-7F79-4774-965A-03323D35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laureiro</dc:creator>
  <cp:keywords/>
  <dc:description/>
  <cp:lastModifiedBy>Youlia Lozanova</cp:lastModifiedBy>
  <cp:revision>7</cp:revision>
  <cp:lastPrinted>2012-10-02T11:49:00Z</cp:lastPrinted>
  <dcterms:created xsi:type="dcterms:W3CDTF">2012-10-02T11:14:00Z</dcterms:created>
  <dcterms:modified xsi:type="dcterms:W3CDTF">2012-10-02T14:19:00Z</dcterms:modified>
</cp:coreProperties>
</file>