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579"/>
      </w:tblGrid>
      <w:tr w:rsidR="008B00F7" w:rsidRPr="00F678CE" w:rsidTr="00405F91">
        <w:trPr>
          <w:trHeight w:val="1833"/>
        </w:trPr>
        <w:tc>
          <w:tcPr>
            <w:tcW w:w="1810" w:type="dxa"/>
          </w:tcPr>
          <w:p w:rsidR="008B00F7" w:rsidRPr="00F678CE" w:rsidRDefault="00480206" w:rsidP="00ED2D9E">
            <w:r w:rsidRPr="00F678CE">
              <w:rPr>
                <w:noProof/>
              </w:rPr>
              <w:drawing>
                <wp:inline distT="0" distB="0" distL="0" distR="0">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A05A3E" w:rsidRPr="00F678CE" w:rsidRDefault="00480206" w:rsidP="00ED2D9E">
            <w:pPr>
              <w:pStyle w:val="GSRTitle"/>
              <w:rPr>
                <w:lang w:val="en-GB"/>
              </w:rPr>
            </w:pPr>
            <w:r w:rsidRPr="00F678CE">
              <w:rPr>
                <w:lang w:val="en-GB"/>
              </w:rPr>
              <w:t>GSR12</w:t>
            </w:r>
            <w:r w:rsidR="009C06A3">
              <w:rPr>
                <w:rFonts w:hint="eastAsia"/>
                <w:lang w:val="en-GB"/>
              </w:rPr>
              <w:t>有关通过云服务更多获取数字机遇的</w:t>
            </w:r>
            <w:r w:rsidR="00A67C91">
              <w:rPr>
                <w:lang w:val="en-GB"/>
              </w:rPr>
              <w:br/>
            </w:r>
            <w:r w:rsidR="009C06A3">
              <w:rPr>
                <w:rFonts w:hint="eastAsia"/>
                <w:lang w:val="en-GB"/>
              </w:rPr>
              <w:t>监管方法的最佳做法导则</w:t>
            </w:r>
            <w:r w:rsidR="00A05A3E" w:rsidRPr="00F678CE">
              <w:footnoteReference w:id="1"/>
            </w:r>
          </w:p>
        </w:tc>
      </w:tr>
    </w:tbl>
    <w:p w:rsidR="0043766E" w:rsidRPr="00F678CE" w:rsidRDefault="009C06A3" w:rsidP="00DB5886">
      <w:r>
        <w:rPr>
          <w:rFonts w:hint="eastAsia"/>
        </w:rPr>
        <w:t>云计算的发展可为全球各国政府、企业和个人大量节约成本，提高效率并鼓励创新。对于企业家和公司而言，无论规模大小，云计算可发挥独特的经济杠杆作用，这意味着投资可转化为可观的回报并大大降低成本。随着云计算的出现，数字资源正日益</w:t>
      </w:r>
      <w:r w:rsidR="00073080">
        <w:rPr>
          <w:rFonts w:hint="eastAsia"/>
        </w:rPr>
        <w:t>趋于</w:t>
      </w:r>
      <w:r>
        <w:rPr>
          <w:rFonts w:hint="eastAsia"/>
        </w:rPr>
        <w:t>可</w:t>
      </w:r>
      <w:r w:rsidR="00073080">
        <w:rPr>
          <w:rFonts w:hint="eastAsia"/>
        </w:rPr>
        <w:t>随时随地通过</w:t>
      </w:r>
      <w:r>
        <w:rPr>
          <w:rFonts w:hint="eastAsia"/>
        </w:rPr>
        <w:t>多</w:t>
      </w:r>
      <w:r w:rsidR="00073080">
        <w:rPr>
          <w:rFonts w:hint="eastAsia"/>
        </w:rPr>
        <w:t>种</w:t>
      </w:r>
      <w:r>
        <w:rPr>
          <w:rFonts w:hint="eastAsia"/>
        </w:rPr>
        <w:t>网络获取。但是，如欲享受云计算带来的全部好处，需要各国政府、业界和消费者开展协作，在各项云服务中树立信心。重要的是，云计算的增长将取决于无处不在且价格可承受的宽带网络，业务提供商可在非歧视性基础上使用这些宽带网络。</w:t>
      </w:r>
    </w:p>
    <w:p w:rsidR="00ED1A26" w:rsidRPr="00F678CE" w:rsidRDefault="004110AC" w:rsidP="00DB5886">
      <w:r>
        <w:rPr>
          <w:rFonts w:hint="eastAsia"/>
        </w:rPr>
        <w:t>我们，出席</w:t>
      </w:r>
      <w:r>
        <w:rPr>
          <w:rFonts w:hint="eastAsia"/>
        </w:rPr>
        <w:t>2012</w:t>
      </w:r>
      <w:r>
        <w:rPr>
          <w:rFonts w:hint="eastAsia"/>
        </w:rPr>
        <w:t>年全球监管机构专题研讨会的各国监管部门，认识到有效且动态的监管</w:t>
      </w:r>
      <w:r w:rsidR="00073080">
        <w:rPr>
          <w:rFonts w:hint="eastAsia"/>
        </w:rPr>
        <w:t>可促使对云计算的重要投入发挥效用</w:t>
      </w:r>
      <w:r>
        <w:rPr>
          <w:rFonts w:hint="eastAsia"/>
        </w:rPr>
        <w:t>，</w:t>
      </w:r>
      <w:r w:rsidR="00073080">
        <w:rPr>
          <w:rFonts w:hint="eastAsia"/>
        </w:rPr>
        <w:t>推动</w:t>
      </w:r>
      <w:r>
        <w:rPr>
          <w:rFonts w:hint="eastAsia"/>
        </w:rPr>
        <w:t>经济增长。因此，我们确定并批准了这些监管最佳做法导则，以促进云计算基础设施及各项服务中的创新、投资和竞争并保护消费者利益。</w:t>
      </w:r>
    </w:p>
    <w:p w:rsidR="00401D2D" w:rsidRDefault="00AB30F7" w:rsidP="00ED2D9E">
      <w:pPr>
        <w:rPr>
          <w:rFonts w:ascii="Calibri" w:hAnsi="Calibri" w:cs="Times New Roman Bold"/>
          <w:b/>
          <w:bCs/>
          <w:iCs/>
          <w:color w:val="A50021"/>
          <w:szCs w:val="22"/>
          <w:lang w:val="en-GB"/>
        </w:rPr>
      </w:pPr>
      <w:r>
        <w:rPr>
          <w:rFonts w:ascii="Calibri" w:hAnsi="Calibri" w:cs="Times New Roman Bold" w:hint="eastAsia"/>
          <w:b/>
          <w:bCs/>
          <w:iCs/>
          <w:color w:val="A50021"/>
          <w:szCs w:val="22"/>
          <w:lang w:val="en-GB"/>
        </w:rPr>
        <w:t>提高认识并促进公共领域的利用：</w:t>
      </w:r>
      <w:r w:rsidRPr="00AB30F7">
        <w:rPr>
          <w:rFonts w:hint="eastAsia"/>
        </w:rPr>
        <w:t>应积极实现并</w:t>
      </w:r>
      <w:r>
        <w:rPr>
          <w:rFonts w:hint="eastAsia"/>
        </w:rPr>
        <w:t>推广云服务以及它们向世界各国政府提供的机遇和节约。</w:t>
      </w:r>
      <w:r w:rsidR="00EA5E76">
        <w:rPr>
          <w:rFonts w:hint="eastAsia"/>
        </w:rPr>
        <w:t>了解这些</w:t>
      </w:r>
      <w:r>
        <w:rPr>
          <w:rFonts w:hint="eastAsia"/>
        </w:rPr>
        <w:t>机遇将</w:t>
      </w:r>
      <w:r w:rsidR="00F71508">
        <w:rPr>
          <w:rFonts w:hint="eastAsia"/>
        </w:rPr>
        <w:t>带来经济机遇并为公民、消费者和企业提供巨大的价值。</w:t>
      </w:r>
    </w:p>
    <w:p w:rsidR="00572EFC" w:rsidRDefault="00F71508" w:rsidP="00EA5E76">
      <w:r>
        <w:rPr>
          <w:rFonts w:ascii="Calibri" w:hAnsi="Calibri" w:cs="Times New Roman Bold" w:hint="eastAsia"/>
          <w:b/>
          <w:bCs/>
          <w:iCs/>
          <w:color w:val="A50021"/>
          <w:szCs w:val="22"/>
          <w:lang w:val="en-GB"/>
        </w:rPr>
        <w:t>宽带基础设施：</w:t>
      </w:r>
      <w:r>
        <w:rPr>
          <w:rFonts w:hint="eastAsia"/>
        </w:rPr>
        <w:t>监管机构需要努力减少宽带部署的障碍，积极促进各国光纤网络和国际连通链路（包括海缆在内）的建设并推动基础设施共享</w:t>
      </w:r>
      <w:r w:rsidR="00EA5E76">
        <w:rPr>
          <w:rFonts w:hint="eastAsia"/>
        </w:rPr>
        <w:t>和建筑工程的协调</w:t>
      </w:r>
      <w:r>
        <w:rPr>
          <w:rFonts w:hint="eastAsia"/>
        </w:rPr>
        <w:t>（包括跨行业的基础设施共享</w:t>
      </w:r>
      <w:r w:rsidR="007A6E31">
        <w:rPr>
          <w:rFonts w:hint="eastAsia"/>
        </w:rPr>
        <w:t>、有关</w:t>
      </w:r>
      <w:r w:rsidR="00F12790">
        <w:rPr>
          <w:rFonts w:hint="eastAsia"/>
        </w:rPr>
        <w:t>接入路径</w:t>
      </w:r>
      <w:r w:rsidR="007A6E31">
        <w:rPr>
          <w:rFonts w:hint="eastAsia"/>
        </w:rPr>
        <w:t>的速率权政策以及安装数据中心基础设施</w:t>
      </w:r>
      <w:r w:rsidR="00EA5E76">
        <w:rPr>
          <w:rFonts w:hint="eastAsia"/>
        </w:rPr>
        <w:t>。这将</w:t>
      </w:r>
      <w:r w:rsidR="007A6E31">
        <w:rPr>
          <w:rFonts w:hint="eastAsia"/>
        </w:rPr>
        <w:t>激励内容、内容交付网络和数据中心企业在本地的部署</w:t>
      </w:r>
      <w:r>
        <w:rPr>
          <w:rFonts w:hint="eastAsia"/>
        </w:rPr>
        <w:t>）</w:t>
      </w:r>
      <w:r w:rsidR="007A6E31">
        <w:rPr>
          <w:rFonts w:hint="eastAsia"/>
        </w:rPr>
        <w:t>。也有必要确保无服务地区和服务不发达地区开展业务（包括应急和增强型无障碍接入服务）。</w:t>
      </w:r>
    </w:p>
    <w:p w:rsidR="00A971D6" w:rsidRDefault="00A971D6" w:rsidP="00A971D6">
      <w:r w:rsidRPr="00A971D6">
        <w:rPr>
          <w:rFonts w:ascii="Calibri" w:hAnsi="Calibri" w:cs="Times New Roman Bold" w:hint="eastAsia"/>
          <w:b/>
          <w:bCs/>
          <w:iCs/>
          <w:color w:val="A50021"/>
          <w:szCs w:val="22"/>
          <w:lang w:val="en-GB"/>
        </w:rPr>
        <w:t>IP</w:t>
      </w:r>
      <w:r w:rsidRPr="00A971D6">
        <w:rPr>
          <w:rFonts w:ascii="Calibri" w:hAnsi="Calibri" w:cs="Times New Roman Bold" w:hint="eastAsia"/>
          <w:b/>
          <w:bCs/>
          <w:iCs/>
          <w:color w:val="A50021"/>
          <w:szCs w:val="22"/>
          <w:lang w:val="en-GB"/>
        </w:rPr>
        <w:t>互连：</w:t>
      </w:r>
      <w:r w:rsidRPr="00A971D6">
        <w:rPr>
          <w:rFonts w:hint="eastAsia"/>
        </w:rPr>
        <w:t>监管机构应努力确保</w:t>
      </w:r>
      <w:r>
        <w:rPr>
          <w:rFonts w:hint="eastAsia"/>
        </w:rPr>
        <w:t>所有用户都能在选择、价格和服务质量方面最大程度受益，并将对竞争的扭曲与限制降至最低。</w:t>
      </w:r>
    </w:p>
    <w:p w:rsidR="00F678CE" w:rsidRPr="00F678CE" w:rsidRDefault="007A6E31" w:rsidP="00ED2D9E">
      <w:r>
        <w:rPr>
          <w:rFonts w:ascii="Calibri" w:hAnsi="Calibri" w:cs="Times New Roman Bold" w:hint="eastAsia"/>
          <w:b/>
          <w:bCs/>
          <w:iCs/>
          <w:color w:val="A50021"/>
          <w:szCs w:val="22"/>
          <w:lang w:val="en-GB"/>
        </w:rPr>
        <w:t>频谱：</w:t>
      </w:r>
      <w:r>
        <w:rPr>
          <w:rFonts w:hint="eastAsia"/>
        </w:rPr>
        <w:t>对于云计算服务的未来，可采取几项行动释放无线宽带亟需的额外频谱，其中包括</w:t>
      </w:r>
      <w:r w:rsidR="00C7516C">
        <w:rPr>
          <w:rFonts w:hint="eastAsia"/>
        </w:rPr>
        <w:t>该改变频谱的用途、向免执照使用开放闲置频谱以及进行激励性的拍卖等。此外，必须</w:t>
      </w:r>
      <w:r w:rsidR="00A971D6">
        <w:rPr>
          <w:rFonts w:hint="eastAsia"/>
        </w:rPr>
        <w:t>全面</w:t>
      </w:r>
      <w:r w:rsidR="00C7516C">
        <w:rPr>
          <w:rFonts w:hint="eastAsia"/>
        </w:rPr>
        <w:t>鼓励国际频谱和通信设备核准的协调统一。</w:t>
      </w:r>
    </w:p>
    <w:p w:rsidR="00AB7634" w:rsidRDefault="00C7516C" w:rsidP="00F3651F">
      <w:r>
        <w:rPr>
          <w:rFonts w:ascii="Calibri" w:hAnsi="Calibri" w:cs="Times New Roman Bold" w:hint="eastAsia"/>
          <w:b/>
          <w:bCs/>
          <w:iCs/>
          <w:color w:val="A50021"/>
          <w:szCs w:val="22"/>
          <w:lang w:val="en-GB"/>
        </w:rPr>
        <w:t>融合云中的市场定义：</w:t>
      </w:r>
      <w:r>
        <w:rPr>
          <w:rFonts w:hint="eastAsia"/>
        </w:rPr>
        <w:t>鉴于网络和业务的融合，为促进向下一代网络的过渡并鼓励竞争，监管机构可考虑</w:t>
      </w:r>
      <w:r w:rsidR="00F3651F">
        <w:rPr>
          <w:rFonts w:hint="eastAsia"/>
        </w:rPr>
        <w:t>对内容和应用提供商等</w:t>
      </w:r>
      <w:r w:rsidR="00F3651F">
        <w:rPr>
          <w:rFonts w:hint="eastAsia"/>
        </w:rPr>
        <w:t>ICT</w:t>
      </w:r>
      <w:r w:rsidR="00F3651F">
        <w:rPr>
          <w:rFonts w:hint="eastAsia"/>
        </w:rPr>
        <w:t>行业的新参与方</w:t>
      </w:r>
      <w:r>
        <w:rPr>
          <w:rFonts w:hint="eastAsia"/>
        </w:rPr>
        <w:t>采用</w:t>
      </w:r>
      <w:r w:rsidR="00645834">
        <w:rPr>
          <w:rFonts w:hint="eastAsia"/>
        </w:rPr>
        <w:t>宽松的监管方法</w:t>
      </w:r>
      <w:r w:rsidR="0058608D">
        <w:rPr>
          <w:rFonts w:hint="eastAsia"/>
        </w:rPr>
        <w:t>。</w:t>
      </w:r>
    </w:p>
    <w:p w:rsidR="00B66E52" w:rsidRDefault="0058608D" w:rsidP="00F3651F">
      <w:r>
        <w:rPr>
          <w:rFonts w:ascii="Calibri" w:hAnsi="Calibri" w:cs="Times New Roman Bold" w:hint="eastAsia"/>
          <w:b/>
          <w:bCs/>
          <w:iCs/>
          <w:color w:val="A50021"/>
          <w:szCs w:val="22"/>
          <w:lang w:val="en-GB"/>
        </w:rPr>
        <w:t>市场力量：</w:t>
      </w:r>
      <w:r>
        <w:rPr>
          <w:rFonts w:hint="eastAsia"/>
        </w:rPr>
        <w:t>监管机构需确保</w:t>
      </w:r>
      <w:r w:rsidR="00423DB2">
        <w:rPr>
          <w:rFonts w:hint="eastAsia"/>
        </w:rPr>
        <w:t>通信提供商</w:t>
      </w:r>
      <w:r w:rsidR="00A67C91">
        <w:rPr>
          <w:rFonts w:hint="eastAsia"/>
        </w:rPr>
        <w:t>不会</w:t>
      </w:r>
      <w:r w:rsidR="00423DB2">
        <w:rPr>
          <w:rFonts w:hint="eastAsia"/>
        </w:rPr>
        <w:t>出于非透明、非客观、带有歧视性和不恰当的理由，而</w:t>
      </w:r>
      <w:r w:rsidR="00F3651F">
        <w:rPr>
          <w:rFonts w:hint="eastAsia"/>
        </w:rPr>
        <w:t>采取使云服务提供受</w:t>
      </w:r>
      <w:r w:rsidR="00423DB2">
        <w:rPr>
          <w:rFonts w:hint="eastAsia"/>
        </w:rPr>
        <w:t>限的</w:t>
      </w:r>
      <w:r w:rsidR="00F3651F">
        <w:rPr>
          <w:rFonts w:hint="eastAsia"/>
        </w:rPr>
        <w:t>做法</w:t>
      </w:r>
      <w:r w:rsidR="00423DB2">
        <w:rPr>
          <w:rFonts w:hint="eastAsia"/>
        </w:rPr>
        <w:t>。</w:t>
      </w:r>
      <w:r w:rsidR="00B66E52" w:rsidRPr="00B66E52">
        <w:t xml:space="preserve"> </w:t>
      </w:r>
    </w:p>
    <w:p w:rsidR="00401D2D" w:rsidRDefault="00423DB2" w:rsidP="00F3651F">
      <w:pPr>
        <w:pStyle w:val="GSRHeading1"/>
        <w:numPr>
          <w:ilvl w:val="0"/>
          <w:numId w:val="0"/>
        </w:numPr>
        <w:tabs>
          <w:tab w:val="clear" w:pos="851"/>
          <w:tab w:val="left" w:pos="0"/>
        </w:tabs>
        <w:spacing w:before="120"/>
        <w:rPr>
          <w:iCs/>
          <w:sz w:val="22"/>
          <w:szCs w:val="22"/>
        </w:rPr>
      </w:pPr>
      <w:r>
        <w:rPr>
          <w:rFonts w:hint="eastAsia"/>
          <w:iCs/>
          <w:sz w:val="22"/>
          <w:szCs w:val="22"/>
          <w:lang w:val="en-US"/>
        </w:rPr>
        <w:lastRenderedPageBreak/>
        <w:t>执行：</w:t>
      </w:r>
      <w:r>
        <w:rPr>
          <w:rFonts w:asciiTheme="minorHAnsi" w:hAnsiTheme="minorHAnsi" w:cs="Times New Roman" w:hint="eastAsia"/>
          <w:b w:val="0"/>
          <w:bCs w:val="0"/>
          <w:color w:val="auto"/>
          <w:sz w:val="22"/>
          <w:szCs w:val="20"/>
          <w:lang w:val="en-US"/>
        </w:rPr>
        <w:t>监管机构需建立确定违规的方法，以确保它们可有效地做出反应。可通过</w:t>
      </w:r>
      <w:r w:rsidR="00410914">
        <w:rPr>
          <w:rFonts w:asciiTheme="minorHAnsi" w:hAnsiTheme="minorHAnsi" w:cs="Times New Roman"/>
          <w:b w:val="0"/>
          <w:bCs w:val="0"/>
          <w:color w:val="auto"/>
          <w:sz w:val="22"/>
          <w:szCs w:val="20"/>
          <w:lang w:val="en-US"/>
        </w:rPr>
        <w:t xml:space="preserve">(1) </w:t>
      </w:r>
      <w:r>
        <w:rPr>
          <w:rFonts w:asciiTheme="minorHAnsi" w:hAnsiTheme="minorHAnsi" w:cs="Times New Roman" w:hint="eastAsia"/>
          <w:b w:val="0"/>
          <w:bCs w:val="0"/>
          <w:color w:val="auto"/>
          <w:sz w:val="22"/>
          <w:szCs w:val="20"/>
          <w:lang w:val="en-US"/>
        </w:rPr>
        <w:t>自我监管机制，即内容服务提供商向相关监管机构通报违反规定的情况，</w:t>
      </w:r>
      <w:r w:rsidR="00F3651F">
        <w:rPr>
          <w:rFonts w:asciiTheme="minorHAnsi" w:hAnsiTheme="minorHAnsi" w:cs="Times New Roman"/>
          <w:b w:val="0"/>
          <w:bCs w:val="0"/>
          <w:color w:val="auto"/>
          <w:sz w:val="22"/>
          <w:szCs w:val="20"/>
          <w:lang w:val="en-US"/>
        </w:rPr>
        <w:t xml:space="preserve"> </w:t>
      </w:r>
      <w:r w:rsidR="00410914">
        <w:rPr>
          <w:rFonts w:asciiTheme="minorHAnsi" w:hAnsiTheme="minorHAnsi" w:cs="Times New Roman"/>
          <w:b w:val="0"/>
          <w:bCs w:val="0"/>
          <w:color w:val="auto"/>
          <w:sz w:val="22"/>
          <w:szCs w:val="20"/>
          <w:lang w:val="en-US"/>
        </w:rPr>
        <w:t xml:space="preserve">(2) </w:t>
      </w:r>
      <w:r>
        <w:rPr>
          <w:rFonts w:asciiTheme="minorHAnsi" w:hAnsiTheme="minorHAnsi" w:cs="Times New Roman" w:hint="eastAsia"/>
          <w:b w:val="0"/>
          <w:bCs w:val="0"/>
          <w:color w:val="auto"/>
          <w:sz w:val="22"/>
          <w:szCs w:val="20"/>
          <w:lang w:val="en-US"/>
        </w:rPr>
        <w:t>理想状况下，对数据保护法规进行一定的变更（这种法规无法监控，因此实际上无法执行）来实现这一目</w:t>
      </w:r>
      <w:r w:rsidR="00F3651F">
        <w:rPr>
          <w:rFonts w:asciiTheme="minorHAnsi" w:hAnsiTheme="minorHAnsi" w:cs="Times New Roman" w:hint="eastAsia"/>
          <w:b w:val="0"/>
          <w:bCs w:val="0"/>
          <w:color w:val="auto"/>
          <w:sz w:val="22"/>
          <w:szCs w:val="20"/>
          <w:lang w:val="en-US"/>
        </w:rPr>
        <w:t>标，以及（</w:t>
      </w:r>
      <w:r w:rsidR="00F3651F">
        <w:rPr>
          <w:rFonts w:asciiTheme="minorHAnsi" w:hAnsiTheme="minorHAnsi" w:cs="Times New Roman" w:hint="eastAsia"/>
          <w:b w:val="0"/>
          <w:bCs w:val="0"/>
          <w:color w:val="auto"/>
          <w:sz w:val="22"/>
          <w:szCs w:val="20"/>
          <w:lang w:val="en-US"/>
        </w:rPr>
        <w:t>3</w:t>
      </w:r>
      <w:r w:rsidR="00F3651F">
        <w:rPr>
          <w:rFonts w:asciiTheme="minorHAnsi" w:hAnsiTheme="minorHAnsi" w:cs="Times New Roman" w:hint="eastAsia"/>
          <w:b w:val="0"/>
          <w:bCs w:val="0"/>
          <w:color w:val="auto"/>
          <w:sz w:val="22"/>
          <w:szCs w:val="20"/>
          <w:lang w:val="en-US"/>
        </w:rPr>
        <w:t>）建立有效的投诉处理和争议解决机制，包括替代性争议解决机制</w:t>
      </w:r>
      <w:r>
        <w:rPr>
          <w:rFonts w:asciiTheme="minorHAnsi" w:hAnsiTheme="minorHAnsi" w:cs="Times New Roman" w:hint="eastAsia"/>
          <w:b w:val="0"/>
          <w:bCs w:val="0"/>
          <w:color w:val="auto"/>
          <w:sz w:val="22"/>
          <w:szCs w:val="20"/>
          <w:lang w:val="en-US"/>
        </w:rPr>
        <w:t>。</w:t>
      </w:r>
      <w:r w:rsidR="00401D2D" w:rsidRPr="00401D2D">
        <w:rPr>
          <w:iCs/>
          <w:sz w:val="22"/>
          <w:szCs w:val="22"/>
        </w:rPr>
        <w:t xml:space="preserve"> </w:t>
      </w:r>
    </w:p>
    <w:p w:rsidR="000D33EC" w:rsidRPr="004211AB" w:rsidRDefault="00423DB2" w:rsidP="00B0263E">
      <w:r>
        <w:rPr>
          <w:rFonts w:ascii="Calibri" w:hAnsi="Calibri" w:cs="Times New Roman Bold" w:hint="eastAsia"/>
          <w:b/>
          <w:bCs/>
          <w:iCs/>
          <w:color w:val="A50021"/>
          <w:szCs w:val="22"/>
          <w:lang w:val="en-GB"/>
        </w:rPr>
        <w:t>云透明：</w:t>
      </w:r>
      <w:r w:rsidRPr="00423DB2">
        <w:rPr>
          <w:rFonts w:hint="eastAsia"/>
        </w:rPr>
        <w:t>监管机构</w:t>
      </w:r>
      <w:r>
        <w:rPr>
          <w:rFonts w:hint="eastAsia"/>
        </w:rPr>
        <w:t>可考虑</w:t>
      </w:r>
      <w:r w:rsidR="00F3651F">
        <w:rPr>
          <w:rFonts w:hint="eastAsia"/>
        </w:rPr>
        <w:t>鼓励</w:t>
      </w:r>
      <w:r w:rsidR="00A87CF1">
        <w:rPr>
          <w:rFonts w:hint="eastAsia"/>
        </w:rPr>
        <w:t>云服务提供商（</w:t>
      </w:r>
      <w:r w:rsidR="00A87CF1">
        <w:rPr>
          <w:rFonts w:hint="eastAsia"/>
        </w:rPr>
        <w:t>CSP</w:t>
      </w:r>
      <w:r w:rsidR="00A87CF1">
        <w:rPr>
          <w:rFonts w:hint="eastAsia"/>
        </w:rPr>
        <w:t>）</w:t>
      </w:r>
      <w:r w:rsidR="00B0263E">
        <w:rPr>
          <w:rFonts w:hint="eastAsia"/>
        </w:rPr>
        <w:t>承担作为云服务提供基础的</w:t>
      </w:r>
      <w:r w:rsidR="00A87CF1">
        <w:rPr>
          <w:rFonts w:hint="eastAsia"/>
        </w:rPr>
        <w:t>供应商链条中用户通报</w:t>
      </w:r>
      <w:r w:rsidR="00B0263E">
        <w:rPr>
          <w:rFonts w:hint="eastAsia"/>
        </w:rPr>
        <w:t>的具体义务</w:t>
      </w:r>
      <w:r w:rsidR="00D71BDE">
        <w:rPr>
          <w:rFonts w:hint="eastAsia"/>
        </w:rPr>
        <w:t>，这些提供商构成了向云用户提供服务的基础。监管机构也需确保互联网提供商向客户提供与其网络中各公司所遵循的业务管理实践有关的更大透明度。</w:t>
      </w:r>
    </w:p>
    <w:p w:rsidR="000D33EC" w:rsidRDefault="00D71BDE" w:rsidP="00A67C91">
      <w:r>
        <w:rPr>
          <w:rFonts w:ascii="Calibri" w:hAnsi="Calibri" w:cs="Times New Roman Bold" w:hint="eastAsia"/>
          <w:b/>
          <w:bCs/>
          <w:iCs/>
          <w:color w:val="A50021"/>
          <w:szCs w:val="22"/>
          <w:lang w:val="en-GB"/>
        </w:rPr>
        <w:t>磋商过程：</w:t>
      </w:r>
      <w:r w:rsidRPr="00423DB2">
        <w:rPr>
          <w:rFonts w:hint="eastAsia"/>
        </w:rPr>
        <w:t>监管机构</w:t>
      </w:r>
      <w:r>
        <w:rPr>
          <w:rFonts w:hint="eastAsia"/>
        </w:rPr>
        <w:t>需与云服务提供商</w:t>
      </w:r>
      <w:r w:rsidR="005F002C">
        <w:rPr>
          <w:rFonts w:hint="eastAsia"/>
        </w:rPr>
        <w:t>以及其他市场参与方就适当的监管处理</w:t>
      </w:r>
      <w:r w:rsidR="00A67C91">
        <w:rPr>
          <w:rFonts w:hint="eastAsia"/>
        </w:rPr>
        <w:t>及</w:t>
      </w:r>
      <w:r w:rsidR="005F002C">
        <w:rPr>
          <w:rFonts w:hint="eastAsia"/>
        </w:rPr>
        <w:t>某些云服务的分类进行磋商，以便发布导则，为进入市场的企业及用户提供法律确定性，如通过举办多利益攸关方论坛，制定保护消费者的最佳做法等。</w:t>
      </w:r>
    </w:p>
    <w:p w:rsidR="000D6DE5" w:rsidRDefault="005F002C" w:rsidP="00155FCD">
      <w:pPr>
        <w:pStyle w:val="GSRHeading1"/>
        <w:numPr>
          <w:ilvl w:val="0"/>
          <w:numId w:val="0"/>
        </w:numPr>
        <w:tabs>
          <w:tab w:val="clear" w:pos="851"/>
          <w:tab w:val="left" w:pos="0"/>
        </w:tabs>
        <w:spacing w:before="120"/>
        <w:rPr>
          <w:rFonts w:asciiTheme="minorHAnsi" w:hAnsiTheme="minorHAnsi" w:cs="Times New Roman"/>
          <w:b w:val="0"/>
          <w:bCs w:val="0"/>
          <w:color w:val="auto"/>
          <w:sz w:val="22"/>
          <w:szCs w:val="20"/>
        </w:rPr>
      </w:pPr>
      <w:r>
        <w:rPr>
          <w:rFonts w:hint="eastAsia"/>
          <w:iCs/>
          <w:sz w:val="22"/>
          <w:szCs w:val="22"/>
          <w:lang w:val="en-US"/>
        </w:rPr>
        <w:t>网络中立：</w:t>
      </w:r>
      <w:r w:rsidR="002224E7">
        <w:rPr>
          <w:rFonts w:asciiTheme="minorHAnsi" w:hAnsiTheme="minorHAnsi" w:cs="Times New Roman" w:hint="eastAsia"/>
          <w:b w:val="0"/>
          <w:bCs w:val="0"/>
          <w:color w:val="auto"/>
          <w:sz w:val="22"/>
          <w:szCs w:val="20"/>
        </w:rPr>
        <w:t>将网络拥塞降低到最低限度总需要一定程度的业务管理。监管机构应寻求对</w:t>
      </w:r>
      <w:r w:rsidR="00B0263E">
        <w:rPr>
          <w:rFonts w:asciiTheme="minorHAnsi" w:hAnsiTheme="minorHAnsi" w:cs="Times New Roman" w:hint="eastAsia"/>
          <w:b w:val="0"/>
          <w:bCs w:val="0"/>
          <w:color w:val="auto"/>
          <w:sz w:val="22"/>
          <w:szCs w:val="20"/>
        </w:rPr>
        <w:t>业务管理技术</w:t>
      </w:r>
      <w:r w:rsidR="002224E7">
        <w:rPr>
          <w:rFonts w:asciiTheme="minorHAnsi" w:hAnsiTheme="minorHAnsi" w:cs="Times New Roman" w:hint="eastAsia"/>
          <w:b w:val="0"/>
          <w:bCs w:val="0"/>
          <w:color w:val="auto"/>
          <w:sz w:val="22"/>
          <w:szCs w:val="20"/>
        </w:rPr>
        <w:t>进行监管，以</w:t>
      </w:r>
      <w:r w:rsidR="00155FCD">
        <w:rPr>
          <w:rFonts w:asciiTheme="minorHAnsi" w:hAnsiTheme="minorHAnsi" w:cs="Times New Roman" w:hint="eastAsia"/>
          <w:b w:val="0"/>
          <w:bCs w:val="0"/>
          <w:color w:val="auto"/>
          <w:sz w:val="22"/>
          <w:szCs w:val="20"/>
        </w:rPr>
        <w:t>市场参与方</w:t>
      </w:r>
      <w:r w:rsidR="002224E7">
        <w:rPr>
          <w:rFonts w:asciiTheme="minorHAnsi" w:hAnsiTheme="minorHAnsi" w:cs="Times New Roman" w:hint="eastAsia"/>
          <w:b w:val="0"/>
          <w:bCs w:val="0"/>
          <w:color w:val="auto"/>
          <w:sz w:val="22"/>
          <w:szCs w:val="20"/>
        </w:rPr>
        <w:t>不</w:t>
      </w:r>
      <w:r w:rsidR="00155FCD">
        <w:rPr>
          <w:rFonts w:asciiTheme="minorHAnsi" w:hAnsiTheme="minorHAnsi" w:cs="Times New Roman" w:hint="eastAsia"/>
          <w:b w:val="0"/>
          <w:bCs w:val="0"/>
          <w:color w:val="auto"/>
          <w:sz w:val="22"/>
          <w:szCs w:val="20"/>
        </w:rPr>
        <w:t>受不公正歧视的方式</w:t>
      </w:r>
      <w:r w:rsidR="002224E7">
        <w:rPr>
          <w:rFonts w:asciiTheme="minorHAnsi" w:hAnsiTheme="minorHAnsi" w:cs="Times New Roman" w:hint="eastAsia"/>
          <w:b w:val="0"/>
          <w:bCs w:val="0"/>
          <w:color w:val="auto"/>
          <w:sz w:val="22"/>
          <w:szCs w:val="20"/>
        </w:rPr>
        <w:t>适用具体</w:t>
      </w:r>
      <w:r w:rsidR="00155FCD">
        <w:rPr>
          <w:rFonts w:asciiTheme="minorHAnsi" w:hAnsiTheme="minorHAnsi" w:cs="Times New Roman" w:hint="eastAsia"/>
          <w:b w:val="0"/>
          <w:bCs w:val="0"/>
          <w:color w:val="auto"/>
          <w:sz w:val="22"/>
          <w:szCs w:val="20"/>
        </w:rPr>
        <w:t>措施</w:t>
      </w:r>
      <w:r w:rsidR="002224E7">
        <w:rPr>
          <w:rFonts w:asciiTheme="minorHAnsi" w:hAnsiTheme="minorHAnsi" w:cs="Times New Roman" w:hint="eastAsia"/>
          <w:b w:val="0"/>
          <w:bCs w:val="0"/>
          <w:color w:val="auto"/>
          <w:sz w:val="22"/>
          <w:szCs w:val="20"/>
        </w:rPr>
        <w:t>。</w:t>
      </w:r>
    </w:p>
    <w:p w:rsidR="00E33ED9" w:rsidRPr="00F678CE" w:rsidRDefault="002224E7" w:rsidP="00ED2D9E">
      <w:pPr>
        <w:pStyle w:val="GSRHeading1"/>
        <w:numPr>
          <w:ilvl w:val="0"/>
          <w:numId w:val="0"/>
        </w:numPr>
        <w:tabs>
          <w:tab w:val="clear" w:pos="851"/>
          <w:tab w:val="left" w:pos="0"/>
        </w:tabs>
        <w:spacing w:before="120"/>
        <w:rPr>
          <w:rFonts w:asciiTheme="minorHAnsi" w:hAnsiTheme="minorHAnsi" w:cs="Times New Roman"/>
          <w:b w:val="0"/>
          <w:bCs w:val="0"/>
          <w:color w:val="auto"/>
          <w:sz w:val="22"/>
          <w:szCs w:val="20"/>
          <w:lang w:val="en-US"/>
        </w:rPr>
      </w:pPr>
      <w:r>
        <w:rPr>
          <w:rFonts w:asciiTheme="minorHAnsi" w:hAnsiTheme="minorHAnsi" w:cs="Times New Roman" w:hint="eastAsia"/>
          <w:b w:val="0"/>
          <w:bCs w:val="0"/>
          <w:color w:val="auto"/>
          <w:sz w:val="22"/>
          <w:szCs w:val="20"/>
          <w:lang w:val="en-US"/>
        </w:rPr>
        <w:t>监管机构也可能需要复审其现行的法规，以判定</w:t>
      </w:r>
      <w:r w:rsidR="005D5211">
        <w:rPr>
          <w:rFonts w:asciiTheme="minorHAnsi" w:hAnsiTheme="minorHAnsi" w:cs="Times New Roman" w:hint="eastAsia"/>
          <w:b w:val="0"/>
          <w:bCs w:val="0"/>
          <w:color w:val="auto"/>
          <w:sz w:val="22"/>
          <w:szCs w:val="20"/>
          <w:lang w:val="en-US"/>
        </w:rPr>
        <w:t>已有的反歧视法或规则等监管工具是否足以解决将影响到网络中立的竞争问题。</w:t>
      </w:r>
      <w:r w:rsidR="002E263C" w:rsidRPr="00F678CE">
        <w:rPr>
          <w:rFonts w:asciiTheme="minorHAnsi" w:hAnsiTheme="minorHAnsi" w:cs="Times New Roman"/>
          <w:b w:val="0"/>
          <w:bCs w:val="0"/>
          <w:color w:val="auto"/>
          <w:sz w:val="22"/>
          <w:szCs w:val="20"/>
          <w:lang w:val="en-US"/>
        </w:rPr>
        <w:t xml:space="preserve"> </w:t>
      </w:r>
    </w:p>
    <w:p w:rsidR="001056F5" w:rsidRPr="00F678CE" w:rsidRDefault="005D5211" w:rsidP="00155FCD">
      <w:r>
        <w:rPr>
          <w:rFonts w:ascii="Calibri" w:hAnsi="Calibri" w:cs="Times New Roman Bold" w:hint="eastAsia"/>
          <w:b/>
          <w:bCs/>
          <w:iCs/>
          <w:color w:val="A50021"/>
          <w:szCs w:val="22"/>
          <w:lang w:val="en-GB"/>
        </w:rPr>
        <w:t>服务质量（</w:t>
      </w:r>
      <w:r w:rsidR="001056F5" w:rsidRPr="00F678CE">
        <w:rPr>
          <w:rFonts w:ascii="Calibri" w:hAnsi="Calibri" w:cs="Times New Roman Bold"/>
          <w:b/>
          <w:bCs/>
          <w:iCs/>
          <w:color w:val="A50021"/>
          <w:szCs w:val="22"/>
          <w:lang w:val="en-GB"/>
        </w:rPr>
        <w:t>QoS</w:t>
      </w:r>
      <w:r>
        <w:rPr>
          <w:rFonts w:ascii="Calibri" w:hAnsi="Calibri" w:cs="Times New Roman Bold" w:hint="eastAsia"/>
          <w:b/>
          <w:bCs/>
          <w:iCs/>
          <w:color w:val="A50021"/>
          <w:szCs w:val="22"/>
          <w:lang w:val="en-GB"/>
        </w:rPr>
        <w:t>）：</w:t>
      </w:r>
      <w:r w:rsidR="00155FCD" w:rsidRPr="00155FCD">
        <w:rPr>
          <w:rFonts w:hint="eastAsia"/>
        </w:rPr>
        <w:t>一些</w:t>
      </w:r>
      <w:r>
        <w:rPr>
          <w:rFonts w:hint="eastAsia"/>
        </w:rPr>
        <w:t>监管机构</w:t>
      </w:r>
      <w:r w:rsidR="00155FCD">
        <w:rPr>
          <w:rFonts w:hint="eastAsia"/>
        </w:rPr>
        <w:t>通过</w:t>
      </w:r>
      <w:r>
        <w:rPr>
          <w:rFonts w:hint="eastAsia"/>
        </w:rPr>
        <w:t>执行最低限度的服务质量要求，确保用户和边缘设备提供商获得可靠</w:t>
      </w:r>
      <w:r w:rsidR="00155FCD">
        <w:rPr>
          <w:rFonts w:hint="eastAsia"/>
        </w:rPr>
        <w:t>和不中断</w:t>
      </w:r>
      <w:r>
        <w:rPr>
          <w:rFonts w:hint="eastAsia"/>
        </w:rPr>
        <w:t>的服务</w:t>
      </w:r>
      <w:r w:rsidR="00155FCD">
        <w:rPr>
          <w:rFonts w:hint="eastAsia"/>
        </w:rPr>
        <w:t>，包括获取云中的个人信息</w:t>
      </w:r>
      <w:r>
        <w:rPr>
          <w:rFonts w:hint="eastAsia"/>
        </w:rPr>
        <w:t>。</w:t>
      </w:r>
      <w:r w:rsidR="002D6FCA">
        <w:rPr>
          <w:rFonts w:hint="eastAsia"/>
        </w:rPr>
        <w:t>为了交付这些服务，网络提供商将需确保</w:t>
      </w:r>
      <w:r w:rsidR="00636370">
        <w:t>(1)</w:t>
      </w:r>
      <w:r w:rsidR="002D6FCA">
        <w:rPr>
          <w:rFonts w:hint="eastAsia"/>
        </w:rPr>
        <w:t>用户签署的合同条款透明清晰；</w:t>
      </w:r>
      <w:r w:rsidR="00636370">
        <w:t xml:space="preserve">(2) </w:t>
      </w:r>
      <w:r w:rsidR="002D6FCA">
        <w:rPr>
          <w:rFonts w:hint="eastAsia"/>
        </w:rPr>
        <w:t>公布有关可用度和服务质量的可比较信息；</w:t>
      </w:r>
      <w:r w:rsidR="00155FCD">
        <w:rPr>
          <w:rFonts w:hint="eastAsia"/>
        </w:rPr>
        <w:t>以及</w:t>
      </w:r>
      <w:r w:rsidR="00636370">
        <w:t xml:space="preserve">(3) </w:t>
      </w:r>
      <w:r w:rsidR="00155FCD">
        <w:rPr>
          <w:rFonts w:hint="eastAsia"/>
        </w:rPr>
        <w:t>向用户披露</w:t>
      </w:r>
      <w:r w:rsidR="002D6FCA">
        <w:rPr>
          <w:rFonts w:hint="eastAsia"/>
        </w:rPr>
        <w:t>服务质量的最低限度要求。</w:t>
      </w:r>
    </w:p>
    <w:p w:rsidR="0043766E" w:rsidRPr="00F678CE" w:rsidRDefault="002D6FCA" w:rsidP="00ED2D9E">
      <w:r>
        <w:rPr>
          <w:rFonts w:ascii="Calibri" w:hAnsi="Calibri" w:cs="Times New Roman Bold" w:hint="eastAsia"/>
          <w:b/>
          <w:bCs/>
          <w:iCs/>
          <w:color w:val="A50021"/>
          <w:szCs w:val="22"/>
          <w:lang w:val="en-GB"/>
        </w:rPr>
        <w:t>用户赋权：</w:t>
      </w:r>
      <w:r w:rsidRPr="002D6FCA">
        <w:rPr>
          <w:rFonts w:hint="eastAsia"/>
        </w:rPr>
        <w:t>决策机构</w:t>
      </w:r>
      <w:r>
        <w:rPr>
          <w:rFonts w:hint="eastAsia"/>
        </w:rPr>
        <w:t>需确保用户有权通过促进</w:t>
      </w:r>
      <w:r w:rsidR="007C44F1">
        <w:rPr>
          <w:rFonts w:hint="eastAsia"/>
        </w:rPr>
        <w:t>提高</w:t>
      </w:r>
      <w:r>
        <w:rPr>
          <w:rFonts w:hint="eastAsia"/>
        </w:rPr>
        <w:t>云</w:t>
      </w:r>
      <w:r w:rsidR="007C44F1">
        <w:rPr>
          <w:rFonts w:hint="eastAsia"/>
        </w:rPr>
        <w:t>素养的方式</w:t>
      </w:r>
      <w:r>
        <w:rPr>
          <w:rFonts w:hint="eastAsia"/>
        </w:rPr>
        <w:t>控制其个人数据并保护其隐私。</w:t>
      </w:r>
      <w:r w:rsidR="007C44F1">
        <w:rPr>
          <w:rFonts w:hint="eastAsia"/>
        </w:rPr>
        <w:t>云用户需确保在云中存储或处理的信息不得在产生危害或不知情的情况下被使用或披露。</w:t>
      </w:r>
      <w:r w:rsidR="0058439E" w:rsidRPr="00F678CE">
        <w:t xml:space="preserve"> </w:t>
      </w:r>
    </w:p>
    <w:p w:rsidR="000D6DE5" w:rsidRPr="00EB5A2B" w:rsidRDefault="007C44F1" w:rsidP="00ED2D9E">
      <w:r>
        <w:rPr>
          <w:rFonts w:ascii="Calibri" w:hAnsi="Calibri" w:cs="Times New Roman Bold" w:hint="eastAsia"/>
          <w:b/>
          <w:bCs/>
          <w:iCs/>
          <w:color w:val="A50021"/>
          <w:szCs w:val="22"/>
          <w:lang w:val="en-GB"/>
        </w:rPr>
        <w:t>隐私和数据保护：</w:t>
      </w:r>
      <w:r w:rsidRPr="007C44F1">
        <w:rPr>
          <w:rFonts w:hint="eastAsia"/>
        </w:rPr>
        <w:t>国际机构</w:t>
      </w:r>
      <w:r>
        <w:rPr>
          <w:rFonts w:hint="eastAsia"/>
        </w:rPr>
        <w:t>和各国决策及监管机构必须合作制定有效、高效、均衡且可执行的法律，保护消费者合理的隐私期待。也应授予各利益攸关方制定自律的职责，如制定适合于其所提供业务的透明隐私政策。各国政府也应继续合作确保每个实体不应通过过于繁琐，从而限制信息自由流通或妨碍</w:t>
      </w:r>
      <w:r w:rsidR="00862E50">
        <w:rPr>
          <w:rFonts w:hint="eastAsia"/>
        </w:rPr>
        <w:t>CSP</w:t>
      </w:r>
      <w:r w:rsidR="00862E50">
        <w:rPr>
          <w:rFonts w:hint="eastAsia"/>
        </w:rPr>
        <w:t>实现这些业务中所固有的、成本节约最大化</w:t>
      </w:r>
      <w:r>
        <w:rPr>
          <w:rFonts w:hint="eastAsia"/>
        </w:rPr>
        <w:t>的隐私规章</w:t>
      </w:r>
      <w:r w:rsidR="00862E50">
        <w:rPr>
          <w:rFonts w:hint="eastAsia"/>
        </w:rPr>
        <w:t>。</w:t>
      </w:r>
    </w:p>
    <w:p w:rsidR="007D1B8F" w:rsidRDefault="00862E50" w:rsidP="00ED2D9E">
      <w:r>
        <w:rPr>
          <w:rFonts w:ascii="Calibri" w:hAnsi="Calibri" w:cs="Times New Roman Bold" w:hint="eastAsia"/>
          <w:b/>
          <w:bCs/>
          <w:iCs/>
          <w:color w:val="A50021"/>
          <w:szCs w:val="22"/>
          <w:lang w:val="en-GB"/>
        </w:rPr>
        <w:t>云标准：</w:t>
      </w:r>
      <w:r w:rsidR="00EB1796" w:rsidRPr="00EB1796">
        <w:rPr>
          <w:rFonts w:hint="eastAsia"/>
        </w:rPr>
        <w:t>解决</w:t>
      </w:r>
      <w:r w:rsidR="009C6628">
        <w:rPr>
          <w:rFonts w:hint="eastAsia"/>
        </w:rPr>
        <w:t>云提供商和用户中的一系列关注，需</w:t>
      </w:r>
      <w:r w:rsidR="00EB1796" w:rsidRPr="00EB1796">
        <w:rPr>
          <w:rFonts w:hint="eastAsia"/>
        </w:rPr>
        <w:t>制定并</w:t>
      </w:r>
      <w:r w:rsidR="00EB1796">
        <w:rPr>
          <w:rFonts w:hint="eastAsia"/>
        </w:rPr>
        <w:t>推广采纳适当的各国、区域和国际技术标准和组织标准</w:t>
      </w:r>
      <w:r w:rsidR="009C6628">
        <w:rPr>
          <w:rFonts w:hint="eastAsia"/>
        </w:rPr>
        <w:t>，包括将老系统与云接口进行整合、数据和应用的可携带性及安全等。</w:t>
      </w:r>
    </w:p>
    <w:p w:rsidR="00606826" w:rsidRPr="00F678CE" w:rsidRDefault="009C6628" w:rsidP="00155FCD">
      <w:r>
        <w:rPr>
          <w:rFonts w:ascii="Calibri" w:hAnsi="Calibri" w:cs="Times New Roman Bold" w:hint="eastAsia"/>
          <w:b/>
          <w:bCs/>
          <w:iCs/>
          <w:color w:val="A50021"/>
          <w:szCs w:val="22"/>
          <w:lang w:val="en-GB"/>
        </w:rPr>
        <w:t>数据可携带性：</w:t>
      </w:r>
      <w:r w:rsidR="00155FCD" w:rsidRPr="00155FCD">
        <w:rPr>
          <w:rFonts w:hint="eastAsia"/>
        </w:rPr>
        <w:t>专用</w:t>
      </w:r>
      <w:r w:rsidRPr="009C6628">
        <w:rPr>
          <w:rFonts w:hint="eastAsia"/>
        </w:rPr>
        <w:t>云计算</w:t>
      </w:r>
      <w:r>
        <w:rPr>
          <w:rFonts w:hint="eastAsia"/>
        </w:rPr>
        <w:t>应用程序接口（</w:t>
      </w:r>
      <w:r>
        <w:rPr>
          <w:rFonts w:hint="eastAsia"/>
        </w:rPr>
        <w:t>API</w:t>
      </w:r>
      <w:r>
        <w:rPr>
          <w:rFonts w:hint="eastAsia"/>
        </w:rPr>
        <w:t>）</w:t>
      </w:r>
      <w:r w:rsidR="00155FCD">
        <w:rPr>
          <w:rFonts w:hint="eastAsia"/>
        </w:rPr>
        <w:t>可</w:t>
      </w:r>
      <w:r>
        <w:rPr>
          <w:rFonts w:hint="eastAsia"/>
        </w:rPr>
        <w:t>限制用户</w:t>
      </w:r>
      <w:r w:rsidR="00155FCD">
        <w:rPr>
          <w:rFonts w:hint="eastAsia"/>
        </w:rPr>
        <w:t>转</w:t>
      </w:r>
      <w:r>
        <w:rPr>
          <w:rFonts w:hint="eastAsia"/>
        </w:rPr>
        <w:t>换提供商的能力（</w:t>
      </w:r>
      <w:r w:rsidR="00155FCD">
        <w:rPr>
          <w:rFonts w:hint="eastAsia"/>
        </w:rPr>
        <w:t>即</w:t>
      </w:r>
      <w:r>
        <w:rPr>
          <w:rFonts w:hint="eastAsia"/>
        </w:rPr>
        <w:t>锁定效应）。标准化的</w:t>
      </w:r>
      <w:r w:rsidR="00606826" w:rsidRPr="007D1B8F">
        <w:t>API</w:t>
      </w:r>
      <w:r>
        <w:rPr>
          <w:rFonts w:hint="eastAsia"/>
        </w:rPr>
        <w:t>可有利于数据的可携带性并将通过允许多个云计算提供商执行相同的功能而实现更大的可靠性。</w:t>
      </w:r>
    </w:p>
    <w:p w:rsidR="0058439E" w:rsidRPr="00F678CE" w:rsidRDefault="009C6628" w:rsidP="00ED2D9E">
      <w:r>
        <w:rPr>
          <w:rFonts w:ascii="Calibri" w:hAnsi="Calibri" w:cs="Times New Roman Bold" w:hint="eastAsia"/>
          <w:b/>
          <w:bCs/>
          <w:iCs/>
          <w:color w:val="A50021"/>
          <w:szCs w:val="22"/>
          <w:lang w:val="en-GB"/>
        </w:rPr>
        <w:t>互操作性：</w:t>
      </w:r>
      <w:r w:rsidRPr="009C6628">
        <w:rPr>
          <w:rFonts w:hint="eastAsia"/>
        </w:rPr>
        <w:t>互操作性</w:t>
      </w:r>
      <w:r w:rsidR="00775D90">
        <w:rPr>
          <w:rFonts w:hint="eastAsia"/>
        </w:rPr>
        <w:t>对于云计算服务的用户而言至关重要，因为它促进了信息流通并保证了适当的安全和隐私。因此，各国政府需支持制定和加速通信设备进入市场并保证无缝无线连接和服务的标准和措施。消除数据跨境流通的不必要限制特别重要。</w:t>
      </w:r>
      <w:r w:rsidR="00525D6B">
        <w:t xml:space="preserve"> </w:t>
      </w:r>
    </w:p>
    <w:p w:rsidR="00F62CEB" w:rsidRPr="00F678CE" w:rsidRDefault="00775D90" w:rsidP="00ED2D9E">
      <w:r>
        <w:rPr>
          <w:rFonts w:ascii="Calibri" w:hAnsi="Calibri" w:cs="Times New Roman Bold" w:hint="eastAsia"/>
          <w:b/>
          <w:bCs/>
          <w:iCs/>
          <w:color w:val="A50021"/>
          <w:szCs w:val="22"/>
          <w:lang w:val="en-GB"/>
        </w:rPr>
        <w:t>刺激需求：</w:t>
      </w:r>
      <w:r w:rsidRPr="00775D90">
        <w:rPr>
          <w:rFonts w:hint="eastAsia"/>
        </w:rPr>
        <w:t>各国政府</w:t>
      </w:r>
      <w:r>
        <w:rPr>
          <w:rFonts w:hint="eastAsia"/>
        </w:rPr>
        <w:t>必须在采纳云计算的过程中发挥引导作用。此外，需努力克服采用宽带的障碍，开展以消费者和小型企业为目标的多个举措。</w:t>
      </w:r>
      <w:r w:rsidR="005D30A5" w:rsidRPr="00F678CE">
        <w:t xml:space="preserve"> </w:t>
      </w:r>
    </w:p>
    <w:p w:rsidR="00F62CEB" w:rsidRPr="00F678CE" w:rsidRDefault="00775D90" w:rsidP="00ED2D9E">
      <w:r>
        <w:rPr>
          <w:rFonts w:ascii="Calibri" w:hAnsi="Calibri" w:cs="Times New Roman Bold" w:hint="eastAsia"/>
          <w:b/>
          <w:bCs/>
          <w:iCs/>
          <w:color w:val="A50021"/>
          <w:szCs w:val="22"/>
          <w:lang w:val="en-GB"/>
        </w:rPr>
        <w:t>研发（</w:t>
      </w:r>
      <w:r w:rsidR="00F62CEB" w:rsidRPr="00F678CE">
        <w:rPr>
          <w:rFonts w:ascii="Calibri" w:hAnsi="Calibri" w:cs="Times New Roman Bold"/>
          <w:b/>
          <w:bCs/>
          <w:iCs/>
          <w:color w:val="A50021"/>
          <w:szCs w:val="22"/>
          <w:lang w:val="en-GB"/>
        </w:rPr>
        <w:t>R&amp;D</w:t>
      </w:r>
      <w:r>
        <w:rPr>
          <w:rFonts w:ascii="Calibri" w:hAnsi="Calibri" w:cs="Times New Roman Bold" w:hint="eastAsia"/>
          <w:b/>
          <w:bCs/>
          <w:iCs/>
          <w:color w:val="A50021"/>
          <w:szCs w:val="22"/>
          <w:lang w:val="en-GB"/>
        </w:rPr>
        <w:t>）：</w:t>
      </w:r>
      <w:r w:rsidRPr="00775D90">
        <w:rPr>
          <w:rFonts w:hint="eastAsia"/>
        </w:rPr>
        <w:t>促进</w:t>
      </w:r>
      <w:r>
        <w:rPr>
          <w:rFonts w:hint="eastAsia"/>
        </w:rPr>
        <w:t>云计算领域的研发是设计符合未来要求的数字经济的重要工具。</w:t>
      </w:r>
      <w:r w:rsidR="00D302CE">
        <w:rPr>
          <w:rFonts w:hint="eastAsia"/>
        </w:rPr>
        <w:t>应鼓励</w:t>
      </w:r>
      <w:r>
        <w:rPr>
          <w:rFonts w:hint="eastAsia"/>
        </w:rPr>
        <w:t>与相关国际组织及大学</w:t>
      </w:r>
      <w:r w:rsidR="00D302CE">
        <w:rPr>
          <w:rFonts w:hint="eastAsia"/>
        </w:rPr>
        <w:t>开展密切的区域或国际合作。</w:t>
      </w:r>
    </w:p>
    <w:p w:rsidR="00727B98" w:rsidRDefault="00D302CE" w:rsidP="00155FCD">
      <w:r>
        <w:rPr>
          <w:rFonts w:ascii="Calibri" w:hAnsi="Calibri" w:cs="Times New Roman Bold" w:hint="eastAsia"/>
          <w:b/>
          <w:bCs/>
          <w:iCs/>
          <w:color w:val="A50021"/>
          <w:szCs w:val="22"/>
          <w:lang w:val="en-GB"/>
        </w:rPr>
        <w:t>监管合作：</w:t>
      </w:r>
      <w:r w:rsidRPr="00D302CE">
        <w:rPr>
          <w:rFonts w:hint="eastAsia"/>
        </w:rPr>
        <w:t>云服务</w:t>
      </w:r>
      <w:r>
        <w:rPr>
          <w:rFonts w:hint="eastAsia"/>
        </w:rPr>
        <w:t>影响到一系列的监管领域（一国司法体系内或跨越多国司法体系）。监管机构应在以</w:t>
      </w:r>
      <w:r>
        <w:rPr>
          <w:rFonts w:hint="eastAsia"/>
        </w:rPr>
        <w:t>CSP</w:t>
      </w:r>
      <w:r>
        <w:rPr>
          <w:rFonts w:hint="eastAsia"/>
        </w:rPr>
        <w:t>为目标的监管决策方面进行合作和协调。</w:t>
      </w:r>
    </w:p>
    <w:p w:rsidR="0043766E" w:rsidRPr="00F678CE" w:rsidRDefault="00D302CE" w:rsidP="00ED2D9E">
      <w:r>
        <w:rPr>
          <w:rFonts w:hint="eastAsia"/>
        </w:rPr>
        <w:t>在国际层面，各国政府需协作增加与云有关的监管可预见性并制定可促进开发和采用云计算服务的通用核心政策原则，同时避免设置市场准入的监管障碍。</w:t>
      </w:r>
    </w:p>
    <w:p w:rsidR="00310EBF" w:rsidRPr="00F678CE" w:rsidRDefault="00D302CE" w:rsidP="00A67C91">
      <w:r>
        <w:rPr>
          <w:rFonts w:ascii="Calibri" w:hAnsi="Calibri" w:cs="Times New Roman Bold" w:hint="eastAsia"/>
          <w:b/>
          <w:bCs/>
          <w:iCs/>
          <w:color w:val="A50021"/>
          <w:szCs w:val="22"/>
          <w:lang w:val="en-GB"/>
        </w:rPr>
        <w:t>区域云：</w:t>
      </w:r>
      <w:r w:rsidRPr="00D302CE">
        <w:rPr>
          <w:rFonts w:hint="eastAsia"/>
        </w:rPr>
        <w:t>区域云</w:t>
      </w:r>
      <w:r w:rsidR="00182E20">
        <w:rPr>
          <w:rFonts w:hint="eastAsia"/>
        </w:rPr>
        <w:t>是一组国家进行合作，以便推动云计算服务并利用其好处，同时可通过建立区域性监管框架并借助其他企业和消费者保护措施减少安全、保密和其他重要关注的独特机遇。</w:t>
      </w:r>
    </w:p>
    <w:p w:rsidR="001056F5" w:rsidRPr="00A67C91" w:rsidRDefault="00182E20" w:rsidP="00DB5886">
      <w:pPr>
        <w:rPr>
          <w:spacing w:val="-6"/>
        </w:rPr>
      </w:pPr>
      <w:bookmarkStart w:id="0" w:name="_GoBack"/>
      <w:bookmarkEnd w:id="0"/>
      <w:r w:rsidRPr="00A67C91">
        <w:rPr>
          <w:rFonts w:hint="eastAsia"/>
          <w:spacing w:val="-6"/>
        </w:rPr>
        <w:t>在此方面，可采用次区域性方式，</w:t>
      </w:r>
      <w:r w:rsidR="00A67C91" w:rsidRPr="00A67C91">
        <w:rPr>
          <w:rFonts w:hint="eastAsia"/>
          <w:spacing w:val="-6"/>
        </w:rPr>
        <w:t>鼓励监管机构联合</w:t>
      </w:r>
      <w:r w:rsidRPr="00A67C91">
        <w:rPr>
          <w:rFonts w:hint="eastAsia"/>
          <w:spacing w:val="-6"/>
        </w:rPr>
        <w:t>推动在成员国之间统一监管制度的工作。</w:t>
      </w:r>
    </w:p>
    <w:sectPr w:rsidR="001056F5" w:rsidRPr="00A67C91" w:rsidSect="00B93242">
      <w:footerReference w:type="default" r:id="rId10"/>
      <w:footnotePr>
        <w:numFmt w:val="chicago"/>
      </w:footnotePr>
      <w:endnotePr>
        <w:numFmt w:val="chicago"/>
      </w:endnotePr>
      <w:pgSz w:w="11907" w:h="16839" w:code="9"/>
      <w:pgMar w:top="1440" w:right="1440" w:bottom="1134" w:left="1440" w:header="426" w:footer="5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3E" w:rsidRDefault="00B0263E" w:rsidP="00BB267A">
      <w:r>
        <w:separator/>
      </w:r>
    </w:p>
  </w:endnote>
  <w:endnote w:type="continuationSeparator" w:id="0">
    <w:p w:rsidR="00B0263E" w:rsidRDefault="00B0263E" w:rsidP="00B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3E" w:rsidRDefault="00B0263E" w:rsidP="00515AA3">
    <w:pPr>
      <w:pStyle w:val="Footer"/>
      <w:spacing w:before="120" w:line="360" w:lineRule="auto"/>
      <w:ind w:right="-136"/>
    </w:pPr>
    <w:r>
      <w:fldChar w:fldCharType="begin"/>
    </w:r>
    <w:r>
      <w:instrText xml:space="preserve"> PAGE   \* MERGEFORMAT </w:instrText>
    </w:r>
    <w:r>
      <w:fldChar w:fldCharType="separate"/>
    </w:r>
    <w:r w:rsidR="00DB588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3E" w:rsidRDefault="00B0263E" w:rsidP="00BB267A">
      <w:r>
        <w:separator/>
      </w:r>
    </w:p>
  </w:footnote>
  <w:footnote w:type="continuationSeparator" w:id="0">
    <w:p w:rsidR="00B0263E" w:rsidRDefault="00B0263E" w:rsidP="00BB267A">
      <w:r>
        <w:continuationSeparator/>
      </w:r>
    </w:p>
  </w:footnote>
  <w:footnote w:id="1">
    <w:p w:rsidR="00B0263E" w:rsidRPr="00693544" w:rsidRDefault="00B0263E" w:rsidP="009C06A3">
      <w:pPr>
        <w:pStyle w:val="FootnoteText"/>
        <w:ind w:left="567" w:hanging="567"/>
        <w:rPr>
          <w:color w:val="C00000"/>
          <w:sz w:val="20"/>
          <w:lang w:eastAsia="zh-CN"/>
        </w:rPr>
      </w:pPr>
      <w:r w:rsidRPr="00395C28">
        <w:rPr>
          <w:rStyle w:val="FootnoteReference"/>
          <w:color w:val="C00000"/>
          <w:sz w:val="32"/>
          <w:szCs w:val="32"/>
        </w:rPr>
        <w:footnoteRef/>
      </w:r>
      <w:r w:rsidRPr="0039233F">
        <w:rPr>
          <w:color w:val="C00000"/>
          <w:lang w:eastAsia="zh-CN"/>
        </w:rPr>
        <w:t xml:space="preserve"> </w:t>
      </w:r>
      <w:r w:rsidRPr="0039233F">
        <w:rPr>
          <w:color w:val="C00000"/>
          <w:lang w:eastAsia="zh-CN"/>
        </w:rPr>
        <w:tab/>
      </w:r>
      <w:r>
        <w:rPr>
          <w:rFonts w:hint="eastAsia"/>
          <w:color w:val="C00000"/>
          <w:lang w:eastAsia="zh-CN"/>
        </w:rPr>
        <w:t>这些导则基于阿根廷</w:t>
      </w:r>
      <w:r>
        <w:rPr>
          <w:rFonts w:hint="eastAsia"/>
          <w:color w:val="C00000"/>
          <w:lang w:eastAsia="zh-CN"/>
        </w:rPr>
        <w:t>/</w:t>
      </w:r>
      <w:r>
        <w:rPr>
          <w:rFonts w:hint="eastAsia"/>
          <w:color w:val="C00000"/>
          <w:lang w:eastAsia="zh-CN"/>
        </w:rPr>
        <w:t>黎巴嫩、布基纳法索、哥伦比亚、埃及、波兰、瑞士、泰国、美国和津巴布韦的文稿。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38"/>
    <w:multiLevelType w:val="hybridMultilevel"/>
    <w:tmpl w:val="079C5790"/>
    <w:lvl w:ilvl="0" w:tplc="0409000D">
      <w:start w:val="1"/>
      <w:numFmt w:val="bullet"/>
      <w:lvlText w:val=""/>
      <w:lvlJc w:val="left"/>
      <w:pPr>
        <w:ind w:left="720" w:hanging="360"/>
      </w:pPr>
      <w:rPr>
        <w:rFonts w:ascii="Wingdings" w:hAnsi="Wingdings" w:hint="default"/>
      </w:rPr>
    </w:lvl>
    <w:lvl w:ilvl="1" w:tplc="92C64B22">
      <w:start w:val="6"/>
      <w:numFmt w:val="bullet"/>
      <w:lvlText w:val=""/>
      <w:lvlJc w:val="left"/>
      <w:pPr>
        <w:ind w:left="1440" w:hanging="360"/>
      </w:pPr>
      <w:rPr>
        <w:rFonts w:ascii="Calibri" w:eastAsia="宋体"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76442"/>
    <w:multiLevelType w:val="hybridMultilevel"/>
    <w:tmpl w:val="91B2F304"/>
    <w:lvl w:ilvl="0" w:tplc="D1B24668">
      <w:numFmt w:val="bullet"/>
      <w:pStyle w:val="GSRDashinden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A7204"/>
    <w:multiLevelType w:val="hybridMultilevel"/>
    <w:tmpl w:val="35C4F698"/>
    <w:lvl w:ilvl="0" w:tplc="A7B8D258">
      <w:start w:val="1"/>
      <w:numFmt w:val="upperRoman"/>
      <w:pStyle w:val="GSR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6A06A5"/>
    <w:multiLevelType w:val="hybridMultilevel"/>
    <w:tmpl w:val="4BC078B4"/>
    <w:lvl w:ilvl="0" w:tplc="C5A6159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C20B5"/>
    <w:multiLevelType w:val="hybridMultilevel"/>
    <w:tmpl w:val="05303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16FEF"/>
    <w:multiLevelType w:val="hybridMultilevel"/>
    <w:tmpl w:val="03D42B30"/>
    <w:lvl w:ilvl="0" w:tplc="4C608748">
      <w:start w:val="1"/>
      <w:numFmt w:val="decimal"/>
      <w:pStyle w:val="GSR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82D3CCD"/>
    <w:multiLevelType w:val="hybridMultilevel"/>
    <w:tmpl w:val="3E06CF20"/>
    <w:lvl w:ilvl="0" w:tplc="7E8E9672">
      <w:start w:val="1"/>
      <w:numFmt w:val="decimal"/>
      <w:pStyle w:val="ParagraphBullet"/>
      <w:lvlText w:val="%1"/>
      <w:lvlJc w:val="left"/>
      <w:pPr>
        <w:tabs>
          <w:tab w:val="num" w:pos="720"/>
        </w:tabs>
        <w:ind w:left="720" w:hanging="360"/>
      </w:pPr>
      <w:rPr>
        <w:rFonts w:hint="default"/>
        <w:b w:val="0"/>
        <w:i w:val="0"/>
        <w:color w:val="7030A0"/>
        <w:sz w:val="22"/>
      </w:rPr>
    </w:lvl>
    <w:lvl w:ilvl="1" w:tplc="3E76B0DA">
      <w:start w:val="1"/>
      <w:numFmt w:val="bullet"/>
      <w:lvlText w:val="–"/>
      <w:lvlJc w:val="left"/>
      <w:pPr>
        <w:ind w:left="1800" w:hanging="360"/>
      </w:pPr>
      <w:rPr>
        <w:rFonts w:ascii="Calibri" w:hAnsi="Calibri" w:hint="default"/>
      </w:rPr>
    </w:lvl>
    <w:lvl w:ilvl="2" w:tplc="3E76B0DA">
      <w:start w:val="1"/>
      <w:numFmt w:val="bullet"/>
      <w:lvlText w:val="–"/>
      <w:lvlJc w:val="left"/>
      <w:pPr>
        <w:ind w:left="2520" w:hanging="360"/>
      </w:pPr>
      <w:rPr>
        <w:rFonts w:ascii="Calibri" w:hAnsi="Calibr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82946"/>
    <w:multiLevelType w:val="hybridMultilevel"/>
    <w:tmpl w:val="26DC1858"/>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0A6BA8"/>
    <w:multiLevelType w:val="hybridMultilevel"/>
    <w:tmpl w:val="D3785246"/>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0"/>
  </w:num>
  <w:num w:numId="4">
    <w:abstractNumId w:val="1"/>
  </w:num>
  <w:num w:numId="5">
    <w:abstractNumId w:val="2"/>
  </w:num>
  <w:num w:numId="6">
    <w:abstractNumId w:val="5"/>
  </w:num>
  <w:num w:numId="7">
    <w:abstractNumId w:val="0"/>
  </w:num>
  <w:num w:numId="8">
    <w:abstractNumId w:val="4"/>
  </w:num>
  <w:num w:numId="9">
    <w:abstractNumId w:val="7"/>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F"/>
    <w:rsid w:val="00004965"/>
    <w:rsid w:val="0001112B"/>
    <w:rsid w:val="00013A35"/>
    <w:rsid w:val="00014650"/>
    <w:rsid w:val="00017DFF"/>
    <w:rsid w:val="00026A63"/>
    <w:rsid w:val="00027C11"/>
    <w:rsid w:val="00033BA7"/>
    <w:rsid w:val="00040084"/>
    <w:rsid w:val="00050801"/>
    <w:rsid w:val="000563D0"/>
    <w:rsid w:val="00057B47"/>
    <w:rsid w:val="00062536"/>
    <w:rsid w:val="00064ADF"/>
    <w:rsid w:val="00064FDE"/>
    <w:rsid w:val="00073080"/>
    <w:rsid w:val="000730EC"/>
    <w:rsid w:val="00083953"/>
    <w:rsid w:val="000902C5"/>
    <w:rsid w:val="00092259"/>
    <w:rsid w:val="0009452C"/>
    <w:rsid w:val="0009657D"/>
    <w:rsid w:val="00097FB8"/>
    <w:rsid w:val="000A5415"/>
    <w:rsid w:val="000A5A16"/>
    <w:rsid w:val="000B33FF"/>
    <w:rsid w:val="000C481C"/>
    <w:rsid w:val="000C4DAE"/>
    <w:rsid w:val="000D11AD"/>
    <w:rsid w:val="000D33EC"/>
    <w:rsid w:val="000D443C"/>
    <w:rsid w:val="000D6DE5"/>
    <w:rsid w:val="000E4E91"/>
    <w:rsid w:val="000F2609"/>
    <w:rsid w:val="000F68E8"/>
    <w:rsid w:val="00101FCE"/>
    <w:rsid w:val="00102610"/>
    <w:rsid w:val="00102DA2"/>
    <w:rsid w:val="001056F5"/>
    <w:rsid w:val="00107A5E"/>
    <w:rsid w:val="00111E71"/>
    <w:rsid w:val="00127984"/>
    <w:rsid w:val="00131A68"/>
    <w:rsid w:val="00133C5B"/>
    <w:rsid w:val="00134C95"/>
    <w:rsid w:val="00135134"/>
    <w:rsid w:val="00140355"/>
    <w:rsid w:val="00146771"/>
    <w:rsid w:val="00155E1E"/>
    <w:rsid w:val="00155FCD"/>
    <w:rsid w:val="00156FA4"/>
    <w:rsid w:val="001577EB"/>
    <w:rsid w:val="0016561C"/>
    <w:rsid w:val="00170EB7"/>
    <w:rsid w:val="00174249"/>
    <w:rsid w:val="001814FD"/>
    <w:rsid w:val="00182E20"/>
    <w:rsid w:val="00191C51"/>
    <w:rsid w:val="001938C5"/>
    <w:rsid w:val="00195C7A"/>
    <w:rsid w:val="001A115A"/>
    <w:rsid w:val="001A1E5B"/>
    <w:rsid w:val="001A5D05"/>
    <w:rsid w:val="001A62F1"/>
    <w:rsid w:val="001B4D00"/>
    <w:rsid w:val="001C450A"/>
    <w:rsid w:val="001C5522"/>
    <w:rsid w:val="001D5066"/>
    <w:rsid w:val="001D6F00"/>
    <w:rsid w:val="001E0873"/>
    <w:rsid w:val="001E125E"/>
    <w:rsid w:val="001E1D16"/>
    <w:rsid w:val="001F2C92"/>
    <w:rsid w:val="001F47CF"/>
    <w:rsid w:val="0021411C"/>
    <w:rsid w:val="00217224"/>
    <w:rsid w:val="002224E7"/>
    <w:rsid w:val="0022373D"/>
    <w:rsid w:val="00225807"/>
    <w:rsid w:val="00230D12"/>
    <w:rsid w:val="0024289C"/>
    <w:rsid w:val="00251A73"/>
    <w:rsid w:val="00252B2B"/>
    <w:rsid w:val="00257337"/>
    <w:rsid w:val="00260A91"/>
    <w:rsid w:val="00261DEC"/>
    <w:rsid w:val="00270150"/>
    <w:rsid w:val="0029096A"/>
    <w:rsid w:val="002972BA"/>
    <w:rsid w:val="002975D9"/>
    <w:rsid w:val="002A2846"/>
    <w:rsid w:val="002A31DB"/>
    <w:rsid w:val="002A402B"/>
    <w:rsid w:val="002B0272"/>
    <w:rsid w:val="002B405A"/>
    <w:rsid w:val="002B6CAC"/>
    <w:rsid w:val="002C4CA2"/>
    <w:rsid w:val="002C65FE"/>
    <w:rsid w:val="002C6A01"/>
    <w:rsid w:val="002D0A98"/>
    <w:rsid w:val="002D2832"/>
    <w:rsid w:val="002D28F3"/>
    <w:rsid w:val="002D5909"/>
    <w:rsid w:val="002D6FCA"/>
    <w:rsid w:val="002D7A18"/>
    <w:rsid w:val="002E263C"/>
    <w:rsid w:val="002F70CE"/>
    <w:rsid w:val="00303401"/>
    <w:rsid w:val="00310EBF"/>
    <w:rsid w:val="00317BFB"/>
    <w:rsid w:val="003253BE"/>
    <w:rsid w:val="00331636"/>
    <w:rsid w:val="003324D1"/>
    <w:rsid w:val="003442B1"/>
    <w:rsid w:val="00354D61"/>
    <w:rsid w:val="00356D7A"/>
    <w:rsid w:val="0036141D"/>
    <w:rsid w:val="00362C3E"/>
    <w:rsid w:val="003673DF"/>
    <w:rsid w:val="00381781"/>
    <w:rsid w:val="0039233F"/>
    <w:rsid w:val="003925A6"/>
    <w:rsid w:val="00395C28"/>
    <w:rsid w:val="003B40CB"/>
    <w:rsid w:val="003B460F"/>
    <w:rsid w:val="003B79B8"/>
    <w:rsid w:val="003C2734"/>
    <w:rsid w:val="003C4389"/>
    <w:rsid w:val="003D44EC"/>
    <w:rsid w:val="003E72A7"/>
    <w:rsid w:val="003F0B74"/>
    <w:rsid w:val="003F17F4"/>
    <w:rsid w:val="003F7516"/>
    <w:rsid w:val="00401D2D"/>
    <w:rsid w:val="00405F91"/>
    <w:rsid w:val="00410914"/>
    <w:rsid w:val="004110AC"/>
    <w:rsid w:val="004174D7"/>
    <w:rsid w:val="004211AB"/>
    <w:rsid w:val="00423DB2"/>
    <w:rsid w:val="00426876"/>
    <w:rsid w:val="00426956"/>
    <w:rsid w:val="004335BB"/>
    <w:rsid w:val="0043766E"/>
    <w:rsid w:val="004403CE"/>
    <w:rsid w:val="00442207"/>
    <w:rsid w:val="00443771"/>
    <w:rsid w:val="00445C83"/>
    <w:rsid w:val="004461F7"/>
    <w:rsid w:val="004666A6"/>
    <w:rsid w:val="00470C8A"/>
    <w:rsid w:val="00474023"/>
    <w:rsid w:val="00474976"/>
    <w:rsid w:val="00480206"/>
    <w:rsid w:val="00491230"/>
    <w:rsid w:val="00493A30"/>
    <w:rsid w:val="004A69BF"/>
    <w:rsid w:val="004A7D1C"/>
    <w:rsid w:val="004B1E60"/>
    <w:rsid w:val="004B46AF"/>
    <w:rsid w:val="004D1DFA"/>
    <w:rsid w:val="004D3493"/>
    <w:rsid w:val="004F2D03"/>
    <w:rsid w:val="004F7EC6"/>
    <w:rsid w:val="00501F68"/>
    <w:rsid w:val="005056E2"/>
    <w:rsid w:val="00515AA3"/>
    <w:rsid w:val="00522B65"/>
    <w:rsid w:val="00525D6B"/>
    <w:rsid w:val="00537EF1"/>
    <w:rsid w:val="00544F32"/>
    <w:rsid w:val="00551701"/>
    <w:rsid w:val="0055329A"/>
    <w:rsid w:val="00556E1A"/>
    <w:rsid w:val="00572DB9"/>
    <w:rsid w:val="00572EFC"/>
    <w:rsid w:val="00581308"/>
    <w:rsid w:val="00583C6E"/>
    <w:rsid w:val="0058439E"/>
    <w:rsid w:val="00584C62"/>
    <w:rsid w:val="0058608D"/>
    <w:rsid w:val="00593BF7"/>
    <w:rsid w:val="005A03B4"/>
    <w:rsid w:val="005A39DA"/>
    <w:rsid w:val="005C7D64"/>
    <w:rsid w:val="005D30A5"/>
    <w:rsid w:val="005D434C"/>
    <w:rsid w:val="005D5211"/>
    <w:rsid w:val="005D6577"/>
    <w:rsid w:val="005D705D"/>
    <w:rsid w:val="005E3076"/>
    <w:rsid w:val="005F002C"/>
    <w:rsid w:val="00600579"/>
    <w:rsid w:val="0060302B"/>
    <w:rsid w:val="00605257"/>
    <w:rsid w:val="00606826"/>
    <w:rsid w:val="006212DF"/>
    <w:rsid w:val="00626121"/>
    <w:rsid w:val="00630935"/>
    <w:rsid w:val="00635D6E"/>
    <w:rsid w:val="006360A9"/>
    <w:rsid w:val="00636370"/>
    <w:rsid w:val="00641325"/>
    <w:rsid w:val="00645834"/>
    <w:rsid w:val="00686660"/>
    <w:rsid w:val="00693544"/>
    <w:rsid w:val="006B24E7"/>
    <w:rsid w:val="006B260A"/>
    <w:rsid w:val="006B6E0C"/>
    <w:rsid w:val="006C27AB"/>
    <w:rsid w:val="006C2D53"/>
    <w:rsid w:val="006C57CA"/>
    <w:rsid w:val="00700CF2"/>
    <w:rsid w:val="00703AC1"/>
    <w:rsid w:val="007048A1"/>
    <w:rsid w:val="007127CF"/>
    <w:rsid w:val="0072687B"/>
    <w:rsid w:val="00727B98"/>
    <w:rsid w:val="00735F97"/>
    <w:rsid w:val="00743546"/>
    <w:rsid w:val="007631B7"/>
    <w:rsid w:val="00775D90"/>
    <w:rsid w:val="007840F4"/>
    <w:rsid w:val="007856DF"/>
    <w:rsid w:val="007A3539"/>
    <w:rsid w:val="007A6A5E"/>
    <w:rsid w:val="007A6E31"/>
    <w:rsid w:val="007A791A"/>
    <w:rsid w:val="007B3BCC"/>
    <w:rsid w:val="007C44F1"/>
    <w:rsid w:val="007D1B8F"/>
    <w:rsid w:val="007D3AD0"/>
    <w:rsid w:val="007D4B89"/>
    <w:rsid w:val="007E20B6"/>
    <w:rsid w:val="007E6379"/>
    <w:rsid w:val="007E7AD7"/>
    <w:rsid w:val="008025A3"/>
    <w:rsid w:val="008055AD"/>
    <w:rsid w:val="0081282C"/>
    <w:rsid w:val="0081640A"/>
    <w:rsid w:val="0083304A"/>
    <w:rsid w:val="00833C14"/>
    <w:rsid w:val="0084501A"/>
    <w:rsid w:val="0084505F"/>
    <w:rsid w:val="008529AE"/>
    <w:rsid w:val="0085527E"/>
    <w:rsid w:val="00855EDE"/>
    <w:rsid w:val="00856460"/>
    <w:rsid w:val="00862244"/>
    <w:rsid w:val="00862E50"/>
    <w:rsid w:val="00877715"/>
    <w:rsid w:val="008814F6"/>
    <w:rsid w:val="00882FC8"/>
    <w:rsid w:val="00885DD1"/>
    <w:rsid w:val="00896539"/>
    <w:rsid w:val="00897BA9"/>
    <w:rsid w:val="008A0229"/>
    <w:rsid w:val="008A0858"/>
    <w:rsid w:val="008A7011"/>
    <w:rsid w:val="008B00F7"/>
    <w:rsid w:val="008C0524"/>
    <w:rsid w:val="008C2E23"/>
    <w:rsid w:val="008C574E"/>
    <w:rsid w:val="008C7A89"/>
    <w:rsid w:val="008D4626"/>
    <w:rsid w:val="008E4033"/>
    <w:rsid w:val="00900585"/>
    <w:rsid w:val="0090119B"/>
    <w:rsid w:val="009028DE"/>
    <w:rsid w:val="00904FC3"/>
    <w:rsid w:val="00916357"/>
    <w:rsid w:val="00933543"/>
    <w:rsid w:val="0093470F"/>
    <w:rsid w:val="00945C3F"/>
    <w:rsid w:val="009469F8"/>
    <w:rsid w:val="009553A9"/>
    <w:rsid w:val="00956606"/>
    <w:rsid w:val="00957689"/>
    <w:rsid w:val="00962E50"/>
    <w:rsid w:val="0097319B"/>
    <w:rsid w:val="00980003"/>
    <w:rsid w:val="00983613"/>
    <w:rsid w:val="0099528B"/>
    <w:rsid w:val="00997254"/>
    <w:rsid w:val="009C06A3"/>
    <w:rsid w:val="009C6628"/>
    <w:rsid w:val="009E07F4"/>
    <w:rsid w:val="009E349C"/>
    <w:rsid w:val="009F6504"/>
    <w:rsid w:val="00A05A3E"/>
    <w:rsid w:val="00A07555"/>
    <w:rsid w:val="00A1066A"/>
    <w:rsid w:val="00A10FC8"/>
    <w:rsid w:val="00A11AD9"/>
    <w:rsid w:val="00A308A9"/>
    <w:rsid w:val="00A30A54"/>
    <w:rsid w:val="00A325E3"/>
    <w:rsid w:val="00A32635"/>
    <w:rsid w:val="00A450F2"/>
    <w:rsid w:val="00A55104"/>
    <w:rsid w:val="00A625A1"/>
    <w:rsid w:val="00A639FC"/>
    <w:rsid w:val="00A67C91"/>
    <w:rsid w:val="00A72AFD"/>
    <w:rsid w:val="00A73C3F"/>
    <w:rsid w:val="00A75D00"/>
    <w:rsid w:val="00A7792E"/>
    <w:rsid w:val="00A85308"/>
    <w:rsid w:val="00A87CF1"/>
    <w:rsid w:val="00A915EA"/>
    <w:rsid w:val="00A971D6"/>
    <w:rsid w:val="00AA4387"/>
    <w:rsid w:val="00AA5605"/>
    <w:rsid w:val="00AB30F7"/>
    <w:rsid w:val="00AB63AE"/>
    <w:rsid w:val="00AB7634"/>
    <w:rsid w:val="00AC2ED2"/>
    <w:rsid w:val="00AC4598"/>
    <w:rsid w:val="00AC5394"/>
    <w:rsid w:val="00AD1B06"/>
    <w:rsid w:val="00AD4595"/>
    <w:rsid w:val="00AD601E"/>
    <w:rsid w:val="00AF15DE"/>
    <w:rsid w:val="00AF3DEB"/>
    <w:rsid w:val="00B0263E"/>
    <w:rsid w:val="00B120C4"/>
    <w:rsid w:val="00B142D9"/>
    <w:rsid w:val="00B22F2F"/>
    <w:rsid w:val="00B360BA"/>
    <w:rsid w:val="00B36DD9"/>
    <w:rsid w:val="00B41981"/>
    <w:rsid w:val="00B54164"/>
    <w:rsid w:val="00B66E52"/>
    <w:rsid w:val="00B70D36"/>
    <w:rsid w:val="00B71975"/>
    <w:rsid w:val="00B77F0B"/>
    <w:rsid w:val="00B93242"/>
    <w:rsid w:val="00B964C6"/>
    <w:rsid w:val="00B9764B"/>
    <w:rsid w:val="00BA5FA3"/>
    <w:rsid w:val="00BB267A"/>
    <w:rsid w:val="00BB4D63"/>
    <w:rsid w:val="00BC3C6A"/>
    <w:rsid w:val="00BC7CF4"/>
    <w:rsid w:val="00BD007B"/>
    <w:rsid w:val="00BD07E3"/>
    <w:rsid w:val="00BD11D0"/>
    <w:rsid w:val="00BD5DEE"/>
    <w:rsid w:val="00BE1FFE"/>
    <w:rsid w:val="00BE2C24"/>
    <w:rsid w:val="00BE473C"/>
    <w:rsid w:val="00C04967"/>
    <w:rsid w:val="00C0575B"/>
    <w:rsid w:val="00C0721A"/>
    <w:rsid w:val="00C17A4E"/>
    <w:rsid w:val="00C2310C"/>
    <w:rsid w:val="00C312D4"/>
    <w:rsid w:val="00C326A7"/>
    <w:rsid w:val="00C353D4"/>
    <w:rsid w:val="00C40627"/>
    <w:rsid w:val="00C43EF1"/>
    <w:rsid w:val="00C45C95"/>
    <w:rsid w:val="00C57F48"/>
    <w:rsid w:val="00C65806"/>
    <w:rsid w:val="00C74791"/>
    <w:rsid w:val="00C7516C"/>
    <w:rsid w:val="00C90D61"/>
    <w:rsid w:val="00C91037"/>
    <w:rsid w:val="00C942EB"/>
    <w:rsid w:val="00CB2C43"/>
    <w:rsid w:val="00CB446E"/>
    <w:rsid w:val="00CC1273"/>
    <w:rsid w:val="00CC4771"/>
    <w:rsid w:val="00CC7164"/>
    <w:rsid w:val="00CD0D53"/>
    <w:rsid w:val="00CD369E"/>
    <w:rsid w:val="00CE5FF9"/>
    <w:rsid w:val="00CE6166"/>
    <w:rsid w:val="00CE69A8"/>
    <w:rsid w:val="00CF7F15"/>
    <w:rsid w:val="00D0161C"/>
    <w:rsid w:val="00D0370C"/>
    <w:rsid w:val="00D258BE"/>
    <w:rsid w:val="00D302CE"/>
    <w:rsid w:val="00D335F0"/>
    <w:rsid w:val="00D43927"/>
    <w:rsid w:val="00D45C48"/>
    <w:rsid w:val="00D46AF3"/>
    <w:rsid w:val="00D50EF5"/>
    <w:rsid w:val="00D559C6"/>
    <w:rsid w:val="00D64ADF"/>
    <w:rsid w:val="00D661D2"/>
    <w:rsid w:val="00D71BDE"/>
    <w:rsid w:val="00D72EBE"/>
    <w:rsid w:val="00D733A5"/>
    <w:rsid w:val="00D74385"/>
    <w:rsid w:val="00D75A39"/>
    <w:rsid w:val="00D75EC0"/>
    <w:rsid w:val="00D77B26"/>
    <w:rsid w:val="00D80EFC"/>
    <w:rsid w:val="00D87830"/>
    <w:rsid w:val="00D915E7"/>
    <w:rsid w:val="00D97D00"/>
    <w:rsid w:val="00DA2B24"/>
    <w:rsid w:val="00DB5886"/>
    <w:rsid w:val="00DD0C78"/>
    <w:rsid w:val="00DD700A"/>
    <w:rsid w:val="00DE7019"/>
    <w:rsid w:val="00E03511"/>
    <w:rsid w:val="00E15F7C"/>
    <w:rsid w:val="00E22C31"/>
    <w:rsid w:val="00E24507"/>
    <w:rsid w:val="00E247DA"/>
    <w:rsid w:val="00E3310C"/>
    <w:rsid w:val="00E33ED9"/>
    <w:rsid w:val="00E41012"/>
    <w:rsid w:val="00E47CD0"/>
    <w:rsid w:val="00E6029C"/>
    <w:rsid w:val="00E63785"/>
    <w:rsid w:val="00E80BF5"/>
    <w:rsid w:val="00E810F2"/>
    <w:rsid w:val="00E82C81"/>
    <w:rsid w:val="00E830E4"/>
    <w:rsid w:val="00E92B21"/>
    <w:rsid w:val="00E94359"/>
    <w:rsid w:val="00EA26F8"/>
    <w:rsid w:val="00EA55FA"/>
    <w:rsid w:val="00EA5E76"/>
    <w:rsid w:val="00EB1796"/>
    <w:rsid w:val="00EB5A2B"/>
    <w:rsid w:val="00EC1802"/>
    <w:rsid w:val="00EC716E"/>
    <w:rsid w:val="00ED1A26"/>
    <w:rsid w:val="00ED2D9E"/>
    <w:rsid w:val="00EE3B33"/>
    <w:rsid w:val="00EE4F78"/>
    <w:rsid w:val="00F03523"/>
    <w:rsid w:val="00F04664"/>
    <w:rsid w:val="00F0720F"/>
    <w:rsid w:val="00F12790"/>
    <w:rsid w:val="00F2195A"/>
    <w:rsid w:val="00F22895"/>
    <w:rsid w:val="00F23BD6"/>
    <w:rsid w:val="00F24562"/>
    <w:rsid w:val="00F25D6F"/>
    <w:rsid w:val="00F33991"/>
    <w:rsid w:val="00F3651F"/>
    <w:rsid w:val="00F57085"/>
    <w:rsid w:val="00F6194A"/>
    <w:rsid w:val="00F62CEB"/>
    <w:rsid w:val="00F678CE"/>
    <w:rsid w:val="00F71508"/>
    <w:rsid w:val="00F851EB"/>
    <w:rsid w:val="00F87FBA"/>
    <w:rsid w:val="00F94F66"/>
    <w:rsid w:val="00F967E1"/>
    <w:rsid w:val="00FA0E2C"/>
    <w:rsid w:val="00FA2071"/>
    <w:rsid w:val="00FB1405"/>
    <w:rsid w:val="00FB209F"/>
    <w:rsid w:val="00FC356E"/>
    <w:rsid w:val="00FC362E"/>
    <w:rsid w:val="00FD4DEF"/>
    <w:rsid w:val="00FD60FC"/>
    <w:rsid w:val="00FD7AE0"/>
    <w:rsid w:val="00FE31B9"/>
    <w:rsid w:val="00FE3686"/>
    <w:rsid w:val="00FF2CD0"/>
    <w:rsid w:val="00FF3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黑体"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黑体"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黑体"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黑体"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8DF2-C287-406F-8B80-C38BB7A5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376</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GSR11 BEST PRACTICE GUIDELINES ON</vt:lpstr>
      <vt:lpstr>DRAFT GSR11 BEST PRACTICE GUIDELINES ON </vt:lpstr>
    </vt:vector>
  </TitlesOfParts>
  <Company>ITU</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GSR11 BEST PRACTICE GUIDELINES ON</dc:title>
  <dc:creator>Youlia Lozanova</dc:creator>
  <dc:description>DPS 312696</dc:description>
  <cp:lastModifiedBy>yuan</cp:lastModifiedBy>
  <cp:revision>3</cp:revision>
  <cp:lastPrinted>2012-09-25T12:30:00Z</cp:lastPrinted>
  <dcterms:created xsi:type="dcterms:W3CDTF">2012-10-02T09:53:00Z</dcterms:created>
  <dcterms:modified xsi:type="dcterms:W3CDTF">2012-10-02T10:07:00Z</dcterms:modified>
</cp:coreProperties>
</file>