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579"/>
      </w:tblGrid>
      <w:tr w:rsidR="008B00F7" w:rsidRPr="00F678CE" w:rsidTr="00405F91">
        <w:trPr>
          <w:trHeight w:val="1833"/>
        </w:trPr>
        <w:tc>
          <w:tcPr>
            <w:tcW w:w="1810" w:type="dxa"/>
          </w:tcPr>
          <w:p w:rsidR="008B00F7" w:rsidRPr="00F678CE" w:rsidRDefault="00480206" w:rsidP="00BB267A">
            <w:r w:rsidRPr="00F678CE">
              <w:rPr>
                <w:noProof/>
              </w:rPr>
              <w:drawing>
                <wp:inline distT="0" distB="0" distL="0" distR="0">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F678CE" w:rsidRDefault="00480206" w:rsidP="00480206">
            <w:pPr>
              <w:pStyle w:val="GSRTitle"/>
              <w:rPr>
                <w:lang w:val="en-GB"/>
              </w:rPr>
            </w:pPr>
            <w:r w:rsidRPr="00F678CE">
              <w:rPr>
                <w:lang w:val="en-GB"/>
              </w:rPr>
              <w:t>GSR12</w:t>
            </w:r>
            <w:r w:rsidR="008B00F7" w:rsidRPr="00F678CE">
              <w:rPr>
                <w:lang w:val="en-GB"/>
              </w:rPr>
              <w:t xml:space="preserve"> Best Practice Guidelines on </w:t>
            </w:r>
            <w:r w:rsidR="008B00F7" w:rsidRPr="00F678CE">
              <w:rPr>
                <w:lang w:val="en-GB"/>
              </w:rPr>
              <w:br/>
              <w:t xml:space="preserve">regulatory approaches to </w:t>
            </w:r>
            <w:r w:rsidRPr="00F678CE">
              <w:rPr>
                <w:lang w:val="en-GB"/>
              </w:rPr>
              <w:t>foster access to digital opportunities through cloud services</w:t>
            </w:r>
            <w:r w:rsidR="00A05A3E" w:rsidRPr="00F678CE">
              <w:footnoteReference w:id="1"/>
            </w:r>
          </w:p>
        </w:tc>
      </w:tr>
    </w:tbl>
    <w:p w:rsidR="0043766E" w:rsidRPr="00F678CE" w:rsidRDefault="0043766E" w:rsidP="0072687B">
      <w:r w:rsidRPr="00F678CE">
        <w:t xml:space="preserve">The growth of cloud computing has the potential to offer tremendous cost savings, efficiency and innovation for government, businesses and individuals around the globe. For entrepreneurs and businesses, big and small, cloud computing delivers unique economic leverage that means </w:t>
      </w:r>
      <w:r w:rsidR="00F678CE" w:rsidRPr="00F678CE">
        <w:t>investment</w:t>
      </w:r>
      <w:r w:rsidRPr="00F678CE">
        <w:t xml:space="preserve"> can translate into impressive returns and costs savings down the line. </w:t>
      </w:r>
      <w:r w:rsidR="001056F5" w:rsidRPr="00F678CE">
        <w:t>With the advent of cloud computing</w:t>
      </w:r>
      <w:r w:rsidR="00693544">
        <w:t>, digital</w:t>
      </w:r>
      <w:r w:rsidR="001056F5" w:rsidRPr="00F678CE">
        <w:t xml:space="preserve"> resources are now becoming virtualized, mutualized and accessible over </w:t>
      </w:r>
      <w:r w:rsidR="00ED1A26" w:rsidRPr="00F678CE">
        <w:t>multiple</w:t>
      </w:r>
      <w:r w:rsidR="001056F5" w:rsidRPr="00F678CE">
        <w:t xml:space="preserve"> network</w:t>
      </w:r>
      <w:r w:rsidR="00ED1A26" w:rsidRPr="00F678CE">
        <w:t>s anywhere, anytime</w:t>
      </w:r>
      <w:r w:rsidR="001056F5" w:rsidRPr="00F678CE">
        <w:t>.</w:t>
      </w:r>
      <w:r w:rsidR="00474976">
        <w:t xml:space="preserve"> </w:t>
      </w:r>
      <w:r w:rsidRPr="00F678CE">
        <w:t>Yet, reaping the full potential of cloud computing will require cooperation and collaboration between governments, industry and consumers to build confidence in cloud based services</w:t>
      </w:r>
      <w:r w:rsidR="00474976">
        <w:t xml:space="preserve">. </w:t>
      </w:r>
      <w:r w:rsidR="0072687B">
        <w:t>Importantly, t</w:t>
      </w:r>
      <w:r w:rsidR="009469F8" w:rsidRPr="00F678CE">
        <w:t>he growth of cloud computing will depend on ubiquitous and affordable broadband networks to which service providers have access on a non-discriminatory basis</w:t>
      </w:r>
      <w:r w:rsidR="009469F8">
        <w:t>.</w:t>
      </w:r>
    </w:p>
    <w:p w:rsidR="00ED1A26" w:rsidRPr="00F678CE" w:rsidRDefault="00ED1A26" w:rsidP="007A791A">
      <w:r w:rsidRPr="00F678CE">
        <w:t xml:space="preserve">We, the regulators participating in the 2012 Global Symposium for Regulators, recognize that there is a need </w:t>
      </w:r>
      <w:r w:rsidR="00F678CE" w:rsidRPr="00F678CE">
        <w:t xml:space="preserve">for effective and dynamic regulation </w:t>
      </w:r>
      <w:r w:rsidRPr="00F678CE">
        <w:t>to ensure that cloud computing has the key inputs it need</w:t>
      </w:r>
      <w:r w:rsidR="00F678CE" w:rsidRPr="00F678CE">
        <w:t>s</w:t>
      </w:r>
      <w:r w:rsidRPr="00F678CE">
        <w:t xml:space="preserve"> to thrive</w:t>
      </w:r>
      <w:r w:rsidR="009469F8">
        <w:t xml:space="preserve"> and</w:t>
      </w:r>
      <w:r w:rsidR="00F678CE" w:rsidRPr="00F678CE">
        <w:t xml:space="preserve"> act as a catalyst for economic growth</w:t>
      </w:r>
      <w:r w:rsidRPr="00F678CE">
        <w:t xml:space="preserve">. Therefore, we have identified and endorsed </w:t>
      </w:r>
      <w:r w:rsidR="00F678CE" w:rsidRPr="00F678CE">
        <w:t>th</w:t>
      </w:r>
      <w:r w:rsidRPr="00F678CE">
        <w:t>e</w:t>
      </w:r>
      <w:r w:rsidR="00F678CE" w:rsidRPr="00F678CE">
        <w:t>se</w:t>
      </w:r>
      <w:r w:rsidRPr="00F678CE">
        <w:t xml:space="preserve"> regulatory best practice guidelines</w:t>
      </w:r>
      <w:r w:rsidR="007A791A">
        <w:t xml:space="preserve"> to</w:t>
      </w:r>
      <w:r w:rsidRPr="00F678CE">
        <w:t xml:space="preserve"> </w:t>
      </w:r>
      <w:r w:rsidR="00474976" w:rsidRPr="00F678CE">
        <w:t xml:space="preserve">provide regulatory clarity that promotes </w:t>
      </w:r>
      <w:r w:rsidR="00D335F0">
        <w:t xml:space="preserve">innovation, </w:t>
      </w:r>
      <w:r w:rsidR="00474976" w:rsidRPr="00F678CE">
        <w:t>investment and competition</w:t>
      </w:r>
      <w:r w:rsidR="00474976">
        <w:t xml:space="preserve"> </w:t>
      </w:r>
      <w:r w:rsidR="009469F8">
        <w:t xml:space="preserve">in </w:t>
      </w:r>
      <w:r w:rsidR="002B6CAC">
        <w:t xml:space="preserve">cloud </w:t>
      </w:r>
      <w:r w:rsidR="009469F8">
        <w:t>infrastructure</w:t>
      </w:r>
      <w:r w:rsidR="002B6CAC">
        <w:t xml:space="preserve"> and services</w:t>
      </w:r>
      <w:r w:rsidR="009469F8">
        <w:t xml:space="preserve"> </w:t>
      </w:r>
      <w:r w:rsidR="00474976">
        <w:t>and protect consumer interests</w:t>
      </w:r>
      <w:r w:rsidR="00474976" w:rsidRPr="00F678CE">
        <w:t>.</w:t>
      </w:r>
    </w:p>
    <w:p w:rsidR="00401D2D" w:rsidRDefault="00401D2D" w:rsidP="00F678CE">
      <w:pPr>
        <w:rPr>
          <w:rFonts w:ascii="Calibri" w:hAnsi="Calibri" w:cs="Times New Roman Bold"/>
          <w:b/>
          <w:bCs/>
          <w:iCs/>
          <w:color w:val="A50021"/>
          <w:szCs w:val="22"/>
          <w:lang w:val="en-GB"/>
        </w:rPr>
      </w:pPr>
      <w:r w:rsidRPr="00401D2D">
        <w:rPr>
          <w:rFonts w:ascii="Calibri" w:hAnsi="Calibri" w:cs="Times New Roman Bold"/>
          <w:b/>
          <w:bCs/>
          <w:iCs/>
          <w:color w:val="A50021"/>
          <w:szCs w:val="22"/>
          <w:lang w:val="en-GB"/>
        </w:rPr>
        <w:t xml:space="preserve">Awareness </w:t>
      </w:r>
      <w:r w:rsidR="005D30A5">
        <w:rPr>
          <w:rFonts w:ascii="Calibri" w:hAnsi="Calibri" w:cs="Times New Roman Bold"/>
          <w:b/>
          <w:bCs/>
          <w:iCs/>
          <w:color w:val="A50021"/>
          <w:szCs w:val="22"/>
          <w:lang w:val="en-GB"/>
        </w:rPr>
        <w:t xml:space="preserve">raising </w:t>
      </w:r>
      <w:r w:rsidRPr="00401D2D">
        <w:rPr>
          <w:rFonts w:ascii="Calibri" w:hAnsi="Calibri" w:cs="Times New Roman Bold"/>
          <w:b/>
          <w:bCs/>
          <w:iCs/>
          <w:color w:val="A50021"/>
          <w:szCs w:val="22"/>
          <w:lang w:val="en-GB"/>
        </w:rPr>
        <w:t xml:space="preserve">and </w:t>
      </w:r>
      <w:r w:rsidR="005D30A5">
        <w:rPr>
          <w:rFonts w:ascii="Calibri" w:hAnsi="Calibri" w:cs="Times New Roman Bold"/>
          <w:b/>
          <w:bCs/>
          <w:iCs/>
          <w:color w:val="A50021"/>
          <w:szCs w:val="22"/>
          <w:lang w:val="en-GB"/>
        </w:rPr>
        <w:t>p</w:t>
      </w:r>
      <w:r w:rsidRPr="00401D2D">
        <w:rPr>
          <w:rFonts w:ascii="Calibri" w:hAnsi="Calibri" w:cs="Times New Roman Bold"/>
          <w:b/>
          <w:bCs/>
          <w:iCs/>
          <w:color w:val="A50021"/>
          <w:szCs w:val="22"/>
          <w:lang w:val="en-GB"/>
        </w:rPr>
        <w:t>romot</w:t>
      </w:r>
      <w:r w:rsidR="005D30A5">
        <w:rPr>
          <w:rFonts w:ascii="Calibri" w:hAnsi="Calibri" w:cs="Times New Roman Bold"/>
          <w:b/>
          <w:bCs/>
          <w:iCs/>
          <w:color w:val="A50021"/>
          <w:szCs w:val="22"/>
          <w:lang w:val="en-GB"/>
        </w:rPr>
        <w:t>ion of u</w:t>
      </w:r>
      <w:r w:rsidRPr="00401D2D">
        <w:rPr>
          <w:rFonts w:ascii="Calibri" w:hAnsi="Calibri" w:cs="Times New Roman Bold"/>
          <w:b/>
          <w:bCs/>
          <w:iCs/>
          <w:color w:val="A50021"/>
          <w:szCs w:val="22"/>
          <w:lang w:val="en-GB"/>
        </w:rPr>
        <w:t xml:space="preserve">ptake by the </w:t>
      </w:r>
      <w:r w:rsidR="005D30A5">
        <w:rPr>
          <w:rFonts w:ascii="Calibri" w:hAnsi="Calibri" w:cs="Times New Roman Bold"/>
          <w:b/>
          <w:bCs/>
          <w:iCs/>
          <w:color w:val="A50021"/>
          <w:szCs w:val="22"/>
          <w:lang w:val="en-GB"/>
        </w:rPr>
        <w:t>public s</w:t>
      </w:r>
      <w:r w:rsidRPr="00401D2D">
        <w:rPr>
          <w:rFonts w:ascii="Calibri" w:hAnsi="Calibri" w:cs="Times New Roman Bold"/>
          <w:b/>
          <w:bCs/>
          <w:iCs/>
          <w:color w:val="A50021"/>
          <w:szCs w:val="22"/>
          <w:lang w:val="en-GB"/>
        </w:rPr>
        <w:t xml:space="preserve">ector: </w:t>
      </w:r>
      <w:r w:rsidRPr="00401D2D">
        <w:t>Cloud services and the opportunities and savings they make available to governments around the world should be actively pursued and promoted.  Bringing awareness and opportunities will lift the economic opportunities and provide great value to citizens, consumers and businesses.</w:t>
      </w:r>
    </w:p>
    <w:p w:rsidR="00572EFC" w:rsidRDefault="00004965" w:rsidP="00E63785">
      <w:r w:rsidRPr="0099528B">
        <w:rPr>
          <w:rFonts w:ascii="Calibri" w:hAnsi="Calibri" w:cs="Times New Roman Bold"/>
          <w:b/>
          <w:bCs/>
          <w:iCs/>
          <w:color w:val="A50021"/>
          <w:szCs w:val="22"/>
          <w:lang w:val="en-GB"/>
        </w:rPr>
        <w:t>Broadband infrastructure</w:t>
      </w:r>
      <w:r w:rsidR="000D33EC" w:rsidRPr="0099528B">
        <w:rPr>
          <w:rFonts w:ascii="Calibri" w:hAnsi="Calibri" w:cs="Times New Roman Bold"/>
          <w:b/>
          <w:bCs/>
          <w:iCs/>
          <w:color w:val="A50021"/>
          <w:szCs w:val="22"/>
          <w:lang w:val="en-GB"/>
        </w:rPr>
        <w:t>:</w:t>
      </w:r>
      <w:r w:rsidR="000D33EC" w:rsidRPr="00F678CE">
        <w:t xml:space="preserve"> </w:t>
      </w:r>
      <w:r w:rsidR="005D30A5">
        <w:t>R</w:t>
      </w:r>
      <w:r w:rsidR="00F678CE" w:rsidRPr="00F678CE">
        <w:t xml:space="preserve">egulators need to work to reduce barriers to broadband deployment, </w:t>
      </w:r>
      <w:r w:rsidR="0099528B">
        <w:t xml:space="preserve">actively facilitate the build-out of </w:t>
      </w:r>
      <w:r w:rsidR="0099528B" w:rsidRPr="00F678CE">
        <w:t xml:space="preserve">national </w:t>
      </w:r>
      <w:proofErr w:type="spellStart"/>
      <w:r w:rsidR="0099528B" w:rsidRPr="00F678CE">
        <w:t>fibre</w:t>
      </w:r>
      <w:proofErr w:type="spellEnd"/>
      <w:r w:rsidR="0099528B" w:rsidRPr="00F678CE">
        <w:t>-optic network</w:t>
      </w:r>
      <w:r w:rsidR="0099528B">
        <w:t xml:space="preserve">s and international connectivity links, including submarine cables, and </w:t>
      </w:r>
      <w:r w:rsidR="009469F8">
        <w:t>promote infrastructure sharing</w:t>
      </w:r>
      <w:r w:rsidR="0072687B">
        <w:t>, including across sectors, as well as</w:t>
      </w:r>
      <w:r w:rsidR="00F678CE" w:rsidRPr="00F678CE">
        <w:t xml:space="preserve"> policies to speed rights of way access</w:t>
      </w:r>
      <w:r w:rsidR="0099528B">
        <w:t xml:space="preserve">, and installing </w:t>
      </w:r>
      <w:r w:rsidR="0099528B" w:rsidRPr="00F678CE">
        <w:t>data-centre infrastructure</w:t>
      </w:r>
      <w:bookmarkStart w:id="0" w:name="_GoBack"/>
      <w:bookmarkEnd w:id="0"/>
      <w:r w:rsidR="0099528B" w:rsidRPr="00F678CE">
        <w:t xml:space="preserve">, </w:t>
      </w:r>
      <w:r w:rsidR="000D6DE5">
        <w:t xml:space="preserve">thus </w:t>
      </w:r>
      <w:r w:rsidR="0099528B" w:rsidRPr="00F678CE">
        <w:t>providing incentives for content, content delivery networks and data-center companies to install local</w:t>
      </w:r>
      <w:r w:rsidR="0099528B">
        <w:t>ly</w:t>
      </w:r>
      <w:r w:rsidR="00F678CE" w:rsidRPr="00F678CE">
        <w:t xml:space="preserve">. </w:t>
      </w:r>
      <w:r w:rsidR="00E63785">
        <w:t xml:space="preserve">It </w:t>
      </w:r>
      <w:r w:rsidR="00E63785" w:rsidRPr="00E63785">
        <w:t xml:space="preserve">is also necessary to ensure </w:t>
      </w:r>
      <w:r w:rsidR="00E63785">
        <w:t xml:space="preserve">the deployment of services </w:t>
      </w:r>
      <w:r w:rsidR="00E63785" w:rsidRPr="00E63785">
        <w:t xml:space="preserve">in </w:t>
      </w:r>
      <w:proofErr w:type="spellStart"/>
      <w:r w:rsidR="00E63785">
        <w:t>unserved</w:t>
      </w:r>
      <w:proofErr w:type="spellEnd"/>
      <w:r w:rsidR="00E63785">
        <w:t xml:space="preserve"> and underserved </w:t>
      </w:r>
      <w:r w:rsidR="00E63785" w:rsidRPr="00E63785">
        <w:t>areas</w:t>
      </w:r>
      <w:r w:rsidR="00E63785">
        <w:t xml:space="preserve">, including </w:t>
      </w:r>
      <w:r w:rsidR="00E63785" w:rsidRPr="00E63785">
        <w:t xml:space="preserve">emergency </w:t>
      </w:r>
      <w:r w:rsidR="00E63785">
        <w:t xml:space="preserve">and enhanced-accessibility </w:t>
      </w:r>
      <w:r w:rsidR="00E63785" w:rsidRPr="00E63785">
        <w:t>services</w:t>
      </w:r>
      <w:r w:rsidR="00E63785">
        <w:t>.</w:t>
      </w:r>
    </w:p>
    <w:p w:rsidR="00F678CE" w:rsidRPr="00F678CE" w:rsidRDefault="00F678CE" w:rsidP="00F678CE">
      <w:r w:rsidRPr="0099528B">
        <w:rPr>
          <w:rFonts w:ascii="Calibri" w:hAnsi="Calibri" w:cs="Times New Roman Bold"/>
          <w:b/>
          <w:bCs/>
          <w:iCs/>
          <w:color w:val="A50021"/>
          <w:szCs w:val="22"/>
          <w:lang w:val="en-GB"/>
        </w:rPr>
        <w:t>Spectrum:</w:t>
      </w:r>
      <w:r>
        <w:t xml:space="preserve"> F</w:t>
      </w:r>
      <w:r w:rsidRPr="00F678CE">
        <w:t xml:space="preserve">or the future of cloud computing services, several actions </w:t>
      </w:r>
      <w:r w:rsidR="000D6DE5">
        <w:t xml:space="preserve">could be taken </w:t>
      </w:r>
      <w:r w:rsidRPr="00F678CE">
        <w:t>to release additional, critically-needed spectrum for wireless broadband, including repurposing spectrum, opening white spaces to unlicensed use, and conduct</w:t>
      </w:r>
      <w:r w:rsidR="0021411C">
        <w:t>ing</w:t>
      </w:r>
      <w:r w:rsidRPr="00F678CE">
        <w:t xml:space="preserve"> incentive auctions.</w:t>
      </w:r>
      <w:r w:rsidR="0021411C">
        <w:t xml:space="preserve"> In addition, </w:t>
      </w:r>
      <w:r w:rsidR="0021411C" w:rsidRPr="00F678CE">
        <w:t>policies that encourage the harmonization of international spectrum and communications device approvals</w:t>
      </w:r>
      <w:r w:rsidR="0021411C">
        <w:t xml:space="preserve"> must be encouraged.</w:t>
      </w:r>
    </w:p>
    <w:p w:rsidR="00AB7634" w:rsidRDefault="00AB7634" w:rsidP="00AD4595">
      <w:r w:rsidRPr="0099528B">
        <w:rPr>
          <w:rFonts w:ascii="Calibri" w:hAnsi="Calibri" w:cs="Times New Roman Bold"/>
          <w:b/>
          <w:bCs/>
          <w:iCs/>
          <w:color w:val="A50021"/>
          <w:szCs w:val="22"/>
          <w:lang w:val="en-GB"/>
        </w:rPr>
        <w:t>Market definition</w:t>
      </w:r>
      <w:r w:rsidR="007E6379">
        <w:rPr>
          <w:rFonts w:ascii="Calibri" w:hAnsi="Calibri" w:cs="Times New Roman Bold"/>
          <w:b/>
          <w:bCs/>
          <w:iCs/>
          <w:color w:val="A50021"/>
          <w:szCs w:val="22"/>
          <w:lang w:val="en-GB"/>
        </w:rPr>
        <w:t xml:space="preserve"> in a converged cloud</w:t>
      </w:r>
      <w:r w:rsidRPr="0099528B">
        <w:rPr>
          <w:rFonts w:ascii="Calibri" w:hAnsi="Calibri" w:cs="Times New Roman Bold"/>
          <w:b/>
          <w:bCs/>
          <w:iCs/>
          <w:color w:val="A50021"/>
          <w:szCs w:val="22"/>
          <w:lang w:val="en-GB"/>
        </w:rPr>
        <w:t>:</w:t>
      </w:r>
      <w:r>
        <w:t xml:space="preserve"> </w:t>
      </w:r>
      <w:r w:rsidRPr="00F678CE">
        <w:t xml:space="preserve">Taking into account network and service convergence, promoting migration to NGN and encouraging competition, regulators may consider </w:t>
      </w:r>
      <w:r w:rsidR="00AD4595">
        <w:t xml:space="preserve">adopting a light-touch approach while </w:t>
      </w:r>
      <w:r w:rsidRPr="00AD4595">
        <w:t xml:space="preserve">extending regulatory regimes </w:t>
      </w:r>
      <w:r w:rsidRPr="00F678CE">
        <w:t>to new ICT sector players such as content and application providers</w:t>
      </w:r>
      <w:r>
        <w:t xml:space="preserve"> (over-the-top players, OTTs)</w:t>
      </w:r>
      <w:r w:rsidR="00AD4595">
        <w:t xml:space="preserve"> by</w:t>
      </w:r>
      <w:r w:rsidRPr="00F678CE">
        <w:t xml:space="preserve"> eliminating the </w:t>
      </w:r>
      <w:r w:rsidR="001E0873">
        <w:t>regulatory</w:t>
      </w:r>
      <w:r w:rsidR="001E0873" w:rsidRPr="00F678CE">
        <w:t xml:space="preserve"> </w:t>
      </w:r>
      <w:r w:rsidRPr="00F678CE">
        <w:t>classification of services.</w:t>
      </w:r>
    </w:p>
    <w:p w:rsidR="00B66E52" w:rsidRDefault="00B66E52" w:rsidP="00B66E52">
      <w:r w:rsidRPr="0099528B">
        <w:rPr>
          <w:rFonts w:ascii="Calibri" w:hAnsi="Calibri" w:cs="Times New Roman Bold"/>
          <w:b/>
          <w:bCs/>
          <w:iCs/>
          <w:color w:val="A50021"/>
          <w:szCs w:val="22"/>
          <w:lang w:val="en-GB"/>
        </w:rPr>
        <w:lastRenderedPageBreak/>
        <w:t>Market power:</w:t>
      </w:r>
      <w:r w:rsidRPr="00F678CE">
        <w:t xml:space="preserve"> Regulation and regulators need to ensure that communication providers do not engage in conduct designed to, or having the effect of, constraining the provision of cloud services for reasons that are not transparent, objective, non-discriminatory and proportionate.</w:t>
      </w:r>
      <w:r w:rsidRPr="00B66E52">
        <w:t xml:space="preserve"> </w:t>
      </w:r>
    </w:p>
    <w:p w:rsidR="00401D2D" w:rsidRDefault="00401D2D" w:rsidP="00B66E52">
      <w:pPr>
        <w:pStyle w:val="GSRHeading1"/>
        <w:numPr>
          <w:ilvl w:val="0"/>
          <w:numId w:val="0"/>
        </w:numPr>
        <w:tabs>
          <w:tab w:val="clear" w:pos="851"/>
          <w:tab w:val="left" w:pos="0"/>
        </w:tabs>
        <w:spacing w:before="120"/>
        <w:rPr>
          <w:iCs/>
          <w:sz w:val="22"/>
          <w:szCs w:val="22"/>
        </w:rPr>
      </w:pPr>
      <w:r w:rsidRPr="00401D2D">
        <w:rPr>
          <w:iCs/>
          <w:sz w:val="22"/>
          <w:szCs w:val="22"/>
        </w:rPr>
        <w:t xml:space="preserve">Enforcement: </w:t>
      </w:r>
      <w:r w:rsidR="007E6379">
        <w:rPr>
          <w:rFonts w:asciiTheme="minorHAnsi" w:hAnsiTheme="minorHAnsi" w:cs="Times New Roman"/>
          <w:b w:val="0"/>
          <w:bCs w:val="0"/>
          <w:color w:val="auto"/>
          <w:sz w:val="22"/>
          <w:szCs w:val="20"/>
          <w:lang w:val="en-US"/>
        </w:rPr>
        <w:t>R</w:t>
      </w:r>
      <w:r w:rsidRPr="00401D2D">
        <w:rPr>
          <w:rFonts w:asciiTheme="minorHAnsi" w:hAnsiTheme="minorHAnsi" w:cs="Times New Roman"/>
          <w:b w:val="0"/>
          <w:bCs w:val="0"/>
          <w:color w:val="auto"/>
          <w:sz w:val="22"/>
          <w:szCs w:val="20"/>
          <w:lang w:val="en-US"/>
        </w:rPr>
        <w:t xml:space="preserve">egulators need to establish a means of identifying breaches to ensure they are able to respond effectively.  This may be </w:t>
      </w:r>
      <w:r w:rsidR="007E6379">
        <w:rPr>
          <w:rFonts w:asciiTheme="minorHAnsi" w:hAnsiTheme="minorHAnsi" w:cs="Times New Roman"/>
          <w:b w:val="0"/>
          <w:bCs w:val="0"/>
          <w:color w:val="auto"/>
          <w:sz w:val="22"/>
          <w:szCs w:val="20"/>
          <w:lang w:val="en-US"/>
        </w:rPr>
        <w:t>achieved</w:t>
      </w:r>
      <w:r w:rsidRPr="00401D2D">
        <w:rPr>
          <w:rFonts w:asciiTheme="minorHAnsi" w:hAnsiTheme="minorHAnsi" w:cs="Times New Roman"/>
          <w:b w:val="0"/>
          <w:bCs w:val="0"/>
          <w:color w:val="auto"/>
          <w:sz w:val="22"/>
          <w:szCs w:val="20"/>
          <w:lang w:val="en-US"/>
        </w:rPr>
        <w:t xml:space="preserve"> through </w:t>
      </w:r>
      <w:r w:rsidR="00410914">
        <w:rPr>
          <w:rFonts w:asciiTheme="minorHAnsi" w:hAnsiTheme="minorHAnsi" w:cs="Times New Roman"/>
          <w:b w:val="0"/>
          <w:bCs w:val="0"/>
          <w:color w:val="auto"/>
          <w:sz w:val="22"/>
          <w:szCs w:val="20"/>
          <w:lang w:val="en-US"/>
        </w:rPr>
        <w:t xml:space="preserve">(1) </w:t>
      </w:r>
      <w:r w:rsidRPr="00401D2D">
        <w:rPr>
          <w:rFonts w:asciiTheme="minorHAnsi" w:hAnsiTheme="minorHAnsi" w:cs="Times New Roman"/>
          <w:b w:val="0"/>
          <w:bCs w:val="0"/>
          <w:color w:val="auto"/>
          <w:sz w:val="22"/>
          <w:szCs w:val="20"/>
          <w:lang w:val="en-US"/>
        </w:rPr>
        <w:t>self</w:t>
      </w:r>
      <w:r w:rsidR="007E6379">
        <w:rPr>
          <w:rFonts w:asciiTheme="minorHAnsi" w:hAnsiTheme="minorHAnsi" w:cs="Times New Roman"/>
          <w:b w:val="0"/>
          <w:bCs w:val="0"/>
          <w:color w:val="auto"/>
          <w:sz w:val="22"/>
          <w:szCs w:val="20"/>
          <w:lang w:val="en-US"/>
        </w:rPr>
        <w:t>-</w:t>
      </w:r>
      <w:r w:rsidRPr="00401D2D">
        <w:rPr>
          <w:rFonts w:asciiTheme="minorHAnsi" w:hAnsiTheme="minorHAnsi" w:cs="Times New Roman"/>
          <w:b w:val="0"/>
          <w:bCs w:val="0"/>
          <w:color w:val="auto"/>
          <w:sz w:val="22"/>
          <w:szCs w:val="20"/>
          <w:lang w:val="en-US"/>
        </w:rPr>
        <w:t xml:space="preserve">regulatory mechanisms, </w:t>
      </w:r>
      <w:r w:rsidR="00195C7A">
        <w:rPr>
          <w:rFonts w:asciiTheme="minorHAnsi" w:hAnsiTheme="minorHAnsi" w:cs="Times New Roman"/>
          <w:b w:val="0"/>
          <w:bCs w:val="0"/>
          <w:color w:val="auto"/>
          <w:sz w:val="22"/>
          <w:szCs w:val="20"/>
          <w:lang w:val="en-US"/>
        </w:rPr>
        <w:t xml:space="preserve">content service providers </w:t>
      </w:r>
      <w:r w:rsidRPr="00401D2D">
        <w:rPr>
          <w:rFonts w:asciiTheme="minorHAnsi" w:hAnsiTheme="minorHAnsi" w:cs="Times New Roman"/>
          <w:b w:val="0"/>
          <w:bCs w:val="0"/>
          <w:color w:val="auto"/>
          <w:sz w:val="22"/>
          <w:szCs w:val="20"/>
          <w:lang w:val="en-US"/>
        </w:rPr>
        <w:t>notifying the appropriate regulator of breaches of security</w:t>
      </w:r>
      <w:r w:rsidR="00410914">
        <w:rPr>
          <w:rFonts w:asciiTheme="minorHAnsi" w:hAnsiTheme="minorHAnsi" w:cs="Times New Roman"/>
          <w:b w:val="0"/>
          <w:bCs w:val="0"/>
          <w:color w:val="auto"/>
          <w:sz w:val="22"/>
          <w:szCs w:val="20"/>
          <w:lang w:val="en-US"/>
        </w:rPr>
        <w:t>,</w:t>
      </w:r>
      <w:r w:rsidRPr="00401D2D">
        <w:rPr>
          <w:rFonts w:asciiTheme="minorHAnsi" w:hAnsiTheme="minorHAnsi" w:cs="Times New Roman"/>
          <w:b w:val="0"/>
          <w:bCs w:val="0"/>
          <w:color w:val="auto"/>
          <w:sz w:val="22"/>
          <w:szCs w:val="20"/>
          <w:lang w:val="en-US"/>
        </w:rPr>
        <w:t xml:space="preserve"> and </w:t>
      </w:r>
      <w:r w:rsidR="00410914">
        <w:rPr>
          <w:rFonts w:asciiTheme="minorHAnsi" w:hAnsiTheme="minorHAnsi" w:cs="Times New Roman"/>
          <w:b w:val="0"/>
          <w:bCs w:val="0"/>
          <w:color w:val="auto"/>
          <w:sz w:val="22"/>
          <w:szCs w:val="20"/>
          <w:lang w:val="en-US"/>
        </w:rPr>
        <w:t xml:space="preserve">(2) </w:t>
      </w:r>
      <w:r w:rsidRPr="00401D2D">
        <w:rPr>
          <w:rFonts w:asciiTheme="minorHAnsi" w:hAnsiTheme="minorHAnsi" w:cs="Times New Roman"/>
          <w:b w:val="0"/>
          <w:bCs w:val="0"/>
          <w:color w:val="auto"/>
          <w:sz w:val="22"/>
          <w:szCs w:val="20"/>
          <w:lang w:val="en-US"/>
        </w:rPr>
        <w:t>ideally changes to certain aspects of data protection legislation which is impossible to monitor and hence unenforceable in practice.</w:t>
      </w:r>
      <w:r w:rsidRPr="00401D2D">
        <w:rPr>
          <w:iCs/>
          <w:sz w:val="22"/>
          <w:szCs w:val="22"/>
        </w:rPr>
        <w:t xml:space="preserve"> </w:t>
      </w:r>
    </w:p>
    <w:p w:rsidR="000D33EC" w:rsidRPr="004211AB" w:rsidRDefault="000D33EC" w:rsidP="000D33EC">
      <w:r w:rsidRPr="0099528B">
        <w:rPr>
          <w:rFonts w:ascii="Calibri" w:hAnsi="Calibri" w:cs="Times New Roman Bold"/>
          <w:b/>
          <w:bCs/>
          <w:iCs/>
          <w:color w:val="A50021"/>
          <w:szCs w:val="22"/>
          <w:lang w:val="en-GB"/>
        </w:rPr>
        <w:t>Cloud transparency:</w:t>
      </w:r>
      <w:r w:rsidRPr="00F678CE">
        <w:rPr>
          <w:b/>
          <w:bCs/>
        </w:rPr>
        <w:t xml:space="preserve"> </w:t>
      </w:r>
      <w:r w:rsidR="00004965" w:rsidRPr="00004965">
        <w:rPr>
          <w:bCs/>
        </w:rPr>
        <w:t>Regulators may consider introducing specific obligations to c</w:t>
      </w:r>
      <w:r w:rsidRPr="00004965">
        <w:t xml:space="preserve">loud service providers </w:t>
      </w:r>
      <w:r w:rsidR="007E6379">
        <w:t xml:space="preserve">(CSPs) </w:t>
      </w:r>
      <w:r w:rsidR="00004965" w:rsidRPr="00004965">
        <w:t>with regard to</w:t>
      </w:r>
      <w:r w:rsidRPr="00004965">
        <w:t xml:space="preserve"> notify</w:t>
      </w:r>
      <w:r w:rsidR="00004965" w:rsidRPr="00004965">
        <w:t>ing</w:t>
      </w:r>
      <w:r w:rsidRPr="00004965">
        <w:t xml:space="preserve"> users of the chain of providers that underpin</w:t>
      </w:r>
      <w:r w:rsidRPr="00F678CE">
        <w:t xml:space="preserve"> the provision of the service to the cloud user.</w:t>
      </w:r>
      <w:r w:rsidR="00004965">
        <w:t xml:space="preserve"> </w:t>
      </w:r>
      <w:r w:rsidR="004211AB">
        <w:t xml:space="preserve">Regulators also need to ensure that </w:t>
      </w:r>
      <w:r w:rsidR="00004965" w:rsidRPr="00004965">
        <w:t>ISPs provide customers with greater transparency about the traffic management practices</w:t>
      </w:r>
      <w:r w:rsidR="004211AB" w:rsidRPr="004211AB">
        <w:t xml:space="preserve"> being followed by companies on their networks.</w:t>
      </w:r>
    </w:p>
    <w:p w:rsidR="000D33EC" w:rsidRDefault="00004965" w:rsidP="00410914">
      <w:r w:rsidRPr="0099528B">
        <w:rPr>
          <w:rFonts w:ascii="Calibri" w:hAnsi="Calibri" w:cs="Times New Roman Bold"/>
          <w:b/>
          <w:bCs/>
          <w:iCs/>
          <w:color w:val="A50021"/>
          <w:szCs w:val="22"/>
          <w:lang w:val="en-GB"/>
        </w:rPr>
        <w:t>Consultative process</w:t>
      </w:r>
      <w:r w:rsidR="000D33EC" w:rsidRPr="0099528B">
        <w:rPr>
          <w:rFonts w:ascii="Calibri" w:hAnsi="Calibri" w:cs="Times New Roman Bold"/>
          <w:b/>
          <w:bCs/>
          <w:iCs/>
          <w:color w:val="A50021"/>
          <w:szCs w:val="22"/>
          <w:lang w:val="en-GB"/>
        </w:rPr>
        <w:t>:</w:t>
      </w:r>
      <w:r w:rsidR="000D33EC" w:rsidRPr="00F678CE">
        <w:t xml:space="preserve"> </w:t>
      </w:r>
      <w:r w:rsidR="007E6379">
        <w:t>R</w:t>
      </w:r>
      <w:r w:rsidR="000D33EC" w:rsidRPr="00F678CE">
        <w:t xml:space="preserve">egulators need to consult with </w:t>
      </w:r>
      <w:r w:rsidR="007E6379">
        <w:t>CSP</w:t>
      </w:r>
      <w:r w:rsidR="000D33EC" w:rsidRPr="00F678CE">
        <w:t xml:space="preserve">s and other market </w:t>
      </w:r>
      <w:r w:rsidR="00410914">
        <w:t>players</w:t>
      </w:r>
      <w:r w:rsidR="000D33EC" w:rsidRPr="00F678CE">
        <w:t xml:space="preserve"> about the appropriate regulatory treatment and </w:t>
      </w:r>
      <w:r w:rsidR="00410914">
        <w:t>classification</w:t>
      </w:r>
      <w:r w:rsidR="000D33EC" w:rsidRPr="00F678CE">
        <w:t xml:space="preserve"> of certain cloud services, with a view to issuing guidance providing legal certainty for market entrants and cloud users</w:t>
      </w:r>
      <w:r>
        <w:t xml:space="preserve">, </w:t>
      </w:r>
      <w:r w:rsidRPr="00004965">
        <w:t xml:space="preserve">for example through conducting multi-stakeholder </w:t>
      </w:r>
      <w:proofErr w:type="spellStart"/>
      <w:r w:rsidRPr="00004965">
        <w:t>fora</w:t>
      </w:r>
      <w:proofErr w:type="spellEnd"/>
      <w:r w:rsidRPr="00004965">
        <w:t xml:space="preserve"> to develop best practices for protecting </w:t>
      </w:r>
      <w:r w:rsidR="00410914">
        <w:t>consumers</w:t>
      </w:r>
      <w:r w:rsidRPr="00004965">
        <w:t>.</w:t>
      </w:r>
    </w:p>
    <w:p w:rsidR="000D6DE5" w:rsidRDefault="00C45C95" w:rsidP="007D1B8F">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rPr>
      </w:pPr>
      <w:r w:rsidRPr="00F678CE">
        <w:rPr>
          <w:iCs/>
          <w:sz w:val="22"/>
          <w:szCs w:val="22"/>
          <w:lang w:val="en-US"/>
        </w:rPr>
        <w:t>Net neutrality</w:t>
      </w:r>
      <w:r>
        <w:rPr>
          <w:iCs/>
          <w:sz w:val="22"/>
          <w:szCs w:val="22"/>
          <w:lang w:val="en-US"/>
        </w:rPr>
        <w:t xml:space="preserve">: </w:t>
      </w:r>
      <w:r w:rsidR="000D6DE5" w:rsidRPr="00F678CE">
        <w:rPr>
          <w:rFonts w:asciiTheme="minorHAnsi" w:hAnsiTheme="minorHAnsi" w:cs="Times New Roman"/>
          <w:b w:val="0"/>
          <w:bCs w:val="0"/>
          <w:color w:val="auto"/>
          <w:sz w:val="22"/>
          <w:szCs w:val="20"/>
        </w:rPr>
        <w:t xml:space="preserve">A certain level of traffic management will always be necessary to minimise network congestion. </w:t>
      </w:r>
      <w:r w:rsidR="000D6DE5">
        <w:rPr>
          <w:rFonts w:asciiTheme="minorHAnsi" w:hAnsiTheme="minorHAnsi" w:cs="Times New Roman"/>
          <w:b w:val="0"/>
          <w:bCs w:val="0"/>
          <w:color w:val="auto"/>
          <w:sz w:val="22"/>
          <w:szCs w:val="20"/>
        </w:rPr>
        <w:t>R</w:t>
      </w:r>
      <w:r w:rsidR="000D6DE5" w:rsidRPr="00F678CE">
        <w:rPr>
          <w:rFonts w:asciiTheme="minorHAnsi" w:hAnsiTheme="minorHAnsi" w:cs="Times New Roman"/>
          <w:b w:val="0"/>
          <w:bCs w:val="0"/>
          <w:color w:val="auto"/>
          <w:sz w:val="22"/>
          <w:szCs w:val="20"/>
        </w:rPr>
        <w:t xml:space="preserve">egulators should seek to regulate the use of </w:t>
      </w:r>
      <w:r w:rsidR="00410914" w:rsidRPr="00410914">
        <w:rPr>
          <w:rFonts w:asciiTheme="minorHAnsi" w:hAnsiTheme="minorHAnsi" w:cs="Times New Roman"/>
          <w:b w:val="0"/>
          <w:bCs w:val="0"/>
          <w:color w:val="auto"/>
          <w:sz w:val="22"/>
          <w:szCs w:val="20"/>
        </w:rPr>
        <w:t xml:space="preserve">deep pack inspection </w:t>
      </w:r>
      <w:r w:rsidR="000D6DE5" w:rsidRPr="00F678CE">
        <w:rPr>
          <w:rFonts w:asciiTheme="minorHAnsi" w:hAnsiTheme="minorHAnsi" w:cs="Times New Roman"/>
          <w:b w:val="0"/>
          <w:bCs w:val="0"/>
          <w:color w:val="auto"/>
          <w:sz w:val="22"/>
          <w:szCs w:val="20"/>
        </w:rPr>
        <w:t xml:space="preserve">to apply specific restrictions in a manner </w:t>
      </w:r>
      <w:r w:rsidR="000D6DE5" w:rsidRPr="007D1B8F">
        <w:rPr>
          <w:rFonts w:asciiTheme="minorHAnsi" w:hAnsiTheme="minorHAnsi" w:cs="Times New Roman"/>
          <w:b w:val="0"/>
          <w:bCs w:val="0"/>
          <w:color w:val="auto"/>
          <w:sz w:val="22"/>
          <w:szCs w:val="20"/>
        </w:rPr>
        <w:t>that</w:t>
      </w:r>
      <w:r w:rsidR="007D1B8F" w:rsidRPr="007D1B8F">
        <w:rPr>
          <w:rFonts w:asciiTheme="minorHAnsi" w:hAnsiTheme="minorHAnsi" w:cs="Times New Roman"/>
          <w:b w:val="0"/>
          <w:bCs w:val="0"/>
          <w:color w:val="auto"/>
          <w:sz w:val="22"/>
          <w:szCs w:val="20"/>
        </w:rPr>
        <w:t xml:space="preserve"> does not</w:t>
      </w:r>
      <w:r w:rsidR="000D6DE5" w:rsidRPr="007D1B8F">
        <w:rPr>
          <w:rFonts w:asciiTheme="minorHAnsi" w:hAnsiTheme="minorHAnsi" w:cs="Times New Roman"/>
          <w:b w:val="0"/>
          <w:bCs w:val="0"/>
          <w:color w:val="auto"/>
          <w:sz w:val="22"/>
          <w:szCs w:val="20"/>
        </w:rPr>
        <w:t xml:space="preserve"> unfairly discriminate between OTT</w:t>
      </w:r>
      <w:r w:rsidR="007D1B8F">
        <w:rPr>
          <w:rFonts w:asciiTheme="minorHAnsi" w:hAnsiTheme="minorHAnsi" w:cs="Times New Roman"/>
          <w:b w:val="0"/>
          <w:bCs w:val="0"/>
          <w:color w:val="auto"/>
          <w:sz w:val="22"/>
          <w:szCs w:val="20"/>
        </w:rPr>
        <w:t>s</w:t>
      </w:r>
      <w:r w:rsidR="000D6DE5" w:rsidRPr="007D1B8F">
        <w:rPr>
          <w:rFonts w:asciiTheme="minorHAnsi" w:hAnsiTheme="minorHAnsi" w:cs="Times New Roman"/>
          <w:b w:val="0"/>
          <w:bCs w:val="0"/>
          <w:color w:val="auto"/>
          <w:sz w:val="22"/>
          <w:szCs w:val="20"/>
        </w:rPr>
        <w:t>.</w:t>
      </w:r>
    </w:p>
    <w:p w:rsidR="00E33ED9" w:rsidRPr="00F678CE" w:rsidRDefault="004211AB" w:rsidP="009469F8">
      <w:pPr>
        <w:pStyle w:val="GSRHeading1"/>
        <w:numPr>
          <w:ilvl w:val="0"/>
          <w:numId w:val="0"/>
        </w:numPr>
        <w:tabs>
          <w:tab w:val="clear" w:pos="851"/>
          <w:tab w:val="left" w:pos="0"/>
        </w:tabs>
        <w:spacing w:before="120"/>
        <w:rPr>
          <w:rFonts w:asciiTheme="minorHAnsi" w:hAnsiTheme="minorHAnsi" w:cs="Times New Roman"/>
          <w:b w:val="0"/>
          <w:bCs w:val="0"/>
          <w:color w:val="auto"/>
          <w:sz w:val="22"/>
          <w:szCs w:val="20"/>
          <w:lang w:val="en-US"/>
        </w:rPr>
      </w:pPr>
      <w:r w:rsidRPr="004211AB">
        <w:rPr>
          <w:rFonts w:asciiTheme="minorHAnsi" w:hAnsiTheme="minorHAnsi" w:cs="Times New Roman"/>
          <w:b w:val="0"/>
          <w:bCs w:val="0"/>
          <w:color w:val="auto"/>
          <w:sz w:val="22"/>
          <w:szCs w:val="20"/>
          <w:lang w:val="en-US"/>
        </w:rPr>
        <w:t xml:space="preserve">Regulators may </w:t>
      </w:r>
      <w:r w:rsidR="007D1B8F">
        <w:rPr>
          <w:rFonts w:asciiTheme="minorHAnsi" w:hAnsiTheme="minorHAnsi" w:cs="Times New Roman"/>
          <w:b w:val="0"/>
          <w:bCs w:val="0"/>
          <w:color w:val="auto"/>
          <w:sz w:val="22"/>
          <w:szCs w:val="20"/>
          <w:lang w:val="en-US"/>
        </w:rPr>
        <w:t xml:space="preserve">also </w:t>
      </w:r>
      <w:r w:rsidRPr="004211AB">
        <w:rPr>
          <w:rFonts w:asciiTheme="minorHAnsi" w:hAnsiTheme="minorHAnsi" w:cs="Times New Roman"/>
          <w:b w:val="0"/>
          <w:bCs w:val="0"/>
          <w:color w:val="auto"/>
          <w:sz w:val="22"/>
          <w:szCs w:val="20"/>
          <w:lang w:val="en-US"/>
        </w:rPr>
        <w:t>need to</w:t>
      </w:r>
      <w:r>
        <w:rPr>
          <w:iCs/>
          <w:sz w:val="22"/>
          <w:szCs w:val="22"/>
          <w:lang w:val="en-US"/>
        </w:rPr>
        <w:t xml:space="preserve"> </w:t>
      </w:r>
      <w:r w:rsidR="002E263C" w:rsidRPr="00F678CE">
        <w:rPr>
          <w:rFonts w:asciiTheme="minorHAnsi" w:hAnsiTheme="minorHAnsi" w:cs="Times New Roman"/>
          <w:b w:val="0"/>
          <w:bCs w:val="0"/>
          <w:color w:val="auto"/>
          <w:sz w:val="22"/>
          <w:szCs w:val="20"/>
          <w:lang w:val="en-US"/>
        </w:rPr>
        <w:t>review existing competition laws to determine whether the regulatory tools</w:t>
      </w:r>
      <w:r w:rsidR="009469F8">
        <w:rPr>
          <w:rFonts w:asciiTheme="minorHAnsi" w:hAnsiTheme="minorHAnsi" w:cs="Times New Roman"/>
          <w:b w:val="0"/>
          <w:bCs w:val="0"/>
          <w:color w:val="auto"/>
          <w:sz w:val="22"/>
          <w:szCs w:val="20"/>
          <w:lang w:val="en-US"/>
        </w:rPr>
        <w:t>, such anti-discriminatory law</w:t>
      </w:r>
      <w:r w:rsidR="0072687B">
        <w:rPr>
          <w:rFonts w:asciiTheme="minorHAnsi" w:hAnsiTheme="minorHAnsi" w:cs="Times New Roman"/>
          <w:b w:val="0"/>
          <w:bCs w:val="0"/>
          <w:color w:val="auto"/>
          <w:sz w:val="22"/>
          <w:szCs w:val="20"/>
          <w:lang w:val="en-US"/>
        </w:rPr>
        <w:t xml:space="preserve"> or regulations</w:t>
      </w:r>
      <w:r w:rsidR="00A73C3F">
        <w:rPr>
          <w:rFonts w:asciiTheme="minorHAnsi" w:hAnsiTheme="minorHAnsi" w:cs="Times New Roman"/>
          <w:b w:val="0"/>
          <w:bCs w:val="0"/>
          <w:color w:val="auto"/>
          <w:sz w:val="22"/>
          <w:szCs w:val="20"/>
          <w:lang w:val="en-US"/>
        </w:rPr>
        <w:t xml:space="preserve"> </w:t>
      </w:r>
      <w:r w:rsidR="009469F8">
        <w:rPr>
          <w:rFonts w:asciiTheme="minorHAnsi" w:hAnsiTheme="minorHAnsi" w:cs="Times New Roman"/>
          <w:b w:val="0"/>
          <w:bCs w:val="0"/>
          <w:color w:val="auto"/>
          <w:sz w:val="22"/>
          <w:szCs w:val="20"/>
          <w:lang w:val="en-US"/>
        </w:rPr>
        <w:t xml:space="preserve">that </w:t>
      </w:r>
      <w:r w:rsidR="002E263C" w:rsidRPr="00F678CE">
        <w:rPr>
          <w:rFonts w:asciiTheme="minorHAnsi" w:hAnsiTheme="minorHAnsi" w:cs="Times New Roman"/>
          <w:b w:val="0"/>
          <w:bCs w:val="0"/>
          <w:color w:val="auto"/>
          <w:sz w:val="22"/>
          <w:szCs w:val="20"/>
          <w:lang w:val="en-US"/>
        </w:rPr>
        <w:t xml:space="preserve">are already in place adequately address the competition issues that tend to impact net neutrality. </w:t>
      </w:r>
    </w:p>
    <w:p w:rsidR="001056F5" w:rsidRPr="00F678CE" w:rsidRDefault="00636370" w:rsidP="001056F5">
      <w:r>
        <w:rPr>
          <w:rFonts w:ascii="Calibri" w:hAnsi="Calibri" w:cs="Times New Roman Bold"/>
          <w:b/>
          <w:bCs/>
          <w:iCs/>
          <w:color w:val="A50021"/>
          <w:szCs w:val="22"/>
          <w:lang w:val="en-GB"/>
        </w:rPr>
        <w:t>Quality of service (</w:t>
      </w:r>
      <w:proofErr w:type="spellStart"/>
      <w:r w:rsidR="001056F5" w:rsidRPr="00F678CE">
        <w:rPr>
          <w:rFonts w:ascii="Calibri" w:hAnsi="Calibri" w:cs="Times New Roman Bold"/>
          <w:b/>
          <w:bCs/>
          <w:iCs/>
          <w:color w:val="A50021"/>
          <w:szCs w:val="22"/>
          <w:lang w:val="en-GB"/>
        </w:rPr>
        <w:t>QoS</w:t>
      </w:r>
      <w:proofErr w:type="spellEnd"/>
      <w:r>
        <w:rPr>
          <w:rFonts w:ascii="Calibri" w:hAnsi="Calibri" w:cs="Times New Roman Bold"/>
          <w:b/>
          <w:bCs/>
          <w:iCs/>
          <w:color w:val="A50021"/>
          <w:szCs w:val="22"/>
          <w:lang w:val="en-GB"/>
        </w:rPr>
        <w:t xml:space="preserve">): </w:t>
      </w:r>
      <w:r w:rsidR="00C45C95" w:rsidRPr="00F678CE">
        <w:t xml:space="preserve">It is becoming common </w:t>
      </w:r>
      <w:r w:rsidR="00C45C95" w:rsidRPr="00636370">
        <w:t xml:space="preserve">practice </w:t>
      </w:r>
      <w:r w:rsidRPr="00636370">
        <w:rPr>
          <w:bCs/>
        </w:rPr>
        <w:t>to empower regulators</w:t>
      </w:r>
      <w:r w:rsidR="001056F5" w:rsidRPr="00636370">
        <w:t xml:space="preserve"> </w:t>
      </w:r>
      <w:r w:rsidRPr="00636370">
        <w:t xml:space="preserve">to enforce minimum </w:t>
      </w:r>
      <w:proofErr w:type="spellStart"/>
      <w:r w:rsidRPr="00636370">
        <w:t>QoS</w:t>
      </w:r>
      <w:proofErr w:type="spellEnd"/>
      <w:r w:rsidRPr="00636370">
        <w:t xml:space="preserve"> requirements to ensure that customers and edge providers have reliable</w:t>
      </w:r>
      <w:r w:rsidRPr="00F678CE">
        <w:t xml:space="preserve"> service.</w:t>
      </w:r>
      <w:r w:rsidRPr="00636370">
        <w:t xml:space="preserve"> </w:t>
      </w:r>
      <w:r w:rsidRPr="00F678CE">
        <w:t>In order to deliver these services, network providers will have to</w:t>
      </w:r>
      <w:r>
        <w:t xml:space="preserve"> ensure (1) </w:t>
      </w:r>
      <w:r w:rsidR="001056F5" w:rsidRPr="00F678CE">
        <w:t xml:space="preserve">transparent and clear terms and conditions of contracts signed by </w:t>
      </w:r>
      <w:r w:rsidRPr="00F678CE">
        <w:t>costumers</w:t>
      </w:r>
      <w:r>
        <w:t xml:space="preserve">; (2) the </w:t>
      </w:r>
      <w:r w:rsidR="001056F5" w:rsidRPr="00F678CE">
        <w:t xml:space="preserve">publication of comparable information on the availability and </w:t>
      </w:r>
      <w:proofErr w:type="spellStart"/>
      <w:r>
        <w:t>QoS</w:t>
      </w:r>
      <w:proofErr w:type="spellEnd"/>
      <w:r>
        <w:t xml:space="preserve">; (3) the </w:t>
      </w:r>
      <w:r w:rsidR="001056F5" w:rsidRPr="00F678CE">
        <w:t xml:space="preserve">introduction of minimum requirements </w:t>
      </w:r>
      <w:r>
        <w:t>for</w:t>
      </w:r>
      <w:r w:rsidR="001056F5" w:rsidRPr="00F678CE">
        <w:t xml:space="preserve"> </w:t>
      </w:r>
      <w:proofErr w:type="spellStart"/>
      <w:r w:rsidR="001056F5" w:rsidRPr="00F678CE">
        <w:t>QoS</w:t>
      </w:r>
      <w:proofErr w:type="spellEnd"/>
      <w:r w:rsidR="001056F5" w:rsidRPr="00F678CE">
        <w:t xml:space="preserve"> in order to avoid degradation of the </w:t>
      </w:r>
      <w:r>
        <w:t>quality</w:t>
      </w:r>
      <w:r w:rsidR="001056F5" w:rsidRPr="00F678CE">
        <w:t xml:space="preserve"> provided to</w:t>
      </w:r>
      <w:r>
        <w:t xml:space="preserve"> </w:t>
      </w:r>
      <w:r w:rsidRPr="00F678CE">
        <w:t>costumers</w:t>
      </w:r>
      <w:r w:rsidR="001056F5" w:rsidRPr="00F678CE">
        <w:t>.</w:t>
      </w:r>
    </w:p>
    <w:p w:rsidR="0043766E" w:rsidRPr="00F678CE" w:rsidRDefault="00727B98" w:rsidP="0058439E">
      <w:r>
        <w:rPr>
          <w:rFonts w:ascii="Calibri" w:hAnsi="Calibri" w:cs="Times New Roman Bold"/>
          <w:b/>
          <w:bCs/>
          <w:iCs/>
          <w:color w:val="A50021"/>
          <w:szCs w:val="22"/>
          <w:lang w:val="en-GB"/>
        </w:rPr>
        <w:t>Consumer empowerment</w:t>
      </w:r>
      <w:r w:rsidR="0058439E" w:rsidRPr="0099528B">
        <w:rPr>
          <w:rFonts w:ascii="Calibri" w:hAnsi="Calibri" w:cs="Times New Roman Bold"/>
          <w:b/>
          <w:bCs/>
          <w:iCs/>
          <w:color w:val="A50021"/>
          <w:szCs w:val="22"/>
          <w:lang w:val="en-GB"/>
        </w:rPr>
        <w:t>:</w:t>
      </w:r>
      <w:r w:rsidR="0058439E" w:rsidRPr="00F678CE">
        <w:t xml:space="preserve"> Policymakers need to ensure that consumers are empowered to control their personal data and protect their privacy</w:t>
      </w:r>
      <w:r w:rsidR="007E6379">
        <w:t xml:space="preserve"> through facilitating </w:t>
      </w:r>
      <w:r w:rsidR="007E6379" w:rsidRPr="007E6379">
        <w:t>Cloud Literacy</w:t>
      </w:r>
      <w:r w:rsidR="0058439E" w:rsidRPr="00F678CE">
        <w:t xml:space="preserve">. Cloud users need to be sure that information stored or processed in the cloud will not be used or disclosed in harmful or unanticipated ways. </w:t>
      </w:r>
    </w:p>
    <w:p w:rsidR="000D6DE5" w:rsidRPr="00EB5A2B" w:rsidRDefault="00AB7634" w:rsidP="00FC362E">
      <w:r w:rsidRPr="0099528B">
        <w:rPr>
          <w:rFonts w:ascii="Calibri" w:hAnsi="Calibri" w:cs="Times New Roman Bold"/>
          <w:b/>
          <w:bCs/>
          <w:iCs/>
          <w:color w:val="A50021"/>
          <w:szCs w:val="22"/>
          <w:lang w:val="en-GB"/>
        </w:rPr>
        <w:t>Privacy &amp; data protection:</w:t>
      </w:r>
      <w:r w:rsidRPr="00F678CE">
        <w:t xml:space="preserve"> </w:t>
      </w:r>
      <w:r w:rsidR="00EB5A2B">
        <w:t>I</w:t>
      </w:r>
      <w:r w:rsidR="00EB5A2B" w:rsidRPr="00EB5A2B">
        <w:t xml:space="preserve">nternational </w:t>
      </w:r>
      <w:r w:rsidR="00FC362E">
        <w:t xml:space="preserve">agencies as well as </w:t>
      </w:r>
      <w:r w:rsidR="00EB5A2B" w:rsidRPr="00EB5A2B">
        <w:t xml:space="preserve">national policy makers </w:t>
      </w:r>
      <w:r w:rsidR="00EB5A2B">
        <w:t xml:space="preserve">and regulators </w:t>
      </w:r>
      <w:r w:rsidR="00EB5A2B" w:rsidRPr="00EB5A2B">
        <w:t xml:space="preserve">must work together to develop efficient, effective, proportionate and enforceable laws to protect </w:t>
      </w:r>
      <w:r w:rsidR="007D1B8F">
        <w:t>consumers’</w:t>
      </w:r>
      <w:r w:rsidR="00EB5A2B" w:rsidRPr="00EB5A2B">
        <w:t xml:space="preserve"> reasonable expectation of privacy.  Responsibility should also be devolved to stakeholders developing self regulation</w:t>
      </w:r>
      <w:r w:rsidR="00727B98">
        <w:t xml:space="preserve">, for example </w:t>
      </w:r>
      <w:r w:rsidR="00727B98" w:rsidRPr="00F678CE">
        <w:t>establish</w:t>
      </w:r>
      <w:r w:rsidR="00727B98">
        <w:t>ing</w:t>
      </w:r>
      <w:r w:rsidR="00727B98" w:rsidRPr="00F678CE">
        <w:t xml:space="preserve"> privacy policies that are transparent and appropriate for the services they provide. </w:t>
      </w:r>
      <w:r w:rsidR="007E6379" w:rsidRPr="00F678CE">
        <w:t xml:space="preserve">Governments </w:t>
      </w:r>
      <w:r w:rsidR="009469F8">
        <w:t>should</w:t>
      </w:r>
      <w:r w:rsidR="009469F8" w:rsidRPr="00F678CE">
        <w:t xml:space="preserve"> </w:t>
      </w:r>
      <w:r w:rsidR="007E6379" w:rsidRPr="00F678CE">
        <w:t xml:space="preserve">also continue to work together to ensure no single entity adopts privacy regulations that are so burdensome that they restrict the free flow of information or prevent </w:t>
      </w:r>
      <w:r w:rsidR="007E6379">
        <w:t>CSP</w:t>
      </w:r>
      <w:r w:rsidR="007E6379" w:rsidRPr="00F678CE">
        <w:t>s from maximizing the cost saving inherent in those services.</w:t>
      </w:r>
    </w:p>
    <w:p w:rsidR="007D1B8F" w:rsidRDefault="007D1B8F" w:rsidP="007D1B8F">
      <w:r w:rsidRPr="0099528B">
        <w:rPr>
          <w:rFonts w:ascii="Calibri" w:hAnsi="Calibri" w:cs="Times New Roman Bold"/>
          <w:b/>
          <w:bCs/>
          <w:iCs/>
          <w:color w:val="A50021"/>
          <w:szCs w:val="22"/>
          <w:lang w:val="en-GB"/>
        </w:rPr>
        <w:t>Cloud standards:</w:t>
      </w:r>
      <w:r w:rsidRPr="00F678CE">
        <w:t xml:space="preserve"> The development and widespread adoption of appropriate national, regional and international technical and organizational standards are required to address a range of concerns among cloud providers and users, including the integration of legacy systems with cloud interfaces; data and application portability and security.</w:t>
      </w:r>
    </w:p>
    <w:p w:rsidR="00606826" w:rsidRPr="00F678CE" w:rsidRDefault="00606826" w:rsidP="00606826">
      <w:r w:rsidRPr="0099528B">
        <w:rPr>
          <w:rFonts w:ascii="Calibri" w:hAnsi="Calibri" w:cs="Times New Roman Bold"/>
          <w:b/>
          <w:bCs/>
          <w:iCs/>
          <w:color w:val="A50021"/>
          <w:szCs w:val="22"/>
          <w:lang w:val="en-GB"/>
        </w:rPr>
        <w:t>Data portability:</w:t>
      </w:r>
      <w:r w:rsidRPr="00F678CE">
        <w:t xml:space="preserve"> The fact that the cloud computing application programming interfaces (APIs) are largely proprietary limits customers’ ability to switch to a different provider should they become dissatisfied with their current provider</w:t>
      </w:r>
      <w:r w:rsidR="00A73C3F">
        <w:t xml:space="preserve"> (lock-in effect)</w:t>
      </w:r>
      <w:r w:rsidRPr="00F678CE">
        <w:t xml:space="preserve">. </w:t>
      </w:r>
      <w:r w:rsidRPr="007D1B8F">
        <w:t>Standardizing APIs</w:t>
      </w:r>
      <w:r w:rsidRPr="00F678CE">
        <w:t xml:space="preserve"> would facilitate data </w:t>
      </w:r>
      <w:r w:rsidRPr="00F678CE">
        <w:lastRenderedPageBreak/>
        <w:t>portability and would allow greater reliability by allowing the same functions to be performed by multiple cloud computing providers.</w:t>
      </w:r>
    </w:p>
    <w:p w:rsidR="0058439E" w:rsidRPr="00F678CE" w:rsidRDefault="0058439E" w:rsidP="00A73C3F">
      <w:r w:rsidRPr="0099528B">
        <w:rPr>
          <w:rFonts w:ascii="Calibri" w:hAnsi="Calibri" w:cs="Times New Roman Bold"/>
          <w:b/>
          <w:bCs/>
          <w:iCs/>
          <w:color w:val="A50021"/>
          <w:szCs w:val="22"/>
          <w:lang w:val="en-GB"/>
        </w:rPr>
        <w:t>Interoperability:</w:t>
      </w:r>
      <w:r w:rsidRPr="00F678CE">
        <w:t xml:space="preserve"> Interoperability is </w:t>
      </w:r>
      <w:proofErr w:type="gramStart"/>
      <w:r w:rsidRPr="00F678CE">
        <w:t>key</w:t>
      </w:r>
      <w:proofErr w:type="gramEnd"/>
      <w:r w:rsidRPr="00F678CE">
        <w:t xml:space="preserve"> for consumers of cloud computing services</w:t>
      </w:r>
      <w:r w:rsidR="00727B98">
        <w:t xml:space="preserve"> as it</w:t>
      </w:r>
      <w:r w:rsidR="00727B98" w:rsidRPr="0084505F">
        <w:t xml:space="preserve"> facilitate</w:t>
      </w:r>
      <w:r w:rsidR="00727B98">
        <w:t>s</w:t>
      </w:r>
      <w:r w:rsidR="00727B98" w:rsidRPr="0084505F">
        <w:t xml:space="preserve"> information flows with appropriate security and privacy protections. </w:t>
      </w:r>
      <w:r w:rsidR="00727B98">
        <w:t>T</w:t>
      </w:r>
      <w:r w:rsidRPr="00F678CE">
        <w:t xml:space="preserve">herefore, governments need to support the development of standards and measures that will speed the </w:t>
      </w:r>
      <w:r w:rsidR="00727B98">
        <w:t>arrival to markets</w:t>
      </w:r>
      <w:r w:rsidRPr="00F678CE">
        <w:t xml:space="preserve"> of communications devices and ensure seamless wireless connectivity and services.</w:t>
      </w:r>
      <w:r w:rsidR="0084505F">
        <w:t xml:space="preserve"> </w:t>
      </w:r>
      <w:r w:rsidR="0084505F" w:rsidRPr="0084505F">
        <w:t>Eliminate unnecessary restrictions on the trans</w:t>
      </w:r>
      <w:r w:rsidR="00401D2D">
        <w:t>-</w:t>
      </w:r>
      <w:r w:rsidR="0084505F" w:rsidRPr="0084505F">
        <w:t xml:space="preserve">border flow of data is </w:t>
      </w:r>
      <w:r w:rsidR="0084505F">
        <w:t>of particular importance</w:t>
      </w:r>
      <w:r w:rsidR="0084505F" w:rsidRPr="0084505F">
        <w:t>.</w:t>
      </w:r>
      <w:r w:rsidR="00525D6B">
        <w:t xml:space="preserve"> </w:t>
      </w:r>
    </w:p>
    <w:p w:rsidR="00F62CEB" w:rsidRPr="00F678CE" w:rsidRDefault="00F62CEB" w:rsidP="007D1B8F">
      <w:r w:rsidRPr="0099528B">
        <w:rPr>
          <w:rFonts w:ascii="Calibri" w:hAnsi="Calibri" w:cs="Times New Roman Bold"/>
          <w:b/>
          <w:bCs/>
          <w:iCs/>
          <w:color w:val="A50021"/>
          <w:szCs w:val="22"/>
          <w:lang w:val="en-GB"/>
        </w:rPr>
        <w:t>Demand stimulation:</w:t>
      </w:r>
      <w:r>
        <w:t xml:space="preserve"> </w:t>
      </w:r>
      <w:r w:rsidRPr="00F678CE">
        <w:t xml:space="preserve">Governments </w:t>
      </w:r>
      <w:r w:rsidR="007D1B8F">
        <w:t>must</w:t>
      </w:r>
      <w:r w:rsidRPr="00F678CE">
        <w:t xml:space="preserve"> lead the way in the adoption of cloud-based computing.</w:t>
      </w:r>
      <w:r w:rsidR="005D30A5">
        <w:t xml:space="preserve"> </w:t>
      </w:r>
      <w:r w:rsidR="005D30A5" w:rsidRPr="00F678CE">
        <w:t xml:space="preserve">In addition, efforts need to be deployed to overcome barriers to broadband adoption, pursuing multiple initiatives targeted at both consumers and small businesses. </w:t>
      </w:r>
    </w:p>
    <w:p w:rsidR="00F62CEB" w:rsidRPr="00F678CE" w:rsidRDefault="00F62CEB" w:rsidP="007D1B8F">
      <w:r w:rsidRPr="00F678CE">
        <w:rPr>
          <w:rFonts w:ascii="Calibri" w:hAnsi="Calibri" w:cs="Times New Roman Bold"/>
          <w:b/>
          <w:bCs/>
          <w:iCs/>
          <w:color w:val="A50021"/>
          <w:szCs w:val="22"/>
          <w:lang w:val="en-GB"/>
        </w:rPr>
        <w:t>Research and development (R&amp;D):</w:t>
      </w:r>
      <w:r w:rsidRPr="00F678CE">
        <w:rPr>
          <w:b/>
          <w:color w:val="C00000"/>
        </w:rPr>
        <w:t xml:space="preserve"> </w:t>
      </w:r>
      <w:r w:rsidRPr="00F678CE">
        <w:t xml:space="preserve">Promoting R&amp;D activities in the field of cloud computing is </w:t>
      </w:r>
      <w:r w:rsidRPr="00727B98">
        <w:t xml:space="preserve">an essential tool for designing future-proof </w:t>
      </w:r>
      <w:r w:rsidR="000D6DE5" w:rsidRPr="00727B98">
        <w:t>digital economies. C</w:t>
      </w:r>
      <w:r w:rsidRPr="00727B98">
        <w:t xml:space="preserve">lose </w:t>
      </w:r>
      <w:r w:rsidR="000D6DE5" w:rsidRPr="00727B98">
        <w:t xml:space="preserve">regional and international </w:t>
      </w:r>
      <w:r w:rsidRPr="00727B98">
        <w:t xml:space="preserve">cooperation with relevant international bodies as well </w:t>
      </w:r>
      <w:r w:rsidR="00FC362E">
        <w:t xml:space="preserve">as </w:t>
      </w:r>
      <w:r w:rsidRPr="00727B98">
        <w:t xml:space="preserve">universities </w:t>
      </w:r>
      <w:r w:rsidR="000D6DE5">
        <w:t>should be encouraged</w:t>
      </w:r>
      <w:r w:rsidRPr="00F678CE">
        <w:t>.</w:t>
      </w:r>
    </w:p>
    <w:p w:rsidR="00727B98" w:rsidRDefault="0016561C" w:rsidP="007D1B8F">
      <w:r w:rsidRPr="0099528B">
        <w:rPr>
          <w:rFonts w:ascii="Calibri" w:hAnsi="Calibri" w:cs="Times New Roman Bold"/>
          <w:b/>
          <w:bCs/>
          <w:iCs/>
          <w:color w:val="A50021"/>
          <w:szCs w:val="22"/>
          <w:lang w:val="en-GB"/>
        </w:rPr>
        <w:t>Regulatory cooperation:</w:t>
      </w:r>
      <w:r w:rsidRPr="00F678CE">
        <w:t xml:space="preserve"> Cloud services impact on a range of regulatory areas, both within jurisdictions and across multi</w:t>
      </w:r>
      <w:r w:rsidR="007D1B8F">
        <w:t xml:space="preserve">ple </w:t>
      </w:r>
      <w:r w:rsidRPr="00F678CE">
        <w:t xml:space="preserve">jurisdictions. Regulators should consider co-operate and co-ordinate regulatory decision-making that is targeted at </w:t>
      </w:r>
      <w:r w:rsidR="007E6379">
        <w:t>CSPs</w:t>
      </w:r>
      <w:r>
        <w:t>.</w:t>
      </w:r>
    </w:p>
    <w:p w:rsidR="0043766E" w:rsidRPr="00F678CE" w:rsidRDefault="0043766E" w:rsidP="00A73C3F">
      <w:r w:rsidRPr="00F678CE">
        <w:t xml:space="preserve">Internationally, governments </w:t>
      </w:r>
      <w:r w:rsidR="007D1B8F">
        <w:t>need to</w:t>
      </w:r>
      <w:r w:rsidRPr="00F678CE">
        <w:t xml:space="preserve"> collaborate to increase regulatory predictability related to the cloud </w:t>
      </w:r>
      <w:r w:rsidR="00525D6B">
        <w:t xml:space="preserve">and develop common </w:t>
      </w:r>
      <w:r w:rsidRPr="00F678CE">
        <w:t xml:space="preserve">core policy principles that will assist </w:t>
      </w:r>
      <w:r w:rsidR="00A73C3F">
        <w:t xml:space="preserve">the </w:t>
      </w:r>
      <w:r w:rsidRPr="00F678CE">
        <w:t>development and adopt</w:t>
      </w:r>
      <w:r w:rsidR="00E22C31">
        <w:t>ion of cloud computing services</w:t>
      </w:r>
      <w:r w:rsidR="00727B98">
        <w:t xml:space="preserve"> while a</w:t>
      </w:r>
      <w:r w:rsidRPr="00F678CE">
        <w:t>void</w:t>
      </w:r>
      <w:r w:rsidR="00727B98">
        <w:t xml:space="preserve">ing </w:t>
      </w:r>
      <w:r w:rsidR="00525D6B">
        <w:t>the creation of regulatory</w:t>
      </w:r>
      <w:r w:rsidR="00A73C3F">
        <w:t xml:space="preserve"> </w:t>
      </w:r>
      <w:r w:rsidRPr="00F678CE">
        <w:t>barriers to market entry.</w:t>
      </w:r>
    </w:p>
    <w:p w:rsidR="00310EBF" w:rsidRPr="00F678CE" w:rsidRDefault="00310EBF" w:rsidP="007D1B8F">
      <w:r w:rsidRPr="00F678CE">
        <w:rPr>
          <w:rFonts w:ascii="Calibri" w:hAnsi="Calibri" w:cs="Times New Roman Bold"/>
          <w:b/>
          <w:bCs/>
          <w:iCs/>
          <w:color w:val="A50021"/>
          <w:szCs w:val="22"/>
          <w:lang w:val="en-GB"/>
        </w:rPr>
        <w:t>Regional cloud</w:t>
      </w:r>
      <w:r w:rsidR="00E22C31">
        <w:rPr>
          <w:rFonts w:ascii="Calibri" w:hAnsi="Calibri" w:cs="Times New Roman Bold"/>
          <w:b/>
          <w:bCs/>
          <w:iCs/>
          <w:color w:val="A50021"/>
          <w:szCs w:val="22"/>
          <w:lang w:val="en-GB"/>
        </w:rPr>
        <w:t xml:space="preserve">: </w:t>
      </w:r>
      <w:r w:rsidR="00E22C31">
        <w:t>R</w:t>
      </w:r>
      <w:r w:rsidRPr="00F678CE">
        <w:t xml:space="preserve">egional </w:t>
      </w:r>
      <w:r w:rsidR="00E22C31">
        <w:t>c</w:t>
      </w:r>
      <w:r w:rsidRPr="00F678CE">
        <w:t xml:space="preserve">louds represent a unique opportunity for </w:t>
      </w:r>
      <w:r w:rsidR="00E22C31">
        <w:t>a group of</w:t>
      </w:r>
      <w:r w:rsidRPr="00F678CE">
        <w:t xml:space="preserve"> countries to cooperate in order to promote </w:t>
      </w:r>
      <w:r w:rsidR="00E22C31">
        <w:t>c</w:t>
      </w:r>
      <w:r w:rsidRPr="00F678CE">
        <w:t xml:space="preserve">loud computing services and take advantage of its benefits while reducing security, confidentiality and other vital concerns through the establishment of regional regulatory frameworks and other protective measures for </w:t>
      </w:r>
      <w:r w:rsidR="007D1B8F">
        <w:t>businesses and consumers</w:t>
      </w:r>
      <w:r w:rsidRPr="00F678CE">
        <w:t>.</w:t>
      </w:r>
    </w:p>
    <w:p w:rsidR="00ED1A26" w:rsidRPr="00F678CE" w:rsidRDefault="001056F5" w:rsidP="009469F8">
      <w:r w:rsidRPr="00F678CE">
        <w:t>To that end</w:t>
      </w:r>
      <w:r w:rsidR="00E22C31">
        <w:t>, a</w:t>
      </w:r>
      <w:r w:rsidRPr="00F678CE">
        <w:t xml:space="preserve"> sub</w:t>
      </w:r>
      <w:r w:rsidR="00E22C31">
        <w:t>-</w:t>
      </w:r>
      <w:r w:rsidRPr="00F678CE">
        <w:t xml:space="preserve">regional approach </w:t>
      </w:r>
      <w:r w:rsidR="00E22C31">
        <w:t xml:space="preserve">could be encouraged </w:t>
      </w:r>
      <w:r w:rsidRPr="00F678CE">
        <w:t xml:space="preserve">whereby regulators’ associations promote efforts to harmonize regulatory instruments </w:t>
      </w:r>
      <w:r w:rsidR="00E22C31">
        <w:t xml:space="preserve">among their member </w:t>
      </w:r>
      <w:r w:rsidR="00727B98">
        <w:t>countries</w:t>
      </w:r>
      <w:r w:rsidRPr="00F678CE">
        <w:t>.</w:t>
      </w:r>
    </w:p>
    <w:p w:rsidR="001056F5" w:rsidRPr="00F678CE" w:rsidRDefault="001056F5"/>
    <w:sectPr w:rsidR="001056F5" w:rsidRPr="00F678CE" w:rsidSect="00B93242">
      <w:footerReference w:type="default" r:id="rId10"/>
      <w:footnotePr>
        <w:numFmt w:val="chicago"/>
      </w:footnotePr>
      <w:endnotePr>
        <w:numFmt w:val="chicago"/>
      </w:endnotePr>
      <w:pgSz w:w="11907" w:h="16839" w:code="9"/>
      <w:pgMar w:top="1440" w:right="1440" w:bottom="1134" w:left="1440" w:header="426" w:footer="5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5F0" w:rsidRDefault="00D335F0" w:rsidP="00BB267A">
      <w:r>
        <w:separator/>
      </w:r>
    </w:p>
  </w:endnote>
  <w:endnote w:type="continuationSeparator" w:id="0">
    <w:p w:rsidR="00D335F0" w:rsidRDefault="00D335F0"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F0" w:rsidRDefault="00D335F0" w:rsidP="00515AA3">
    <w:pPr>
      <w:pStyle w:val="Footer"/>
      <w:spacing w:before="120" w:line="360" w:lineRule="auto"/>
      <w:ind w:right="-136"/>
    </w:pPr>
    <w:r>
      <w:fldChar w:fldCharType="begin"/>
    </w:r>
    <w:r>
      <w:instrText xml:space="preserve"> PAGE   \* MERGEFORMAT </w:instrText>
    </w:r>
    <w:r>
      <w:fldChar w:fldCharType="separate"/>
    </w:r>
    <w:r w:rsidR="005A03B4">
      <w:rPr>
        <w:noProof/>
      </w:rPr>
      <w:t>3</w:t>
    </w:r>
    <w:r>
      <w:rPr>
        <w:noProof/>
      </w:rPr>
      <w:fldChar w:fldCharType="end"/>
    </w:r>
  </w:p>
  <w:p w:rsidR="00D335F0" w:rsidRDefault="00D335F0" w:rsidP="00BB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5F0" w:rsidRDefault="00D335F0" w:rsidP="00BB267A">
      <w:r>
        <w:separator/>
      </w:r>
    </w:p>
  </w:footnote>
  <w:footnote w:type="continuationSeparator" w:id="0">
    <w:p w:rsidR="00D335F0" w:rsidRDefault="00D335F0" w:rsidP="00BB267A">
      <w:r>
        <w:continuationSeparator/>
      </w:r>
    </w:p>
  </w:footnote>
  <w:footnote w:id="1">
    <w:p w:rsidR="00D335F0" w:rsidRPr="00693544" w:rsidRDefault="00D335F0" w:rsidP="00E80BF5">
      <w:pPr>
        <w:pStyle w:val="FootnoteText"/>
        <w:ind w:left="567" w:hanging="567"/>
        <w:rPr>
          <w:color w:val="C00000"/>
          <w:sz w:val="20"/>
        </w:rPr>
      </w:pPr>
      <w:r w:rsidRPr="00395C28">
        <w:rPr>
          <w:rStyle w:val="FootnoteReference"/>
          <w:color w:val="C00000"/>
          <w:sz w:val="32"/>
          <w:szCs w:val="32"/>
        </w:rPr>
        <w:footnoteRef/>
      </w:r>
      <w:r w:rsidRPr="0039233F">
        <w:rPr>
          <w:color w:val="C00000"/>
        </w:rPr>
        <w:t xml:space="preserve"> </w:t>
      </w:r>
      <w:r w:rsidRPr="0039233F">
        <w:rPr>
          <w:color w:val="C00000"/>
        </w:rPr>
        <w:tab/>
      </w:r>
      <w:r w:rsidRPr="00693544">
        <w:rPr>
          <w:color w:val="C00000"/>
          <w:sz w:val="20"/>
        </w:rPr>
        <w:t>The Guidelines are based on contributions from AREGNET/Lebanon, Burkina Faso, Colombia, Egypt, Poland, United States, and Zimbabwe.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3A35"/>
    <w:rsid w:val="00014650"/>
    <w:rsid w:val="00017DFF"/>
    <w:rsid w:val="00026A63"/>
    <w:rsid w:val="00027C11"/>
    <w:rsid w:val="00033BA7"/>
    <w:rsid w:val="00040084"/>
    <w:rsid w:val="00050801"/>
    <w:rsid w:val="000563D0"/>
    <w:rsid w:val="00062536"/>
    <w:rsid w:val="00064ADF"/>
    <w:rsid w:val="00064FDE"/>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7984"/>
    <w:rsid w:val="00131A68"/>
    <w:rsid w:val="00133C5B"/>
    <w:rsid w:val="00134C95"/>
    <w:rsid w:val="00135134"/>
    <w:rsid w:val="00140355"/>
    <w:rsid w:val="00146771"/>
    <w:rsid w:val="00155E1E"/>
    <w:rsid w:val="00156FA4"/>
    <w:rsid w:val="001577EB"/>
    <w:rsid w:val="0016561C"/>
    <w:rsid w:val="00170EB7"/>
    <w:rsid w:val="00174249"/>
    <w:rsid w:val="001814FD"/>
    <w:rsid w:val="00191C51"/>
    <w:rsid w:val="001938C5"/>
    <w:rsid w:val="00195C7A"/>
    <w:rsid w:val="001A115A"/>
    <w:rsid w:val="001A1E5B"/>
    <w:rsid w:val="001A5D05"/>
    <w:rsid w:val="001A62F1"/>
    <w:rsid w:val="001B4D00"/>
    <w:rsid w:val="001C450A"/>
    <w:rsid w:val="001C5522"/>
    <w:rsid w:val="001D5066"/>
    <w:rsid w:val="001D6F00"/>
    <w:rsid w:val="001E0873"/>
    <w:rsid w:val="001E125E"/>
    <w:rsid w:val="001E1D16"/>
    <w:rsid w:val="001F2C92"/>
    <w:rsid w:val="001F47CF"/>
    <w:rsid w:val="0021411C"/>
    <w:rsid w:val="00217224"/>
    <w:rsid w:val="0022373D"/>
    <w:rsid w:val="00225807"/>
    <w:rsid w:val="00230D12"/>
    <w:rsid w:val="0024289C"/>
    <w:rsid w:val="00251A73"/>
    <w:rsid w:val="00252B2B"/>
    <w:rsid w:val="00257337"/>
    <w:rsid w:val="00260A91"/>
    <w:rsid w:val="00261DEC"/>
    <w:rsid w:val="00270150"/>
    <w:rsid w:val="0029096A"/>
    <w:rsid w:val="002972BA"/>
    <w:rsid w:val="002975D9"/>
    <w:rsid w:val="002A2846"/>
    <w:rsid w:val="002A31DB"/>
    <w:rsid w:val="002A402B"/>
    <w:rsid w:val="002B0272"/>
    <w:rsid w:val="002B405A"/>
    <w:rsid w:val="002B6CAC"/>
    <w:rsid w:val="002C4CA2"/>
    <w:rsid w:val="002C65FE"/>
    <w:rsid w:val="002C6A01"/>
    <w:rsid w:val="002D0A98"/>
    <w:rsid w:val="002D2832"/>
    <w:rsid w:val="002D28F3"/>
    <w:rsid w:val="002D5909"/>
    <w:rsid w:val="002D7A18"/>
    <w:rsid w:val="002E263C"/>
    <w:rsid w:val="002F70CE"/>
    <w:rsid w:val="00303401"/>
    <w:rsid w:val="00310EBF"/>
    <w:rsid w:val="00317BFB"/>
    <w:rsid w:val="003253BE"/>
    <w:rsid w:val="00331636"/>
    <w:rsid w:val="003324D1"/>
    <w:rsid w:val="003442B1"/>
    <w:rsid w:val="00354D61"/>
    <w:rsid w:val="00356D7A"/>
    <w:rsid w:val="0036141D"/>
    <w:rsid w:val="00362C3E"/>
    <w:rsid w:val="003673DF"/>
    <w:rsid w:val="00381781"/>
    <w:rsid w:val="0039233F"/>
    <w:rsid w:val="003925A6"/>
    <w:rsid w:val="00395C28"/>
    <w:rsid w:val="003B40CB"/>
    <w:rsid w:val="003B460F"/>
    <w:rsid w:val="003B79B8"/>
    <w:rsid w:val="003C2734"/>
    <w:rsid w:val="003C4389"/>
    <w:rsid w:val="003D44EC"/>
    <w:rsid w:val="003E72A7"/>
    <w:rsid w:val="003F0B74"/>
    <w:rsid w:val="003F17F4"/>
    <w:rsid w:val="003F7516"/>
    <w:rsid w:val="00401D2D"/>
    <w:rsid w:val="00405F91"/>
    <w:rsid w:val="00410914"/>
    <w:rsid w:val="004174D7"/>
    <w:rsid w:val="004211AB"/>
    <w:rsid w:val="00426876"/>
    <w:rsid w:val="00426956"/>
    <w:rsid w:val="004335BB"/>
    <w:rsid w:val="0043766E"/>
    <w:rsid w:val="004403CE"/>
    <w:rsid w:val="00442207"/>
    <w:rsid w:val="00445C83"/>
    <w:rsid w:val="004461F7"/>
    <w:rsid w:val="004666A6"/>
    <w:rsid w:val="00470C8A"/>
    <w:rsid w:val="00474023"/>
    <w:rsid w:val="00474976"/>
    <w:rsid w:val="00480206"/>
    <w:rsid w:val="00491230"/>
    <w:rsid w:val="00493A30"/>
    <w:rsid w:val="004A69BF"/>
    <w:rsid w:val="004A7D1C"/>
    <w:rsid w:val="004B1E60"/>
    <w:rsid w:val="004B46AF"/>
    <w:rsid w:val="004D1DFA"/>
    <w:rsid w:val="004D3493"/>
    <w:rsid w:val="004F2D03"/>
    <w:rsid w:val="004F7EC6"/>
    <w:rsid w:val="00501F68"/>
    <w:rsid w:val="005056E2"/>
    <w:rsid w:val="00515AA3"/>
    <w:rsid w:val="00522B65"/>
    <w:rsid w:val="00525D6B"/>
    <w:rsid w:val="00537EF1"/>
    <w:rsid w:val="00544F32"/>
    <w:rsid w:val="00551701"/>
    <w:rsid w:val="0055329A"/>
    <w:rsid w:val="00556E1A"/>
    <w:rsid w:val="00572DB9"/>
    <w:rsid w:val="00572EFC"/>
    <w:rsid w:val="00581308"/>
    <w:rsid w:val="00583C6E"/>
    <w:rsid w:val="0058439E"/>
    <w:rsid w:val="00584C62"/>
    <w:rsid w:val="00593BF7"/>
    <w:rsid w:val="005A03B4"/>
    <w:rsid w:val="005A39DA"/>
    <w:rsid w:val="005C7D64"/>
    <w:rsid w:val="005D30A5"/>
    <w:rsid w:val="005D434C"/>
    <w:rsid w:val="005D6577"/>
    <w:rsid w:val="005D705D"/>
    <w:rsid w:val="005E3076"/>
    <w:rsid w:val="00600579"/>
    <w:rsid w:val="0060302B"/>
    <w:rsid w:val="00605257"/>
    <w:rsid w:val="00606826"/>
    <w:rsid w:val="006212DF"/>
    <w:rsid w:val="00626121"/>
    <w:rsid w:val="00630935"/>
    <w:rsid w:val="00635D6E"/>
    <w:rsid w:val="006360A9"/>
    <w:rsid w:val="00636370"/>
    <w:rsid w:val="00641325"/>
    <w:rsid w:val="00686660"/>
    <w:rsid w:val="00693544"/>
    <w:rsid w:val="006B24E7"/>
    <w:rsid w:val="006B260A"/>
    <w:rsid w:val="006B6E0C"/>
    <w:rsid w:val="006C27AB"/>
    <w:rsid w:val="006C2D53"/>
    <w:rsid w:val="006C57CA"/>
    <w:rsid w:val="00700CF2"/>
    <w:rsid w:val="00703AC1"/>
    <w:rsid w:val="007048A1"/>
    <w:rsid w:val="007127CF"/>
    <w:rsid w:val="0072687B"/>
    <w:rsid w:val="00727B98"/>
    <w:rsid w:val="00735F97"/>
    <w:rsid w:val="00743546"/>
    <w:rsid w:val="007631B7"/>
    <w:rsid w:val="007840F4"/>
    <w:rsid w:val="007856DF"/>
    <w:rsid w:val="007A6A5E"/>
    <w:rsid w:val="007A791A"/>
    <w:rsid w:val="007B3BCC"/>
    <w:rsid w:val="007D1B8F"/>
    <w:rsid w:val="007D3AD0"/>
    <w:rsid w:val="007D4B89"/>
    <w:rsid w:val="007E20B6"/>
    <w:rsid w:val="007E6379"/>
    <w:rsid w:val="007E7AD7"/>
    <w:rsid w:val="008025A3"/>
    <w:rsid w:val="008055AD"/>
    <w:rsid w:val="0081282C"/>
    <w:rsid w:val="0081640A"/>
    <w:rsid w:val="0083304A"/>
    <w:rsid w:val="00833C14"/>
    <w:rsid w:val="0084501A"/>
    <w:rsid w:val="0084505F"/>
    <w:rsid w:val="008529AE"/>
    <w:rsid w:val="0085527E"/>
    <w:rsid w:val="00855EDE"/>
    <w:rsid w:val="00856460"/>
    <w:rsid w:val="00862244"/>
    <w:rsid w:val="00877715"/>
    <w:rsid w:val="008814F6"/>
    <w:rsid w:val="00882FC8"/>
    <w:rsid w:val="00885DD1"/>
    <w:rsid w:val="00896539"/>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53A9"/>
    <w:rsid w:val="00956606"/>
    <w:rsid w:val="00957689"/>
    <w:rsid w:val="00962E50"/>
    <w:rsid w:val="0097319B"/>
    <w:rsid w:val="00980003"/>
    <w:rsid w:val="00983613"/>
    <w:rsid w:val="0099528B"/>
    <w:rsid w:val="00997254"/>
    <w:rsid w:val="009E07F4"/>
    <w:rsid w:val="009E349C"/>
    <w:rsid w:val="009F6504"/>
    <w:rsid w:val="00A05A3E"/>
    <w:rsid w:val="00A07555"/>
    <w:rsid w:val="00A1066A"/>
    <w:rsid w:val="00A10FC8"/>
    <w:rsid w:val="00A11AD9"/>
    <w:rsid w:val="00A308A9"/>
    <w:rsid w:val="00A30A54"/>
    <w:rsid w:val="00A325E3"/>
    <w:rsid w:val="00A32635"/>
    <w:rsid w:val="00A450F2"/>
    <w:rsid w:val="00A55104"/>
    <w:rsid w:val="00A625A1"/>
    <w:rsid w:val="00A639FC"/>
    <w:rsid w:val="00A72AFD"/>
    <w:rsid w:val="00A73C3F"/>
    <w:rsid w:val="00A75D00"/>
    <w:rsid w:val="00A7792E"/>
    <w:rsid w:val="00A85308"/>
    <w:rsid w:val="00A915EA"/>
    <w:rsid w:val="00AA4387"/>
    <w:rsid w:val="00AA5605"/>
    <w:rsid w:val="00AB63AE"/>
    <w:rsid w:val="00AB7634"/>
    <w:rsid w:val="00AC2ED2"/>
    <w:rsid w:val="00AC4598"/>
    <w:rsid w:val="00AC5394"/>
    <w:rsid w:val="00AD1B06"/>
    <w:rsid w:val="00AD4595"/>
    <w:rsid w:val="00AD601E"/>
    <w:rsid w:val="00AF15DE"/>
    <w:rsid w:val="00AF3DEB"/>
    <w:rsid w:val="00B120C4"/>
    <w:rsid w:val="00B142D9"/>
    <w:rsid w:val="00B22F2F"/>
    <w:rsid w:val="00B360BA"/>
    <w:rsid w:val="00B36DD9"/>
    <w:rsid w:val="00B41981"/>
    <w:rsid w:val="00B54164"/>
    <w:rsid w:val="00B66E52"/>
    <w:rsid w:val="00B70D36"/>
    <w:rsid w:val="00B71975"/>
    <w:rsid w:val="00B77F0B"/>
    <w:rsid w:val="00B93242"/>
    <w:rsid w:val="00B964C6"/>
    <w:rsid w:val="00B9764B"/>
    <w:rsid w:val="00BA5FA3"/>
    <w:rsid w:val="00BB267A"/>
    <w:rsid w:val="00BB4D63"/>
    <w:rsid w:val="00BC3C6A"/>
    <w:rsid w:val="00BC7CF4"/>
    <w:rsid w:val="00BD007B"/>
    <w:rsid w:val="00BD07E3"/>
    <w:rsid w:val="00BD11D0"/>
    <w:rsid w:val="00BD5DEE"/>
    <w:rsid w:val="00BE1FFE"/>
    <w:rsid w:val="00BE2C24"/>
    <w:rsid w:val="00BE473C"/>
    <w:rsid w:val="00C04967"/>
    <w:rsid w:val="00C0575B"/>
    <w:rsid w:val="00C0721A"/>
    <w:rsid w:val="00C17A4E"/>
    <w:rsid w:val="00C2310C"/>
    <w:rsid w:val="00C312D4"/>
    <w:rsid w:val="00C326A7"/>
    <w:rsid w:val="00C353D4"/>
    <w:rsid w:val="00C40627"/>
    <w:rsid w:val="00C45C95"/>
    <w:rsid w:val="00C57F48"/>
    <w:rsid w:val="00C65806"/>
    <w:rsid w:val="00C74791"/>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35F0"/>
    <w:rsid w:val="00D43927"/>
    <w:rsid w:val="00D45C48"/>
    <w:rsid w:val="00D46AF3"/>
    <w:rsid w:val="00D50EF5"/>
    <w:rsid w:val="00D559C6"/>
    <w:rsid w:val="00D64ADF"/>
    <w:rsid w:val="00D661D2"/>
    <w:rsid w:val="00D733A5"/>
    <w:rsid w:val="00D74385"/>
    <w:rsid w:val="00D75A39"/>
    <w:rsid w:val="00D75EC0"/>
    <w:rsid w:val="00D77B26"/>
    <w:rsid w:val="00D80EFC"/>
    <w:rsid w:val="00D87830"/>
    <w:rsid w:val="00D915E7"/>
    <w:rsid w:val="00D97D00"/>
    <w:rsid w:val="00DA2B24"/>
    <w:rsid w:val="00DD0C78"/>
    <w:rsid w:val="00DD700A"/>
    <w:rsid w:val="00DE7019"/>
    <w:rsid w:val="00E03511"/>
    <w:rsid w:val="00E15F7C"/>
    <w:rsid w:val="00E22C31"/>
    <w:rsid w:val="00E24507"/>
    <w:rsid w:val="00E247DA"/>
    <w:rsid w:val="00E3310C"/>
    <w:rsid w:val="00E33ED9"/>
    <w:rsid w:val="00E41012"/>
    <w:rsid w:val="00E47CD0"/>
    <w:rsid w:val="00E6029C"/>
    <w:rsid w:val="00E63785"/>
    <w:rsid w:val="00E80BF5"/>
    <w:rsid w:val="00E810F2"/>
    <w:rsid w:val="00E82C81"/>
    <w:rsid w:val="00E830E4"/>
    <w:rsid w:val="00E92B21"/>
    <w:rsid w:val="00E94359"/>
    <w:rsid w:val="00EA26F8"/>
    <w:rsid w:val="00EA55FA"/>
    <w:rsid w:val="00EB5A2B"/>
    <w:rsid w:val="00EC1802"/>
    <w:rsid w:val="00EC716E"/>
    <w:rsid w:val="00ED1A26"/>
    <w:rsid w:val="00EE3B33"/>
    <w:rsid w:val="00EE4F78"/>
    <w:rsid w:val="00F03523"/>
    <w:rsid w:val="00F04664"/>
    <w:rsid w:val="00F0720F"/>
    <w:rsid w:val="00F2195A"/>
    <w:rsid w:val="00F22895"/>
    <w:rsid w:val="00F23BD6"/>
    <w:rsid w:val="00F24562"/>
    <w:rsid w:val="00F25D6F"/>
    <w:rsid w:val="00F33991"/>
    <w:rsid w:val="00F57085"/>
    <w:rsid w:val="00F6194A"/>
    <w:rsid w:val="00F62CEB"/>
    <w:rsid w:val="00F678CE"/>
    <w:rsid w:val="00F851EB"/>
    <w:rsid w:val="00F87FBA"/>
    <w:rsid w:val="00F94F66"/>
    <w:rsid w:val="00F967E1"/>
    <w:rsid w:val="00FA0E2C"/>
    <w:rsid w:val="00FB1405"/>
    <w:rsid w:val="00FB209F"/>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semiHidden/>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semiHidden/>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semiHidden/>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semiHidden/>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aliases w:val="Hyperlink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DFAA-68C2-4189-96A0-7819AA76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1442</Words>
  <Characters>8222</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Youlia Lozanova</cp:lastModifiedBy>
  <cp:revision>6</cp:revision>
  <cp:lastPrinted>2012-09-21T11:33:00Z</cp:lastPrinted>
  <dcterms:created xsi:type="dcterms:W3CDTF">2012-09-21T11:12:00Z</dcterms:created>
  <dcterms:modified xsi:type="dcterms:W3CDTF">2012-09-21T11:34:00Z</dcterms:modified>
</cp:coreProperties>
</file>