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7766"/>
      </w:tblGrid>
      <w:tr w:rsidR="00405C48" w:rsidRPr="00BA2A7D" w:rsidTr="00FC702E">
        <w:trPr>
          <w:trHeight w:val="1833"/>
        </w:trPr>
        <w:tc>
          <w:tcPr>
            <w:tcW w:w="1810" w:type="dxa"/>
          </w:tcPr>
          <w:p w:rsidR="00405C48" w:rsidRPr="00AD71B0" w:rsidRDefault="00405C48" w:rsidP="00FC702E">
            <w:pPr>
              <w:rPr>
                <w:lang w:val="ru-RU"/>
              </w:rPr>
            </w:pPr>
            <w:r w:rsidRPr="00AD71B0">
              <w:rPr>
                <w:noProof/>
              </w:rPr>
              <w:drawing>
                <wp:inline distT="0" distB="0" distL="0" distR="0" wp14:anchorId="5C96047D" wp14:editId="023718EA">
                  <wp:extent cx="1000664" cy="1899219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R2012_we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38" cy="190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405C48" w:rsidRPr="00FC702E" w:rsidRDefault="00FC702E" w:rsidP="00101F34">
            <w:pPr>
              <w:pStyle w:val="GSRTitle"/>
              <w:rPr>
                <w:lang w:val="fr-CH"/>
              </w:rPr>
            </w:pPr>
            <w:r w:rsidRPr="00FC702E">
              <w:rPr>
                <w:lang w:val="fr-CH"/>
              </w:rPr>
              <w:t>GSR12 – LIGNES DIRECTRICES RELATIVES AUX BONNES PRATIQUES CONCERNANT LES APPROCHES RÉGLEMENTAIRES AFIN DE FACILITER L</w:t>
            </w:r>
            <w:r>
              <w:rPr>
                <w:lang w:val="fr-CH"/>
              </w:rPr>
              <w:t>'</w:t>
            </w:r>
            <w:r w:rsidRPr="00FC702E">
              <w:rPr>
                <w:lang w:val="fr-CH"/>
              </w:rPr>
              <w:t>ACC</w:t>
            </w:r>
            <w:r>
              <w:rPr>
                <w:lang w:val="fr-CH"/>
              </w:rPr>
              <w:t>È</w:t>
            </w:r>
            <w:r w:rsidRPr="00FC702E">
              <w:rPr>
                <w:lang w:val="fr-CH"/>
              </w:rPr>
              <w:t xml:space="preserve">S AUX OPPORTUNITÉS DU NUMÉRIQUE GRÂCE AUX </w:t>
            </w:r>
            <w:r>
              <w:rPr>
                <w:lang w:val="fr-CH"/>
              </w:rPr>
              <w:br/>
            </w:r>
            <w:r w:rsidRPr="00FC702E">
              <w:rPr>
                <w:lang w:val="fr-CH"/>
              </w:rPr>
              <w:t>SERVICES INFORMATIQUE</w:t>
            </w:r>
            <w:r>
              <w:rPr>
                <w:lang w:val="fr-CH"/>
              </w:rPr>
              <w:t>S</w:t>
            </w:r>
            <w:r w:rsidRPr="00FC702E">
              <w:rPr>
                <w:lang w:val="fr-CH"/>
              </w:rPr>
              <w:t xml:space="preserve"> EN </w:t>
            </w:r>
            <w:r w:rsidRPr="00E0330A">
              <w:rPr>
                <w:lang w:val="fr-CH"/>
              </w:rPr>
              <w:t>NUAGE</w:t>
            </w:r>
            <w:r w:rsidR="00101F34" w:rsidRPr="00E0330A">
              <w:rPr>
                <w:rStyle w:val="FootnoteReference"/>
                <w:sz w:val="32"/>
                <w:lang w:val="fr-CH"/>
              </w:rPr>
              <w:footnoteReference w:id="1"/>
            </w:r>
          </w:p>
        </w:tc>
      </w:tr>
    </w:tbl>
    <w:p w:rsidR="00FC702E" w:rsidRPr="00FC702E" w:rsidRDefault="00FC702E" w:rsidP="0083647A">
      <w:pPr>
        <w:spacing w:before="480"/>
        <w:ind w:right="-136"/>
        <w:rPr>
          <w:lang w:val="fr-CH"/>
        </w:rPr>
      </w:pPr>
      <w:r w:rsidRPr="00FC702E">
        <w:rPr>
          <w:lang w:val="fr-CH"/>
        </w:rPr>
        <w:t>Le développement de l</w:t>
      </w:r>
      <w:r>
        <w:rPr>
          <w:lang w:val="fr-CH"/>
        </w:rPr>
        <w:t>'</w:t>
      </w:r>
      <w:r w:rsidRPr="00FC702E">
        <w:rPr>
          <w:lang w:val="fr-CH"/>
        </w:rPr>
        <w:t xml:space="preserve">informatique en nuage permet aux administrations publiques, entreprises et particuliers du monde entier, non seulement de réaliser des économies et </w:t>
      </w:r>
      <w:r>
        <w:rPr>
          <w:lang w:val="fr-CH"/>
        </w:rPr>
        <w:t xml:space="preserve">des </w:t>
      </w:r>
      <w:r w:rsidRPr="00FC702E">
        <w:rPr>
          <w:lang w:val="fr-CH"/>
        </w:rPr>
        <w:t>gains d</w:t>
      </w:r>
      <w:r>
        <w:rPr>
          <w:lang w:val="fr-CH"/>
        </w:rPr>
        <w:t>'</w:t>
      </w:r>
      <w:r w:rsidRPr="00FC702E">
        <w:rPr>
          <w:lang w:val="fr-CH"/>
        </w:rPr>
        <w:t>efficacité très importants, mais aussi d</w:t>
      </w:r>
      <w:r>
        <w:rPr>
          <w:lang w:val="fr-CH"/>
        </w:rPr>
        <w:t>'</w:t>
      </w:r>
      <w:r w:rsidRPr="00FC702E">
        <w:rPr>
          <w:lang w:val="fr-CH"/>
        </w:rPr>
        <w:t>innover. Pour les entrepreneurs et les entreprises, quelle que soit leur taille, l</w:t>
      </w:r>
      <w:r>
        <w:rPr>
          <w:lang w:val="fr-CH"/>
        </w:rPr>
        <w:t>'</w:t>
      </w:r>
      <w:r w:rsidRPr="00FC702E">
        <w:rPr>
          <w:lang w:val="fr-CH"/>
        </w:rPr>
        <w:t>informatique en nuage est un levier économique exceptionnel en ce sens que les investissements peuvent se traduire par une rentabilité impressionnante et des économies très importantes. Avec l</w:t>
      </w:r>
      <w:r>
        <w:rPr>
          <w:lang w:val="fr-CH"/>
        </w:rPr>
        <w:t>'</w:t>
      </w:r>
      <w:r w:rsidRPr="00FC702E">
        <w:rPr>
          <w:lang w:val="fr-CH"/>
        </w:rPr>
        <w:t>apparition de l</w:t>
      </w:r>
      <w:r>
        <w:rPr>
          <w:lang w:val="fr-CH"/>
        </w:rPr>
        <w:t>'</w:t>
      </w:r>
      <w:r w:rsidRPr="00FC702E">
        <w:rPr>
          <w:lang w:val="fr-CH"/>
        </w:rPr>
        <w:t>informatique en nuage, les ressources numériques sont désormais accessibles sur de multiples réseaux, partout dans le monde et à tout moment. Pourtant, pour bénéficier au maximum de tous les avantages de l</w:t>
      </w:r>
      <w:r>
        <w:rPr>
          <w:lang w:val="fr-CH"/>
        </w:rPr>
        <w:t>'</w:t>
      </w:r>
      <w:r w:rsidRPr="00FC702E">
        <w:rPr>
          <w:lang w:val="fr-CH"/>
        </w:rPr>
        <w:t xml:space="preserve">informatique en nuage, il </w:t>
      </w:r>
      <w:r w:rsidR="0083647A">
        <w:rPr>
          <w:lang w:val="fr-CH"/>
        </w:rPr>
        <w:t>est</w:t>
      </w:r>
      <w:r w:rsidR="0083647A" w:rsidRPr="00FC702E">
        <w:rPr>
          <w:lang w:val="fr-CH"/>
        </w:rPr>
        <w:t xml:space="preserve"> </w:t>
      </w:r>
      <w:r w:rsidRPr="00FC702E">
        <w:rPr>
          <w:lang w:val="fr-CH"/>
        </w:rPr>
        <w:t>nécessaire d</w:t>
      </w:r>
      <w:r>
        <w:rPr>
          <w:lang w:val="fr-CH"/>
        </w:rPr>
        <w:t>'</w:t>
      </w:r>
      <w:r w:rsidRPr="00FC702E">
        <w:rPr>
          <w:lang w:val="fr-CH"/>
        </w:rPr>
        <w:t xml:space="preserve">instaurer une coopération et </w:t>
      </w:r>
      <w:r>
        <w:rPr>
          <w:lang w:val="fr-CH"/>
        </w:rPr>
        <w:t xml:space="preserve">une </w:t>
      </w:r>
      <w:r w:rsidRPr="00FC702E">
        <w:rPr>
          <w:lang w:val="fr-CH"/>
        </w:rPr>
        <w:t>collaboration entre les secteurs public et privé et les consommateurs, pour que l</w:t>
      </w:r>
      <w:r>
        <w:rPr>
          <w:lang w:val="fr-CH"/>
        </w:rPr>
        <w:t>'</w:t>
      </w:r>
      <w:r w:rsidRPr="00FC702E">
        <w:rPr>
          <w:lang w:val="fr-CH"/>
        </w:rPr>
        <w:t>on puisse avoir confiance dans ces services. Surtout, le développement de l</w:t>
      </w:r>
      <w:r>
        <w:rPr>
          <w:lang w:val="fr-CH"/>
        </w:rPr>
        <w:t>'</w:t>
      </w:r>
      <w:r w:rsidRPr="00FC702E">
        <w:rPr>
          <w:lang w:val="fr-CH"/>
        </w:rPr>
        <w:t>informatique en nuage sera tributaire de l</w:t>
      </w:r>
      <w:r>
        <w:rPr>
          <w:lang w:val="fr-CH"/>
        </w:rPr>
        <w:t>'</w:t>
      </w:r>
      <w:r w:rsidRPr="00FC702E">
        <w:rPr>
          <w:lang w:val="fr-CH"/>
        </w:rPr>
        <w:t>existence de réseaux large bande ubiquitaires et financièrement abordables, auxquels les prestataires de services doivent avoir accès sans discrimination.</w:t>
      </w:r>
    </w:p>
    <w:p w:rsidR="00FC702E" w:rsidRPr="00FC702E" w:rsidRDefault="00FC702E" w:rsidP="00E77091">
      <w:pPr>
        <w:ind w:right="-136"/>
        <w:rPr>
          <w:lang w:val="fr-CH"/>
        </w:rPr>
      </w:pPr>
      <w:r w:rsidRPr="00FC702E">
        <w:rPr>
          <w:lang w:val="fr-CH"/>
        </w:rPr>
        <w:t>Nous, les régulateurs participant à l</w:t>
      </w:r>
      <w:r>
        <w:rPr>
          <w:lang w:val="fr-CH"/>
        </w:rPr>
        <w:t>'</w:t>
      </w:r>
      <w:r w:rsidRPr="00FC702E">
        <w:rPr>
          <w:lang w:val="fr-CH"/>
        </w:rPr>
        <w:t xml:space="preserve">édition 2012 du Colloque mondial des régulateurs, reconnaissons </w:t>
      </w:r>
      <w:r w:rsidR="00101F34">
        <w:rPr>
          <w:lang w:val="fr-CH"/>
        </w:rPr>
        <w:t>qu'</w:t>
      </w:r>
      <w:r w:rsidRPr="00FC702E">
        <w:rPr>
          <w:lang w:val="fr-CH"/>
        </w:rPr>
        <w:t xml:space="preserve">une réglementation efficace et dynamique </w:t>
      </w:r>
      <w:r w:rsidR="00101F34">
        <w:rPr>
          <w:lang w:val="fr-CH"/>
        </w:rPr>
        <w:t>peut faciliter l'</w:t>
      </w:r>
      <w:r w:rsidR="00E77091">
        <w:rPr>
          <w:lang w:val="fr-CH"/>
        </w:rPr>
        <w:t>adoption de</w:t>
      </w:r>
      <w:r w:rsidR="00101F34">
        <w:rPr>
          <w:lang w:val="fr-CH"/>
        </w:rPr>
        <w:t xml:space="preserve"> l'informatique en nuage</w:t>
      </w:r>
      <w:r w:rsidR="00E77091">
        <w:rPr>
          <w:lang w:val="fr-CH"/>
        </w:rPr>
        <w:t xml:space="preserve"> et lui permettre de </w:t>
      </w:r>
      <w:r w:rsidRPr="00FC702E">
        <w:rPr>
          <w:lang w:val="fr-CH"/>
        </w:rPr>
        <w:t xml:space="preserve">prospérer et </w:t>
      </w:r>
      <w:r w:rsidR="00E77091">
        <w:rPr>
          <w:lang w:val="fr-CH"/>
        </w:rPr>
        <w:t>de dop</w:t>
      </w:r>
      <w:r w:rsidR="00101F34">
        <w:rPr>
          <w:lang w:val="fr-CH"/>
        </w:rPr>
        <w:t>er</w:t>
      </w:r>
      <w:r w:rsidRPr="00FC702E">
        <w:rPr>
          <w:lang w:val="fr-CH"/>
        </w:rPr>
        <w:t xml:space="preserve"> la croissance économique. Nous avons donc défini et approuvé les présentes lignes directrices relatives aux bonnes pratiques en matière réglementaire, afin </w:t>
      </w:r>
      <w:r w:rsidR="00101F34">
        <w:rPr>
          <w:lang w:val="fr-CH"/>
        </w:rPr>
        <w:t>d'</w:t>
      </w:r>
      <w:r w:rsidRPr="00FC702E">
        <w:rPr>
          <w:lang w:val="fr-CH"/>
        </w:rPr>
        <w:t>encourage</w:t>
      </w:r>
      <w:r w:rsidR="00101F34">
        <w:rPr>
          <w:lang w:val="fr-CH"/>
        </w:rPr>
        <w:t>r</w:t>
      </w:r>
      <w:r w:rsidRPr="00FC702E">
        <w:rPr>
          <w:lang w:val="fr-CH"/>
        </w:rPr>
        <w:t xml:space="preserve"> l</w:t>
      </w:r>
      <w:r>
        <w:rPr>
          <w:lang w:val="fr-CH"/>
        </w:rPr>
        <w:t>'</w:t>
      </w:r>
      <w:r w:rsidRPr="00FC702E">
        <w:rPr>
          <w:lang w:val="fr-CH"/>
        </w:rPr>
        <w:t>innovation, l</w:t>
      </w:r>
      <w:r>
        <w:rPr>
          <w:lang w:val="fr-CH"/>
        </w:rPr>
        <w:t>'</w:t>
      </w:r>
      <w:r w:rsidRPr="00FC702E">
        <w:rPr>
          <w:lang w:val="fr-CH"/>
        </w:rPr>
        <w:t>investissement et la concurrence au niveau des infrastructures et des services dématérialisés, tout en protégeant les intérêts des consommateurs.</w:t>
      </w:r>
    </w:p>
    <w:p w:rsidR="00FC702E" w:rsidRPr="00FC702E" w:rsidRDefault="00FC702E" w:rsidP="00101F34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Prise de conscience et adoption par le secteur public</w:t>
      </w:r>
      <w:r w:rsidR="00101F34" w:rsidRPr="0004179B">
        <w:rPr>
          <w:color w:val="C00000"/>
          <w:lang w:val="fr-CH"/>
        </w:rPr>
        <w:t xml:space="preserve">: </w:t>
      </w:r>
      <w:r w:rsidR="00101F34">
        <w:rPr>
          <w:lang w:val="fr-CH"/>
        </w:rPr>
        <w:t>I</w:t>
      </w:r>
      <w:r w:rsidRPr="00FC702E">
        <w:rPr>
          <w:lang w:val="fr-CH"/>
        </w:rPr>
        <w:t>l convient de s</w:t>
      </w:r>
      <w:r>
        <w:rPr>
          <w:lang w:val="fr-CH"/>
        </w:rPr>
        <w:t>'</w:t>
      </w:r>
      <w:r w:rsidRPr="00FC702E">
        <w:rPr>
          <w:lang w:val="fr-CH"/>
        </w:rPr>
        <w:t xml:space="preserve">employer </w:t>
      </w:r>
      <w:r>
        <w:rPr>
          <w:lang w:val="fr-CH"/>
        </w:rPr>
        <w:t xml:space="preserve">activement </w:t>
      </w:r>
      <w:r w:rsidRPr="00FC702E">
        <w:rPr>
          <w:lang w:val="fr-CH"/>
        </w:rPr>
        <w:t>à encourager et faire connaître les services informatique</w:t>
      </w:r>
      <w:r>
        <w:rPr>
          <w:lang w:val="fr-CH"/>
        </w:rPr>
        <w:t>s</w:t>
      </w:r>
      <w:r w:rsidRPr="00FC702E">
        <w:rPr>
          <w:lang w:val="fr-CH"/>
        </w:rPr>
        <w:t xml:space="preserve"> en nuage, les perspectives qu</w:t>
      </w:r>
      <w:r>
        <w:rPr>
          <w:lang w:val="fr-CH"/>
        </w:rPr>
        <w:t>'</w:t>
      </w:r>
      <w:r w:rsidRPr="00FC702E">
        <w:rPr>
          <w:lang w:val="fr-CH"/>
        </w:rPr>
        <w:t>ils ouvrent et les économies qu</w:t>
      </w:r>
      <w:r>
        <w:rPr>
          <w:lang w:val="fr-CH"/>
        </w:rPr>
        <w:t>'</w:t>
      </w:r>
      <w:r w:rsidRPr="00FC702E">
        <w:rPr>
          <w:lang w:val="fr-CH"/>
        </w:rPr>
        <w:t xml:space="preserve">ils permettent de réaliser, pour tous les Etats. Cette prise de conscience </w:t>
      </w:r>
      <w:r w:rsidR="00101F34">
        <w:rPr>
          <w:lang w:val="fr-CH"/>
        </w:rPr>
        <w:t>de</w:t>
      </w:r>
      <w:r w:rsidRPr="00FC702E">
        <w:rPr>
          <w:lang w:val="fr-CH"/>
        </w:rPr>
        <w:t xml:space="preserve"> ces opportunités </w:t>
      </w:r>
      <w:r w:rsidR="00101F34">
        <w:rPr>
          <w:lang w:val="fr-CH"/>
        </w:rPr>
        <w:t>ouvrira d</w:t>
      </w:r>
      <w:r w:rsidRPr="00FC702E">
        <w:rPr>
          <w:lang w:val="fr-CH"/>
        </w:rPr>
        <w:t>es débouc</w:t>
      </w:r>
      <w:r w:rsidR="00101F34">
        <w:rPr>
          <w:lang w:val="fr-CH"/>
        </w:rPr>
        <w:t>hés économiques et intéressera</w:t>
      </w:r>
      <w:r w:rsidRPr="00FC702E">
        <w:rPr>
          <w:lang w:val="fr-CH"/>
        </w:rPr>
        <w:t xml:space="preserve"> au plus haut point tant les particuliers que les consommateurs et les entreprises.</w:t>
      </w:r>
    </w:p>
    <w:p w:rsidR="00FC702E" w:rsidRDefault="00FC702E" w:rsidP="00101F34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Infrastructure large bande:</w:t>
      </w:r>
      <w:r w:rsidRPr="00FC702E">
        <w:rPr>
          <w:lang w:val="fr-CH"/>
        </w:rPr>
        <w:t xml:space="preserve"> Les régulateurs doivent s</w:t>
      </w:r>
      <w:r>
        <w:rPr>
          <w:lang w:val="fr-CH"/>
        </w:rPr>
        <w:t>'</w:t>
      </w:r>
      <w:r w:rsidRPr="00FC702E">
        <w:rPr>
          <w:lang w:val="fr-CH"/>
        </w:rPr>
        <w:t xml:space="preserve">employer à lever les obstacles au déploiement du large bande, à faciliter </w:t>
      </w:r>
      <w:r>
        <w:rPr>
          <w:lang w:val="fr-CH"/>
        </w:rPr>
        <w:t xml:space="preserve">activement </w:t>
      </w:r>
      <w:r w:rsidRPr="00FC702E">
        <w:rPr>
          <w:lang w:val="fr-CH"/>
        </w:rPr>
        <w:t>l</w:t>
      </w:r>
      <w:r>
        <w:rPr>
          <w:lang w:val="fr-CH"/>
        </w:rPr>
        <w:t>'</w:t>
      </w:r>
      <w:r w:rsidRPr="00FC702E">
        <w:rPr>
          <w:lang w:val="fr-CH"/>
        </w:rPr>
        <w:t>installation de réseaux nationaux à fibre</w:t>
      </w:r>
      <w:r>
        <w:rPr>
          <w:lang w:val="fr-CH"/>
        </w:rPr>
        <w:t>s</w:t>
      </w:r>
      <w:r w:rsidRPr="00FC702E">
        <w:rPr>
          <w:lang w:val="fr-CH"/>
        </w:rPr>
        <w:t xml:space="preserve"> optique</w:t>
      </w:r>
      <w:r>
        <w:rPr>
          <w:lang w:val="fr-CH"/>
        </w:rPr>
        <w:t>s</w:t>
      </w:r>
      <w:r w:rsidRPr="00FC702E">
        <w:rPr>
          <w:lang w:val="fr-CH"/>
        </w:rPr>
        <w:t xml:space="preserve"> et de </w:t>
      </w:r>
      <w:r>
        <w:rPr>
          <w:lang w:val="fr-CH"/>
        </w:rPr>
        <w:t xml:space="preserve">liaisons de </w:t>
      </w:r>
      <w:r w:rsidRPr="00FC702E">
        <w:rPr>
          <w:lang w:val="fr-CH"/>
        </w:rPr>
        <w:t>conne</w:t>
      </w:r>
      <w:r>
        <w:rPr>
          <w:lang w:val="fr-CH"/>
        </w:rPr>
        <w:t>ctivité</w:t>
      </w:r>
      <w:r w:rsidRPr="00FC702E">
        <w:rPr>
          <w:lang w:val="fr-CH"/>
        </w:rPr>
        <w:t xml:space="preserve"> internationale, entre autres par câbles sous-marins, et à promouvoir </w:t>
      </w:r>
      <w:r w:rsidR="00101F34">
        <w:rPr>
          <w:lang w:val="fr-CH"/>
        </w:rPr>
        <w:t xml:space="preserve">le partage des infrastructures et la coordination des travaux de génie civil, </w:t>
      </w:r>
      <w:r w:rsidRPr="00FC702E">
        <w:rPr>
          <w:lang w:val="fr-CH"/>
        </w:rPr>
        <w:t>y compris entre les secteurs. Ils doivent aussi encourager</w:t>
      </w:r>
      <w:r>
        <w:rPr>
          <w:lang w:val="fr-CH"/>
        </w:rPr>
        <w:t xml:space="preserve"> </w:t>
      </w:r>
      <w:r w:rsidRPr="00FC702E">
        <w:rPr>
          <w:lang w:val="fr-CH"/>
        </w:rPr>
        <w:t>les politiques visant à accélérer l</w:t>
      </w:r>
      <w:r>
        <w:rPr>
          <w:lang w:val="fr-CH"/>
        </w:rPr>
        <w:t>'</w:t>
      </w:r>
      <w:r w:rsidRPr="00FC702E">
        <w:rPr>
          <w:lang w:val="fr-CH"/>
        </w:rPr>
        <w:t>accès relatif aux droits de passage et l</w:t>
      </w:r>
      <w:r>
        <w:rPr>
          <w:lang w:val="fr-CH"/>
        </w:rPr>
        <w:t>'</w:t>
      </w:r>
      <w:r w:rsidRPr="00FC702E">
        <w:rPr>
          <w:lang w:val="fr-CH"/>
        </w:rPr>
        <w:t>installation d</w:t>
      </w:r>
      <w:r>
        <w:rPr>
          <w:lang w:val="fr-CH"/>
        </w:rPr>
        <w:t>'</w:t>
      </w:r>
      <w:r w:rsidRPr="00FC702E">
        <w:rPr>
          <w:lang w:val="fr-CH"/>
        </w:rPr>
        <w:t>infrastructures de centres de données</w:t>
      </w:r>
      <w:r w:rsidR="00101F34">
        <w:rPr>
          <w:lang w:val="fr-CH"/>
        </w:rPr>
        <w:t xml:space="preserve">. Cela incitera à </w:t>
      </w:r>
      <w:r w:rsidRPr="00FC702E">
        <w:rPr>
          <w:lang w:val="fr-CH"/>
        </w:rPr>
        <w:t>créer sur le plan local des réseaux de diffusion de contenu et des centres de traitement de données. Il faut en outre assurer le déploiement de services, y compris de services d</w:t>
      </w:r>
      <w:r>
        <w:rPr>
          <w:lang w:val="fr-CH"/>
        </w:rPr>
        <w:t>'</w:t>
      </w:r>
      <w:r w:rsidRPr="00FC702E">
        <w:rPr>
          <w:lang w:val="fr-CH"/>
        </w:rPr>
        <w:t>urgence et de services à accessibilité améliorée,</w:t>
      </w:r>
      <w:r>
        <w:rPr>
          <w:lang w:val="fr-CH"/>
        </w:rPr>
        <w:t xml:space="preserve"> </w:t>
      </w:r>
      <w:r w:rsidRPr="00FC702E">
        <w:rPr>
          <w:lang w:val="fr-CH"/>
        </w:rPr>
        <w:t>dans des zones mal desservies ou non desservies.</w:t>
      </w:r>
    </w:p>
    <w:p w:rsidR="00101F34" w:rsidRPr="00FC702E" w:rsidRDefault="00101F34" w:rsidP="00101F34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lastRenderedPageBreak/>
        <w:t>Interconnexion IP:</w:t>
      </w:r>
      <w:r>
        <w:rPr>
          <w:lang w:val="fr-CH"/>
        </w:rPr>
        <w:t xml:space="preserve"> Les régulateurs devraient faire en sorte que tous les utilisateurs en retirent un profit maximal sur le plan du choix, du prix et de </w:t>
      </w:r>
      <w:r w:rsidR="00974ABB">
        <w:rPr>
          <w:lang w:val="fr-CH"/>
        </w:rPr>
        <w:t>la</w:t>
      </w:r>
      <w:r>
        <w:rPr>
          <w:lang w:val="fr-CH"/>
        </w:rPr>
        <w:t xml:space="preserve"> qualité de service, et devraient éviter autant que possible toute distorsion ou limitation de la concurrence.</w:t>
      </w:r>
    </w:p>
    <w:p w:rsidR="00FC702E" w:rsidRPr="00FC702E" w:rsidRDefault="00FC702E" w:rsidP="0083647A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Spectre</w:t>
      </w:r>
      <w:r w:rsidRPr="0004179B">
        <w:rPr>
          <w:color w:val="C00000"/>
          <w:lang w:val="fr-CH"/>
        </w:rPr>
        <w:t xml:space="preserve">: </w:t>
      </w:r>
      <w:r w:rsidRPr="00FC702E">
        <w:rPr>
          <w:lang w:val="fr-CH"/>
        </w:rPr>
        <w:t>Pour assurer l</w:t>
      </w:r>
      <w:r>
        <w:rPr>
          <w:lang w:val="fr-CH"/>
        </w:rPr>
        <w:t>'</w:t>
      </w:r>
      <w:r w:rsidRPr="00FC702E">
        <w:rPr>
          <w:lang w:val="fr-CH"/>
        </w:rPr>
        <w:t>avenir des services informatique</w:t>
      </w:r>
      <w:r>
        <w:rPr>
          <w:lang w:val="fr-CH"/>
        </w:rPr>
        <w:t>s</w:t>
      </w:r>
      <w:r w:rsidRPr="00FC702E">
        <w:rPr>
          <w:lang w:val="fr-CH"/>
        </w:rPr>
        <w:t xml:space="preserve"> en nuage, plusieurs mesures pourraient être prises pour libérer des fréquences supplémentaires dont les technologies hertziennes large bande ont cruel</w:t>
      </w:r>
      <w:r>
        <w:rPr>
          <w:lang w:val="fr-CH"/>
        </w:rPr>
        <w:t>lement</w:t>
      </w:r>
      <w:r w:rsidRPr="00FC702E">
        <w:rPr>
          <w:lang w:val="fr-CH"/>
        </w:rPr>
        <w:t xml:space="preserve"> besoin, y compris en repensant la gestion du spectre, en </w:t>
      </w:r>
      <w:r>
        <w:rPr>
          <w:lang w:val="fr-CH"/>
        </w:rPr>
        <w:t xml:space="preserve">ouvrant les zones "blanches" à une exploitation </w:t>
      </w:r>
      <w:r w:rsidRPr="00FC702E">
        <w:rPr>
          <w:lang w:val="fr-CH"/>
        </w:rPr>
        <w:t xml:space="preserve">sans licence </w:t>
      </w:r>
      <w:r w:rsidR="0083647A">
        <w:rPr>
          <w:lang w:val="fr-CH"/>
        </w:rPr>
        <w:t>ou</w:t>
      </w:r>
      <w:r w:rsidR="0083647A" w:rsidRPr="00FC702E">
        <w:rPr>
          <w:lang w:val="fr-CH"/>
        </w:rPr>
        <w:t xml:space="preserve"> </w:t>
      </w:r>
      <w:r w:rsidRPr="00FC702E">
        <w:rPr>
          <w:lang w:val="fr-CH"/>
        </w:rPr>
        <w:t xml:space="preserve">en organisant des </w:t>
      </w:r>
      <w:r>
        <w:rPr>
          <w:lang w:val="fr-CH"/>
        </w:rPr>
        <w:t>adjudications incitatives</w:t>
      </w:r>
      <w:r w:rsidRPr="00FC702E">
        <w:rPr>
          <w:lang w:val="fr-CH"/>
        </w:rPr>
        <w:t xml:space="preserve">. En outre, il faut encourager les politiques qui prônent </w:t>
      </w:r>
      <w:r w:rsidR="00974ABB">
        <w:rPr>
          <w:lang w:val="fr-CH"/>
        </w:rPr>
        <w:t xml:space="preserve">de manière générale </w:t>
      </w:r>
      <w:r w:rsidRPr="00FC702E">
        <w:rPr>
          <w:lang w:val="fr-CH"/>
        </w:rPr>
        <w:t>l</w:t>
      </w:r>
      <w:r>
        <w:rPr>
          <w:lang w:val="fr-CH"/>
        </w:rPr>
        <w:t>'</w:t>
      </w:r>
      <w:r w:rsidRPr="00FC702E">
        <w:rPr>
          <w:lang w:val="fr-CH"/>
        </w:rPr>
        <w:t>harmonisation des attributions de fréquences sur le plan international et l</w:t>
      </w:r>
      <w:r>
        <w:rPr>
          <w:lang w:val="fr-CH"/>
        </w:rPr>
        <w:t>'</w:t>
      </w:r>
      <w:r w:rsidRPr="00FC702E">
        <w:rPr>
          <w:lang w:val="fr-CH"/>
        </w:rPr>
        <w:t>homologation des appareils de communication.</w:t>
      </w:r>
    </w:p>
    <w:p w:rsidR="00FC702E" w:rsidRPr="00FC702E" w:rsidRDefault="00FC702E" w:rsidP="00974ABB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Définition des marchés dans le nuage et dans le contexte de la convergence</w:t>
      </w:r>
      <w:r w:rsidRPr="0004179B">
        <w:rPr>
          <w:color w:val="C00000"/>
          <w:lang w:val="fr-CH"/>
        </w:rPr>
        <w:t xml:space="preserve">: </w:t>
      </w:r>
      <w:r w:rsidRPr="00FC702E">
        <w:rPr>
          <w:lang w:val="fr-CH"/>
        </w:rPr>
        <w:t xml:space="preserve">Compte tenu de la convergence </w:t>
      </w:r>
      <w:r w:rsidR="00CE2F71">
        <w:rPr>
          <w:lang w:val="fr-CH"/>
        </w:rPr>
        <w:t>des</w:t>
      </w:r>
      <w:r w:rsidRPr="00FC702E">
        <w:rPr>
          <w:lang w:val="fr-CH"/>
        </w:rPr>
        <w:t xml:space="preserve"> réseaux et </w:t>
      </w:r>
      <w:r w:rsidR="00CE2F71">
        <w:rPr>
          <w:lang w:val="fr-CH"/>
        </w:rPr>
        <w:t xml:space="preserve">des </w:t>
      </w:r>
      <w:r w:rsidRPr="00FC702E">
        <w:rPr>
          <w:lang w:val="fr-CH"/>
        </w:rPr>
        <w:t>services et du fait que le passage aux réseaux NGN et la concurrence sont encouragés, les régulateurs envisageront peut-être d</w:t>
      </w:r>
      <w:r>
        <w:rPr>
          <w:lang w:val="fr-CH"/>
        </w:rPr>
        <w:t>'</w:t>
      </w:r>
      <w:r w:rsidRPr="00FC702E">
        <w:rPr>
          <w:lang w:val="fr-CH"/>
        </w:rPr>
        <w:t xml:space="preserve">adopter une stratégie peu contraignante </w:t>
      </w:r>
      <w:r w:rsidR="00974ABB">
        <w:rPr>
          <w:lang w:val="fr-CH"/>
        </w:rPr>
        <w:t>v</w:t>
      </w:r>
      <w:r w:rsidR="006E2590">
        <w:rPr>
          <w:lang w:val="fr-CH"/>
        </w:rPr>
        <w:t>is</w:t>
      </w:r>
      <w:r w:rsidR="006E2590">
        <w:rPr>
          <w:lang w:val="fr-CH"/>
        </w:rPr>
        <w:noBreakHyphen/>
        <w:t>à</w:t>
      </w:r>
      <w:r w:rsidR="006E2590">
        <w:rPr>
          <w:lang w:val="fr-CH"/>
        </w:rPr>
        <w:noBreakHyphen/>
      </w:r>
      <w:r w:rsidR="00974ABB">
        <w:rPr>
          <w:lang w:val="fr-CH"/>
        </w:rPr>
        <w:t xml:space="preserve">vis </w:t>
      </w:r>
      <w:r w:rsidRPr="00FC702E">
        <w:rPr>
          <w:lang w:val="fr-CH"/>
        </w:rPr>
        <w:t>de</w:t>
      </w:r>
      <w:r w:rsidR="00974ABB">
        <w:rPr>
          <w:lang w:val="fr-CH"/>
        </w:rPr>
        <w:t>s</w:t>
      </w:r>
      <w:r w:rsidRPr="00FC702E">
        <w:rPr>
          <w:lang w:val="fr-CH"/>
        </w:rPr>
        <w:t xml:space="preserve"> nouveaux acteurs du secteur des TIC, tels que les fournisseurs de contenus et d</w:t>
      </w:r>
      <w:r>
        <w:rPr>
          <w:lang w:val="fr-CH"/>
        </w:rPr>
        <w:t>'</w:t>
      </w:r>
      <w:r w:rsidRPr="00FC702E">
        <w:rPr>
          <w:lang w:val="fr-CH"/>
        </w:rPr>
        <w:t>applications</w:t>
      </w:r>
      <w:r w:rsidR="00E77091">
        <w:rPr>
          <w:lang w:val="fr-CH"/>
        </w:rPr>
        <w:t>, tout en évaluant soigneusement les répercussions de leurs décisions sur tous les acteurs du marché</w:t>
      </w:r>
      <w:r w:rsidRPr="00FC702E">
        <w:rPr>
          <w:lang w:val="fr-CH"/>
        </w:rPr>
        <w:t>.</w:t>
      </w:r>
    </w:p>
    <w:p w:rsidR="00FC702E" w:rsidRPr="00FC702E" w:rsidRDefault="00FC702E" w:rsidP="00974ABB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Position dominante sur le marché</w:t>
      </w:r>
      <w:r w:rsidRPr="0004179B">
        <w:rPr>
          <w:color w:val="C00000"/>
          <w:lang w:val="fr-CH"/>
        </w:rPr>
        <w:t xml:space="preserve">: </w:t>
      </w:r>
      <w:r w:rsidR="00974ABB">
        <w:rPr>
          <w:lang w:val="fr-CH"/>
        </w:rPr>
        <w:t>Les</w:t>
      </w:r>
      <w:r w:rsidRPr="00FC702E">
        <w:rPr>
          <w:lang w:val="fr-CH"/>
        </w:rPr>
        <w:t xml:space="preserve"> régulateurs doivent veiller à ce que les fournisseurs de services de communication n</w:t>
      </w:r>
      <w:r>
        <w:rPr>
          <w:lang w:val="fr-CH"/>
        </w:rPr>
        <w:t>'</w:t>
      </w:r>
      <w:r w:rsidRPr="00FC702E">
        <w:rPr>
          <w:lang w:val="fr-CH"/>
        </w:rPr>
        <w:t xml:space="preserve">adoptent pas un comportement </w:t>
      </w:r>
      <w:r w:rsidR="00974ABB">
        <w:rPr>
          <w:lang w:val="fr-CH"/>
        </w:rPr>
        <w:t>qui limite</w:t>
      </w:r>
      <w:r w:rsidRPr="00FC702E">
        <w:rPr>
          <w:lang w:val="fr-CH"/>
        </w:rPr>
        <w:t xml:space="preserve"> la fourniture de services </w:t>
      </w:r>
      <w:r w:rsidR="00CE2F71">
        <w:rPr>
          <w:lang w:val="fr-CH"/>
        </w:rPr>
        <w:t>informatiques en nuage</w:t>
      </w:r>
      <w:r w:rsidRPr="00FC702E">
        <w:rPr>
          <w:lang w:val="fr-CH"/>
        </w:rPr>
        <w:t xml:space="preserve"> pour des raisons qui ne sont ni transparentes, ni objectives, ni non discriminatoires, ni proportionnées.</w:t>
      </w:r>
    </w:p>
    <w:p w:rsidR="00FC702E" w:rsidRPr="00FC702E" w:rsidRDefault="00FC702E" w:rsidP="00E77091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Mise en application</w:t>
      </w:r>
      <w:r w:rsidRPr="0004179B">
        <w:rPr>
          <w:color w:val="C00000"/>
          <w:lang w:val="fr-CH"/>
        </w:rPr>
        <w:t xml:space="preserve">: </w:t>
      </w:r>
      <w:r w:rsidRPr="00FC702E">
        <w:rPr>
          <w:lang w:val="fr-CH"/>
        </w:rPr>
        <w:t>Les régulateurs doivent établir un moyen permettant d</w:t>
      </w:r>
      <w:r>
        <w:rPr>
          <w:lang w:val="fr-CH"/>
        </w:rPr>
        <w:t>'</w:t>
      </w:r>
      <w:r w:rsidRPr="00FC702E">
        <w:rPr>
          <w:lang w:val="fr-CH"/>
        </w:rPr>
        <w:t>identifier les manquements, pour être sûrs de pouvoir y remédier efficacement. A cette fin, on peut utiliser</w:t>
      </w:r>
      <w:r w:rsidR="00CE2F71">
        <w:rPr>
          <w:lang w:val="fr-CH"/>
        </w:rPr>
        <w:t>:</w:t>
      </w:r>
      <w:r w:rsidRPr="00FC702E">
        <w:rPr>
          <w:lang w:val="fr-CH"/>
        </w:rPr>
        <w:t xml:space="preserve"> 1) des mécanismes d</w:t>
      </w:r>
      <w:r>
        <w:rPr>
          <w:lang w:val="fr-CH"/>
        </w:rPr>
        <w:t>'</w:t>
      </w:r>
      <w:r w:rsidRPr="00FC702E">
        <w:rPr>
          <w:lang w:val="fr-CH"/>
        </w:rPr>
        <w:t xml:space="preserve">autorégulation par lesquels les fournisseurs de services de contenu signaleraient au régulateur concerné des failles dans la sécurité; 2) </w:t>
      </w:r>
      <w:r w:rsidR="00CE2F71">
        <w:rPr>
          <w:lang w:val="fr-CH"/>
        </w:rPr>
        <w:t xml:space="preserve">de préférence, </w:t>
      </w:r>
      <w:r w:rsidRPr="00FC702E">
        <w:rPr>
          <w:lang w:val="fr-CH"/>
        </w:rPr>
        <w:t>des modifications apportées à certains aspects de la législation sur la protection des données, dont le suivi et la mise en application</w:t>
      </w:r>
      <w:r w:rsidR="00974ABB">
        <w:rPr>
          <w:lang w:val="fr-CH"/>
        </w:rPr>
        <w:t xml:space="preserve"> sont irréalisables en pratique; et 3) des mécanismes de traitement des réclamations et de règlement des différends, y compris des </w:t>
      </w:r>
      <w:r w:rsidR="00D57F87">
        <w:rPr>
          <w:lang w:val="fr-CH"/>
        </w:rPr>
        <w:t xml:space="preserve">mécanismes alternatifs </w:t>
      </w:r>
      <w:r w:rsidR="00974ABB">
        <w:rPr>
          <w:lang w:val="fr-CH"/>
        </w:rPr>
        <w:t>de règlement des différends</w:t>
      </w:r>
      <w:r w:rsidR="00D57F87">
        <w:rPr>
          <w:lang w:val="fr-CH"/>
        </w:rPr>
        <w:t xml:space="preserve"> (ADR), qui sont</w:t>
      </w:r>
      <w:r w:rsidR="00D57F87" w:rsidRPr="00D57F87">
        <w:rPr>
          <w:lang w:val="fr-CH"/>
        </w:rPr>
        <w:t xml:space="preserve"> efficaces</w:t>
      </w:r>
      <w:r w:rsidR="00D57F87">
        <w:rPr>
          <w:lang w:val="fr-CH"/>
        </w:rPr>
        <w:t>,</w:t>
      </w:r>
      <w:r w:rsidR="00D57F87" w:rsidRPr="00D57F87">
        <w:rPr>
          <w:lang w:val="fr-CH"/>
        </w:rPr>
        <w:t xml:space="preserve"> équitables et </w:t>
      </w:r>
      <w:r w:rsidR="00E77091">
        <w:rPr>
          <w:lang w:val="fr-CH"/>
        </w:rPr>
        <w:t>proportionn</w:t>
      </w:r>
      <w:r w:rsidR="00D57F87" w:rsidRPr="00D57F87">
        <w:rPr>
          <w:lang w:val="fr-CH"/>
        </w:rPr>
        <w:t xml:space="preserve">és, préservant au mieux les intérêts de toutes les parties et </w:t>
      </w:r>
      <w:r w:rsidR="00E77091">
        <w:rPr>
          <w:lang w:val="fr-CH"/>
        </w:rPr>
        <w:t xml:space="preserve">favorables à la </w:t>
      </w:r>
      <w:r w:rsidR="00D57F87" w:rsidRPr="00D57F87">
        <w:rPr>
          <w:lang w:val="fr-CH"/>
        </w:rPr>
        <w:t>coopération qui doit prévaloir entre elles</w:t>
      </w:r>
      <w:r w:rsidR="00974ABB">
        <w:rPr>
          <w:lang w:val="fr-CH"/>
        </w:rPr>
        <w:t>.</w:t>
      </w:r>
    </w:p>
    <w:p w:rsidR="00FC702E" w:rsidRPr="00FC702E" w:rsidRDefault="00FC702E" w:rsidP="0083647A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Transparence dans le nuage</w:t>
      </w:r>
      <w:r w:rsidRPr="0004179B">
        <w:rPr>
          <w:color w:val="C00000"/>
          <w:lang w:val="fr-CH"/>
        </w:rPr>
        <w:t xml:space="preserve">: </w:t>
      </w:r>
      <w:r w:rsidRPr="00FC702E">
        <w:rPr>
          <w:lang w:val="fr-CH"/>
        </w:rPr>
        <w:t>Les régulateurs peuvent envisager d</w:t>
      </w:r>
      <w:r>
        <w:rPr>
          <w:lang w:val="fr-CH"/>
        </w:rPr>
        <w:t>'</w:t>
      </w:r>
      <w:r w:rsidR="00974ABB">
        <w:rPr>
          <w:lang w:val="fr-CH"/>
        </w:rPr>
        <w:t>encourager les</w:t>
      </w:r>
      <w:r w:rsidRPr="00FC702E">
        <w:rPr>
          <w:lang w:val="fr-CH"/>
        </w:rPr>
        <w:t xml:space="preserve"> fournisseurs de services </w:t>
      </w:r>
      <w:r w:rsidR="00CE2F71">
        <w:rPr>
          <w:lang w:val="fr-CH"/>
        </w:rPr>
        <w:t xml:space="preserve">informatiques </w:t>
      </w:r>
      <w:r w:rsidRPr="00FC702E">
        <w:rPr>
          <w:lang w:val="fr-CH"/>
        </w:rPr>
        <w:t xml:space="preserve">en nuage (CSP) </w:t>
      </w:r>
      <w:r w:rsidR="00974ABB">
        <w:rPr>
          <w:lang w:val="fr-CH"/>
        </w:rPr>
        <w:t xml:space="preserve">ou de mettre en place </w:t>
      </w:r>
      <w:r w:rsidRPr="00FC702E">
        <w:rPr>
          <w:lang w:val="fr-CH"/>
        </w:rPr>
        <w:t xml:space="preserve">des obligations spécifiques, </w:t>
      </w:r>
      <w:r w:rsidR="0083647A">
        <w:rPr>
          <w:lang w:val="fr-CH"/>
        </w:rPr>
        <w:t>comme celles</w:t>
      </w:r>
      <w:r w:rsidRPr="00FC702E">
        <w:rPr>
          <w:lang w:val="fr-CH"/>
        </w:rPr>
        <w:t xml:space="preserve"> consistant à informer les utilisateurs de la composition de la chaîne de fournisseurs qui sous-tend les services </w:t>
      </w:r>
      <w:r w:rsidR="00974ABB">
        <w:rPr>
          <w:lang w:val="fr-CH"/>
        </w:rPr>
        <w:t>en nuage</w:t>
      </w:r>
      <w:r w:rsidRPr="00FC702E">
        <w:rPr>
          <w:lang w:val="fr-CH"/>
        </w:rPr>
        <w:t>. Les régulateurs doivent aussi s</w:t>
      </w:r>
      <w:r>
        <w:rPr>
          <w:lang w:val="fr-CH"/>
        </w:rPr>
        <w:t>'</w:t>
      </w:r>
      <w:r w:rsidRPr="00FC702E">
        <w:rPr>
          <w:lang w:val="fr-CH"/>
        </w:rPr>
        <w:t xml:space="preserve">assurer que les fournisseurs de services Internet donnent aux consommateurs des informations </w:t>
      </w:r>
      <w:r w:rsidR="00CE2F71">
        <w:rPr>
          <w:lang w:val="fr-CH"/>
        </w:rPr>
        <w:t xml:space="preserve">plus </w:t>
      </w:r>
      <w:r w:rsidRPr="00FC702E">
        <w:rPr>
          <w:lang w:val="fr-CH"/>
        </w:rPr>
        <w:t>transparentes sur les pratiques de gestion du trafic suivies par les entreprises sur leurs réseaux.</w:t>
      </w:r>
    </w:p>
    <w:p w:rsidR="00FC702E" w:rsidRPr="00FC702E" w:rsidRDefault="00FC702E" w:rsidP="00FC702E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Processus consultatif</w:t>
      </w:r>
      <w:r w:rsidRPr="0004179B">
        <w:rPr>
          <w:color w:val="C00000"/>
          <w:lang w:val="fr-CH"/>
        </w:rPr>
        <w:t xml:space="preserve">: </w:t>
      </w:r>
      <w:r w:rsidRPr="00FC702E">
        <w:rPr>
          <w:lang w:val="fr-CH"/>
        </w:rPr>
        <w:t>Les régulateurs doivent demander l</w:t>
      </w:r>
      <w:r>
        <w:rPr>
          <w:lang w:val="fr-CH"/>
        </w:rPr>
        <w:t>'</w:t>
      </w:r>
      <w:r w:rsidRPr="00FC702E">
        <w:rPr>
          <w:lang w:val="fr-CH"/>
        </w:rPr>
        <w:t>avis des C</w:t>
      </w:r>
      <w:r w:rsidR="00CE2F71">
        <w:rPr>
          <w:lang w:val="fr-CH"/>
        </w:rPr>
        <w:t>S</w:t>
      </w:r>
      <w:r w:rsidRPr="00FC702E">
        <w:rPr>
          <w:lang w:val="fr-CH"/>
        </w:rPr>
        <w:t>P et d</w:t>
      </w:r>
      <w:r>
        <w:rPr>
          <w:lang w:val="fr-CH"/>
        </w:rPr>
        <w:t>'</w:t>
      </w:r>
      <w:r w:rsidRPr="00FC702E">
        <w:rPr>
          <w:lang w:val="fr-CH"/>
        </w:rPr>
        <w:t xml:space="preserve">autres acteurs du marché concernant le traitement et la classification réglementaires de certains services </w:t>
      </w:r>
      <w:r w:rsidR="00CE2F71">
        <w:rPr>
          <w:lang w:val="fr-CH"/>
        </w:rPr>
        <w:t xml:space="preserve">informatiques </w:t>
      </w:r>
      <w:r w:rsidRPr="00FC702E">
        <w:rPr>
          <w:lang w:val="fr-CH"/>
        </w:rPr>
        <w:t>en nuage. Ils ont en effet besoin de conseils qui assurent un certain degré de certitude juridique aux nouveaux venus sur le marché et aux utilisateurs de l</w:t>
      </w:r>
      <w:r>
        <w:rPr>
          <w:lang w:val="fr-CH"/>
        </w:rPr>
        <w:t>'</w:t>
      </w:r>
      <w:r w:rsidRPr="00FC702E">
        <w:rPr>
          <w:lang w:val="fr-CH"/>
        </w:rPr>
        <w:t>informatique en nuage, par exemple moyennant l</w:t>
      </w:r>
      <w:r>
        <w:rPr>
          <w:lang w:val="fr-CH"/>
        </w:rPr>
        <w:t>'</w:t>
      </w:r>
      <w:r w:rsidRPr="00FC702E">
        <w:rPr>
          <w:lang w:val="fr-CH"/>
        </w:rPr>
        <w:t>organisation de forums multi-parties prenantes chargés d</w:t>
      </w:r>
      <w:r>
        <w:rPr>
          <w:lang w:val="fr-CH"/>
        </w:rPr>
        <w:t>'</w:t>
      </w:r>
      <w:r w:rsidRPr="00FC702E">
        <w:rPr>
          <w:lang w:val="fr-CH"/>
        </w:rPr>
        <w:t>élaborer de bonnes pratiques en vue de protéger le consommateur.</w:t>
      </w:r>
    </w:p>
    <w:p w:rsidR="00FC702E" w:rsidRPr="00FC702E" w:rsidRDefault="00FC702E" w:rsidP="00E77091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Neutralité des réseaux</w:t>
      </w:r>
      <w:r w:rsidRPr="0004179B">
        <w:rPr>
          <w:color w:val="C00000"/>
          <w:lang w:val="fr-CH"/>
        </w:rPr>
        <w:t xml:space="preserve">: </w:t>
      </w:r>
      <w:r w:rsidRPr="00FC702E">
        <w:rPr>
          <w:lang w:val="fr-CH"/>
        </w:rPr>
        <w:t>Pour éviter au maximum les risques d</w:t>
      </w:r>
      <w:r>
        <w:rPr>
          <w:lang w:val="fr-CH"/>
        </w:rPr>
        <w:t>'</w:t>
      </w:r>
      <w:r w:rsidRPr="00FC702E">
        <w:rPr>
          <w:lang w:val="fr-CH"/>
        </w:rPr>
        <w:t>encombrement des réseaux, il fau</w:t>
      </w:r>
      <w:r w:rsidR="00E77091">
        <w:rPr>
          <w:lang w:val="fr-CH"/>
        </w:rPr>
        <w:t>t</w:t>
      </w:r>
      <w:r w:rsidR="000825FA">
        <w:rPr>
          <w:lang w:val="fr-CH"/>
        </w:rPr>
        <w:t>,</w:t>
      </w:r>
      <w:r w:rsidR="00E77091">
        <w:rPr>
          <w:lang w:val="fr-CH"/>
        </w:rPr>
        <w:t xml:space="preserve"> </w:t>
      </w:r>
      <w:r w:rsidRPr="00FC702E">
        <w:rPr>
          <w:lang w:val="fr-CH"/>
        </w:rPr>
        <w:t>jusqu</w:t>
      </w:r>
      <w:r>
        <w:rPr>
          <w:lang w:val="fr-CH"/>
        </w:rPr>
        <w:t>'</w:t>
      </w:r>
      <w:r w:rsidRPr="00FC702E">
        <w:rPr>
          <w:lang w:val="fr-CH"/>
        </w:rPr>
        <w:t>à un certain point, gérer le trafic.</w:t>
      </w:r>
      <w:r>
        <w:rPr>
          <w:lang w:val="fr-CH"/>
        </w:rPr>
        <w:t xml:space="preserve"> </w:t>
      </w:r>
      <w:r w:rsidRPr="00FC702E">
        <w:rPr>
          <w:lang w:val="fr-CH"/>
        </w:rPr>
        <w:t xml:space="preserve">Les régulateurs </w:t>
      </w:r>
      <w:r w:rsidR="0083647A">
        <w:rPr>
          <w:lang w:val="fr-CH"/>
        </w:rPr>
        <w:t xml:space="preserve">et les décideurs </w:t>
      </w:r>
      <w:r w:rsidRPr="00FC702E">
        <w:rPr>
          <w:lang w:val="fr-CH"/>
        </w:rPr>
        <w:t>doivent s</w:t>
      </w:r>
      <w:r>
        <w:rPr>
          <w:lang w:val="fr-CH"/>
        </w:rPr>
        <w:t>'</w:t>
      </w:r>
      <w:r w:rsidRPr="00FC702E">
        <w:rPr>
          <w:lang w:val="fr-CH"/>
        </w:rPr>
        <w:t xml:space="preserve">efforcer de </w:t>
      </w:r>
      <w:r w:rsidR="0083647A">
        <w:rPr>
          <w:lang w:val="fr-CH"/>
        </w:rPr>
        <w:t>prendre des mesures</w:t>
      </w:r>
      <w:r w:rsidR="0083647A" w:rsidRPr="00FC702E">
        <w:rPr>
          <w:lang w:val="fr-CH"/>
        </w:rPr>
        <w:t xml:space="preserve"> </w:t>
      </w:r>
      <w:r w:rsidR="00E77091">
        <w:rPr>
          <w:lang w:val="fr-CH"/>
        </w:rPr>
        <w:t xml:space="preserve">pour superviser </w:t>
      </w:r>
      <w:r w:rsidR="00974ABB">
        <w:rPr>
          <w:lang w:val="fr-CH"/>
        </w:rPr>
        <w:t>l'utilisation de techniques de gestion de trafic</w:t>
      </w:r>
      <w:r w:rsidRPr="00FC702E">
        <w:rPr>
          <w:lang w:val="fr-CH"/>
        </w:rPr>
        <w:t xml:space="preserve">, de manière </w:t>
      </w:r>
      <w:r w:rsidR="00E77091">
        <w:rPr>
          <w:lang w:val="fr-CH"/>
        </w:rPr>
        <w:t xml:space="preserve">que ces techniques ne causent pas </w:t>
      </w:r>
      <w:r w:rsidRPr="00FC702E">
        <w:rPr>
          <w:lang w:val="fr-CH"/>
        </w:rPr>
        <w:t xml:space="preserve">de discrimination inéquitable entre les acteurs </w:t>
      </w:r>
      <w:r w:rsidR="00974ABB">
        <w:rPr>
          <w:lang w:val="fr-CH"/>
        </w:rPr>
        <w:t>du marché</w:t>
      </w:r>
      <w:r w:rsidRPr="00FC702E">
        <w:rPr>
          <w:lang w:val="fr-CH"/>
        </w:rPr>
        <w:t>.</w:t>
      </w:r>
    </w:p>
    <w:p w:rsidR="00FC702E" w:rsidRPr="00FC702E" w:rsidRDefault="00FC702E" w:rsidP="00E77091">
      <w:pPr>
        <w:ind w:right="-136"/>
        <w:rPr>
          <w:lang w:val="fr-CH"/>
        </w:rPr>
      </w:pPr>
      <w:r w:rsidRPr="00FC702E">
        <w:rPr>
          <w:lang w:val="fr-CH"/>
        </w:rPr>
        <w:t xml:space="preserve">Les régulateurs </w:t>
      </w:r>
      <w:r w:rsidR="00750B7F">
        <w:rPr>
          <w:lang w:val="fr-CH"/>
        </w:rPr>
        <w:t>ont</w:t>
      </w:r>
      <w:r w:rsidR="00750B7F" w:rsidRPr="00FC702E">
        <w:rPr>
          <w:lang w:val="fr-CH"/>
        </w:rPr>
        <w:t xml:space="preserve"> </w:t>
      </w:r>
      <w:r w:rsidRPr="00FC702E">
        <w:rPr>
          <w:lang w:val="fr-CH"/>
        </w:rPr>
        <w:t>aussi besoin d</w:t>
      </w:r>
      <w:r>
        <w:rPr>
          <w:lang w:val="fr-CH"/>
        </w:rPr>
        <w:t>'</w:t>
      </w:r>
      <w:r w:rsidRPr="00FC702E">
        <w:rPr>
          <w:lang w:val="fr-CH"/>
        </w:rPr>
        <w:t xml:space="preserve">analyser les lois en vigueur régissant la concurrence pour déterminer si les moyens réglementaires existants, par exemple les lois ou réglementations antidiscriminatoires, sont suffisants pour </w:t>
      </w:r>
      <w:r w:rsidR="00CE2F71">
        <w:rPr>
          <w:lang w:val="fr-CH"/>
        </w:rPr>
        <w:t xml:space="preserve">trouver une solution satisfaisante aux problèmes </w:t>
      </w:r>
      <w:r w:rsidRPr="00FC702E">
        <w:rPr>
          <w:lang w:val="fr-CH"/>
        </w:rPr>
        <w:t>de concurrence qui ont tendance à avoir des répercussions sur la neutralité des réseaux.</w:t>
      </w:r>
      <w:bookmarkStart w:id="0" w:name="_GoBack"/>
      <w:bookmarkEnd w:id="0"/>
    </w:p>
    <w:p w:rsidR="00FC702E" w:rsidRPr="00FC702E" w:rsidRDefault="00FC702E" w:rsidP="00E77091">
      <w:pPr>
        <w:keepNext/>
        <w:keepLines/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lastRenderedPageBreak/>
        <w:t>Qualité de service</w:t>
      </w:r>
      <w:r w:rsidR="00E77091">
        <w:rPr>
          <w:b/>
          <w:bCs/>
          <w:color w:val="C00000"/>
          <w:lang w:val="fr-CH"/>
        </w:rPr>
        <w:t xml:space="preserve"> et d'expérience</w:t>
      </w:r>
      <w:r w:rsidRPr="0004179B">
        <w:rPr>
          <w:color w:val="C00000"/>
          <w:lang w:val="fr-CH"/>
        </w:rPr>
        <w:t xml:space="preserve">: </w:t>
      </w:r>
      <w:r w:rsidR="00E77091">
        <w:rPr>
          <w:lang w:val="fr-CH"/>
        </w:rPr>
        <w:t xml:space="preserve">Un certain nombre de </w:t>
      </w:r>
      <w:r w:rsidRPr="00FC702E">
        <w:rPr>
          <w:lang w:val="fr-CH"/>
        </w:rPr>
        <w:t xml:space="preserve">régulateurs </w:t>
      </w:r>
      <w:r w:rsidR="00E77091">
        <w:rPr>
          <w:lang w:val="fr-CH"/>
        </w:rPr>
        <w:t>font</w:t>
      </w:r>
      <w:r w:rsidR="00750B7F" w:rsidRPr="00FC702E">
        <w:rPr>
          <w:lang w:val="fr-CH"/>
        </w:rPr>
        <w:t xml:space="preserve"> </w:t>
      </w:r>
      <w:r w:rsidRPr="00FC702E">
        <w:rPr>
          <w:lang w:val="fr-CH"/>
        </w:rPr>
        <w:t>appliquer des spécifications</w:t>
      </w:r>
      <w:r>
        <w:rPr>
          <w:lang w:val="fr-CH"/>
        </w:rPr>
        <w:t xml:space="preserve"> </w:t>
      </w:r>
      <w:r w:rsidRPr="00FC702E">
        <w:rPr>
          <w:lang w:val="fr-CH"/>
        </w:rPr>
        <w:t xml:space="preserve">imposant une qualité de service </w:t>
      </w:r>
      <w:r w:rsidR="00E77091">
        <w:rPr>
          <w:lang w:val="fr-CH"/>
        </w:rPr>
        <w:t xml:space="preserve">et d'expérience </w:t>
      </w:r>
      <w:r w:rsidRPr="00FC702E">
        <w:rPr>
          <w:lang w:val="fr-CH"/>
        </w:rPr>
        <w:t>minimale</w:t>
      </w:r>
      <w:r w:rsidR="00EA0FFF">
        <w:rPr>
          <w:lang w:val="fr-CH"/>
        </w:rPr>
        <w:t>s</w:t>
      </w:r>
      <w:r w:rsidRPr="00FC702E">
        <w:rPr>
          <w:lang w:val="fr-CH"/>
        </w:rPr>
        <w:t xml:space="preserve">, pour garantir que les clients et les fournisseurs </w:t>
      </w:r>
      <w:r w:rsidR="00CE2F71">
        <w:rPr>
          <w:lang w:val="fr-CH"/>
        </w:rPr>
        <w:t xml:space="preserve">à la périphérie du réseau </w:t>
      </w:r>
      <w:r w:rsidRPr="00FC702E">
        <w:rPr>
          <w:lang w:val="fr-CH"/>
        </w:rPr>
        <w:t>disposent d</w:t>
      </w:r>
      <w:r w:rsidR="00974ABB">
        <w:rPr>
          <w:lang w:val="fr-CH"/>
        </w:rPr>
        <w:t>e</w:t>
      </w:r>
      <w:r w:rsidRPr="00FC702E">
        <w:rPr>
          <w:lang w:val="fr-CH"/>
        </w:rPr>
        <w:t xml:space="preserve"> service</w:t>
      </w:r>
      <w:r w:rsidR="00974ABB">
        <w:rPr>
          <w:lang w:val="fr-CH"/>
        </w:rPr>
        <w:t>s</w:t>
      </w:r>
      <w:r w:rsidRPr="00FC702E">
        <w:rPr>
          <w:lang w:val="fr-CH"/>
        </w:rPr>
        <w:t xml:space="preserve"> fiable</w:t>
      </w:r>
      <w:r w:rsidR="00974ABB">
        <w:rPr>
          <w:lang w:val="fr-CH"/>
        </w:rPr>
        <w:t>s et interrompus, y compris en ce qui concerne l'accès aux informations personnelles dans le nuage</w:t>
      </w:r>
      <w:r w:rsidRPr="00FC702E">
        <w:rPr>
          <w:lang w:val="fr-CH"/>
        </w:rPr>
        <w:t>. Pour pouvoir assurer la fourniture de ces services, les prestataires de réseau</w:t>
      </w:r>
      <w:r w:rsidR="00E77091">
        <w:rPr>
          <w:lang w:val="fr-CH"/>
        </w:rPr>
        <w:t>x</w:t>
      </w:r>
      <w:r w:rsidRPr="00FC702E">
        <w:rPr>
          <w:lang w:val="fr-CH"/>
        </w:rPr>
        <w:t xml:space="preserve"> </w:t>
      </w:r>
      <w:r w:rsidR="00750B7F">
        <w:rPr>
          <w:lang w:val="fr-CH"/>
        </w:rPr>
        <w:t>et de service</w:t>
      </w:r>
      <w:r w:rsidR="00E77091">
        <w:rPr>
          <w:lang w:val="fr-CH"/>
        </w:rPr>
        <w:t>s</w:t>
      </w:r>
      <w:r w:rsidR="00750B7F">
        <w:rPr>
          <w:lang w:val="fr-CH"/>
        </w:rPr>
        <w:t xml:space="preserve"> </w:t>
      </w:r>
      <w:r w:rsidRPr="00FC702E">
        <w:rPr>
          <w:lang w:val="fr-CH"/>
        </w:rPr>
        <w:t>d</w:t>
      </w:r>
      <w:r w:rsidR="00CE2F71">
        <w:rPr>
          <w:lang w:val="fr-CH"/>
        </w:rPr>
        <w:t>e</w:t>
      </w:r>
      <w:r w:rsidRPr="00FC702E">
        <w:rPr>
          <w:lang w:val="fr-CH"/>
        </w:rPr>
        <w:t>v</w:t>
      </w:r>
      <w:r w:rsidR="00CE2F71">
        <w:rPr>
          <w:lang w:val="fr-CH"/>
        </w:rPr>
        <w:t>ro</w:t>
      </w:r>
      <w:r w:rsidRPr="00FC702E">
        <w:rPr>
          <w:lang w:val="fr-CH"/>
        </w:rPr>
        <w:t>nt garantir la formulation claire et transparente des termes et conditions des contrats</w:t>
      </w:r>
      <w:r w:rsidR="00CE2F71">
        <w:rPr>
          <w:lang w:val="fr-CH"/>
        </w:rPr>
        <w:t xml:space="preserve"> signés par les consommateurs</w:t>
      </w:r>
      <w:r w:rsidR="00E77091">
        <w:rPr>
          <w:lang w:val="fr-CH"/>
        </w:rPr>
        <w:t xml:space="preserve">. Les régulateurs doivent aussi garantir </w:t>
      </w:r>
      <w:r w:rsidRPr="00FC702E">
        <w:rPr>
          <w:lang w:val="fr-CH"/>
        </w:rPr>
        <w:t>la publication d</w:t>
      </w:r>
      <w:r>
        <w:rPr>
          <w:lang w:val="fr-CH"/>
        </w:rPr>
        <w:t>'</w:t>
      </w:r>
      <w:r w:rsidRPr="00FC702E">
        <w:rPr>
          <w:lang w:val="fr-CH"/>
        </w:rPr>
        <w:t xml:space="preserve">informations comparables sur la mise à disposition </w:t>
      </w:r>
      <w:r w:rsidR="00CE2F71">
        <w:rPr>
          <w:lang w:val="fr-CH"/>
        </w:rPr>
        <w:t xml:space="preserve">des services </w:t>
      </w:r>
      <w:r w:rsidRPr="00FC702E">
        <w:rPr>
          <w:lang w:val="fr-CH"/>
        </w:rPr>
        <w:t>et la qualité de service</w:t>
      </w:r>
      <w:r w:rsidR="00E77091">
        <w:rPr>
          <w:lang w:val="fr-CH"/>
        </w:rPr>
        <w:t xml:space="preserve"> et d'expérience et, si nécessaire, instaurer </w:t>
      </w:r>
      <w:r w:rsidRPr="00FC702E">
        <w:rPr>
          <w:lang w:val="fr-CH"/>
        </w:rPr>
        <w:t>de</w:t>
      </w:r>
      <w:r w:rsidR="00E77091">
        <w:rPr>
          <w:lang w:val="fr-CH"/>
        </w:rPr>
        <w:t>s</w:t>
      </w:r>
      <w:r w:rsidRPr="00FC702E">
        <w:rPr>
          <w:lang w:val="fr-CH"/>
        </w:rPr>
        <w:t xml:space="preserve"> spécifications </w:t>
      </w:r>
      <w:r w:rsidR="00974ABB">
        <w:rPr>
          <w:lang w:val="fr-CH"/>
        </w:rPr>
        <w:t xml:space="preserve">de qualité de service </w:t>
      </w:r>
      <w:r w:rsidR="00E77091">
        <w:rPr>
          <w:lang w:val="fr-CH"/>
        </w:rPr>
        <w:t xml:space="preserve">et d'expérience </w:t>
      </w:r>
      <w:r w:rsidR="00974ABB">
        <w:rPr>
          <w:lang w:val="fr-CH"/>
        </w:rPr>
        <w:t>minimales</w:t>
      </w:r>
      <w:r w:rsidR="00E77091">
        <w:rPr>
          <w:lang w:val="fr-CH"/>
        </w:rPr>
        <w:t>, afin d'éviter la dégradation de la qualité fournie aux clients</w:t>
      </w:r>
      <w:r w:rsidRPr="00FC702E">
        <w:rPr>
          <w:lang w:val="fr-CH"/>
        </w:rPr>
        <w:t>.</w:t>
      </w:r>
    </w:p>
    <w:p w:rsidR="00FC702E" w:rsidRPr="00FC702E" w:rsidRDefault="00FC702E" w:rsidP="00FC702E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Responsabilisation du consommateur:</w:t>
      </w:r>
      <w:r w:rsidRPr="00101F34">
        <w:rPr>
          <w:lang w:val="fr-CH"/>
        </w:rPr>
        <w:t xml:space="preserve"> </w:t>
      </w:r>
      <w:r w:rsidRPr="00FC702E">
        <w:rPr>
          <w:lang w:val="fr-CH"/>
        </w:rPr>
        <w:t>Les décideurs doivent</w:t>
      </w:r>
      <w:r w:rsidRPr="00FC702E">
        <w:rPr>
          <w:b/>
          <w:bCs/>
          <w:lang w:val="fr-CH"/>
        </w:rPr>
        <w:t xml:space="preserve"> </w:t>
      </w:r>
      <w:r w:rsidRPr="00FC702E">
        <w:rPr>
          <w:lang w:val="fr-CH"/>
        </w:rPr>
        <w:t>veiller à ce que les consommateurs soient responsables de leurs données personnelles et de la protection de leur vie privée. Pour ce faire, ils doivent faciliter la maîtrise de l</w:t>
      </w:r>
      <w:r>
        <w:rPr>
          <w:lang w:val="fr-CH"/>
        </w:rPr>
        <w:t>'</w:t>
      </w:r>
      <w:r w:rsidRPr="00FC702E">
        <w:rPr>
          <w:lang w:val="fr-CH"/>
        </w:rPr>
        <w:t>informatique en nuage. Les utilisateurs doivent être sûrs que les informations stockées ou traitées dans le nuage ne seront pas utilisées ou divulguées à des fins préjudiciables ou imprévues.</w:t>
      </w:r>
    </w:p>
    <w:p w:rsidR="00FC702E" w:rsidRPr="00FC702E" w:rsidRDefault="00FC702E" w:rsidP="00FC702E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Respect de la vie privée et protection des données</w:t>
      </w:r>
      <w:r w:rsidRPr="0004179B">
        <w:rPr>
          <w:color w:val="C00000"/>
          <w:lang w:val="fr-CH"/>
        </w:rPr>
        <w:t xml:space="preserve">: </w:t>
      </w:r>
      <w:r w:rsidRPr="00FC702E">
        <w:rPr>
          <w:lang w:val="fr-CH"/>
        </w:rPr>
        <w:t>Les organismes internationaux, de même que les décideurs et les régulateurs sur le plan national doivent collaborer à l</w:t>
      </w:r>
      <w:r>
        <w:rPr>
          <w:lang w:val="fr-CH"/>
        </w:rPr>
        <w:t>'</w:t>
      </w:r>
      <w:r w:rsidRPr="00FC702E">
        <w:rPr>
          <w:lang w:val="fr-CH"/>
        </w:rPr>
        <w:t xml:space="preserve">élaboration de législations efficaces, utiles, proportionnées et </w:t>
      </w:r>
      <w:r w:rsidR="00750B7F">
        <w:rPr>
          <w:lang w:val="fr-CH"/>
        </w:rPr>
        <w:t xml:space="preserve">facilement </w:t>
      </w:r>
      <w:r w:rsidRPr="00FC702E">
        <w:rPr>
          <w:lang w:val="fr-CH"/>
        </w:rPr>
        <w:t>applicables afin de protéger le respect de la vie privée du consommateur, dans les limites du raisonnable. Cette responsabilité devrait aussi incomber aux parties p</w:t>
      </w:r>
      <w:r w:rsidR="00DB03BA">
        <w:rPr>
          <w:lang w:val="fr-CH"/>
        </w:rPr>
        <w:t>renantes qui élaborent une auto</w:t>
      </w:r>
      <w:r w:rsidRPr="00FC702E">
        <w:rPr>
          <w:lang w:val="fr-CH"/>
        </w:rPr>
        <w:t>régulation, par exemple qui établissent en matière de respect de la vie privée des politiques transparentes et adaptées aux services fournis. Les Etats doivent aussi continuer à collaborer pour veiller à ce qu</w:t>
      </w:r>
      <w:r>
        <w:rPr>
          <w:lang w:val="fr-CH"/>
        </w:rPr>
        <w:t>'</w:t>
      </w:r>
      <w:r w:rsidRPr="00FC702E">
        <w:rPr>
          <w:lang w:val="fr-CH"/>
        </w:rPr>
        <w:t>aucune entité n</w:t>
      </w:r>
      <w:r>
        <w:rPr>
          <w:lang w:val="fr-CH"/>
        </w:rPr>
        <w:t>'</w:t>
      </w:r>
      <w:r w:rsidRPr="00FC702E">
        <w:rPr>
          <w:lang w:val="fr-CH"/>
        </w:rPr>
        <w:t>adopte unilatéralement à ce sujet des réglementations d</w:t>
      </w:r>
      <w:r>
        <w:rPr>
          <w:lang w:val="fr-CH"/>
        </w:rPr>
        <w:t>'</w:t>
      </w:r>
      <w:r w:rsidRPr="00FC702E">
        <w:rPr>
          <w:lang w:val="fr-CH"/>
        </w:rPr>
        <w:t>une complexité telle qu</w:t>
      </w:r>
      <w:r>
        <w:rPr>
          <w:lang w:val="fr-CH"/>
        </w:rPr>
        <w:t>'</w:t>
      </w:r>
      <w:r w:rsidRPr="00FC702E">
        <w:rPr>
          <w:lang w:val="fr-CH"/>
        </w:rPr>
        <w:t>elles restreignent la libre circulation de l</w:t>
      </w:r>
      <w:r>
        <w:rPr>
          <w:lang w:val="fr-CH"/>
        </w:rPr>
        <w:t>'</w:t>
      </w:r>
      <w:r w:rsidRPr="00FC702E">
        <w:rPr>
          <w:lang w:val="fr-CH"/>
        </w:rPr>
        <w:t>information ou empêchent les fournisseurs de services informatiques en nuage de réaliser les économies qu</w:t>
      </w:r>
      <w:r>
        <w:rPr>
          <w:lang w:val="fr-CH"/>
        </w:rPr>
        <w:t>'</w:t>
      </w:r>
      <w:r w:rsidRPr="00FC702E">
        <w:rPr>
          <w:lang w:val="fr-CH"/>
        </w:rPr>
        <w:t>on peut attendre de ces services.</w:t>
      </w:r>
    </w:p>
    <w:p w:rsidR="00FC702E" w:rsidRPr="00FC702E" w:rsidRDefault="00FC702E" w:rsidP="00CE2F71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Normes applicables à l'informatique en nuage</w:t>
      </w:r>
      <w:r w:rsidRPr="0004179B">
        <w:rPr>
          <w:color w:val="C00000"/>
          <w:lang w:val="fr-CH"/>
        </w:rPr>
        <w:t xml:space="preserve">: </w:t>
      </w:r>
      <w:r w:rsidRPr="00FC702E">
        <w:rPr>
          <w:lang w:val="fr-CH"/>
        </w:rPr>
        <w:t>Il est nécessaire d</w:t>
      </w:r>
      <w:r>
        <w:rPr>
          <w:lang w:val="fr-CH"/>
        </w:rPr>
        <w:t>'</w:t>
      </w:r>
      <w:r w:rsidRPr="00FC702E">
        <w:rPr>
          <w:lang w:val="fr-CH"/>
        </w:rPr>
        <w:t>élaborer des normes techniques et structurelles nationales, régionales et internationales</w:t>
      </w:r>
      <w:r>
        <w:rPr>
          <w:lang w:val="fr-CH"/>
        </w:rPr>
        <w:t xml:space="preserve"> </w:t>
      </w:r>
      <w:r w:rsidRPr="00FC702E">
        <w:rPr>
          <w:lang w:val="fr-CH"/>
        </w:rPr>
        <w:t>et d</w:t>
      </w:r>
      <w:r>
        <w:rPr>
          <w:lang w:val="fr-CH"/>
        </w:rPr>
        <w:t>'</w:t>
      </w:r>
      <w:r w:rsidRPr="00FC702E">
        <w:rPr>
          <w:lang w:val="fr-CH"/>
        </w:rPr>
        <w:t>en généraliser l</w:t>
      </w:r>
      <w:r>
        <w:rPr>
          <w:lang w:val="fr-CH"/>
        </w:rPr>
        <w:t>'</w:t>
      </w:r>
      <w:r w:rsidRPr="00FC702E">
        <w:rPr>
          <w:lang w:val="fr-CH"/>
        </w:rPr>
        <w:t>adoption, pour répondre aux préoccupations des fournisseurs et des utilisateurs de services informatique</w:t>
      </w:r>
      <w:r w:rsidR="00CE2F71">
        <w:rPr>
          <w:lang w:val="fr-CH"/>
        </w:rPr>
        <w:t>s</w:t>
      </w:r>
      <w:r w:rsidRPr="00FC702E">
        <w:rPr>
          <w:lang w:val="fr-CH"/>
        </w:rPr>
        <w:t xml:space="preserve"> en nuage, y compris en ce qui concerne l</w:t>
      </w:r>
      <w:r>
        <w:rPr>
          <w:lang w:val="fr-CH"/>
        </w:rPr>
        <w:t>'</w:t>
      </w:r>
      <w:r w:rsidRPr="00FC702E">
        <w:rPr>
          <w:lang w:val="fr-CH"/>
        </w:rPr>
        <w:t>intégration des anciens systèmes avec les interfaces dématérialisées, ainsi que la portabilité et la sécurité des données et des applications.</w:t>
      </w:r>
    </w:p>
    <w:p w:rsidR="00FC702E" w:rsidRPr="00FC702E" w:rsidRDefault="00FC702E" w:rsidP="00974ABB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Portabilité des données</w:t>
      </w:r>
      <w:r w:rsidRPr="0004179B">
        <w:rPr>
          <w:color w:val="C00000"/>
          <w:lang w:val="fr-CH"/>
        </w:rPr>
        <w:t xml:space="preserve">: </w:t>
      </w:r>
      <w:r w:rsidR="00974ABB">
        <w:rPr>
          <w:lang w:val="fr-CH"/>
        </w:rPr>
        <w:t>Les</w:t>
      </w:r>
      <w:r w:rsidRPr="00FC702E">
        <w:rPr>
          <w:lang w:val="fr-CH"/>
        </w:rPr>
        <w:t xml:space="preserve"> interfaces </w:t>
      </w:r>
      <w:r w:rsidR="000B72CF">
        <w:rPr>
          <w:lang w:val="fr-CH"/>
        </w:rPr>
        <w:t>pr</w:t>
      </w:r>
      <w:r w:rsidR="00974ABB">
        <w:rPr>
          <w:lang w:val="fr-CH"/>
        </w:rPr>
        <w:t>o</w:t>
      </w:r>
      <w:r w:rsidR="000B72CF">
        <w:rPr>
          <w:lang w:val="fr-CH"/>
        </w:rPr>
        <w:t>p</w:t>
      </w:r>
      <w:r w:rsidR="00974ABB">
        <w:rPr>
          <w:lang w:val="fr-CH"/>
        </w:rPr>
        <w:t>ri</w:t>
      </w:r>
      <w:r w:rsidR="000B72CF">
        <w:rPr>
          <w:lang w:val="fr-CH"/>
        </w:rPr>
        <w:t>é</w:t>
      </w:r>
      <w:r w:rsidR="00974ABB">
        <w:rPr>
          <w:lang w:val="fr-CH"/>
        </w:rPr>
        <w:t xml:space="preserve">taires </w:t>
      </w:r>
      <w:r w:rsidRPr="00FC702E">
        <w:rPr>
          <w:lang w:val="fr-CH"/>
        </w:rPr>
        <w:t>de programmation d</w:t>
      </w:r>
      <w:r>
        <w:rPr>
          <w:lang w:val="fr-CH"/>
        </w:rPr>
        <w:t>'</w:t>
      </w:r>
      <w:r w:rsidRPr="00FC702E">
        <w:rPr>
          <w:lang w:val="fr-CH"/>
        </w:rPr>
        <w:t>applications</w:t>
      </w:r>
      <w:r>
        <w:rPr>
          <w:lang w:val="fr-CH"/>
        </w:rPr>
        <w:t xml:space="preserve"> </w:t>
      </w:r>
      <w:r w:rsidR="00CE2F71" w:rsidRPr="00FC702E">
        <w:rPr>
          <w:lang w:val="fr-CH"/>
        </w:rPr>
        <w:t>(API)</w:t>
      </w:r>
      <w:r w:rsidR="00CE2F71">
        <w:rPr>
          <w:lang w:val="fr-CH"/>
        </w:rPr>
        <w:t xml:space="preserve"> </w:t>
      </w:r>
      <w:r w:rsidRPr="00FC702E">
        <w:rPr>
          <w:lang w:val="fr-CH"/>
        </w:rPr>
        <w:t xml:space="preserve">informatiques dématérialisées </w:t>
      </w:r>
      <w:r w:rsidR="00974ABB">
        <w:rPr>
          <w:lang w:val="fr-CH"/>
        </w:rPr>
        <w:t>peuvent limiter</w:t>
      </w:r>
      <w:r w:rsidRPr="00FC702E">
        <w:rPr>
          <w:lang w:val="fr-CH"/>
        </w:rPr>
        <w:t xml:space="preserve"> la capacité des utilisateurs à basculer vers un autre fournisseur (effet de verrouillage).</w:t>
      </w:r>
      <w:r>
        <w:rPr>
          <w:lang w:val="fr-CH"/>
        </w:rPr>
        <w:t xml:space="preserve"> </w:t>
      </w:r>
      <w:r w:rsidRPr="00FC702E">
        <w:rPr>
          <w:lang w:val="fr-CH"/>
        </w:rPr>
        <w:t>La normalisation des API faciliterait la portabilité des données et renforcerait la fiabilité</w:t>
      </w:r>
      <w:r>
        <w:rPr>
          <w:lang w:val="fr-CH"/>
        </w:rPr>
        <w:t>:</w:t>
      </w:r>
      <w:r w:rsidRPr="00FC702E">
        <w:rPr>
          <w:lang w:val="fr-CH"/>
        </w:rPr>
        <w:t xml:space="preserve"> en effet, les mêmes fonctions pourraient être assurées par des prestataires multiples de services informatiques en nuage.</w:t>
      </w:r>
    </w:p>
    <w:p w:rsidR="00FC702E" w:rsidRPr="00FC702E" w:rsidRDefault="00FC702E" w:rsidP="00CE2F71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Interopérabilité</w:t>
      </w:r>
      <w:r w:rsidRPr="0004179B">
        <w:rPr>
          <w:color w:val="C00000"/>
          <w:lang w:val="fr-CH"/>
        </w:rPr>
        <w:t>:</w:t>
      </w:r>
      <w:r w:rsidRPr="00FC702E">
        <w:rPr>
          <w:lang w:val="fr-CH"/>
        </w:rPr>
        <w:t xml:space="preserve"> L</w:t>
      </w:r>
      <w:r>
        <w:rPr>
          <w:lang w:val="fr-CH"/>
        </w:rPr>
        <w:t>'</w:t>
      </w:r>
      <w:r w:rsidRPr="00FC702E">
        <w:rPr>
          <w:lang w:val="fr-CH"/>
        </w:rPr>
        <w:t>interopérabilité, qui facilite la circulation de l</w:t>
      </w:r>
      <w:r>
        <w:rPr>
          <w:lang w:val="fr-CH"/>
        </w:rPr>
        <w:t>'</w:t>
      </w:r>
      <w:r w:rsidRPr="00FC702E">
        <w:rPr>
          <w:lang w:val="fr-CH"/>
        </w:rPr>
        <w:t>information grâce à des mesures adaptées de sécurité et de protection de la vie privée, est fondamentale pour les consommateurs de services informatiques en nuage. C</w:t>
      </w:r>
      <w:r>
        <w:rPr>
          <w:lang w:val="fr-CH"/>
        </w:rPr>
        <w:t>'</w:t>
      </w:r>
      <w:r w:rsidRPr="00FC702E">
        <w:rPr>
          <w:lang w:val="fr-CH"/>
        </w:rPr>
        <w:t>est pourquoi les Etats doivent appuyer l</w:t>
      </w:r>
      <w:r>
        <w:rPr>
          <w:lang w:val="fr-CH"/>
        </w:rPr>
        <w:t>'</w:t>
      </w:r>
      <w:r w:rsidRPr="00FC702E">
        <w:rPr>
          <w:lang w:val="fr-CH"/>
        </w:rPr>
        <w:t xml:space="preserve">élaboration de normes et de mesures qui accéléreront la commercialisation des appareils de communication et assureront </w:t>
      </w:r>
      <w:r w:rsidR="00CE2F71">
        <w:rPr>
          <w:lang w:val="fr-CH"/>
        </w:rPr>
        <w:t>une</w:t>
      </w:r>
      <w:r w:rsidRPr="00FC702E">
        <w:rPr>
          <w:lang w:val="fr-CH"/>
        </w:rPr>
        <w:t xml:space="preserve"> conne</w:t>
      </w:r>
      <w:r w:rsidR="00CE2F71">
        <w:rPr>
          <w:lang w:val="fr-CH"/>
        </w:rPr>
        <w:t>ctivité</w:t>
      </w:r>
      <w:r w:rsidRPr="00FC702E">
        <w:rPr>
          <w:lang w:val="fr-CH"/>
        </w:rPr>
        <w:t xml:space="preserve"> et </w:t>
      </w:r>
      <w:r w:rsidR="00CE2F71">
        <w:rPr>
          <w:lang w:val="fr-CH"/>
        </w:rPr>
        <w:t xml:space="preserve">des </w:t>
      </w:r>
      <w:r w:rsidRPr="00FC702E">
        <w:rPr>
          <w:lang w:val="fr-CH"/>
        </w:rPr>
        <w:t>services hertziens en continu. Il est particulièrement important de lever les restrictions inutiles appliquées aux flux de données transfrontières.</w:t>
      </w:r>
    </w:p>
    <w:p w:rsidR="00FC702E" w:rsidRDefault="00FC702E" w:rsidP="00FC702E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 xml:space="preserve">Stimulation de la demande: </w:t>
      </w:r>
      <w:r w:rsidRPr="00FC702E">
        <w:rPr>
          <w:lang w:val="fr-CH"/>
        </w:rPr>
        <w:t>Les pouvoirs publics doivent ouvrir la voie en adoptant les services informatiques en nuage. En outre, des efforts doivent être déployés pour surmonter les obstacles à l</w:t>
      </w:r>
      <w:r>
        <w:rPr>
          <w:lang w:val="fr-CH"/>
        </w:rPr>
        <w:t>'</w:t>
      </w:r>
      <w:r w:rsidRPr="00FC702E">
        <w:rPr>
          <w:lang w:val="fr-CH"/>
        </w:rPr>
        <w:t xml:space="preserve">adoption </w:t>
      </w:r>
      <w:proofErr w:type="gramStart"/>
      <w:r w:rsidRPr="00FC702E">
        <w:rPr>
          <w:lang w:val="fr-CH"/>
        </w:rPr>
        <w:t>du</w:t>
      </w:r>
      <w:proofErr w:type="gramEnd"/>
      <w:r w:rsidRPr="00FC702E">
        <w:rPr>
          <w:lang w:val="fr-CH"/>
        </w:rPr>
        <w:t xml:space="preserve"> large bande et il convient de donner suite aux nombreuses initiatives ciblant tant les consommateurs que les petites entreprises.</w:t>
      </w:r>
    </w:p>
    <w:p w:rsidR="006D2C47" w:rsidRDefault="006D2C47" w:rsidP="006D2C47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Re</w:t>
      </w:r>
      <w:r>
        <w:rPr>
          <w:b/>
          <w:bCs/>
          <w:color w:val="C00000"/>
          <w:lang w:val="fr-CH"/>
        </w:rPr>
        <w:t xml:space="preserve">nforcement des capacités: </w:t>
      </w:r>
      <w:r>
        <w:rPr>
          <w:lang w:val="fr-CH"/>
        </w:rPr>
        <w:t xml:space="preserve">Etant donné que l'informatique en nuage sera vraisemblablement l'un des grands moteurs de la croissance future des économies numériques, les régulateurs et les décideurs peuvent contribuer activement à l'épanouissement d'une nouvelle génération de professionnels éduqués et férus de technologie. A cette fin, ils doivent faire en sorte d'introduire et de généraliser dans l'économie, en temps utile et avec efficacité, des produits et processus nouveaux et améliorés, renforçant ainsi l'aptitude des </w:t>
      </w:r>
      <w:r>
        <w:rPr>
          <w:lang w:val="fr-CH"/>
        </w:rPr>
        <w:lastRenderedPageBreak/>
        <w:t>particuliers et des entreprises à créer en permanence de la richesse et privilégiant toutes les formes d'apprentissage, en</w:t>
      </w:r>
      <w:r w:rsidR="002D31A7">
        <w:rPr>
          <w:lang w:val="fr-CH"/>
        </w:rPr>
        <w:t xml:space="preserve"> </w:t>
      </w:r>
      <w:r>
        <w:rPr>
          <w:lang w:val="fr-CH"/>
        </w:rPr>
        <w:t>accordant une attention particulière au savoir autochtone et au transfert des connaissances.</w:t>
      </w:r>
    </w:p>
    <w:p w:rsidR="00FC702E" w:rsidRPr="00FC702E" w:rsidRDefault="00FC702E" w:rsidP="00FC702E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Recherche-développement (R&amp;D):</w:t>
      </w:r>
      <w:r w:rsidRPr="00FC702E">
        <w:rPr>
          <w:b/>
          <w:bCs/>
          <w:lang w:val="fr-CH"/>
        </w:rPr>
        <w:t xml:space="preserve"> </w:t>
      </w:r>
      <w:r w:rsidRPr="00FC702E">
        <w:rPr>
          <w:lang w:val="fr-CH"/>
        </w:rPr>
        <w:t>Il est fondamental, dans la perspective de la création d</w:t>
      </w:r>
      <w:r>
        <w:rPr>
          <w:lang w:val="fr-CH"/>
        </w:rPr>
        <w:t>'</w:t>
      </w:r>
      <w:r w:rsidRPr="00FC702E">
        <w:rPr>
          <w:lang w:val="fr-CH"/>
        </w:rPr>
        <w:t>économies numériques durables, de promouvoir les activités de R&amp;D dans le domaine de l</w:t>
      </w:r>
      <w:r>
        <w:rPr>
          <w:lang w:val="fr-CH"/>
        </w:rPr>
        <w:t>'</w:t>
      </w:r>
      <w:r w:rsidRPr="00FC702E">
        <w:rPr>
          <w:lang w:val="fr-CH"/>
        </w:rPr>
        <w:t>informatique en nuage. Il faudrait encourager une étroite coopération régionale et internationale avec les organismes internationaux concernés et avec les universités.</w:t>
      </w:r>
    </w:p>
    <w:p w:rsidR="00FC702E" w:rsidRPr="00FC702E" w:rsidRDefault="00FC702E" w:rsidP="00974ABB">
      <w:pPr>
        <w:keepNext/>
        <w:keepLines/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>Coopération dans le domaine de la réglementation</w:t>
      </w:r>
      <w:r w:rsidRPr="0004179B">
        <w:rPr>
          <w:color w:val="C00000"/>
          <w:lang w:val="fr-CH"/>
        </w:rPr>
        <w:t xml:space="preserve">: </w:t>
      </w:r>
      <w:r w:rsidRPr="00FC702E">
        <w:rPr>
          <w:lang w:val="fr-CH"/>
        </w:rPr>
        <w:t xml:space="preserve">Les services </w:t>
      </w:r>
      <w:r w:rsidR="00CE2F71">
        <w:rPr>
          <w:lang w:val="fr-CH"/>
        </w:rPr>
        <w:t xml:space="preserve">informatiques </w:t>
      </w:r>
      <w:r w:rsidRPr="00FC702E">
        <w:rPr>
          <w:lang w:val="fr-CH"/>
        </w:rPr>
        <w:t>en nuage ont des répercussions sur plusieurs domaines liés à la réglementation, à l</w:t>
      </w:r>
      <w:r>
        <w:rPr>
          <w:lang w:val="fr-CH"/>
        </w:rPr>
        <w:t>'</w:t>
      </w:r>
      <w:r w:rsidRPr="00FC702E">
        <w:rPr>
          <w:lang w:val="fr-CH"/>
        </w:rPr>
        <w:t>intérieur de multiples juridictions et entre ces juridictions. Les régulateurs devraient coopérer et prendre des décisions concertées ciblant les fournisseurs de services informatiques en nuage.</w:t>
      </w:r>
    </w:p>
    <w:p w:rsidR="00FC702E" w:rsidRPr="00FC702E" w:rsidRDefault="00FC702E" w:rsidP="00565F86">
      <w:pPr>
        <w:ind w:right="-136"/>
        <w:rPr>
          <w:lang w:val="fr-CH"/>
        </w:rPr>
      </w:pPr>
      <w:r w:rsidRPr="00FC702E">
        <w:rPr>
          <w:lang w:val="fr-CH"/>
        </w:rPr>
        <w:t>A l</w:t>
      </w:r>
      <w:r>
        <w:rPr>
          <w:lang w:val="fr-CH"/>
        </w:rPr>
        <w:t>'</w:t>
      </w:r>
      <w:r w:rsidRPr="00FC702E">
        <w:rPr>
          <w:lang w:val="fr-CH"/>
        </w:rPr>
        <w:t xml:space="preserve">échelle internationale, les Etats doivent collaborer pour renforcer la </w:t>
      </w:r>
      <w:r w:rsidR="00565F86">
        <w:rPr>
          <w:lang w:val="fr-CH"/>
        </w:rPr>
        <w:t>prévisibilité d</w:t>
      </w:r>
      <w:r w:rsidRPr="00FC702E">
        <w:rPr>
          <w:lang w:val="fr-CH"/>
        </w:rPr>
        <w:t>e la réglementation relative à l</w:t>
      </w:r>
      <w:r>
        <w:rPr>
          <w:lang w:val="fr-CH"/>
        </w:rPr>
        <w:t>'</w:t>
      </w:r>
      <w:r w:rsidRPr="00FC702E">
        <w:rPr>
          <w:lang w:val="fr-CH"/>
        </w:rPr>
        <w:t xml:space="preserve">informatique en nuage et formuler en commun des principes </w:t>
      </w:r>
      <w:r w:rsidR="00CE2F71">
        <w:rPr>
          <w:lang w:val="fr-CH"/>
        </w:rPr>
        <w:t xml:space="preserve">politiques </w:t>
      </w:r>
      <w:r w:rsidRPr="00FC702E">
        <w:rPr>
          <w:lang w:val="fr-CH"/>
        </w:rPr>
        <w:t>fondamentaux qui faciliteront le développement et l</w:t>
      </w:r>
      <w:r>
        <w:rPr>
          <w:lang w:val="fr-CH"/>
        </w:rPr>
        <w:t>'</w:t>
      </w:r>
      <w:r w:rsidRPr="00FC702E">
        <w:rPr>
          <w:lang w:val="fr-CH"/>
        </w:rPr>
        <w:t>adoption de services informatiques en nuage, tout en évitant de créer des obstacles d</w:t>
      </w:r>
      <w:r>
        <w:rPr>
          <w:lang w:val="fr-CH"/>
        </w:rPr>
        <w:t>'</w:t>
      </w:r>
      <w:r w:rsidRPr="00FC702E">
        <w:rPr>
          <w:lang w:val="fr-CH"/>
        </w:rPr>
        <w:t>ordre réglementaire à l</w:t>
      </w:r>
      <w:r>
        <w:rPr>
          <w:lang w:val="fr-CH"/>
        </w:rPr>
        <w:t>'</w:t>
      </w:r>
      <w:r w:rsidRPr="00FC702E">
        <w:rPr>
          <w:lang w:val="fr-CH"/>
        </w:rPr>
        <w:t>entrée sur le marché.</w:t>
      </w:r>
    </w:p>
    <w:p w:rsidR="00FC702E" w:rsidRPr="00FC702E" w:rsidRDefault="00FC702E" w:rsidP="00CE2F71">
      <w:pPr>
        <w:ind w:right="-136"/>
        <w:rPr>
          <w:lang w:val="fr-CH"/>
        </w:rPr>
      </w:pPr>
      <w:r w:rsidRPr="0004179B">
        <w:rPr>
          <w:b/>
          <w:bCs/>
          <w:color w:val="C00000"/>
          <w:lang w:val="fr-CH"/>
        </w:rPr>
        <w:t xml:space="preserve">L'informatique en nuage sur le plan régional: </w:t>
      </w:r>
      <w:r w:rsidRPr="00FC702E">
        <w:rPr>
          <w:lang w:val="fr-CH"/>
        </w:rPr>
        <w:t>Il s</w:t>
      </w:r>
      <w:r>
        <w:rPr>
          <w:lang w:val="fr-CH"/>
        </w:rPr>
        <w:t>'</w:t>
      </w:r>
      <w:r w:rsidRPr="00FC702E">
        <w:rPr>
          <w:lang w:val="fr-CH"/>
        </w:rPr>
        <w:t>agit là d</w:t>
      </w:r>
      <w:r>
        <w:rPr>
          <w:lang w:val="fr-CH"/>
        </w:rPr>
        <w:t>'</w:t>
      </w:r>
      <w:r w:rsidRPr="00FC702E">
        <w:rPr>
          <w:lang w:val="fr-CH"/>
        </w:rPr>
        <w:t>une opportunité exceptionnelle, pour des groupes de pays, de coopérer en vue de promouvoir les services informatique</w:t>
      </w:r>
      <w:r w:rsidR="00CE2F71">
        <w:rPr>
          <w:lang w:val="fr-CH"/>
        </w:rPr>
        <w:t>s</w:t>
      </w:r>
      <w:r w:rsidRPr="00FC702E">
        <w:rPr>
          <w:lang w:val="fr-CH"/>
        </w:rPr>
        <w:t xml:space="preserve"> en nuage et de</w:t>
      </w:r>
      <w:r w:rsidR="00CE2F71">
        <w:rPr>
          <w:lang w:val="fr-CH"/>
        </w:rPr>
        <w:t xml:space="preserve"> </w:t>
      </w:r>
      <w:r w:rsidRPr="00FC702E">
        <w:rPr>
          <w:lang w:val="fr-CH"/>
        </w:rPr>
        <w:t>tirer parti</w:t>
      </w:r>
      <w:r w:rsidR="00CE2F71">
        <w:rPr>
          <w:lang w:val="fr-CH"/>
        </w:rPr>
        <w:t xml:space="preserve"> des avantages qu'ils offrent</w:t>
      </w:r>
      <w:r w:rsidRPr="00FC702E">
        <w:rPr>
          <w:lang w:val="fr-CH"/>
        </w:rPr>
        <w:t>, tout en atténuant les risques pour la sécurité et la confidentialité, entre autres préoccupations de premier plan, grâce à l</w:t>
      </w:r>
      <w:r>
        <w:rPr>
          <w:lang w:val="fr-CH"/>
        </w:rPr>
        <w:t>'</w:t>
      </w:r>
      <w:r w:rsidRPr="00FC702E">
        <w:rPr>
          <w:lang w:val="fr-CH"/>
        </w:rPr>
        <w:t>établissement de cadres réglementaires régionaux et d</w:t>
      </w:r>
      <w:r>
        <w:rPr>
          <w:lang w:val="fr-CH"/>
        </w:rPr>
        <w:t>'</w:t>
      </w:r>
      <w:r w:rsidRPr="00FC702E">
        <w:rPr>
          <w:lang w:val="fr-CH"/>
        </w:rPr>
        <w:t>autres mesures protégeant les entreprises et les utilisateurs.</w:t>
      </w:r>
    </w:p>
    <w:p w:rsidR="00FC702E" w:rsidRPr="00FC702E" w:rsidRDefault="00FC702E" w:rsidP="00CE2F71">
      <w:pPr>
        <w:ind w:right="-136"/>
        <w:rPr>
          <w:lang w:val="fr-CH"/>
        </w:rPr>
      </w:pPr>
      <w:r w:rsidRPr="00FC702E">
        <w:rPr>
          <w:lang w:val="fr-CH"/>
        </w:rPr>
        <w:t xml:space="preserve">A cette fin, on pourrait préconiser une approche </w:t>
      </w:r>
      <w:proofErr w:type="spellStart"/>
      <w:r w:rsidRPr="00FC702E">
        <w:rPr>
          <w:lang w:val="fr-CH"/>
        </w:rPr>
        <w:t>sous-régionale</w:t>
      </w:r>
      <w:proofErr w:type="spellEnd"/>
      <w:r w:rsidRPr="00FC702E">
        <w:rPr>
          <w:lang w:val="fr-CH"/>
        </w:rPr>
        <w:t>, dans le cadre de laquelle les associations de régulateurs encourageraient les efforts visant à harmoniser les instruments réglementaires dans les différents pays membres.</w:t>
      </w:r>
    </w:p>
    <w:p w:rsidR="00AD41F8" w:rsidRDefault="00AD41F8" w:rsidP="00FC702E">
      <w:pPr>
        <w:ind w:right="-136"/>
        <w:rPr>
          <w:lang w:val="fr-CH"/>
        </w:rPr>
      </w:pPr>
    </w:p>
    <w:p w:rsidR="00CE2F71" w:rsidRDefault="00CE2F71" w:rsidP="00FC702E">
      <w:pPr>
        <w:ind w:right="-136"/>
        <w:rPr>
          <w:lang w:val="fr-CH"/>
        </w:rPr>
      </w:pPr>
    </w:p>
    <w:p w:rsidR="00CE2F71" w:rsidRPr="003233F4" w:rsidRDefault="00CE2F71" w:rsidP="00DB03BA">
      <w:pPr>
        <w:pStyle w:val="Reasons"/>
        <w:rPr>
          <w:lang w:val="fr-CH"/>
        </w:rPr>
      </w:pPr>
    </w:p>
    <w:p w:rsidR="00CE2F71" w:rsidRDefault="00CE2F71">
      <w:pPr>
        <w:jc w:val="center"/>
      </w:pPr>
      <w:r>
        <w:t>______________</w:t>
      </w:r>
    </w:p>
    <w:p w:rsidR="00CE2F71" w:rsidRPr="00FC702E" w:rsidRDefault="00CE2F71" w:rsidP="00FC702E">
      <w:pPr>
        <w:ind w:right="-136"/>
        <w:rPr>
          <w:lang w:val="fr-CH"/>
        </w:rPr>
      </w:pPr>
    </w:p>
    <w:sectPr w:rsidR="00CE2F71" w:rsidRPr="00FC702E" w:rsidSect="00CE2F71">
      <w:headerReference w:type="default" r:id="rId9"/>
      <w:footerReference w:type="even" r:id="rId10"/>
      <w:footerReference w:type="default" r:id="rId11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A7" w:rsidRDefault="002D31A7">
      <w:r>
        <w:separator/>
      </w:r>
    </w:p>
  </w:endnote>
  <w:endnote w:type="continuationSeparator" w:id="0">
    <w:p w:rsidR="002D31A7" w:rsidRDefault="002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A7" w:rsidRDefault="002D31A7">
    <w:pPr>
      <w:pStyle w:val="Footer"/>
      <w:rPr>
        <w:lang w:val="en-US"/>
      </w:rPr>
    </w:pPr>
    <w:r>
      <w:fldChar w:fldCharType="begin"/>
    </w:r>
    <w:r w:rsidRPr="00565F86">
      <w:rPr>
        <w:lang w:val="en-US"/>
      </w:rPr>
      <w:instrText xml:space="preserve"> FILENAME \p \* MERGEFORMAT </w:instrText>
    </w:r>
    <w:r>
      <w:fldChar w:fldCharType="separate"/>
    </w:r>
    <w:r w:rsidR="0089614B">
      <w:rPr>
        <w:lang w:val="en-US"/>
      </w:rPr>
      <w:t>P:\SRU_ADM\GSR2012\Consultation\Best Practice Guidelines\3rd draft\GSR12_BestPracticeGuidelines_FRENCH_finv3.docx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614B">
      <w:t>04.10.12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614B">
      <w:t>04.10.12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4B" w:rsidRDefault="0089614B" w:rsidP="0089614B">
    <w:pPr>
      <w:pStyle w:val="Footer"/>
      <w:jc w:val="right"/>
    </w:pPr>
  </w:p>
  <w:p w:rsidR="002D31A7" w:rsidRPr="0089614B" w:rsidRDefault="002D31A7" w:rsidP="0089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A7" w:rsidRDefault="002D31A7">
      <w:r>
        <w:t>____________________</w:t>
      </w:r>
    </w:p>
  </w:footnote>
  <w:footnote w:type="continuationSeparator" w:id="0">
    <w:p w:rsidR="002D31A7" w:rsidRDefault="002D31A7">
      <w:r>
        <w:continuationSeparator/>
      </w:r>
    </w:p>
  </w:footnote>
  <w:footnote w:id="1">
    <w:p w:rsidR="002D31A7" w:rsidRPr="00B04813" w:rsidRDefault="002D31A7">
      <w:pPr>
        <w:pStyle w:val="FootnoteText"/>
        <w:rPr>
          <w:color w:val="C00000"/>
          <w:lang w:val="fr-CH"/>
        </w:rPr>
      </w:pPr>
      <w:r w:rsidRPr="00B04813">
        <w:rPr>
          <w:rStyle w:val="FootnoteReference"/>
          <w:color w:val="C00000"/>
        </w:rPr>
        <w:footnoteRef/>
      </w:r>
      <w:r w:rsidRPr="00B04813">
        <w:rPr>
          <w:color w:val="C00000"/>
        </w:rPr>
        <w:tab/>
      </w:r>
      <w:r w:rsidRPr="00B04813">
        <w:rPr>
          <w:rFonts w:asciiTheme="minorHAnsi" w:hAnsiTheme="minorHAnsi" w:cstheme="minorHAnsi"/>
          <w:color w:val="C00000"/>
          <w:sz w:val="22"/>
          <w:szCs w:val="22"/>
        </w:rPr>
        <w:t xml:space="preserve">Les présentes lignes directrices sont fondées sur des contributions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de l'Algérie, </w:t>
      </w:r>
      <w:r w:rsidRPr="00B04813">
        <w:rPr>
          <w:rFonts w:asciiTheme="minorHAnsi" w:hAnsiTheme="minorHAnsi" w:cstheme="minorHAnsi"/>
          <w:color w:val="C00000"/>
          <w:sz w:val="22"/>
          <w:szCs w:val="22"/>
        </w:rPr>
        <w:t xml:space="preserve">d'AREGNET/Liban, du Burkina Faso, de la Colombie, de l'Egypte,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de la France, de Maurice </w:t>
      </w:r>
      <w:r w:rsidRPr="00B04813">
        <w:rPr>
          <w:rFonts w:asciiTheme="minorHAnsi" w:hAnsiTheme="minorHAnsi" w:cstheme="minorHAnsi"/>
          <w:color w:val="C00000"/>
          <w:sz w:val="22"/>
          <w:szCs w:val="22"/>
        </w:rPr>
        <w:t xml:space="preserve">de la Pologne,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du Sri Lanka, du Soudan, du Swaziland, </w:t>
      </w:r>
      <w:r w:rsidRPr="00B04813">
        <w:rPr>
          <w:rFonts w:asciiTheme="minorHAnsi" w:hAnsiTheme="minorHAnsi" w:cstheme="minorHAnsi"/>
          <w:color w:val="C00000"/>
          <w:sz w:val="22"/>
          <w:szCs w:val="22"/>
        </w:rPr>
        <w:t>de la Suisse, de la Thaïlande, des Etats-Unis et du Zimbabwe</w:t>
      </w:r>
      <w:r w:rsidRPr="00B04813">
        <w:rPr>
          <w:rFonts w:asciiTheme="minorHAnsi" w:hAnsiTheme="minorHAnsi" w:cstheme="minorHAnsi"/>
          <w:color w:val="C00000"/>
          <w:sz w:val="22"/>
          <w:szCs w:val="22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90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31A7" w:rsidRDefault="002D31A7">
        <w:pPr>
          <w:pStyle w:val="Header"/>
        </w:pPr>
        <w:r w:rsidRPr="004035C3">
          <w:rPr>
            <w:rFonts w:asciiTheme="minorHAnsi" w:hAnsiTheme="minorHAnsi" w:cstheme="minorHAnsi"/>
            <w:color w:val="595959" w:themeColor="text1" w:themeTint="A6"/>
            <w:sz w:val="20"/>
          </w:rPr>
          <w:fldChar w:fldCharType="begin"/>
        </w:r>
        <w:r w:rsidRPr="004035C3">
          <w:rPr>
            <w:rFonts w:asciiTheme="minorHAnsi" w:hAnsiTheme="minorHAnsi" w:cstheme="minorHAnsi"/>
            <w:color w:val="595959" w:themeColor="text1" w:themeTint="A6"/>
            <w:sz w:val="20"/>
          </w:rPr>
          <w:instrText xml:space="preserve"> PAGE   \* MERGEFORMAT </w:instrText>
        </w:r>
        <w:r w:rsidRPr="004035C3">
          <w:rPr>
            <w:rFonts w:asciiTheme="minorHAnsi" w:hAnsiTheme="minorHAnsi" w:cstheme="minorHAnsi"/>
            <w:color w:val="595959" w:themeColor="text1" w:themeTint="A6"/>
            <w:sz w:val="20"/>
          </w:rPr>
          <w:fldChar w:fldCharType="separate"/>
        </w:r>
        <w:r w:rsidR="0089614B">
          <w:rPr>
            <w:rFonts w:asciiTheme="minorHAnsi" w:hAnsiTheme="minorHAnsi" w:cstheme="minorHAnsi"/>
            <w:noProof/>
            <w:color w:val="595959" w:themeColor="text1" w:themeTint="A6"/>
            <w:sz w:val="20"/>
          </w:rPr>
          <w:t>4</w:t>
        </w:r>
        <w:r w:rsidRPr="004035C3">
          <w:rPr>
            <w:rFonts w:asciiTheme="minorHAnsi" w:hAnsiTheme="minorHAnsi" w:cstheme="minorHAnsi"/>
            <w:noProof/>
            <w:color w:val="595959" w:themeColor="text1" w:themeTint="A6"/>
            <w:sz w:val="20"/>
          </w:rPr>
          <w:fldChar w:fldCharType="end"/>
        </w:r>
      </w:p>
    </w:sdtContent>
  </w:sdt>
  <w:p w:rsidR="002D31A7" w:rsidRDefault="002D3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48"/>
    <w:rsid w:val="0004179B"/>
    <w:rsid w:val="00044410"/>
    <w:rsid w:val="000825FA"/>
    <w:rsid w:val="000879D2"/>
    <w:rsid w:val="000B72CF"/>
    <w:rsid w:val="00101F34"/>
    <w:rsid w:val="002D31A7"/>
    <w:rsid w:val="003233F4"/>
    <w:rsid w:val="004035C3"/>
    <w:rsid w:val="00405C48"/>
    <w:rsid w:val="0045540A"/>
    <w:rsid w:val="00565F86"/>
    <w:rsid w:val="006A19BF"/>
    <w:rsid w:val="006D2C47"/>
    <w:rsid w:val="006E2590"/>
    <w:rsid w:val="00750B7F"/>
    <w:rsid w:val="00810862"/>
    <w:rsid w:val="0083647A"/>
    <w:rsid w:val="0089614B"/>
    <w:rsid w:val="0096216C"/>
    <w:rsid w:val="00974ABB"/>
    <w:rsid w:val="00A44389"/>
    <w:rsid w:val="00AD41F8"/>
    <w:rsid w:val="00B04813"/>
    <w:rsid w:val="00B27CCE"/>
    <w:rsid w:val="00BA2A7D"/>
    <w:rsid w:val="00BD3687"/>
    <w:rsid w:val="00CE2F71"/>
    <w:rsid w:val="00D57F87"/>
    <w:rsid w:val="00DA1090"/>
    <w:rsid w:val="00DB03BA"/>
    <w:rsid w:val="00E0330A"/>
    <w:rsid w:val="00E77091"/>
    <w:rsid w:val="00EA0FFF"/>
    <w:rsid w:val="00F93891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C48"/>
    <w:pPr>
      <w:spacing w:before="120" w:after="120"/>
      <w:ind w:right="-138"/>
    </w:pPr>
    <w:rPr>
      <w:rFonts w:asciiTheme="minorHAnsi" w:eastAsia="SimSun" w:hAnsiTheme="minorHAnsi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ind w:left="794" w:right="0" w:hanging="794"/>
      <w:textAlignment w:val="baseline"/>
      <w:outlineLvl w:val="0"/>
    </w:pPr>
    <w:rPr>
      <w:rFonts w:ascii="Times New Roman" w:eastAsia="Times New Roman" w:hAnsi="Times New Roman"/>
      <w:b/>
      <w:sz w:val="24"/>
      <w:lang w:val="fr-FR"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Normalaftertitle">
    <w:name w:val="Normal_after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ind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TabletitleBR">
    <w:name w:val="Table_title_BR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ind w:right="0"/>
      <w:jc w:val="center"/>
      <w:textAlignment w:val="baseline"/>
    </w:pPr>
    <w:rPr>
      <w:rFonts w:ascii="Times New Roman" w:eastAsia="Times New Roman" w:hAnsi="Times New Roman"/>
      <w:b/>
      <w:lang w:val="fr-FR" w:eastAsia="en-US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ind w:right="0"/>
      <w:textAlignment w:val="baseline"/>
    </w:pPr>
    <w:rPr>
      <w:rFonts w:ascii="Times New Roman" w:eastAsia="Times New Roman" w:hAnsi="Times New Roman"/>
      <w:lang w:val="fr-FR" w:eastAsia="en-US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right="0"/>
      <w:jc w:val="center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after="0"/>
      <w:ind w:right="0"/>
      <w:textAlignment w:val="baseline"/>
    </w:pPr>
    <w:rPr>
      <w:rFonts w:ascii="Times New Roman" w:eastAsia="Times New Roman" w:hAnsi="Times New Roman"/>
      <w:b/>
      <w:lang w:val="fr-FR" w:eastAsia="en-US"/>
    </w:rPr>
  </w:style>
  <w:style w:type="paragraph" w:customStyle="1" w:styleId="Artheading">
    <w:name w:val="Art_heading"/>
    <w:basedOn w:val="Normal"/>
    <w:next w:val="Normalaftertitl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ArtNo">
    <w:name w:val="Art_No"/>
    <w:basedOn w:val="Normal"/>
    <w:next w:val="Art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caps/>
      <w:sz w:val="28"/>
      <w:lang w:val="fr-FR" w:eastAsia="en-US"/>
    </w:rPr>
  </w:style>
  <w:style w:type="paragraph" w:customStyle="1" w:styleId="Arttitle">
    <w:name w:val="Art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ASN1">
    <w:name w:val="ASN.1"/>
    <w:basedOn w:val="Normal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 w:after="0"/>
      <w:ind w:right="0"/>
      <w:textAlignment w:val="baseline"/>
    </w:pPr>
    <w:rPr>
      <w:rFonts w:ascii="Courier New" w:eastAsia="Times New Roman" w:hAnsi="Courier New"/>
      <w:b/>
      <w:noProof/>
      <w:sz w:val="20"/>
      <w:lang w:val="fr-FR" w:eastAsia="en-US"/>
    </w:rPr>
  </w:style>
  <w:style w:type="paragraph" w:customStyle="1" w:styleId="Call">
    <w:name w:val="Call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/>
      <w:ind w:left="794" w:right="0"/>
      <w:textAlignment w:val="baseline"/>
    </w:pPr>
    <w:rPr>
      <w:rFonts w:ascii="Times New Roman" w:eastAsia="Times New Roman" w:hAnsi="Times New Roman"/>
      <w:i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b/>
      <w:caps/>
      <w:sz w:val="28"/>
      <w:lang w:val="fr-FR" w:eastAsia="en-US"/>
    </w:rPr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right="0" w:hanging="794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after="0"/>
      <w:ind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after="0"/>
      <w:ind w:left="1985" w:right="0" w:hanging="1985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Figurelegend">
    <w:name w:val="Figure_legend"/>
    <w:basedOn w:val="Normal"/>
    <w:pPr>
      <w:keepNext/>
      <w:keepLines/>
      <w:overflowPunct w:val="0"/>
      <w:autoSpaceDE w:val="0"/>
      <w:autoSpaceDN w:val="0"/>
      <w:adjustRightInd w:val="0"/>
      <w:spacing w:before="20" w:after="20"/>
      <w:ind w:right="0"/>
      <w:textAlignment w:val="baseline"/>
    </w:pPr>
    <w:rPr>
      <w:rFonts w:ascii="Times New Roman" w:eastAsia="Times New Roman" w:hAnsi="Times New Roman"/>
      <w:sz w:val="18"/>
      <w:lang w:val="fr-FR" w:eastAsia="en-US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caps/>
      <w:sz w:val="28"/>
      <w:lang w:val="fr-FR" w:eastAsia="en-US"/>
    </w:rPr>
  </w:style>
  <w:style w:type="paragraph" w:customStyle="1" w:styleId="Rectitle">
    <w:name w:val="Rec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overflowPunct w:val="0"/>
      <w:autoSpaceDE w:val="0"/>
      <w:autoSpaceDN w:val="0"/>
      <w:adjustRightInd w:val="0"/>
      <w:spacing w:after="0"/>
      <w:ind w:right="0"/>
      <w:jc w:val="center"/>
      <w:textAlignment w:val="baseline"/>
    </w:pPr>
    <w:rPr>
      <w:rFonts w:ascii="Times New Roman" w:eastAsia="Times New Roman" w:hAnsi="Times New Roman"/>
      <w:i/>
      <w:sz w:val="24"/>
      <w:lang w:val="fr-FR" w:eastAsia="en-US"/>
    </w:rPr>
  </w:style>
  <w:style w:type="paragraph" w:customStyle="1" w:styleId="Recdate">
    <w:name w:val="Rec_date"/>
    <w:basedOn w:val="Normal"/>
    <w:next w:val="Normalaftertitle"/>
    <w:pPr>
      <w:keepNext/>
      <w:keepLines/>
      <w:overflowPunct w:val="0"/>
      <w:autoSpaceDE w:val="0"/>
      <w:autoSpaceDN w:val="0"/>
      <w:adjustRightInd w:val="0"/>
      <w:spacing w:after="0"/>
      <w:ind w:right="0"/>
      <w:jc w:val="right"/>
      <w:textAlignment w:val="baseline"/>
    </w:pPr>
    <w:rPr>
      <w:rFonts w:ascii="Times New Roman" w:eastAsia="Times New Roman" w:hAnsi="Times New Roman"/>
      <w:i/>
      <w:lang w:val="fr-FR" w:eastAsia="en-US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right="0"/>
      <w:jc w:val="center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 w:after="0"/>
      <w:ind w:right="0"/>
      <w:textAlignment w:val="baseline"/>
    </w:pPr>
    <w:rPr>
      <w:rFonts w:ascii="Times New Roman" w:eastAsia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uiPriority w:val="99"/>
    <w:pPr>
      <w:overflowPunct w:val="0"/>
      <w:autoSpaceDE w:val="0"/>
      <w:autoSpaceDN w:val="0"/>
      <w:adjustRightInd w:val="0"/>
      <w:spacing w:before="0" w:after="0"/>
      <w:ind w:right="0"/>
      <w:jc w:val="center"/>
      <w:textAlignment w:val="baseline"/>
    </w:pPr>
    <w:rPr>
      <w:rFonts w:ascii="Times New Roman" w:eastAsia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/>
      <w:ind w:right="0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Headingi">
    <w:name w:val="Heading_i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/>
      <w:ind w:right="0"/>
      <w:textAlignment w:val="baseline"/>
    </w:pPr>
    <w:rPr>
      <w:rFonts w:ascii="Times New Roman" w:eastAsia="Times New Roman" w:hAnsi="Times New Roman"/>
      <w:i/>
      <w:sz w:val="24"/>
      <w:lang w:val="fr-FR" w:eastAsia="en-US"/>
    </w:rPr>
  </w:style>
  <w:style w:type="paragraph" w:styleId="Index1">
    <w:name w:val="index 1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Index2">
    <w:name w:val="index 2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283"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Index3">
    <w:name w:val="index 3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6"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overflowPunct w:val="0"/>
      <w:autoSpaceDE w:val="0"/>
      <w:autoSpaceDN w:val="0"/>
      <w:adjustRightInd w:val="0"/>
      <w:spacing w:before="624" w:after="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Section2">
    <w:name w:val="Section_2"/>
    <w:basedOn w:val="Normal"/>
    <w:next w:val="Normal"/>
    <w:pPr>
      <w:overflowPunct w:val="0"/>
      <w:autoSpaceDE w:val="0"/>
      <w:autoSpaceDN w:val="0"/>
      <w:adjustRightInd w:val="0"/>
      <w:spacing w:before="240" w:after="0"/>
      <w:ind w:right="0"/>
      <w:jc w:val="center"/>
      <w:textAlignment w:val="baseline"/>
    </w:pPr>
    <w:rPr>
      <w:rFonts w:ascii="Times New Roman" w:eastAsia="Times New Roman" w:hAnsi="Times New Roman"/>
      <w:i/>
      <w:sz w:val="24"/>
      <w:lang w:val="fr-FR" w:eastAsia="en-US"/>
    </w:rPr>
  </w:style>
  <w:style w:type="paragraph" w:customStyle="1" w:styleId="PartNo">
    <w:name w:val="Part_No"/>
    <w:basedOn w:val="Normal"/>
    <w:next w:val="Partr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ind w:right="0"/>
      <w:jc w:val="center"/>
      <w:textAlignment w:val="baseline"/>
    </w:pPr>
    <w:rPr>
      <w:rFonts w:ascii="Times New Roman" w:eastAsia="Times New Roman" w:hAnsi="Times New Roman"/>
      <w:caps/>
      <w:sz w:val="28"/>
      <w:lang w:val="fr-FR" w:eastAsia="en-US"/>
    </w:rPr>
  </w:style>
  <w:style w:type="paragraph" w:customStyle="1" w:styleId="Partref">
    <w:name w:val="Part_ref"/>
    <w:basedOn w:val="Normal"/>
    <w:next w:val="Part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/>
      <w:ind w:right="0"/>
      <w:jc w:val="center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RecNo">
    <w:name w:val="Rec_No"/>
    <w:basedOn w:val="Normal"/>
    <w:next w:val="Rec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ind w:right="0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794" w:right="0" w:hanging="794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Reftitle">
    <w:name w:val="Ref_title"/>
    <w:basedOn w:val="Normal"/>
    <w:next w:val="Reftext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ind w:right="0"/>
      <w:jc w:val="center"/>
      <w:textAlignment w:val="baseline"/>
    </w:pPr>
    <w:rPr>
      <w:rFonts w:ascii="Times New Roman" w:eastAsia="Times New Roman" w:hAnsi="Times New Roman"/>
      <w:caps/>
      <w:sz w:val="28"/>
      <w:lang w:val="fr-FR" w:eastAsia="en-US"/>
    </w:rPr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Source">
    <w:name w:val="Source"/>
    <w:basedOn w:val="Normal"/>
    <w:next w:val="Normalaftertitl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ind w:right="0"/>
      <w:textAlignment w:val="baseline"/>
    </w:pPr>
    <w:rPr>
      <w:rFonts w:ascii="Times New Roman" w:eastAsia="Times New Roman" w:hAnsi="Times New Roman"/>
      <w:lang w:val="fr-FR" w:eastAsia="en-US"/>
    </w:rPr>
  </w:style>
  <w:style w:type="paragraph" w:customStyle="1" w:styleId="TableNotitle">
    <w:name w:val="Table_No &amp; 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Tableref">
    <w:name w:val="Table_ref"/>
    <w:basedOn w:val="Normal"/>
    <w:next w:val="TabletitleBR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ind w:right="0"/>
      <w:jc w:val="center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  <w:overflowPunct w:val="0"/>
      <w:autoSpaceDE w:val="0"/>
      <w:autoSpaceDN w:val="0"/>
      <w:adjustRightInd w:val="0"/>
      <w:spacing w:after="0"/>
      <w:ind w:right="0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styleId="TOC1">
    <w:name w:val="toc 1"/>
    <w:basedOn w:val="Normal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 w:after="0"/>
      <w:ind w:left="680" w:right="851" w:hanging="68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rtref">
    <w:name w:val="Art_ref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NoBR">
    <w:name w:val="Table_No_BR"/>
    <w:basedOn w:val="Normal"/>
    <w:next w:val="TabletitleBR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/>
      <w:ind w:right="0"/>
      <w:jc w:val="center"/>
      <w:textAlignment w:val="baseline"/>
    </w:pPr>
    <w:rPr>
      <w:rFonts w:ascii="Times New Roman" w:eastAsia="Times New Roman" w:hAnsi="Times New Roman"/>
      <w:caps/>
      <w:sz w:val="24"/>
      <w:lang w:val="fr-FR" w:eastAsia="en-US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right="0"/>
      <w:jc w:val="center"/>
      <w:textAlignment w:val="baseline"/>
    </w:pPr>
    <w:rPr>
      <w:rFonts w:ascii="Times New Roman" w:eastAsia="Times New Roman" w:hAnsi="Times New Roman"/>
      <w:caps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5C48"/>
    <w:rPr>
      <w:rFonts w:ascii="Times New Roman" w:hAnsi="Times New Roman"/>
      <w:sz w:val="24"/>
      <w:lang w:val="fr-FR" w:eastAsia="en-US"/>
    </w:rPr>
  </w:style>
  <w:style w:type="table" w:styleId="TableGrid">
    <w:name w:val="Table Grid"/>
    <w:basedOn w:val="TableNormal"/>
    <w:uiPriority w:val="59"/>
    <w:rsid w:val="00405C48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SRTitle">
    <w:name w:val="GSR_Title"/>
    <w:basedOn w:val="Normal"/>
    <w:qFormat/>
    <w:rsid w:val="00405C48"/>
    <w:pPr>
      <w:jc w:val="center"/>
    </w:pPr>
    <w:rPr>
      <w:rFonts w:ascii="Calibri" w:hAnsi="Calibri"/>
      <w:b/>
      <w:bCs/>
      <w:smallCaps/>
      <w:color w:val="A50021"/>
      <w:sz w:val="32"/>
      <w:szCs w:val="32"/>
      <w:lang w:val="es-ES_tradnl"/>
    </w:rPr>
  </w:style>
  <w:style w:type="paragraph" w:customStyle="1" w:styleId="Reasons">
    <w:name w:val="Reasons"/>
    <w:basedOn w:val="Normal"/>
    <w:qFormat/>
    <w:rsid w:val="00CE2F71"/>
    <w:pPr>
      <w:spacing w:before="0" w:after="0"/>
      <w:ind w:right="0"/>
    </w:pPr>
    <w:rPr>
      <w:rFonts w:ascii="Times New Roman" w:eastAsia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2F71"/>
    <w:rPr>
      <w:rFonts w:ascii="Times New Roman" w:hAnsi="Times New Roman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048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813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50B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0B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0B7F"/>
    <w:rPr>
      <w:rFonts w:asciiTheme="minorHAnsi" w:eastAsia="SimSun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75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0B7F"/>
    <w:rPr>
      <w:rFonts w:asciiTheme="minorHAnsi" w:eastAsia="SimSun" w:hAnsiTheme="minorHAnsi"/>
      <w:b/>
      <w:bCs/>
    </w:rPr>
  </w:style>
  <w:style w:type="paragraph" w:styleId="Revision">
    <w:name w:val="Revision"/>
    <w:hidden/>
    <w:uiPriority w:val="99"/>
    <w:semiHidden/>
    <w:rsid w:val="00E77091"/>
    <w:rPr>
      <w:rFonts w:asciiTheme="minorHAnsi" w:eastAsia="SimSun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9614B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C48"/>
    <w:pPr>
      <w:spacing w:before="120" w:after="120"/>
      <w:ind w:right="-138"/>
    </w:pPr>
    <w:rPr>
      <w:rFonts w:asciiTheme="minorHAnsi" w:eastAsia="SimSun" w:hAnsiTheme="minorHAnsi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ind w:left="794" w:right="0" w:hanging="794"/>
      <w:textAlignment w:val="baseline"/>
      <w:outlineLvl w:val="0"/>
    </w:pPr>
    <w:rPr>
      <w:rFonts w:ascii="Times New Roman" w:eastAsia="Times New Roman" w:hAnsi="Times New Roman"/>
      <w:b/>
      <w:sz w:val="24"/>
      <w:lang w:val="fr-FR"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Normalaftertitle">
    <w:name w:val="Normal_after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ind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TabletitleBR">
    <w:name w:val="Table_title_BR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ind w:right="0"/>
      <w:jc w:val="center"/>
      <w:textAlignment w:val="baseline"/>
    </w:pPr>
    <w:rPr>
      <w:rFonts w:ascii="Times New Roman" w:eastAsia="Times New Roman" w:hAnsi="Times New Roman"/>
      <w:b/>
      <w:lang w:val="fr-FR" w:eastAsia="en-US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ind w:right="0"/>
      <w:textAlignment w:val="baseline"/>
    </w:pPr>
    <w:rPr>
      <w:rFonts w:ascii="Times New Roman" w:eastAsia="Times New Roman" w:hAnsi="Times New Roman"/>
      <w:lang w:val="fr-FR" w:eastAsia="en-US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right="0"/>
      <w:jc w:val="center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after="0"/>
      <w:ind w:right="0"/>
      <w:textAlignment w:val="baseline"/>
    </w:pPr>
    <w:rPr>
      <w:rFonts w:ascii="Times New Roman" w:eastAsia="Times New Roman" w:hAnsi="Times New Roman"/>
      <w:b/>
      <w:lang w:val="fr-FR" w:eastAsia="en-US"/>
    </w:rPr>
  </w:style>
  <w:style w:type="paragraph" w:customStyle="1" w:styleId="Artheading">
    <w:name w:val="Art_heading"/>
    <w:basedOn w:val="Normal"/>
    <w:next w:val="Normalaftertitl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ArtNo">
    <w:name w:val="Art_No"/>
    <w:basedOn w:val="Normal"/>
    <w:next w:val="Art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caps/>
      <w:sz w:val="28"/>
      <w:lang w:val="fr-FR" w:eastAsia="en-US"/>
    </w:rPr>
  </w:style>
  <w:style w:type="paragraph" w:customStyle="1" w:styleId="Arttitle">
    <w:name w:val="Art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ASN1">
    <w:name w:val="ASN.1"/>
    <w:basedOn w:val="Normal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 w:after="0"/>
      <w:ind w:right="0"/>
      <w:textAlignment w:val="baseline"/>
    </w:pPr>
    <w:rPr>
      <w:rFonts w:ascii="Courier New" w:eastAsia="Times New Roman" w:hAnsi="Courier New"/>
      <w:b/>
      <w:noProof/>
      <w:sz w:val="20"/>
      <w:lang w:val="fr-FR" w:eastAsia="en-US"/>
    </w:rPr>
  </w:style>
  <w:style w:type="paragraph" w:customStyle="1" w:styleId="Call">
    <w:name w:val="Call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/>
      <w:ind w:left="794" w:right="0"/>
      <w:textAlignment w:val="baseline"/>
    </w:pPr>
    <w:rPr>
      <w:rFonts w:ascii="Times New Roman" w:eastAsia="Times New Roman" w:hAnsi="Times New Roman"/>
      <w:i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b/>
      <w:caps/>
      <w:sz w:val="28"/>
      <w:lang w:val="fr-FR" w:eastAsia="en-US"/>
    </w:rPr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right="0" w:hanging="794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after="0"/>
      <w:ind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after="0"/>
      <w:ind w:left="1985" w:right="0" w:hanging="1985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Figurelegend">
    <w:name w:val="Figure_legend"/>
    <w:basedOn w:val="Normal"/>
    <w:pPr>
      <w:keepNext/>
      <w:keepLines/>
      <w:overflowPunct w:val="0"/>
      <w:autoSpaceDE w:val="0"/>
      <w:autoSpaceDN w:val="0"/>
      <w:adjustRightInd w:val="0"/>
      <w:spacing w:before="20" w:after="20"/>
      <w:ind w:right="0"/>
      <w:textAlignment w:val="baseline"/>
    </w:pPr>
    <w:rPr>
      <w:rFonts w:ascii="Times New Roman" w:eastAsia="Times New Roman" w:hAnsi="Times New Roman"/>
      <w:sz w:val="18"/>
      <w:lang w:val="fr-FR" w:eastAsia="en-US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caps/>
      <w:sz w:val="28"/>
      <w:lang w:val="fr-FR" w:eastAsia="en-US"/>
    </w:rPr>
  </w:style>
  <w:style w:type="paragraph" w:customStyle="1" w:styleId="Rectitle">
    <w:name w:val="Rec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overflowPunct w:val="0"/>
      <w:autoSpaceDE w:val="0"/>
      <w:autoSpaceDN w:val="0"/>
      <w:adjustRightInd w:val="0"/>
      <w:spacing w:after="0"/>
      <w:ind w:right="0"/>
      <w:jc w:val="center"/>
      <w:textAlignment w:val="baseline"/>
    </w:pPr>
    <w:rPr>
      <w:rFonts w:ascii="Times New Roman" w:eastAsia="Times New Roman" w:hAnsi="Times New Roman"/>
      <w:i/>
      <w:sz w:val="24"/>
      <w:lang w:val="fr-FR" w:eastAsia="en-US"/>
    </w:rPr>
  </w:style>
  <w:style w:type="paragraph" w:customStyle="1" w:styleId="Recdate">
    <w:name w:val="Rec_date"/>
    <w:basedOn w:val="Normal"/>
    <w:next w:val="Normalaftertitle"/>
    <w:pPr>
      <w:keepNext/>
      <w:keepLines/>
      <w:overflowPunct w:val="0"/>
      <w:autoSpaceDE w:val="0"/>
      <w:autoSpaceDN w:val="0"/>
      <w:adjustRightInd w:val="0"/>
      <w:spacing w:after="0"/>
      <w:ind w:right="0"/>
      <w:jc w:val="right"/>
      <w:textAlignment w:val="baseline"/>
    </w:pPr>
    <w:rPr>
      <w:rFonts w:ascii="Times New Roman" w:eastAsia="Times New Roman" w:hAnsi="Times New Roman"/>
      <w:i/>
      <w:lang w:val="fr-FR" w:eastAsia="en-US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right="0"/>
      <w:jc w:val="center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 w:after="0"/>
      <w:ind w:right="0"/>
      <w:textAlignment w:val="baseline"/>
    </w:pPr>
    <w:rPr>
      <w:rFonts w:ascii="Times New Roman" w:eastAsia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uiPriority w:val="99"/>
    <w:pPr>
      <w:overflowPunct w:val="0"/>
      <w:autoSpaceDE w:val="0"/>
      <w:autoSpaceDN w:val="0"/>
      <w:adjustRightInd w:val="0"/>
      <w:spacing w:before="0" w:after="0"/>
      <w:ind w:right="0"/>
      <w:jc w:val="center"/>
      <w:textAlignment w:val="baseline"/>
    </w:pPr>
    <w:rPr>
      <w:rFonts w:ascii="Times New Roman" w:eastAsia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/>
      <w:ind w:right="0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Headingi">
    <w:name w:val="Heading_i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/>
      <w:ind w:right="0"/>
      <w:textAlignment w:val="baseline"/>
    </w:pPr>
    <w:rPr>
      <w:rFonts w:ascii="Times New Roman" w:eastAsia="Times New Roman" w:hAnsi="Times New Roman"/>
      <w:i/>
      <w:sz w:val="24"/>
      <w:lang w:val="fr-FR" w:eastAsia="en-US"/>
    </w:rPr>
  </w:style>
  <w:style w:type="paragraph" w:styleId="Index1">
    <w:name w:val="index 1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Index2">
    <w:name w:val="index 2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283"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Index3">
    <w:name w:val="index 3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6" w:right="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overflowPunct w:val="0"/>
      <w:autoSpaceDE w:val="0"/>
      <w:autoSpaceDN w:val="0"/>
      <w:adjustRightInd w:val="0"/>
      <w:spacing w:before="624" w:after="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Section2">
    <w:name w:val="Section_2"/>
    <w:basedOn w:val="Normal"/>
    <w:next w:val="Normal"/>
    <w:pPr>
      <w:overflowPunct w:val="0"/>
      <w:autoSpaceDE w:val="0"/>
      <w:autoSpaceDN w:val="0"/>
      <w:adjustRightInd w:val="0"/>
      <w:spacing w:before="240" w:after="0"/>
      <w:ind w:right="0"/>
      <w:jc w:val="center"/>
      <w:textAlignment w:val="baseline"/>
    </w:pPr>
    <w:rPr>
      <w:rFonts w:ascii="Times New Roman" w:eastAsia="Times New Roman" w:hAnsi="Times New Roman"/>
      <w:i/>
      <w:sz w:val="24"/>
      <w:lang w:val="fr-FR" w:eastAsia="en-US"/>
    </w:rPr>
  </w:style>
  <w:style w:type="paragraph" w:customStyle="1" w:styleId="PartNo">
    <w:name w:val="Part_No"/>
    <w:basedOn w:val="Normal"/>
    <w:next w:val="Partr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ind w:right="0"/>
      <w:jc w:val="center"/>
      <w:textAlignment w:val="baseline"/>
    </w:pPr>
    <w:rPr>
      <w:rFonts w:ascii="Times New Roman" w:eastAsia="Times New Roman" w:hAnsi="Times New Roman"/>
      <w:caps/>
      <w:sz w:val="28"/>
      <w:lang w:val="fr-FR" w:eastAsia="en-US"/>
    </w:rPr>
  </w:style>
  <w:style w:type="paragraph" w:customStyle="1" w:styleId="Partref">
    <w:name w:val="Part_ref"/>
    <w:basedOn w:val="Normal"/>
    <w:next w:val="Part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/>
      <w:ind w:right="0"/>
      <w:jc w:val="center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RecNo">
    <w:name w:val="Rec_No"/>
    <w:basedOn w:val="Normal"/>
    <w:next w:val="Rec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ind w:right="0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794" w:right="0" w:hanging="794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Reftitle">
    <w:name w:val="Ref_title"/>
    <w:basedOn w:val="Normal"/>
    <w:next w:val="Reftext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ind w:right="0"/>
      <w:jc w:val="center"/>
      <w:textAlignment w:val="baseline"/>
    </w:pPr>
    <w:rPr>
      <w:rFonts w:ascii="Times New Roman" w:eastAsia="Times New Roman" w:hAnsi="Times New Roman"/>
      <w:caps/>
      <w:sz w:val="28"/>
      <w:lang w:val="fr-FR" w:eastAsia="en-US"/>
    </w:rPr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Source">
    <w:name w:val="Source"/>
    <w:basedOn w:val="Normal"/>
    <w:next w:val="Normalaftertitl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ind w:right="0"/>
      <w:jc w:val="center"/>
      <w:textAlignment w:val="baseline"/>
    </w:pPr>
    <w:rPr>
      <w:rFonts w:ascii="Times New Roman" w:eastAsia="Times New Roman" w:hAnsi="Times New Roman"/>
      <w:b/>
      <w:sz w:val="28"/>
      <w:lang w:val="fr-FR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ind w:right="0"/>
      <w:textAlignment w:val="baseline"/>
    </w:pPr>
    <w:rPr>
      <w:rFonts w:ascii="Times New Roman" w:eastAsia="Times New Roman" w:hAnsi="Times New Roman"/>
      <w:lang w:val="fr-FR" w:eastAsia="en-US"/>
    </w:rPr>
  </w:style>
  <w:style w:type="paragraph" w:customStyle="1" w:styleId="TableNotitle">
    <w:name w:val="Table_No &amp; 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right="0"/>
      <w:jc w:val="center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customStyle="1" w:styleId="Tableref">
    <w:name w:val="Table_ref"/>
    <w:basedOn w:val="Normal"/>
    <w:next w:val="TabletitleBR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ind w:right="0"/>
      <w:jc w:val="center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  <w:overflowPunct w:val="0"/>
      <w:autoSpaceDE w:val="0"/>
      <w:autoSpaceDN w:val="0"/>
      <w:adjustRightInd w:val="0"/>
      <w:spacing w:after="0"/>
      <w:ind w:right="0"/>
      <w:textAlignment w:val="baseline"/>
    </w:pPr>
    <w:rPr>
      <w:rFonts w:ascii="Times New Roman" w:eastAsia="Times New Roman" w:hAnsi="Times New Roman"/>
      <w:b/>
      <w:sz w:val="24"/>
      <w:lang w:val="fr-FR" w:eastAsia="en-US"/>
    </w:rPr>
  </w:style>
  <w:style w:type="paragraph" w:styleId="TOC1">
    <w:name w:val="toc 1"/>
    <w:basedOn w:val="Normal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 w:after="0"/>
      <w:ind w:left="680" w:right="851" w:hanging="680"/>
      <w:textAlignment w:val="baseline"/>
    </w:pPr>
    <w:rPr>
      <w:rFonts w:ascii="Times New Roman" w:eastAsia="Times New Roman" w:hAnsi="Times New Roman"/>
      <w:sz w:val="24"/>
      <w:lang w:val="fr-FR" w:eastAsia="en-US"/>
    </w:r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rtref">
    <w:name w:val="Art_ref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NoBR">
    <w:name w:val="Table_No_BR"/>
    <w:basedOn w:val="Normal"/>
    <w:next w:val="TabletitleBR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/>
      <w:ind w:right="0"/>
      <w:jc w:val="center"/>
      <w:textAlignment w:val="baseline"/>
    </w:pPr>
    <w:rPr>
      <w:rFonts w:ascii="Times New Roman" w:eastAsia="Times New Roman" w:hAnsi="Times New Roman"/>
      <w:caps/>
      <w:sz w:val="24"/>
      <w:lang w:val="fr-FR" w:eastAsia="en-US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right="0"/>
      <w:jc w:val="center"/>
      <w:textAlignment w:val="baseline"/>
    </w:pPr>
    <w:rPr>
      <w:rFonts w:ascii="Times New Roman" w:eastAsia="Times New Roman" w:hAnsi="Times New Roman"/>
      <w:caps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5C48"/>
    <w:rPr>
      <w:rFonts w:ascii="Times New Roman" w:hAnsi="Times New Roman"/>
      <w:sz w:val="24"/>
      <w:lang w:val="fr-FR" w:eastAsia="en-US"/>
    </w:rPr>
  </w:style>
  <w:style w:type="table" w:styleId="TableGrid">
    <w:name w:val="Table Grid"/>
    <w:basedOn w:val="TableNormal"/>
    <w:uiPriority w:val="59"/>
    <w:rsid w:val="00405C48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SRTitle">
    <w:name w:val="GSR_Title"/>
    <w:basedOn w:val="Normal"/>
    <w:qFormat/>
    <w:rsid w:val="00405C48"/>
    <w:pPr>
      <w:jc w:val="center"/>
    </w:pPr>
    <w:rPr>
      <w:rFonts w:ascii="Calibri" w:hAnsi="Calibri"/>
      <w:b/>
      <w:bCs/>
      <w:smallCaps/>
      <w:color w:val="A50021"/>
      <w:sz w:val="32"/>
      <w:szCs w:val="32"/>
      <w:lang w:val="es-ES_tradnl"/>
    </w:rPr>
  </w:style>
  <w:style w:type="paragraph" w:customStyle="1" w:styleId="Reasons">
    <w:name w:val="Reasons"/>
    <w:basedOn w:val="Normal"/>
    <w:qFormat/>
    <w:rsid w:val="00CE2F71"/>
    <w:pPr>
      <w:spacing w:before="0" w:after="0"/>
      <w:ind w:right="0"/>
    </w:pPr>
    <w:rPr>
      <w:rFonts w:ascii="Times New Roman" w:eastAsia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2F71"/>
    <w:rPr>
      <w:rFonts w:ascii="Times New Roman" w:hAnsi="Times New Roman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B048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813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50B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0B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0B7F"/>
    <w:rPr>
      <w:rFonts w:asciiTheme="minorHAnsi" w:eastAsia="SimSun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75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0B7F"/>
    <w:rPr>
      <w:rFonts w:asciiTheme="minorHAnsi" w:eastAsia="SimSun" w:hAnsiTheme="minorHAnsi"/>
      <w:b/>
      <w:bCs/>
    </w:rPr>
  </w:style>
  <w:style w:type="paragraph" w:styleId="Revision">
    <w:name w:val="Revision"/>
    <w:hidden/>
    <w:uiPriority w:val="99"/>
    <w:semiHidden/>
    <w:rsid w:val="00E77091"/>
    <w:rPr>
      <w:rFonts w:asciiTheme="minorHAnsi" w:eastAsia="SimSun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9614B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9E2B-8215-4056-9D5A-B7CA0A02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PF_POOL.dotm</Template>
  <TotalTime>14</TotalTime>
  <Pages>4</Pages>
  <Words>2011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saxod</dc:creator>
  <cp:lastModifiedBy>Sundberg, Nancy</cp:lastModifiedBy>
  <cp:revision>3</cp:revision>
  <cp:lastPrinted>2012-10-04T03:03:00Z</cp:lastPrinted>
  <dcterms:created xsi:type="dcterms:W3CDTF">2012-10-04T02:52:00Z</dcterms:created>
  <dcterms:modified xsi:type="dcterms:W3CDTF">2012-10-04T03:05:00Z</dcterms:modified>
</cp:coreProperties>
</file>