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3827"/>
        <w:gridCol w:w="284"/>
        <w:gridCol w:w="4536"/>
      </w:tblGrid>
      <w:tr w:rsidR="00563963">
        <w:trPr>
          <w:jc w:val="center"/>
        </w:trPr>
        <w:tc>
          <w:tcPr>
            <w:tcW w:w="9889" w:type="dxa"/>
            <w:gridSpan w:val="4"/>
            <w:tcMar>
              <w:top w:w="142" w:type="dxa"/>
              <w:bottom w:w="142" w:type="dxa"/>
            </w:tcMar>
          </w:tcPr>
          <w:p w:rsidR="00563963" w:rsidRDefault="006F09A7">
            <w:pPr>
              <w:pStyle w:val="BDTLogo"/>
              <w:rPr>
                <w:noProof/>
                <w:lang w:eastAsia="fr-CH"/>
              </w:rPr>
            </w:pPr>
            <w:r>
              <w:rPr>
                <w:noProof/>
                <w:lang w:val="en-US" w:eastAsia="zh-CN"/>
              </w:rPr>
              <w:drawing>
                <wp:inline distT="0" distB="0" distL="0" distR="0">
                  <wp:extent cx="63817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tc>
      </w:tr>
      <w:tr w:rsidR="00563963">
        <w:trPr>
          <w:jc w:val="center"/>
        </w:trPr>
        <w:tc>
          <w:tcPr>
            <w:tcW w:w="9889" w:type="dxa"/>
            <w:gridSpan w:val="4"/>
          </w:tcPr>
          <w:p w:rsidR="00563963" w:rsidRDefault="00563963">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563963">
        <w:trPr>
          <w:jc w:val="center"/>
        </w:trPr>
        <w:tc>
          <w:tcPr>
            <w:tcW w:w="9889" w:type="dxa"/>
            <w:gridSpan w:val="4"/>
          </w:tcPr>
          <w:p w:rsidR="00563963" w:rsidRDefault="00563963">
            <w:pPr>
              <w:pStyle w:val="BDTSeparator"/>
            </w:pPr>
          </w:p>
        </w:tc>
      </w:tr>
      <w:tr w:rsidR="00563963">
        <w:trPr>
          <w:jc w:val="center"/>
        </w:trPr>
        <w:tc>
          <w:tcPr>
            <w:tcW w:w="1242" w:type="dxa"/>
          </w:tcPr>
          <w:p w:rsidR="00563963" w:rsidRDefault="00563963">
            <w:pPr>
              <w:pStyle w:val="BDTRef"/>
            </w:pPr>
            <w:r>
              <w:t>Ref.</w:t>
            </w:r>
          </w:p>
        </w:tc>
        <w:tc>
          <w:tcPr>
            <w:tcW w:w="4111" w:type="dxa"/>
            <w:gridSpan w:val="2"/>
          </w:tcPr>
          <w:p w:rsidR="00563963" w:rsidRDefault="00563963">
            <w:pPr>
              <w:pStyle w:val="BDTRef-Details"/>
            </w:pPr>
            <w:r>
              <w:t>BDT/</w:t>
            </w:r>
            <w:r w:rsidR="0011731C">
              <w:t>IEE/RME/DM/</w:t>
            </w:r>
            <w:r w:rsidR="00A36A75">
              <w:t>207</w:t>
            </w:r>
          </w:p>
        </w:tc>
        <w:tc>
          <w:tcPr>
            <w:tcW w:w="4536" w:type="dxa"/>
          </w:tcPr>
          <w:p w:rsidR="00563963" w:rsidRDefault="00563963" w:rsidP="00A36A75">
            <w:pPr>
              <w:pStyle w:val="BDTDate"/>
              <w:rPr>
                <w:lang w:val="en-GB"/>
              </w:rPr>
            </w:pPr>
            <w:r>
              <w:rPr>
                <w:lang w:val="en-GB"/>
              </w:rPr>
              <w:t xml:space="preserve">Geneva, </w:t>
            </w:r>
            <w:r w:rsidR="00A36A75">
              <w:rPr>
                <w:lang w:val="en-GB"/>
              </w:rPr>
              <w:t>9</w:t>
            </w:r>
            <w:r w:rsidR="004E2AE1">
              <w:rPr>
                <w:lang w:val="en-GB"/>
              </w:rPr>
              <w:t xml:space="preserve"> July </w:t>
            </w:r>
            <w:r w:rsidR="0015245D">
              <w:rPr>
                <w:rFonts w:hint="eastAsia"/>
                <w:lang w:val="en-GB" w:eastAsia="zh-CN"/>
              </w:rPr>
              <w:t>2</w:t>
            </w:r>
            <w:r w:rsidR="0011731C">
              <w:rPr>
                <w:lang w:val="en-GB"/>
              </w:rPr>
              <w:t>012</w:t>
            </w:r>
          </w:p>
        </w:tc>
      </w:tr>
      <w:tr w:rsidR="00563963">
        <w:trPr>
          <w:jc w:val="center"/>
        </w:trPr>
        <w:tc>
          <w:tcPr>
            <w:tcW w:w="1242" w:type="dxa"/>
          </w:tcPr>
          <w:p w:rsidR="00563963" w:rsidRDefault="00563963">
            <w:pPr>
              <w:pStyle w:val="BDTSeparator"/>
            </w:pPr>
          </w:p>
        </w:tc>
        <w:tc>
          <w:tcPr>
            <w:tcW w:w="4111" w:type="dxa"/>
            <w:gridSpan w:val="2"/>
          </w:tcPr>
          <w:p w:rsidR="00563963" w:rsidRDefault="00563963">
            <w:pPr>
              <w:pStyle w:val="BDTSeparator"/>
            </w:pPr>
          </w:p>
        </w:tc>
        <w:tc>
          <w:tcPr>
            <w:tcW w:w="4536" w:type="dxa"/>
          </w:tcPr>
          <w:p w:rsidR="00563963" w:rsidRDefault="00563963">
            <w:pPr>
              <w:pStyle w:val="BDTSeparator"/>
            </w:pPr>
          </w:p>
        </w:tc>
      </w:tr>
      <w:tr w:rsidR="00926DC6">
        <w:trPr>
          <w:jc w:val="center"/>
        </w:trPr>
        <w:tc>
          <w:tcPr>
            <w:tcW w:w="1242" w:type="dxa"/>
          </w:tcPr>
          <w:p w:rsidR="00926DC6" w:rsidRDefault="00926DC6">
            <w:pPr>
              <w:pStyle w:val="BDTContact"/>
            </w:pPr>
          </w:p>
        </w:tc>
        <w:tc>
          <w:tcPr>
            <w:tcW w:w="3827" w:type="dxa"/>
          </w:tcPr>
          <w:p w:rsidR="00926DC6" w:rsidRDefault="00926DC6">
            <w:pPr>
              <w:pStyle w:val="BDTContact-Details"/>
            </w:pPr>
            <w:bookmarkStart w:id="0" w:name="Contact"/>
            <w:bookmarkEnd w:id="0"/>
          </w:p>
        </w:tc>
        <w:tc>
          <w:tcPr>
            <w:tcW w:w="284" w:type="dxa"/>
          </w:tcPr>
          <w:p w:rsidR="00926DC6" w:rsidRDefault="00926DC6">
            <w:pPr>
              <w:pStyle w:val="BDTContact-Details"/>
            </w:pPr>
          </w:p>
        </w:tc>
        <w:tc>
          <w:tcPr>
            <w:tcW w:w="4536" w:type="dxa"/>
            <w:vMerge w:val="restart"/>
          </w:tcPr>
          <w:p w:rsidR="00926DC6" w:rsidRPr="00926DC6" w:rsidRDefault="00926DC6" w:rsidP="00926DC6">
            <w:pPr>
              <w:pStyle w:val="FromRef"/>
              <w:spacing w:before="0"/>
              <w:rPr>
                <w:rFonts w:ascii="Calibri" w:eastAsia="SimSun" w:hAnsi="Calibri" w:cs="Arial"/>
                <w:sz w:val="22"/>
                <w:szCs w:val="22"/>
                <w:lang w:bidi="ar-SA"/>
              </w:rPr>
            </w:pPr>
            <w:r w:rsidRPr="00926DC6">
              <w:rPr>
                <w:rFonts w:ascii="Calibri" w:eastAsia="SimSun" w:hAnsi="Calibri" w:cs="Arial"/>
                <w:sz w:val="22"/>
                <w:szCs w:val="22"/>
                <w:lang w:bidi="ar-SA"/>
              </w:rPr>
              <w:t xml:space="preserve">ITU Member States </w:t>
            </w:r>
          </w:p>
          <w:p w:rsidR="00926DC6" w:rsidRPr="00926DC6" w:rsidRDefault="00926DC6" w:rsidP="00926DC6">
            <w:pPr>
              <w:pStyle w:val="FromRef"/>
              <w:spacing w:before="0"/>
              <w:rPr>
                <w:rFonts w:ascii="Calibri" w:eastAsia="SimSun" w:hAnsi="Calibri" w:cs="Arial"/>
                <w:sz w:val="22"/>
                <w:szCs w:val="22"/>
                <w:lang w:bidi="ar-SA"/>
              </w:rPr>
            </w:pPr>
            <w:r w:rsidRPr="00926DC6">
              <w:rPr>
                <w:rFonts w:ascii="Calibri" w:eastAsia="SimSun" w:hAnsi="Calibri" w:cs="Arial"/>
                <w:sz w:val="22"/>
                <w:szCs w:val="22"/>
                <w:lang w:bidi="ar-SA"/>
              </w:rPr>
              <w:t>National Regulatory Authorities and</w:t>
            </w:r>
          </w:p>
          <w:p w:rsidR="00926DC6" w:rsidRPr="005D295F" w:rsidRDefault="00926DC6" w:rsidP="00926DC6">
            <w:pPr>
              <w:pStyle w:val="FromRef"/>
              <w:spacing w:before="0"/>
              <w:rPr>
                <w:sz w:val="22"/>
              </w:rPr>
            </w:pPr>
            <w:r w:rsidRPr="00926DC6">
              <w:rPr>
                <w:rFonts w:ascii="Calibri" w:eastAsia="SimSun" w:hAnsi="Calibri" w:cs="Arial"/>
                <w:sz w:val="22"/>
                <w:szCs w:val="22"/>
                <w:lang w:bidi="ar-SA"/>
              </w:rPr>
              <w:t>Operators</w:t>
            </w:r>
            <w:r>
              <w:rPr>
                <w:rFonts w:ascii="Calibri" w:eastAsia="SimSun" w:hAnsi="Calibri" w:cs="Arial"/>
                <w:sz w:val="22"/>
                <w:szCs w:val="22"/>
                <w:lang w:bidi="ar-SA"/>
              </w:rPr>
              <w:t xml:space="preserve"> </w:t>
            </w:r>
            <w:r w:rsidRPr="00926DC6">
              <w:rPr>
                <w:rFonts w:ascii="Calibri" w:eastAsia="SimSun" w:hAnsi="Calibri" w:cs="Arial"/>
                <w:sz w:val="22"/>
                <w:szCs w:val="22"/>
                <w:lang w:bidi="ar-SA"/>
              </w:rPr>
              <w:t>in Arab States Region</w:t>
            </w:r>
          </w:p>
        </w:tc>
      </w:tr>
      <w:tr w:rsidR="00926DC6">
        <w:trPr>
          <w:jc w:val="center"/>
        </w:trPr>
        <w:tc>
          <w:tcPr>
            <w:tcW w:w="1242" w:type="dxa"/>
          </w:tcPr>
          <w:p w:rsidR="00926DC6" w:rsidRDefault="00926DC6">
            <w:pPr>
              <w:pStyle w:val="BDTContact"/>
            </w:pPr>
          </w:p>
        </w:tc>
        <w:tc>
          <w:tcPr>
            <w:tcW w:w="3827" w:type="dxa"/>
          </w:tcPr>
          <w:p w:rsidR="00926DC6" w:rsidRDefault="00926DC6">
            <w:pPr>
              <w:pStyle w:val="BDTContact-Details"/>
            </w:pPr>
          </w:p>
        </w:tc>
        <w:tc>
          <w:tcPr>
            <w:tcW w:w="284" w:type="dxa"/>
          </w:tcPr>
          <w:p w:rsidR="00926DC6" w:rsidRDefault="00926DC6">
            <w:pPr>
              <w:pStyle w:val="BDTContact-Details"/>
            </w:pPr>
          </w:p>
        </w:tc>
        <w:tc>
          <w:tcPr>
            <w:tcW w:w="4536" w:type="dxa"/>
            <w:vMerge/>
          </w:tcPr>
          <w:p w:rsidR="00926DC6" w:rsidRDefault="00926DC6">
            <w:pPr>
              <w:tabs>
                <w:tab w:val="left" w:pos="794"/>
                <w:tab w:val="left" w:pos="1191"/>
                <w:tab w:val="left" w:pos="1588"/>
                <w:tab w:val="left" w:pos="1985"/>
              </w:tabs>
              <w:overflowPunct w:val="0"/>
              <w:autoSpaceDE w:val="0"/>
              <w:autoSpaceDN w:val="0"/>
              <w:adjustRightInd w:val="0"/>
              <w:spacing w:line="280" w:lineRule="exact"/>
              <w:textAlignment w:val="baseline"/>
              <w:rPr>
                <w:lang w:val="en-GB"/>
              </w:rPr>
            </w:pPr>
          </w:p>
        </w:tc>
      </w:tr>
      <w:tr w:rsidR="00926DC6">
        <w:trPr>
          <w:jc w:val="center"/>
        </w:trPr>
        <w:tc>
          <w:tcPr>
            <w:tcW w:w="1242" w:type="dxa"/>
          </w:tcPr>
          <w:p w:rsidR="00926DC6" w:rsidRDefault="00926DC6">
            <w:pPr>
              <w:pStyle w:val="BDTContact"/>
            </w:pPr>
          </w:p>
        </w:tc>
        <w:tc>
          <w:tcPr>
            <w:tcW w:w="3827" w:type="dxa"/>
          </w:tcPr>
          <w:p w:rsidR="00926DC6" w:rsidRDefault="00926DC6">
            <w:pPr>
              <w:pStyle w:val="BDTContact-Details"/>
            </w:pPr>
          </w:p>
        </w:tc>
        <w:tc>
          <w:tcPr>
            <w:tcW w:w="284" w:type="dxa"/>
          </w:tcPr>
          <w:p w:rsidR="00926DC6" w:rsidRDefault="00926DC6">
            <w:pPr>
              <w:pStyle w:val="BDTContact-Details"/>
            </w:pPr>
          </w:p>
        </w:tc>
        <w:tc>
          <w:tcPr>
            <w:tcW w:w="4536" w:type="dxa"/>
            <w:vMerge/>
          </w:tcPr>
          <w:p w:rsidR="00926DC6" w:rsidRDefault="00926DC6">
            <w:pPr>
              <w:tabs>
                <w:tab w:val="left" w:pos="794"/>
                <w:tab w:val="left" w:pos="1191"/>
                <w:tab w:val="left" w:pos="1588"/>
                <w:tab w:val="left" w:pos="1985"/>
              </w:tabs>
              <w:overflowPunct w:val="0"/>
              <w:autoSpaceDE w:val="0"/>
              <w:autoSpaceDN w:val="0"/>
              <w:adjustRightInd w:val="0"/>
              <w:spacing w:line="280" w:lineRule="exact"/>
              <w:textAlignment w:val="baseline"/>
              <w:rPr>
                <w:lang w:val="en-GB"/>
              </w:rPr>
            </w:pPr>
          </w:p>
        </w:tc>
      </w:tr>
      <w:tr w:rsidR="00926DC6">
        <w:trPr>
          <w:jc w:val="center"/>
        </w:trPr>
        <w:tc>
          <w:tcPr>
            <w:tcW w:w="1242" w:type="dxa"/>
          </w:tcPr>
          <w:p w:rsidR="00926DC6" w:rsidRDefault="00926DC6">
            <w:pPr>
              <w:pStyle w:val="BDTContact"/>
            </w:pPr>
          </w:p>
        </w:tc>
        <w:tc>
          <w:tcPr>
            <w:tcW w:w="3827" w:type="dxa"/>
          </w:tcPr>
          <w:p w:rsidR="00926DC6" w:rsidRPr="0011731C" w:rsidRDefault="00926DC6">
            <w:pPr>
              <w:pStyle w:val="BDTContact-Details"/>
              <w:rPr>
                <w:rFonts w:asciiTheme="minorHAnsi" w:hAnsiTheme="minorHAnsi" w:cstheme="minorHAnsi"/>
                <w:szCs w:val="22"/>
              </w:rPr>
            </w:pPr>
          </w:p>
        </w:tc>
        <w:tc>
          <w:tcPr>
            <w:tcW w:w="284" w:type="dxa"/>
          </w:tcPr>
          <w:p w:rsidR="00926DC6" w:rsidRDefault="00926DC6">
            <w:pPr>
              <w:pStyle w:val="BDTContact-Details"/>
            </w:pPr>
          </w:p>
        </w:tc>
        <w:tc>
          <w:tcPr>
            <w:tcW w:w="4536" w:type="dxa"/>
            <w:vMerge/>
          </w:tcPr>
          <w:p w:rsidR="00926DC6" w:rsidRDefault="00926DC6">
            <w:pPr>
              <w:tabs>
                <w:tab w:val="left" w:pos="794"/>
                <w:tab w:val="left" w:pos="1191"/>
                <w:tab w:val="left" w:pos="1588"/>
                <w:tab w:val="left" w:pos="1985"/>
              </w:tabs>
              <w:overflowPunct w:val="0"/>
              <w:autoSpaceDE w:val="0"/>
              <w:autoSpaceDN w:val="0"/>
              <w:adjustRightInd w:val="0"/>
              <w:spacing w:line="280" w:lineRule="exact"/>
              <w:textAlignment w:val="baseline"/>
              <w:rPr>
                <w:lang w:val="en-GB"/>
              </w:rPr>
            </w:pPr>
          </w:p>
        </w:tc>
      </w:tr>
      <w:tr w:rsidR="00926DC6">
        <w:trPr>
          <w:jc w:val="center"/>
        </w:trPr>
        <w:tc>
          <w:tcPr>
            <w:tcW w:w="9889" w:type="dxa"/>
            <w:gridSpan w:val="4"/>
          </w:tcPr>
          <w:p w:rsidR="00926DC6" w:rsidRDefault="00926DC6">
            <w:pPr>
              <w:pStyle w:val="BDTSeparator"/>
            </w:pPr>
          </w:p>
        </w:tc>
      </w:tr>
      <w:tr w:rsidR="00926DC6" w:rsidTr="00926DC6">
        <w:trPr>
          <w:jc w:val="center"/>
        </w:trPr>
        <w:tc>
          <w:tcPr>
            <w:tcW w:w="1242" w:type="dxa"/>
          </w:tcPr>
          <w:p w:rsidR="00926DC6" w:rsidRDefault="00926DC6">
            <w:pPr>
              <w:pStyle w:val="BDTSubject"/>
            </w:pPr>
            <w:r>
              <w:t>Subject:</w:t>
            </w:r>
          </w:p>
        </w:tc>
        <w:tc>
          <w:tcPr>
            <w:tcW w:w="8647" w:type="dxa"/>
            <w:gridSpan w:val="3"/>
            <w:vAlign w:val="bottom"/>
          </w:tcPr>
          <w:p w:rsidR="00926DC6" w:rsidRPr="00926DC6" w:rsidRDefault="00926DC6" w:rsidP="008B44B1">
            <w:pPr>
              <w:pStyle w:val="Object"/>
              <w:spacing w:before="0"/>
              <w:ind w:right="600"/>
              <w:rPr>
                <w:rFonts w:asciiTheme="minorHAnsi" w:hAnsiTheme="minorHAnsi" w:cstheme="minorHAnsi"/>
                <w:b/>
                <w:sz w:val="22"/>
              </w:rPr>
            </w:pPr>
            <w:bookmarkStart w:id="1" w:name="Subject"/>
            <w:bookmarkEnd w:id="1"/>
            <w:r w:rsidRPr="00926DC6">
              <w:rPr>
                <w:rFonts w:asciiTheme="minorHAnsi" w:hAnsiTheme="minorHAnsi" w:cstheme="minorHAnsi"/>
                <w:b/>
                <w:sz w:val="22"/>
              </w:rPr>
              <w:t>Expert Level Training on Telecom Network Cost Modeling for Regulators in Arab States Region</w:t>
            </w:r>
            <w:r w:rsidR="0094111F">
              <w:rPr>
                <w:rFonts w:asciiTheme="minorHAnsi" w:hAnsiTheme="minorHAnsi" w:cstheme="minorHAnsi"/>
                <w:b/>
                <w:sz w:val="22"/>
              </w:rPr>
              <w:t xml:space="preserve">, </w:t>
            </w:r>
            <w:r w:rsidRPr="00926DC6">
              <w:rPr>
                <w:rFonts w:asciiTheme="minorHAnsi" w:hAnsiTheme="minorHAnsi" w:cstheme="minorHAnsi"/>
                <w:b/>
                <w:sz w:val="22"/>
              </w:rPr>
              <w:t xml:space="preserve">Giza, Egypt, 2-6 </w:t>
            </w:r>
            <w:r w:rsidR="008B44B1">
              <w:rPr>
                <w:rFonts w:asciiTheme="minorHAnsi" w:hAnsiTheme="minorHAnsi" w:cstheme="minorHAnsi"/>
                <w:b/>
                <w:sz w:val="22"/>
              </w:rPr>
              <w:t xml:space="preserve">September </w:t>
            </w:r>
            <w:r w:rsidRPr="00926DC6">
              <w:rPr>
                <w:rFonts w:asciiTheme="minorHAnsi" w:hAnsiTheme="minorHAnsi" w:cstheme="minorHAnsi"/>
                <w:b/>
                <w:sz w:val="22"/>
              </w:rPr>
              <w:t xml:space="preserve"> 2012</w:t>
            </w:r>
          </w:p>
        </w:tc>
      </w:tr>
      <w:tr w:rsidR="00926DC6">
        <w:trPr>
          <w:jc w:val="center"/>
        </w:trPr>
        <w:tc>
          <w:tcPr>
            <w:tcW w:w="9889" w:type="dxa"/>
            <w:gridSpan w:val="4"/>
          </w:tcPr>
          <w:p w:rsidR="00926DC6" w:rsidRDefault="00926DC6">
            <w:pPr>
              <w:pStyle w:val="BDTSeparator"/>
            </w:pPr>
          </w:p>
        </w:tc>
      </w:tr>
      <w:bookmarkStart w:id="2" w:name="Formula"/>
      <w:bookmarkStart w:id="3" w:name="MainStory"/>
      <w:bookmarkStart w:id="4" w:name="CurrentLocation"/>
      <w:bookmarkEnd w:id="2"/>
      <w:bookmarkEnd w:id="3"/>
      <w:bookmarkEnd w:id="4"/>
      <w:tr w:rsidR="00926DC6">
        <w:trPr>
          <w:jc w:val="center"/>
        </w:trPr>
        <w:tc>
          <w:tcPr>
            <w:tcW w:w="9889" w:type="dxa"/>
            <w:gridSpan w:val="4"/>
          </w:tcPr>
          <w:p w:rsidR="00926DC6" w:rsidRDefault="000A5F8E" w:rsidP="006F09A7">
            <w:pPr>
              <w:pStyle w:val="BDTOpening"/>
            </w:pPr>
            <w:r>
              <w:fldChar w:fldCharType="begin"/>
            </w:r>
            <w:r w:rsidR="00926DC6">
              <w:instrText xml:space="preserve"> MERGEFIELD FormuleDePolitesse_Opening </w:instrText>
            </w:r>
            <w:r>
              <w:fldChar w:fldCharType="separate"/>
            </w:r>
            <w:r w:rsidR="00926DC6">
              <w:rPr>
                <w:noProof/>
              </w:rPr>
              <w:t>Dear Sir/Madam,</w:t>
            </w:r>
            <w:r>
              <w:fldChar w:fldCharType="end"/>
            </w:r>
          </w:p>
          <w:p w:rsidR="00926DC6" w:rsidRPr="00926DC6" w:rsidRDefault="00926DC6" w:rsidP="00647E28">
            <w:pPr>
              <w:autoSpaceDE w:val="0"/>
              <w:autoSpaceDN w:val="0"/>
              <w:adjustRightInd w:val="0"/>
              <w:rPr>
                <w:rFonts w:cs="Arial"/>
                <w:szCs w:val="22"/>
              </w:rPr>
            </w:pPr>
            <w:r w:rsidRPr="00926DC6">
              <w:rPr>
                <w:rFonts w:cs="Arial"/>
                <w:szCs w:val="22"/>
              </w:rPr>
              <w:t>In today’s converged digital environment, pricing and cost modeling practices are central to ensuring a fair and healthy competitive environment. In addition, resolving related disputes expeditiously has emerged as a major challenge for regulators. Striking the right balance between different interests requires Heads of Regulatory Authorities to be well informed on current costing and pricing strategies, their impact and implications on the national competitive landscape and the related skills required by staff. In addition, because of rapid technological development, it is necessary to provide technical staff with sufficient cost Modeling tools and knowledge to enable them to understand how to develop their own cost models or to adapt existing cost models to the changing environment.</w:t>
            </w:r>
          </w:p>
          <w:p w:rsidR="00926DC6" w:rsidRPr="00926DC6" w:rsidRDefault="00926DC6" w:rsidP="00647E28">
            <w:pPr>
              <w:autoSpaceDE w:val="0"/>
              <w:autoSpaceDN w:val="0"/>
              <w:adjustRightInd w:val="0"/>
              <w:rPr>
                <w:rFonts w:cs="Arial"/>
                <w:szCs w:val="22"/>
              </w:rPr>
            </w:pPr>
            <w:r w:rsidRPr="00926DC6">
              <w:rPr>
                <w:rFonts w:cs="Arial"/>
                <w:szCs w:val="22"/>
              </w:rPr>
              <w:t>It is with great pleasure that I invite you to participate in this Expert-Level Training that will be held in Sheraton Dreamland, Giza (Egypt) from 2 to 6 September 2012, at the kind invitation of the National Telecom Regulatory Authority (NTRA) of Egypt.</w:t>
            </w:r>
          </w:p>
          <w:p w:rsidR="00926DC6" w:rsidRPr="00926DC6" w:rsidRDefault="00926DC6" w:rsidP="00647E28">
            <w:pPr>
              <w:autoSpaceDE w:val="0"/>
              <w:autoSpaceDN w:val="0"/>
              <w:adjustRightInd w:val="0"/>
              <w:rPr>
                <w:rFonts w:cs="Arial"/>
                <w:szCs w:val="22"/>
              </w:rPr>
            </w:pPr>
            <w:r w:rsidRPr="00926DC6">
              <w:rPr>
                <w:rFonts w:cs="Arial"/>
                <w:szCs w:val="22"/>
              </w:rPr>
              <w:t xml:space="preserve">The Expert-Level Training will be conducted by Professor Heinrich </w:t>
            </w:r>
            <w:proofErr w:type="spellStart"/>
            <w:r w:rsidRPr="00926DC6">
              <w:rPr>
                <w:rFonts w:cs="Arial"/>
                <w:szCs w:val="22"/>
              </w:rPr>
              <w:t>Otruba</w:t>
            </w:r>
            <w:proofErr w:type="spellEnd"/>
            <w:r w:rsidRPr="00926DC6">
              <w:rPr>
                <w:rFonts w:cs="Arial"/>
                <w:szCs w:val="22"/>
              </w:rPr>
              <w:t xml:space="preserve"> from the University of Economics and Business Administration of Vienna (</w:t>
            </w:r>
            <w:proofErr w:type="spellStart"/>
            <w:r w:rsidRPr="00926DC6">
              <w:rPr>
                <w:rFonts w:cs="Arial"/>
                <w:szCs w:val="22"/>
              </w:rPr>
              <w:t>Wirtschaftsuniversität</w:t>
            </w:r>
            <w:proofErr w:type="spellEnd"/>
            <w:r w:rsidRPr="00926DC6">
              <w:rPr>
                <w:rFonts w:cs="Arial"/>
                <w:szCs w:val="22"/>
              </w:rPr>
              <w:t xml:space="preserve"> Wien), former Head of the Austrian Regulatory Authority for Telecommunication (RTR) and Advisor of the Director General for the Information Society, European Commission, together with </w:t>
            </w:r>
            <w:r w:rsidR="003D7A84" w:rsidRPr="00926DC6">
              <w:rPr>
                <w:rFonts w:cs="Arial"/>
                <w:szCs w:val="22"/>
              </w:rPr>
              <w:t>Mr.</w:t>
            </w:r>
            <w:r w:rsidRPr="00926DC6">
              <w:rPr>
                <w:rFonts w:cs="Arial"/>
                <w:szCs w:val="22"/>
              </w:rPr>
              <w:t xml:space="preserve"> Mark Spracklen, Project Manager/Adviser in CVA Istanbul office, with experience on several major financial, regulatory cost and profitability projects implementation which include extracting data from the Network (CDR’s), billing and revenue reconciliation.</w:t>
            </w:r>
          </w:p>
          <w:p w:rsidR="00926DC6" w:rsidRPr="00926DC6" w:rsidRDefault="00926DC6" w:rsidP="00647E28">
            <w:pPr>
              <w:autoSpaceDE w:val="0"/>
              <w:autoSpaceDN w:val="0"/>
              <w:adjustRightInd w:val="0"/>
              <w:rPr>
                <w:rFonts w:cs="Arial"/>
                <w:szCs w:val="22"/>
              </w:rPr>
            </w:pPr>
            <w:r w:rsidRPr="00926DC6">
              <w:rPr>
                <w:rFonts w:ascii="Helvetica" w:hAnsi="Helvetica" w:cs="Helvetica"/>
                <w:color w:val="000000"/>
                <w:szCs w:val="22"/>
                <w:lang w:eastAsia="zh-CN"/>
              </w:rPr>
              <w:br w:type="page"/>
            </w:r>
            <w:r w:rsidRPr="00926DC6">
              <w:rPr>
                <w:rFonts w:cs="Arial"/>
                <w:szCs w:val="22"/>
              </w:rPr>
              <w:t>The focus of this training is to provide participants with concrete exercises and hands-on practice so that they can develop their own cost models. This training will:</w:t>
            </w:r>
          </w:p>
          <w:p w:rsidR="00926DC6" w:rsidRPr="00926DC6" w:rsidRDefault="00926DC6" w:rsidP="00647E28">
            <w:pPr>
              <w:numPr>
                <w:ilvl w:val="0"/>
                <w:numId w:val="47"/>
              </w:numPr>
              <w:tabs>
                <w:tab w:val="center" w:pos="1260"/>
                <w:tab w:val="right" w:pos="9406"/>
              </w:tabs>
              <w:spacing w:before="0" w:after="0"/>
              <w:ind w:left="1282" w:right="317"/>
              <w:rPr>
                <w:rFonts w:cs="Arial"/>
                <w:szCs w:val="22"/>
              </w:rPr>
            </w:pPr>
            <w:r w:rsidRPr="00926DC6">
              <w:rPr>
                <w:rFonts w:cs="Arial"/>
                <w:szCs w:val="22"/>
              </w:rPr>
              <w:t>Analyze and describe in detail the different costing methodologies applicable to telecommunications/ICT (e.g. LRIC, LRAIC, FDC, ABC, etc.) and showcase alternative methods of price regulation (such as benchmarking, price cap, accounting separation, etc.);</w:t>
            </w:r>
          </w:p>
          <w:p w:rsidR="00926DC6" w:rsidRPr="00926DC6" w:rsidRDefault="00926DC6" w:rsidP="00647E28">
            <w:pPr>
              <w:numPr>
                <w:ilvl w:val="0"/>
                <w:numId w:val="47"/>
              </w:numPr>
              <w:tabs>
                <w:tab w:val="center" w:pos="1260"/>
                <w:tab w:val="right" w:pos="9406"/>
              </w:tabs>
              <w:spacing w:before="0" w:after="0"/>
              <w:ind w:left="1282" w:right="317"/>
              <w:rPr>
                <w:rFonts w:cs="Arial"/>
                <w:szCs w:val="22"/>
              </w:rPr>
            </w:pPr>
            <w:r w:rsidRPr="00926DC6">
              <w:rPr>
                <w:rFonts w:cs="Arial"/>
                <w:szCs w:val="22"/>
              </w:rPr>
              <w:t>Provide a detailed presentation of existing cost models;</w:t>
            </w:r>
          </w:p>
          <w:p w:rsidR="00926DC6" w:rsidRPr="00926DC6" w:rsidRDefault="00926DC6" w:rsidP="00647E28">
            <w:pPr>
              <w:numPr>
                <w:ilvl w:val="0"/>
                <w:numId w:val="47"/>
              </w:numPr>
              <w:tabs>
                <w:tab w:val="center" w:pos="1260"/>
                <w:tab w:val="right" w:pos="9406"/>
              </w:tabs>
              <w:spacing w:before="0" w:after="0"/>
              <w:ind w:left="1282" w:right="317"/>
              <w:rPr>
                <w:rFonts w:cs="Arial"/>
                <w:szCs w:val="22"/>
              </w:rPr>
            </w:pPr>
            <w:r w:rsidRPr="00926DC6">
              <w:rPr>
                <w:rFonts w:cs="Arial"/>
                <w:szCs w:val="22"/>
              </w:rPr>
              <w:t>Provide participants with a concrete step-by-step check list to determine which method and methodology to apply in accordance with their national context;</w:t>
            </w:r>
          </w:p>
          <w:p w:rsidR="00926DC6" w:rsidRPr="00926DC6" w:rsidRDefault="00926DC6" w:rsidP="00647E28">
            <w:pPr>
              <w:numPr>
                <w:ilvl w:val="0"/>
                <w:numId w:val="47"/>
              </w:numPr>
              <w:tabs>
                <w:tab w:val="center" w:pos="1260"/>
                <w:tab w:val="right" w:pos="9406"/>
              </w:tabs>
              <w:spacing w:before="0" w:after="0"/>
              <w:ind w:left="1282" w:right="317"/>
              <w:rPr>
                <w:rFonts w:cs="Arial"/>
                <w:szCs w:val="22"/>
              </w:rPr>
            </w:pPr>
            <w:r w:rsidRPr="00926DC6">
              <w:rPr>
                <w:rFonts w:cs="Arial"/>
                <w:szCs w:val="22"/>
              </w:rPr>
              <w:t>Explain the importance of the data collection process: how to collect the data;</w:t>
            </w:r>
          </w:p>
          <w:p w:rsidR="00926DC6" w:rsidRPr="00926DC6" w:rsidRDefault="00926DC6" w:rsidP="00647E28">
            <w:pPr>
              <w:numPr>
                <w:ilvl w:val="0"/>
                <w:numId w:val="47"/>
              </w:numPr>
              <w:tabs>
                <w:tab w:val="center" w:pos="1260"/>
                <w:tab w:val="right" w:pos="9406"/>
              </w:tabs>
              <w:spacing w:before="0" w:after="0"/>
              <w:ind w:left="1282" w:right="317"/>
              <w:rPr>
                <w:rFonts w:cs="Arial"/>
                <w:szCs w:val="22"/>
              </w:rPr>
            </w:pPr>
            <w:r w:rsidRPr="00926DC6">
              <w:rPr>
                <w:rFonts w:cs="Arial"/>
                <w:szCs w:val="22"/>
              </w:rPr>
              <w:t xml:space="preserve">Explain development of a cost model, including a step-by-step approach (definition of the </w:t>
            </w:r>
            <w:r w:rsidRPr="00926DC6">
              <w:rPr>
                <w:rFonts w:cs="Arial"/>
                <w:szCs w:val="22"/>
              </w:rPr>
              <w:lastRenderedPageBreak/>
              <w:t>telecommunication services; traffic estimation; cost elements: calculation of network costs);</w:t>
            </w:r>
          </w:p>
          <w:p w:rsidR="00926DC6" w:rsidRPr="00926DC6" w:rsidRDefault="00926DC6" w:rsidP="00647E28">
            <w:pPr>
              <w:numPr>
                <w:ilvl w:val="0"/>
                <w:numId w:val="47"/>
              </w:numPr>
              <w:tabs>
                <w:tab w:val="center" w:pos="1260"/>
                <w:tab w:val="right" w:pos="9406"/>
              </w:tabs>
              <w:spacing w:before="0" w:after="0"/>
              <w:ind w:left="1282" w:right="317"/>
              <w:rPr>
                <w:rFonts w:cs="Arial"/>
                <w:szCs w:val="22"/>
              </w:rPr>
            </w:pPr>
            <w:r w:rsidRPr="00926DC6">
              <w:rPr>
                <w:rFonts w:cs="Arial"/>
                <w:szCs w:val="22"/>
              </w:rPr>
              <w:t>Offer a look forward in adapting cost models to NGN – overview</w:t>
            </w:r>
          </w:p>
          <w:p w:rsidR="00926DC6" w:rsidRPr="00926DC6" w:rsidRDefault="00926DC6" w:rsidP="00647E28">
            <w:pPr>
              <w:tabs>
                <w:tab w:val="center" w:pos="0"/>
                <w:tab w:val="right" w:pos="9406"/>
              </w:tabs>
              <w:rPr>
                <w:rFonts w:cs="Arial"/>
                <w:szCs w:val="22"/>
              </w:rPr>
            </w:pPr>
            <w:r w:rsidRPr="00926DC6">
              <w:rPr>
                <w:rFonts w:cs="Arial"/>
                <w:szCs w:val="22"/>
              </w:rPr>
              <w:t xml:space="preserve">Discussion sessions will also be conducted to promote dialogue and exchange of experiences among participants. Participation of experts from regulatory authorities in charge of costing issues is greatly encouraged as the training is at advanced level. Please find enclosed the Provisional Agenda (Annex 1). </w:t>
            </w:r>
          </w:p>
          <w:p w:rsidR="00926DC6" w:rsidRPr="00926DC6" w:rsidRDefault="003D7A84" w:rsidP="00BC3F02">
            <w:pPr>
              <w:tabs>
                <w:tab w:val="center" w:pos="4703"/>
                <w:tab w:val="right" w:pos="9406"/>
              </w:tabs>
              <w:spacing w:before="0" w:after="0"/>
              <w:rPr>
                <w:rFonts w:cs="Arial"/>
                <w:szCs w:val="22"/>
              </w:rPr>
            </w:pPr>
            <w:r>
              <w:rPr>
                <w:rFonts w:cs="Arial"/>
                <w:szCs w:val="22"/>
              </w:rPr>
              <w:t>The training course will be conducted in English Language.</w:t>
            </w:r>
            <w:r w:rsidR="00BC3F02">
              <w:rPr>
                <w:rFonts w:cs="Arial"/>
                <w:szCs w:val="22"/>
              </w:rPr>
              <w:t xml:space="preserve"> </w:t>
            </w:r>
            <w:r w:rsidR="00926DC6" w:rsidRPr="00926DC6">
              <w:rPr>
                <w:rFonts w:cs="Arial"/>
                <w:szCs w:val="22"/>
              </w:rPr>
              <w:t xml:space="preserve">Registration will be carried out exclusively online on the following Website at: </w:t>
            </w:r>
          </w:p>
          <w:p w:rsidR="00926DC6" w:rsidRPr="00926DC6" w:rsidRDefault="00C77AE4" w:rsidP="00BC3F02">
            <w:pPr>
              <w:spacing w:before="0" w:after="0"/>
              <w:rPr>
                <w:rFonts w:cs="Arial"/>
                <w:szCs w:val="22"/>
              </w:rPr>
            </w:pPr>
            <w:hyperlink r:id="rId10" w:history="1">
              <w:r w:rsidR="00926DC6" w:rsidRPr="00926DC6">
                <w:rPr>
                  <w:rStyle w:val="Hyperlink"/>
                  <w:rFonts w:cs="Arial"/>
                  <w:szCs w:val="22"/>
                </w:rPr>
                <w:t>http://www.itu.int/online/regsys/ITU-D/workshop/edrs.registration.form?_eventid=4000128</w:t>
              </w:r>
            </w:hyperlink>
            <w:r w:rsidR="00926DC6" w:rsidRPr="00926DC6">
              <w:rPr>
                <w:rFonts w:cs="Arial"/>
                <w:szCs w:val="22"/>
              </w:rPr>
              <w:t xml:space="preserve">. </w:t>
            </w:r>
          </w:p>
          <w:p w:rsidR="00926DC6" w:rsidRPr="00926DC6" w:rsidRDefault="00926DC6" w:rsidP="00647E28">
            <w:pPr>
              <w:rPr>
                <w:rFonts w:cs="Arial"/>
                <w:szCs w:val="22"/>
              </w:rPr>
            </w:pPr>
            <w:r w:rsidRPr="00926DC6">
              <w:rPr>
                <w:rFonts w:cs="Arial"/>
                <w:szCs w:val="22"/>
              </w:rPr>
              <w:t xml:space="preserve">ITU will provide a limited number of </w:t>
            </w:r>
            <w:r w:rsidR="00931C96">
              <w:rPr>
                <w:rFonts w:cs="Arial"/>
                <w:szCs w:val="22"/>
              </w:rPr>
              <w:t xml:space="preserve">partial </w:t>
            </w:r>
            <w:r w:rsidRPr="00926DC6">
              <w:rPr>
                <w:rFonts w:cs="Arial"/>
                <w:szCs w:val="22"/>
              </w:rPr>
              <w:t>fellowships to one participant per eligible country within the available budget. Priority will be given to representatives from the</w:t>
            </w:r>
            <w:r w:rsidR="00025123">
              <w:rPr>
                <w:rFonts w:cs="Arial"/>
                <w:szCs w:val="22"/>
              </w:rPr>
              <w:t xml:space="preserve"> governments in</w:t>
            </w:r>
            <w:r w:rsidRPr="00926DC6">
              <w:rPr>
                <w:rFonts w:cs="Arial"/>
                <w:szCs w:val="22"/>
              </w:rPr>
              <w:t xml:space="preserve"> Least Developed Countries and Low income countries. Participants requiring a fellowship are requested to complete the attached Fellowship Request Form in Annex 4 and return it to the ITU by fax to +41 22 730 5778 no later than </w:t>
            </w:r>
            <w:r w:rsidRPr="00F21B95">
              <w:rPr>
                <w:rFonts w:cs="Arial"/>
                <w:szCs w:val="22"/>
              </w:rPr>
              <w:t>20 August 2012</w:t>
            </w:r>
            <w:r w:rsidRPr="00926DC6">
              <w:rPr>
                <w:rFonts w:cs="Arial"/>
                <w:szCs w:val="22"/>
              </w:rPr>
              <w:t>.</w:t>
            </w:r>
          </w:p>
          <w:p w:rsidR="00926DC6" w:rsidRPr="00926DC6" w:rsidRDefault="00926DC6" w:rsidP="00647E28">
            <w:pPr>
              <w:rPr>
                <w:rFonts w:cs="Arial"/>
                <w:szCs w:val="22"/>
              </w:rPr>
            </w:pPr>
            <w:r w:rsidRPr="00F21B95">
              <w:rPr>
                <w:rFonts w:cs="Arial"/>
                <w:szCs w:val="22"/>
              </w:rPr>
              <w:t>Hotel reservations should be made directly with your chosen hotel using the hotel reservation form (Annex 3).</w:t>
            </w:r>
            <w:r w:rsidRPr="00926DC6">
              <w:rPr>
                <w:rFonts w:cs="Arial"/>
                <w:szCs w:val="22"/>
              </w:rPr>
              <w:t xml:space="preserve"> For practical reasons relating to logistics, the number of participants will need to be limited to 25.  In case of more than two participants registering from the same country, we would place them on the waiting list that would be cleared on a first come first served basis after the last date for registration, with the aim of including as many participating countries as possible.  </w:t>
            </w:r>
          </w:p>
          <w:p w:rsidR="00926DC6" w:rsidRPr="00926DC6" w:rsidRDefault="00926DC6" w:rsidP="00647E28">
            <w:pPr>
              <w:rPr>
                <w:rFonts w:cs="Arial"/>
                <w:color w:val="000000"/>
                <w:szCs w:val="22"/>
              </w:rPr>
            </w:pPr>
            <w:r w:rsidRPr="00926DC6">
              <w:rPr>
                <w:rFonts w:cs="Arial"/>
                <w:bCs/>
                <w:szCs w:val="22"/>
              </w:rPr>
              <w:t>Information concerning hotel reservations, visa requests, as well as practical information is attached (Annex 2), and is also available at event website at:</w:t>
            </w:r>
            <w:r w:rsidRPr="00926DC6">
              <w:rPr>
                <w:rFonts w:cs="Arial"/>
                <w:szCs w:val="22"/>
              </w:rPr>
              <w:t xml:space="preserve"> </w:t>
            </w:r>
            <w:hyperlink r:id="rId11" w:history="1">
              <w:r w:rsidRPr="00926DC6">
                <w:rPr>
                  <w:rStyle w:val="Hyperlink"/>
                  <w:rFonts w:cs="Arial"/>
                  <w:szCs w:val="22"/>
                </w:rPr>
                <w:t>http://www.itu.int/ITU-D/finance/</w:t>
              </w:r>
            </w:hyperlink>
            <w:r w:rsidRPr="00926DC6">
              <w:rPr>
                <w:rFonts w:cs="Arial"/>
                <w:color w:val="000000"/>
                <w:szCs w:val="22"/>
              </w:rPr>
              <w:t xml:space="preserve">.  Those participants requiring an entry visa to Egypt are requested to contact their local Embassy for information well in advance.  </w:t>
            </w:r>
          </w:p>
          <w:p w:rsidR="00926DC6" w:rsidRPr="00926DC6" w:rsidRDefault="00926DC6" w:rsidP="00647E28">
            <w:pPr>
              <w:rPr>
                <w:rFonts w:cs="Arial"/>
                <w:szCs w:val="22"/>
              </w:rPr>
            </w:pPr>
            <w:r w:rsidRPr="00926DC6">
              <w:rPr>
                <w:rFonts w:cs="Arial"/>
                <w:szCs w:val="22"/>
              </w:rPr>
              <w:t xml:space="preserve">Please note that there are no training fees applicable to this course. However, participants should cover their own travel and accommodation expenses and arrangements. </w:t>
            </w:r>
          </w:p>
          <w:p w:rsidR="00926DC6" w:rsidRPr="00926DC6" w:rsidRDefault="00926DC6" w:rsidP="00C1067C">
            <w:pPr>
              <w:ind w:right="323"/>
              <w:rPr>
                <w:rFonts w:cs="Arial"/>
                <w:szCs w:val="22"/>
              </w:rPr>
            </w:pPr>
            <w:r w:rsidRPr="00926DC6">
              <w:rPr>
                <w:rFonts w:cs="Arial"/>
                <w:szCs w:val="22"/>
              </w:rPr>
              <w:t xml:space="preserve">For further information please do not hesitate to contact: </w:t>
            </w:r>
            <w:proofErr w:type="spellStart"/>
            <w:r w:rsidRPr="00926DC6">
              <w:rPr>
                <w:rFonts w:cs="Arial"/>
                <w:szCs w:val="22"/>
              </w:rPr>
              <w:t>Mrs</w:t>
            </w:r>
            <w:proofErr w:type="spellEnd"/>
            <w:r w:rsidRPr="00926DC6">
              <w:rPr>
                <w:rFonts w:cs="Arial"/>
                <w:szCs w:val="22"/>
              </w:rPr>
              <w:t xml:space="preserve"> Nefertiti Ali, Tel: +202 35 37 1777, Fax: +202 35 371888</w:t>
            </w:r>
            <w:r w:rsidR="00C430EF">
              <w:rPr>
                <w:rFonts w:cs="Arial"/>
                <w:szCs w:val="22"/>
              </w:rPr>
              <w:t xml:space="preserve"> </w:t>
            </w:r>
            <w:r w:rsidRPr="00926DC6">
              <w:rPr>
                <w:rFonts w:cs="Arial"/>
                <w:szCs w:val="22"/>
              </w:rPr>
              <w:t xml:space="preserve">and E-mail: </w:t>
            </w:r>
            <w:hyperlink r:id="rId12" w:history="1">
              <w:r w:rsidRPr="00926DC6">
                <w:rPr>
                  <w:rStyle w:val="Hyperlink"/>
                  <w:rFonts w:cs="Arial"/>
                  <w:szCs w:val="22"/>
                </w:rPr>
                <w:t>Nefertiti.ali@itu.int</w:t>
              </w:r>
            </w:hyperlink>
            <w:r w:rsidRPr="00926DC6">
              <w:rPr>
                <w:rFonts w:cs="Arial"/>
                <w:szCs w:val="22"/>
              </w:rPr>
              <w:t>.</w:t>
            </w:r>
          </w:p>
          <w:p w:rsidR="00926DC6" w:rsidRPr="00926DC6" w:rsidRDefault="00926DC6" w:rsidP="00647E28">
            <w:pPr>
              <w:rPr>
                <w:rFonts w:cs="Arial"/>
                <w:szCs w:val="22"/>
              </w:rPr>
            </w:pPr>
            <w:r w:rsidRPr="00926DC6">
              <w:rPr>
                <w:rFonts w:cs="Arial"/>
                <w:szCs w:val="22"/>
              </w:rPr>
              <w:t>I look forward to active participation from your organization.</w:t>
            </w:r>
          </w:p>
          <w:p w:rsidR="00926DC6" w:rsidRPr="00926DC6" w:rsidRDefault="00926DC6" w:rsidP="00EF521E">
            <w:pPr>
              <w:tabs>
                <w:tab w:val="left" w:pos="0"/>
              </w:tabs>
              <w:jc w:val="both"/>
              <w:rPr>
                <w:rFonts w:cs="Arial"/>
                <w:szCs w:val="22"/>
              </w:rPr>
            </w:pPr>
            <w:r w:rsidRPr="00926DC6">
              <w:rPr>
                <w:rFonts w:cs="Arial"/>
                <w:szCs w:val="22"/>
              </w:rPr>
              <w:t>Yours faithfully,</w:t>
            </w:r>
          </w:p>
          <w:p w:rsidR="00926DC6" w:rsidRDefault="00926DC6">
            <w:pPr>
              <w:pStyle w:val="BDTOriginalSigned"/>
              <w:rPr>
                <w:color w:val="FFFFFF" w:themeColor="background1"/>
                <w:lang w:val="en-US"/>
              </w:rPr>
            </w:pPr>
            <w:r w:rsidRPr="00926DC6">
              <w:rPr>
                <w:color w:val="FFFFFF" w:themeColor="background1"/>
                <w:lang w:val="en-US"/>
              </w:rPr>
              <w:t xml:space="preserve"> [Original signed]</w:t>
            </w:r>
          </w:p>
          <w:p w:rsidR="008B44B1" w:rsidRPr="008B44B1" w:rsidRDefault="008B44B1" w:rsidP="008B44B1">
            <w:pPr>
              <w:pStyle w:val="BDTSignatureName"/>
              <w:rPr>
                <w:lang w:val="en-US" w:eastAsia="zh-CN"/>
              </w:rPr>
            </w:pPr>
          </w:p>
          <w:p w:rsidR="00926DC6" w:rsidRPr="005E5CFE" w:rsidRDefault="00926DC6" w:rsidP="001A2D6F">
            <w:pPr>
              <w:pStyle w:val="BDTSignatureName"/>
              <w:spacing w:before="0"/>
              <w:rPr>
                <w:lang w:val="en-US"/>
              </w:rPr>
            </w:pPr>
            <w:bookmarkStart w:id="5" w:name="Signature"/>
            <w:bookmarkEnd w:id="5"/>
            <w:r w:rsidRPr="005E5CFE">
              <w:rPr>
                <w:lang w:val="en-US"/>
              </w:rPr>
              <w:t>Brahima Sanou</w:t>
            </w:r>
          </w:p>
          <w:p w:rsidR="00926DC6" w:rsidRPr="005E5CFE" w:rsidRDefault="00926DC6" w:rsidP="001A2D6F">
            <w:pPr>
              <w:pStyle w:val="BDTSignatureName"/>
              <w:spacing w:before="0"/>
              <w:rPr>
                <w:lang w:val="en-US"/>
              </w:rPr>
            </w:pPr>
            <w:r w:rsidRPr="005E5CFE">
              <w:rPr>
                <w:lang w:val="en-US"/>
              </w:rPr>
              <w:t>Director</w:t>
            </w:r>
          </w:p>
          <w:p w:rsidR="00F21B95" w:rsidRPr="005E5CFE" w:rsidRDefault="00F21B95" w:rsidP="00F21B95">
            <w:pPr>
              <w:pStyle w:val="BDTCopie"/>
              <w:spacing w:before="0" w:after="0"/>
              <w:rPr>
                <w:rFonts w:cs="Arial"/>
                <w:color w:val="auto"/>
                <w:lang w:val="en-US"/>
              </w:rPr>
            </w:pPr>
          </w:p>
          <w:p w:rsidR="00F21B95" w:rsidRPr="005E5CFE" w:rsidRDefault="00F21B95" w:rsidP="00F21B95">
            <w:pPr>
              <w:pStyle w:val="BDTCopie"/>
              <w:spacing w:before="0" w:after="0"/>
              <w:rPr>
                <w:rFonts w:cs="Arial"/>
                <w:color w:val="auto"/>
                <w:lang w:val="en-US"/>
              </w:rPr>
            </w:pPr>
          </w:p>
          <w:p w:rsidR="00926DC6" w:rsidRPr="005E5CFE" w:rsidRDefault="00926DC6" w:rsidP="00F21B95">
            <w:pPr>
              <w:pStyle w:val="BDTCopie"/>
              <w:spacing w:before="0" w:after="0"/>
              <w:rPr>
                <w:rFonts w:cs="Arial"/>
                <w:color w:val="auto"/>
                <w:lang w:val="en-US"/>
              </w:rPr>
            </w:pPr>
            <w:r w:rsidRPr="005E5CFE">
              <w:rPr>
                <w:rFonts w:cs="Arial"/>
                <w:color w:val="auto"/>
                <w:lang w:val="en-US"/>
              </w:rPr>
              <w:t>A</w:t>
            </w:r>
            <w:r w:rsidR="00146B56">
              <w:rPr>
                <w:rFonts w:cs="Arial"/>
                <w:color w:val="auto"/>
                <w:lang w:val="en-US"/>
              </w:rPr>
              <w:t xml:space="preserve">nnex 1: – Provisional </w:t>
            </w:r>
            <w:proofErr w:type="spellStart"/>
            <w:r w:rsidR="00146B56">
              <w:rPr>
                <w:rFonts w:cs="Arial"/>
                <w:color w:val="auto"/>
                <w:lang w:val="en-US"/>
              </w:rPr>
              <w:t>Programme</w:t>
            </w:r>
            <w:proofErr w:type="spellEnd"/>
          </w:p>
          <w:p w:rsidR="00926DC6" w:rsidRPr="00926DC6" w:rsidRDefault="00926DC6" w:rsidP="00F21B95">
            <w:pPr>
              <w:pStyle w:val="BDTCopie"/>
              <w:spacing w:before="0" w:after="0"/>
              <w:rPr>
                <w:rFonts w:cs="Arial"/>
                <w:color w:val="auto"/>
                <w:lang w:val="en-GB"/>
              </w:rPr>
            </w:pPr>
            <w:r w:rsidRPr="00926DC6">
              <w:rPr>
                <w:rFonts w:cs="Arial"/>
                <w:color w:val="auto"/>
                <w:lang w:val="en-GB"/>
              </w:rPr>
              <w:t>Annex 2: – Usef</w:t>
            </w:r>
            <w:r w:rsidR="00146B56">
              <w:rPr>
                <w:rFonts w:cs="Arial"/>
                <w:color w:val="auto"/>
                <w:lang w:val="en-GB"/>
              </w:rPr>
              <w:t>ul information for participants</w:t>
            </w:r>
          </w:p>
          <w:p w:rsidR="00926DC6" w:rsidRPr="00926DC6" w:rsidRDefault="00926DC6" w:rsidP="00F21B95">
            <w:pPr>
              <w:pStyle w:val="BDTCopie"/>
              <w:spacing w:before="0" w:after="0"/>
              <w:rPr>
                <w:rFonts w:cs="Arial"/>
                <w:color w:val="auto"/>
                <w:lang w:val="en-GB"/>
              </w:rPr>
            </w:pPr>
            <w:r w:rsidRPr="00926DC6">
              <w:rPr>
                <w:rFonts w:cs="Arial"/>
                <w:color w:val="auto"/>
                <w:lang w:val="en-GB"/>
              </w:rPr>
              <w:t xml:space="preserve">Annex 3: – Hotel </w:t>
            </w:r>
            <w:r w:rsidR="00146B56">
              <w:rPr>
                <w:rFonts w:cs="Arial"/>
                <w:color w:val="auto"/>
                <w:lang w:val="en-GB"/>
              </w:rPr>
              <w:t>Reservation Form</w:t>
            </w:r>
          </w:p>
          <w:p w:rsidR="00926DC6" w:rsidRDefault="00926DC6" w:rsidP="00F21B95">
            <w:pPr>
              <w:spacing w:before="0" w:after="0"/>
              <w:rPr>
                <w:rFonts w:cs="Arial"/>
                <w:lang w:val="en-GB"/>
              </w:rPr>
            </w:pPr>
            <w:r w:rsidRPr="00926DC6">
              <w:rPr>
                <w:rFonts w:cs="Arial"/>
                <w:lang w:val="en-GB"/>
              </w:rPr>
              <w:t>Ann</w:t>
            </w:r>
            <w:r w:rsidR="001A7990">
              <w:rPr>
                <w:rFonts w:cs="Arial"/>
                <w:lang w:val="en-GB"/>
              </w:rPr>
              <w:t>ex 4: – Fellowship Request Form</w:t>
            </w:r>
            <w:bookmarkStart w:id="6" w:name="_GoBack"/>
            <w:bookmarkEnd w:id="6"/>
          </w:p>
          <w:p w:rsidR="00926DC6" w:rsidRDefault="00926DC6" w:rsidP="00F21B95">
            <w:pPr>
              <w:spacing w:before="0" w:after="0"/>
              <w:rPr>
                <w:rFonts w:cs="Arial"/>
                <w:lang w:val="en-GB"/>
              </w:rPr>
            </w:pPr>
          </w:p>
          <w:p w:rsidR="00926DC6" w:rsidRDefault="00926DC6" w:rsidP="00926DC6">
            <w:pPr>
              <w:spacing w:before="0" w:after="0"/>
              <w:rPr>
                <w:rFonts w:cs="Arial"/>
                <w:lang w:val="en-GB"/>
              </w:rPr>
            </w:pPr>
          </w:p>
          <w:p w:rsidR="00926DC6" w:rsidRPr="001A7990" w:rsidRDefault="00926DC6" w:rsidP="00A75601">
            <w:pPr>
              <w:spacing w:before="0" w:after="0"/>
              <w:rPr>
                <w:rFonts w:cs="Arial"/>
                <w:color w:val="FFFFFF" w:themeColor="background1"/>
                <w:lang w:val="en-GB"/>
              </w:rPr>
            </w:pPr>
            <w:r w:rsidRPr="001A7990">
              <w:rPr>
                <w:rFonts w:cs="Arial"/>
                <w:color w:val="FFFFFF" w:themeColor="background1"/>
                <w:lang w:val="en-GB"/>
              </w:rPr>
              <w:t xml:space="preserve">Visa: </w:t>
            </w:r>
            <w:r w:rsidRPr="001A7990">
              <w:rPr>
                <w:rFonts w:cs="Arial"/>
                <w:color w:val="FFFFFF" w:themeColor="background1"/>
                <w:lang w:val="en-GB"/>
              </w:rPr>
              <w:tab/>
            </w:r>
            <w:r w:rsidR="005E5CFE" w:rsidRPr="001A7990">
              <w:rPr>
                <w:rFonts w:cs="Arial"/>
                <w:color w:val="FFFFFF" w:themeColor="background1"/>
                <w:lang w:val="en-GB"/>
              </w:rPr>
              <w:t xml:space="preserve">E. </w:t>
            </w:r>
            <w:r w:rsidR="005E5CFE" w:rsidRPr="001A7990">
              <w:rPr>
                <w:rFonts w:ascii="Verdana" w:hAnsi="Verdana"/>
                <w:color w:val="FFFFFF" w:themeColor="background1"/>
                <w:sz w:val="18"/>
                <w:szCs w:val="18"/>
              </w:rPr>
              <w:t>AL-HADDAD</w:t>
            </w:r>
            <w:r w:rsidR="00A75601" w:rsidRPr="001A7990">
              <w:rPr>
                <w:rFonts w:ascii="Verdana" w:hAnsi="Verdana"/>
                <w:color w:val="FFFFFF" w:themeColor="background1"/>
                <w:sz w:val="18"/>
                <w:szCs w:val="18"/>
              </w:rPr>
              <w:t xml:space="preserve"> </w:t>
            </w:r>
            <w:r w:rsidR="005E5CFE" w:rsidRPr="001A7990">
              <w:rPr>
                <w:rFonts w:ascii="Verdana" w:hAnsi="Verdana"/>
                <w:color w:val="FFFFFF" w:themeColor="background1"/>
                <w:sz w:val="18"/>
                <w:szCs w:val="18"/>
              </w:rPr>
              <w:t>/</w:t>
            </w:r>
            <w:r w:rsidR="00A75601" w:rsidRPr="001A7990">
              <w:rPr>
                <w:rFonts w:ascii="Verdana" w:hAnsi="Verdana"/>
                <w:color w:val="FFFFFF" w:themeColor="background1"/>
                <w:sz w:val="18"/>
                <w:szCs w:val="18"/>
              </w:rPr>
              <w:t xml:space="preserve"> </w:t>
            </w:r>
            <w:r w:rsidR="00146B56" w:rsidRPr="001A7990">
              <w:rPr>
                <w:rFonts w:cs="Arial"/>
                <w:color w:val="FFFFFF" w:themeColor="background1"/>
                <w:lang w:val="en-GB"/>
              </w:rPr>
              <w:t xml:space="preserve">M. Fall / M. </w:t>
            </w:r>
            <w:proofErr w:type="gramStart"/>
            <w:r w:rsidR="00146B56" w:rsidRPr="001A7990">
              <w:rPr>
                <w:rFonts w:cs="Arial"/>
                <w:color w:val="FFFFFF" w:themeColor="background1"/>
                <w:lang w:val="en-GB"/>
              </w:rPr>
              <w:t xml:space="preserve">Maniewicz </w:t>
            </w:r>
            <w:r w:rsidR="001A7990" w:rsidRPr="001A7990">
              <w:rPr>
                <w:rFonts w:cs="Arial"/>
                <w:color w:val="FFFFFF" w:themeColor="background1"/>
                <w:lang w:val="en-GB"/>
              </w:rPr>
              <w:t xml:space="preserve"> </w:t>
            </w:r>
            <w:r w:rsidR="00146B56" w:rsidRPr="001A7990">
              <w:rPr>
                <w:rFonts w:cs="Arial"/>
                <w:color w:val="FFFFFF" w:themeColor="background1"/>
                <w:lang w:val="en-GB"/>
              </w:rPr>
              <w:t>/</w:t>
            </w:r>
            <w:proofErr w:type="gramEnd"/>
            <w:r w:rsidR="001A7990" w:rsidRPr="001A7990">
              <w:rPr>
                <w:rFonts w:cs="Arial"/>
                <w:color w:val="FFFFFF" w:themeColor="background1"/>
                <w:lang w:val="en-GB"/>
              </w:rPr>
              <w:t xml:space="preserve"> </w:t>
            </w:r>
            <w:r w:rsidR="00146B56" w:rsidRPr="001A7990">
              <w:rPr>
                <w:rFonts w:cs="Arial"/>
                <w:color w:val="FFFFFF" w:themeColor="background1"/>
                <w:lang w:val="en-GB"/>
              </w:rPr>
              <w:t>J-P. Lovato</w:t>
            </w:r>
          </w:p>
          <w:p w:rsidR="00926DC6" w:rsidRPr="00B7636F" w:rsidRDefault="00926DC6" w:rsidP="0011731C">
            <w:pPr>
              <w:pStyle w:val="BDTCopie"/>
              <w:rPr>
                <w:lang w:val="en-US"/>
              </w:rPr>
            </w:pPr>
          </w:p>
        </w:tc>
      </w:tr>
    </w:tbl>
    <w:p w:rsidR="00563963" w:rsidRPr="00B7636F" w:rsidRDefault="00563963" w:rsidP="00F21B95">
      <w:pPr>
        <w:pStyle w:val="BDTEndReturn"/>
        <w:rPr>
          <w:lang w:val="en-US"/>
        </w:rPr>
      </w:pPr>
    </w:p>
    <w:sectPr w:rsidR="00563963" w:rsidRPr="00B7636F" w:rsidSect="00563963">
      <w:headerReference w:type="even" r:id="rId13"/>
      <w:headerReference w:type="default" r:id="rId14"/>
      <w:headerReference w:type="first" r:id="rId15"/>
      <w:footerReference w:type="first" r:id="rId16"/>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E4" w:rsidRDefault="00C77AE4">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C77AE4" w:rsidRDefault="00C77AE4">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C77AE4" w:rsidRDefault="00C77AE4"/>
  </w:endnote>
  <w:endnote w:type="continuationSeparator" w:id="0">
    <w:p w:rsidR="00C77AE4" w:rsidRDefault="00C77AE4">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C77AE4" w:rsidRDefault="00C77AE4">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C77AE4" w:rsidRDefault="00C77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bertus Medium">
    <w:panose1 w:val="00000000000000000000"/>
    <w:charset w:val="EE"/>
    <w:family w:val="swiss"/>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E4" w:rsidRDefault="00C77AE4">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w:t>
    </w:r>
    <w:proofErr w:type="spellStart"/>
    <w:r>
      <w:t>itu-d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E4" w:rsidRDefault="00C77AE4">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C77AE4" w:rsidRDefault="00C77AE4">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C77AE4" w:rsidRDefault="00C77AE4"/>
  </w:footnote>
  <w:footnote w:type="continuationSeparator" w:id="0">
    <w:p w:rsidR="00C77AE4" w:rsidRDefault="00C77AE4">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C77AE4" w:rsidRDefault="00C77AE4">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C77AE4" w:rsidRDefault="00C77A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E4" w:rsidRDefault="00C77AE4">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1A7990">
      <w:rPr>
        <w:rStyle w:val="PageNumber"/>
        <w:rFonts w:cs="Traditional Arabic"/>
        <w:noProof/>
      </w:rPr>
      <w:t>2</w:t>
    </w:r>
    <w:r>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E4" w:rsidRDefault="00C77AE4">
    <w:pPr>
      <w:tabs>
        <w:tab w:val="left" w:pos="794"/>
        <w:tab w:val="left" w:pos="1191"/>
        <w:tab w:val="left" w:pos="1588"/>
        <w:tab w:val="left" w:pos="1985"/>
      </w:tabs>
      <w:overflowPunct w:val="0"/>
      <w:autoSpaceDE w:val="0"/>
      <w:autoSpaceDN w:val="0"/>
      <w:adjustRightInd w:val="0"/>
      <w:spacing w:before="160" w:line="280" w:lineRule="exact"/>
      <w:textAlignment w:val="baseline"/>
    </w:pPr>
    <w:r>
      <w:tab/>
    </w:r>
    <w:r>
      <w:tab/>
    </w:r>
    <w:r>
      <w:rPr>
        <w:i/>
      </w:rPr>
      <w:fldChar w:fldCharType="begin"/>
    </w:r>
    <w:r>
      <w:rPr>
        <w:i/>
      </w:rPr>
      <w:instrText xml:space="preserve"> PAGE  \* MERGEFORMAT </w:instrText>
    </w:r>
    <w:r>
      <w:rPr>
        <w:i/>
      </w:rPr>
      <w:fldChar w:fldCharType="separate"/>
    </w:r>
    <w:r>
      <w:rPr>
        <w:i/>
        <w:noProof/>
      </w:rPr>
      <w:t>3</w:t>
    </w:r>
    <w:r>
      <w:rPr>
        <w:i/>
      </w:rPr>
      <w:fldChar w:fldCharType="end"/>
    </w:r>
  </w:p>
  <w:p w:rsidR="00C77AE4" w:rsidRDefault="00C77AE4">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C77AE4" w:rsidRDefault="00C77A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E4" w:rsidRDefault="00C77AE4">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
      </v:shape>
    </w:pict>
  </w:numPicBullet>
  <w:abstractNum w:abstractNumId="0">
    <w:nsid w:val="FFFFFF7C"/>
    <w:multiLevelType w:val="singleLevel"/>
    <w:tmpl w:val="489870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55E1A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6C0FF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0D682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6E58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4EA1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FE20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724D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72B7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AF2E5AA"/>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9A00011"/>
    <w:multiLevelType w:val="hybridMultilevel"/>
    <w:tmpl w:val="8FD8F0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0D9125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453403D"/>
    <w:multiLevelType w:val="hybridMultilevel"/>
    <w:tmpl w:val="3E5CE034"/>
    <w:lvl w:ilvl="0" w:tplc="A1666656">
      <w:start w:val="1"/>
      <w:numFmt w:val="lowerLetter"/>
      <w:lvlText w:val="%1."/>
      <w:lvlJc w:val="left"/>
      <w:pPr>
        <w:tabs>
          <w:tab w:val="num" w:pos="397"/>
        </w:tabs>
        <w:ind w:left="397" w:hanging="397"/>
      </w:pPr>
      <w:rPr>
        <w:rFonts w:ascii="Calibri" w:hAnsi="Calibri" w:cs="Albertus Medium"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7"/>
  </w:num>
  <w:num w:numId="2">
    <w:abstractNumId w:val="27"/>
  </w:num>
  <w:num w:numId="3">
    <w:abstractNumId w:val="22"/>
  </w:num>
  <w:num w:numId="4">
    <w:abstractNumId w:val="21"/>
  </w:num>
  <w:num w:numId="5">
    <w:abstractNumId w:val="19"/>
  </w:num>
  <w:num w:numId="6">
    <w:abstractNumId w:val="14"/>
  </w:num>
  <w:num w:numId="7">
    <w:abstractNumId w:val="24"/>
  </w:num>
  <w:num w:numId="8">
    <w:abstractNumId w:val="26"/>
  </w:num>
  <w:num w:numId="9">
    <w:abstractNumId w:val="23"/>
  </w:num>
  <w:num w:numId="10">
    <w:abstractNumId w:val="16"/>
  </w:num>
  <w:num w:numId="11">
    <w:abstractNumId w:val="27"/>
  </w:num>
  <w:num w:numId="12">
    <w:abstractNumId w:val="20"/>
    <w:lvlOverride w:ilvl="0">
      <w:startOverride w:val="1"/>
    </w:lvlOverride>
  </w:num>
  <w:num w:numId="13">
    <w:abstractNumId w:val="27"/>
  </w:num>
  <w:num w:numId="14">
    <w:abstractNumId w:val="27"/>
  </w:num>
  <w:num w:numId="15">
    <w:abstractNumId w:val="22"/>
  </w:num>
  <w:num w:numId="16">
    <w:abstractNumId w:val="21"/>
  </w:num>
  <w:num w:numId="17">
    <w:abstractNumId w:val="19"/>
  </w:num>
  <w:num w:numId="18">
    <w:abstractNumId w:val="14"/>
  </w:num>
  <w:num w:numId="19">
    <w:abstractNumId w:val="24"/>
  </w:num>
  <w:num w:numId="20">
    <w:abstractNumId w:val="26"/>
  </w:num>
  <w:num w:numId="21">
    <w:abstractNumId w:val="23"/>
  </w:num>
  <w:num w:numId="22">
    <w:abstractNumId w:val="16"/>
  </w:num>
  <w:num w:numId="23">
    <w:abstractNumId w:val="27"/>
  </w:num>
  <w:num w:numId="24">
    <w:abstractNumId w:val="20"/>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18"/>
  </w:num>
  <w:num w:numId="37">
    <w:abstractNumId w:val="22"/>
  </w:num>
  <w:num w:numId="38">
    <w:abstractNumId w:val="25"/>
  </w:num>
  <w:num w:numId="39">
    <w:abstractNumId w:val="27"/>
  </w:num>
  <w:num w:numId="40">
    <w:abstractNumId w:val="21"/>
  </w:num>
  <w:num w:numId="41">
    <w:abstractNumId w:val="19"/>
  </w:num>
  <w:num w:numId="42">
    <w:abstractNumId w:val="14"/>
  </w:num>
  <w:num w:numId="43">
    <w:abstractNumId w:val="24"/>
  </w:num>
  <w:num w:numId="44">
    <w:abstractNumId w:val="23"/>
  </w:num>
  <w:num w:numId="45">
    <w:abstractNumId w:val="16"/>
  </w:num>
  <w:num w:numId="46">
    <w:abstractNumId w:val="2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25123"/>
    <w:rsid w:val="000675E8"/>
    <w:rsid w:val="0007197C"/>
    <w:rsid w:val="000A5F8E"/>
    <w:rsid w:val="0011731C"/>
    <w:rsid w:val="00146B56"/>
    <w:rsid w:val="0015245D"/>
    <w:rsid w:val="00155B1B"/>
    <w:rsid w:val="001A2D6F"/>
    <w:rsid w:val="001A7990"/>
    <w:rsid w:val="00236672"/>
    <w:rsid w:val="0025433D"/>
    <w:rsid w:val="002E6D94"/>
    <w:rsid w:val="00301F69"/>
    <w:rsid w:val="0033597E"/>
    <w:rsid w:val="003754FF"/>
    <w:rsid w:val="00383665"/>
    <w:rsid w:val="00385294"/>
    <w:rsid w:val="003D7A84"/>
    <w:rsid w:val="00441769"/>
    <w:rsid w:val="004E2AE1"/>
    <w:rsid w:val="00563963"/>
    <w:rsid w:val="005E5CFE"/>
    <w:rsid w:val="00647E28"/>
    <w:rsid w:val="006D636E"/>
    <w:rsid w:val="006F09A7"/>
    <w:rsid w:val="007B29D4"/>
    <w:rsid w:val="008B44B1"/>
    <w:rsid w:val="00926DC6"/>
    <w:rsid w:val="00931C96"/>
    <w:rsid w:val="0094111F"/>
    <w:rsid w:val="0097562D"/>
    <w:rsid w:val="00A36A75"/>
    <w:rsid w:val="00A40542"/>
    <w:rsid w:val="00A6725B"/>
    <w:rsid w:val="00A75601"/>
    <w:rsid w:val="00A841B4"/>
    <w:rsid w:val="00B16D09"/>
    <w:rsid w:val="00B7636F"/>
    <w:rsid w:val="00B8108B"/>
    <w:rsid w:val="00BB7384"/>
    <w:rsid w:val="00BC3F02"/>
    <w:rsid w:val="00C1067C"/>
    <w:rsid w:val="00C430EF"/>
    <w:rsid w:val="00C463A4"/>
    <w:rsid w:val="00C77AE4"/>
    <w:rsid w:val="00CB37B7"/>
    <w:rsid w:val="00DA6FD5"/>
    <w:rsid w:val="00DB600F"/>
    <w:rsid w:val="00DF26C3"/>
    <w:rsid w:val="00EF521E"/>
    <w:rsid w:val="00F21B95"/>
    <w:rsid w:val="00F63A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uiPriority w:val="99"/>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39"/>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uiPriority w:val="99"/>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7"/>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46"/>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40"/>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41"/>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42"/>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43"/>
      </w:numPr>
      <w:spacing w:before="60" w:after="60"/>
      <w:ind w:right="709"/>
    </w:pPr>
    <w:rPr>
      <w:rFonts w:eastAsia="SimHei"/>
    </w:rPr>
  </w:style>
  <w:style w:type="paragraph" w:customStyle="1" w:styleId="BDTindent-abc">
    <w:name w:val="BDT_indent-abc"/>
    <w:uiPriority w:val="99"/>
    <w:rsid w:val="00DB600F"/>
    <w:pPr>
      <w:numPr>
        <w:ilvl w:val="1"/>
        <w:numId w:val="20"/>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44"/>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45"/>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ascii="Calibri" w:eastAsia="SimSun" w:hAnsi="Calibri" w:cs="Times New Roman"/>
      <w:sz w:val="19"/>
      <w:szCs w:val="19"/>
      <w:lang w:val="en-GB" w:eastAsia="en-US" w:bidi="ar-SA"/>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CEOAddressee">
    <w:name w:val="CEO_Addressee"/>
    <w:basedOn w:val="Normal"/>
    <w:uiPriority w:val="99"/>
    <w:rsid w:val="0011731C"/>
    <w:pPr>
      <w:spacing w:before="0" w:after="0"/>
    </w:pPr>
    <w:rPr>
      <w:rFonts w:ascii="Verdana" w:hAnsi="Verdana" w:cs="Times New Roman"/>
      <w:sz w:val="19"/>
      <w:szCs w:val="20"/>
      <w:lang w:val="en-GB"/>
    </w:rPr>
  </w:style>
  <w:style w:type="paragraph" w:customStyle="1" w:styleId="FromRef">
    <w:name w:val="FromRef"/>
    <w:basedOn w:val="Normal"/>
    <w:rsid w:val="00926DC6"/>
    <w:pPr>
      <w:spacing w:before="30" w:after="0"/>
    </w:pPr>
    <w:rPr>
      <w:rFonts w:ascii="Arial" w:eastAsia="PMingLiU" w:hAnsi="Arial" w:cs="Times New Roman"/>
      <w:sz w:val="20"/>
      <w:szCs w:val="20"/>
      <w:lang w:bidi="he-IL"/>
    </w:rPr>
  </w:style>
  <w:style w:type="paragraph" w:customStyle="1" w:styleId="Object">
    <w:name w:val="Object"/>
    <w:basedOn w:val="Normal"/>
    <w:rsid w:val="00926DC6"/>
    <w:pPr>
      <w:spacing w:before="270" w:after="0"/>
    </w:pPr>
    <w:rPr>
      <w:rFonts w:ascii="Arial" w:eastAsia="PMingLiU" w:hAnsi="Arial" w:cs="Times New Roman"/>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uiPriority w:val="99"/>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39"/>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uiPriority w:val="99"/>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7"/>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46"/>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40"/>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41"/>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42"/>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43"/>
      </w:numPr>
      <w:spacing w:before="60" w:after="60"/>
      <w:ind w:right="709"/>
    </w:pPr>
    <w:rPr>
      <w:rFonts w:eastAsia="SimHei"/>
    </w:rPr>
  </w:style>
  <w:style w:type="paragraph" w:customStyle="1" w:styleId="BDTindent-abc">
    <w:name w:val="BDT_indent-abc"/>
    <w:uiPriority w:val="99"/>
    <w:rsid w:val="00DB600F"/>
    <w:pPr>
      <w:numPr>
        <w:ilvl w:val="1"/>
        <w:numId w:val="20"/>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44"/>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45"/>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ascii="Calibri" w:eastAsia="SimSun" w:hAnsi="Calibri" w:cs="Times New Roman"/>
      <w:sz w:val="19"/>
      <w:szCs w:val="19"/>
      <w:lang w:val="en-GB" w:eastAsia="en-US" w:bidi="ar-SA"/>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CEOAddressee">
    <w:name w:val="CEO_Addressee"/>
    <w:basedOn w:val="Normal"/>
    <w:uiPriority w:val="99"/>
    <w:rsid w:val="0011731C"/>
    <w:pPr>
      <w:spacing w:before="0" w:after="0"/>
    </w:pPr>
    <w:rPr>
      <w:rFonts w:ascii="Verdana" w:hAnsi="Verdana" w:cs="Times New Roman"/>
      <w:sz w:val="19"/>
      <w:szCs w:val="20"/>
      <w:lang w:val="en-GB"/>
    </w:rPr>
  </w:style>
  <w:style w:type="paragraph" w:customStyle="1" w:styleId="FromRef">
    <w:name w:val="FromRef"/>
    <w:basedOn w:val="Normal"/>
    <w:rsid w:val="00926DC6"/>
    <w:pPr>
      <w:spacing w:before="30" w:after="0"/>
    </w:pPr>
    <w:rPr>
      <w:rFonts w:ascii="Arial" w:eastAsia="PMingLiU" w:hAnsi="Arial" w:cs="Times New Roman"/>
      <w:sz w:val="20"/>
      <w:szCs w:val="20"/>
      <w:lang w:bidi="he-IL"/>
    </w:rPr>
  </w:style>
  <w:style w:type="paragraph" w:customStyle="1" w:styleId="Object">
    <w:name w:val="Object"/>
    <w:basedOn w:val="Normal"/>
    <w:rsid w:val="00926DC6"/>
    <w:pPr>
      <w:spacing w:before="270" w:after="0"/>
    </w:pPr>
    <w:rPr>
      <w:rFonts w:ascii="Arial" w:eastAsia="PMingLiU" w:hAnsi="Arial" w:cs="Times New Roman"/>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83682">
      <w:bodyDiv w:val="1"/>
      <w:marLeft w:val="0"/>
      <w:marRight w:val="0"/>
      <w:marTop w:val="0"/>
      <w:marBottom w:val="0"/>
      <w:divBdr>
        <w:top w:val="none" w:sz="0" w:space="0" w:color="auto"/>
        <w:left w:val="none" w:sz="0" w:space="0" w:color="auto"/>
        <w:bottom w:val="none" w:sz="0" w:space="0" w:color="auto"/>
        <w:right w:val="none" w:sz="0" w:space="0" w:color="auto"/>
      </w:divBdr>
    </w:div>
    <w:div w:id="1384909412">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efertiti.ali@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finance/"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online/regsys/ITU-D/workshop/edrs.registration.form?_eventid=4000128"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7145-2E1C-46CB-9C08-51F6BFF3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783</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Efrem Yosef</dc:creator>
  <cp:lastModifiedBy>Demoulin, Na</cp:lastModifiedBy>
  <cp:revision>10</cp:revision>
  <cp:lastPrinted>2012-07-09T12:15:00Z</cp:lastPrinted>
  <dcterms:created xsi:type="dcterms:W3CDTF">2012-07-09T11:54:00Z</dcterms:created>
  <dcterms:modified xsi:type="dcterms:W3CDTF">2012-07-09T12:23:00Z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