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97" w:rsidRPr="00202A64" w:rsidRDefault="00FE3F69" w:rsidP="00202A64">
      <w:pPr>
        <w:spacing w:after="120"/>
        <w:rPr>
          <w:b/>
          <w:bCs/>
          <w:sz w:val="36"/>
          <w:szCs w:val="36"/>
          <w:lang w:val="fr-CH"/>
        </w:rPr>
      </w:pPr>
      <w:r w:rsidRPr="00202A64">
        <w:rPr>
          <w:b/>
          <w:bCs/>
          <w:sz w:val="36"/>
          <w:szCs w:val="36"/>
          <w:lang w:val="fr-CH"/>
        </w:rPr>
        <w:t>OBSTACLES À SURMONTER POUR METTRE LE LARGE BANDE À LA PORTÉE DE TOUS</w:t>
      </w:r>
    </w:p>
    <w:p w:rsidR="00202A64" w:rsidRDefault="002D6197" w:rsidP="00202A64">
      <w:pPr>
        <w:spacing w:after="120"/>
        <w:rPr>
          <w:b/>
          <w:bCs/>
          <w:szCs w:val="24"/>
          <w:lang w:val="fr-CH"/>
        </w:rPr>
      </w:pPr>
      <w:r w:rsidRPr="00202A64">
        <w:rPr>
          <w:b/>
          <w:bCs/>
          <w:szCs w:val="24"/>
          <w:lang w:val="fr-CH"/>
        </w:rPr>
        <w:t>Mardi 12 octobre</w:t>
      </w:r>
    </w:p>
    <w:p w:rsidR="002D6197" w:rsidRDefault="002D6197" w:rsidP="00202A6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pacing w:after="120"/>
        <w:rPr>
          <w:b/>
          <w:bCs/>
          <w:szCs w:val="24"/>
          <w:lang w:val="fr-CH"/>
        </w:rPr>
      </w:pPr>
      <w:r w:rsidRPr="00202A64">
        <w:rPr>
          <w:b/>
          <w:bCs/>
          <w:szCs w:val="24"/>
          <w:lang w:val="fr-CH"/>
        </w:rPr>
        <w:t>16</w:t>
      </w:r>
      <w:r w:rsidR="000668A4" w:rsidRPr="00202A64">
        <w:rPr>
          <w:b/>
          <w:bCs/>
          <w:szCs w:val="24"/>
          <w:lang w:val="fr-CH"/>
        </w:rPr>
        <w:t xml:space="preserve"> </w:t>
      </w:r>
      <w:r w:rsidRPr="00202A64">
        <w:rPr>
          <w:b/>
          <w:bCs/>
          <w:szCs w:val="24"/>
          <w:lang w:val="fr-CH"/>
        </w:rPr>
        <w:t>h</w:t>
      </w:r>
      <w:r w:rsidR="000668A4" w:rsidRPr="00202A64">
        <w:rPr>
          <w:b/>
          <w:bCs/>
          <w:szCs w:val="24"/>
          <w:lang w:val="fr-CH"/>
        </w:rPr>
        <w:t xml:space="preserve"> </w:t>
      </w:r>
      <w:r w:rsidRPr="00202A64">
        <w:rPr>
          <w:b/>
          <w:bCs/>
          <w:szCs w:val="24"/>
          <w:lang w:val="fr-CH"/>
        </w:rPr>
        <w:t>30-18</w:t>
      </w:r>
      <w:r w:rsidR="000668A4" w:rsidRPr="00202A64">
        <w:rPr>
          <w:b/>
          <w:bCs/>
          <w:szCs w:val="24"/>
          <w:lang w:val="fr-CH"/>
        </w:rPr>
        <w:t xml:space="preserve"> </w:t>
      </w:r>
      <w:r w:rsidRPr="00202A64">
        <w:rPr>
          <w:b/>
          <w:bCs/>
          <w:szCs w:val="24"/>
          <w:lang w:val="fr-CH"/>
        </w:rPr>
        <w:t>h</w:t>
      </w:r>
      <w:r w:rsidR="00FE3F69" w:rsidRPr="00202A64">
        <w:rPr>
          <w:b/>
          <w:bCs/>
          <w:szCs w:val="24"/>
          <w:lang w:val="fr-CH"/>
        </w:rPr>
        <w:t xml:space="preserve"> 00</w:t>
      </w:r>
      <w:r w:rsidR="00202A64">
        <w:rPr>
          <w:b/>
          <w:bCs/>
          <w:szCs w:val="24"/>
          <w:lang w:val="fr-CH"/>
        </w:rPr>
        <w:t xml:space="preserve"> </w:t>
      </w:r>
      <w:r w:rsidR="00202A64">
        <w:rPr>
          <w:b/>
          <w:bCs/>
          <w:szCs w:val="24"/>
          <w:lang w:val="fr-CH"/>
        </w:rPr>
        <w:tab/>
      </w:r>
      <w:r w:rsidR="00031752" w:rsidRPr="00202A64">
        <w:rPr>
          <w:b/>
          <w:bCs/>
          <w:szCs w:val="24"/>
          <w:lang w:val="fr-CH"/>
        </w:rPr>
        <w:t>S</w:t>
      </w:r>
      <w:r w:rsidR="000668A4" w:rsidRPr="00202A64">
        <w:rPr>
          <w:b/>
          <w:bCs/>
          <w:szCs w:val="24"/>
          <w:lang w:val="fr-CH"/>
        </w:rPr>
        <w:t>ession</w:t>
      </w:r>
      <w:r w:rsidR="00FE3F69" w:rsidRPr="00202A64">
        <w:rPr>
          <w:b/>
          <w:bCs/>
          <w:szCs w:val="24"/>
          <w:lang w:val="fr-CH"/>
        </w:rPr>
        <w:t xml:space="preserve"> SE.</w:t>
      </w:r>
      <w:r w:rsidR="00031752" w:rsidRPr="00202A64">
        <w:rPr>
          <w:b/>
          <w:bCs/>
          <w:szCs w:val="24"/>
          <w:lang w:val="fr-CH"/>
        </w:rPr>
        <w:t>1</w:t>
      </w:r>
      <w:r w:rsidRPr="00202A64">
        <w:rPr>
          <w:b/>
          <w:bCs/>
          <w:szCs w:val="24"/>
          <w:lang w:val="fr-CH"/>
        </w:rPr>
        <w:t xml:space="preserve"> </w:t>
      </w:r>
      <w:r w:rsidR="0061214B" w:rsidRPr="00202A64">
        <w:rPr>
          <w:b/>
          <w:bCs/>
          <w:szCs w:val="24"/>
          <w:lang w:val="fr-CH"/>
        </w:rPr>
        <w:t>-</w:t>
      </w:r>
      <w:r w:rsidRPr="00202A64">
        <w:rPr>
          <w:b/>
          <w:bCs/>
          <w:szCs w:val="24"/>
          <w:lang w:val="fr-CH"/>
        </w:rPr>
        <w:t xml:space="preserve"> </w:t>
      </w:r>
      <w:r w:rsidR="00FE3F69" w:rsidRPr="00202A64">
        <w:rPr>
          <w:b/>
          <w:bCs/>
          <w:szCs w:val="24"/>
          <w:lang w:val="fr-CH"/>
        </w:rPr>
        <w:t>S</w:t>
      </w:r>
      <w:r w:rsidRPr="00202A64">
        <w:rPr>
          <w:b/>
          <w:bCs/>
          <w:szCs w:val="24"/>
          <w:lang w:val="fr-CH"/>
        </w:rPr>
        <w:t>alle G</w:t>
      </w:r>
    </w:p>
    <w:p w:rsidR="00202A64" w:rsidRPr="00202A64" w:rsidRDefault="00202A64" w:rsidP="00202A64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leader="underscore" w:pos="9639"/>
        </w:tabs>
        <w:spacing w:before="120"/>
        <w:ind w:left="0" w:firstLine="0"/>
        <w:rPr>
          <w:sz w:val="36"/>
          <w:szCs w:val="36"/>
          <w:lang w:val="fr-CH"/>
        </w:rPr>
      </w:pPr>
      <w:r w:rsidRPr="00202A64">
        <w:rPr>
          <w:sz w:val="36"/>
          <w:szCs w:val="36"/>
          <w:lang w:val="fr-CH"/>
        </w:rPr>
        <w:tab/>
      </w:r>
    </w:p>
    <w:p w:rsidR="006125C2" w:rsidRDefault="006125C2" w:rsidP="00202A64">
      <w:pPr>
        <w:spacing w:before="360"/>
        <w:rPr>
          <w:lang w:val="fr-CH"/>
        </w:rPr>
      </w:pPr>
      <w:r>
        <w:rPr>
          <w:lang w:val="fr-CH"/>
        </w:rPr>
        <w:t xml:space="preserve">Bien que le proverbe </w:t>
      </w:r>
      <w:r w:rsidR="000668A4">
        <w:rPr>
          <w:lang w:val="fr-CH"/>
        </w:rPr>
        <w:t>"</w:t>
      </w:r>
      <w:proofErr w:type="spellStart"/>
      <w:r>
        <w:rPr>
          <w:lang w:val="fr-CH"/>
        </w:rPr>
        <w:t>build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it</w:t>
      </w:r>
      <w:proofErr w:type="spellEnd"/>
      <w:r>
        <w:rPr>
          <w:lang w:val="fr-CH"/>
        </w:rPr>
        <w:t xml:space="preserve"> and </w:t>
      </w:r>
      <w:proofErr w:type="spellStart"/>
      <w:r>
        <w:rPr>
          <w:lang w:val="fr-CH"/>
        </w:rPr>
        <w:t>they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will</w:t>
      </w:r>
      <w:proofErr w:type="spellEnd"/>
      <w:r>
        <w:rPr>
          <w:lang w:val="fr-CH"/>
        </w:rPr>
        <w:t xml:space="preserve"> come</w:t>
      </w:r>
      <w:r w:rsidR="000668A4">
        <w:rPr>
          <w:lang w:val="fr-CH"/>
        </w:rPr>
        <w:t>" (le besoin crée la nécessité)</w:t>
      </w:r>
      <w:r>
        <w:rPr>
          <w:lang w:val="fr-CH"/>
        </w:rPr>
        <w:t xml:space="preserve"> se soit vérifié </w:t>
      </w:r>
      <w:r w:rsidR="000668A4">
        <w:rPr>
          <w:lang w:val="fr-CH"/>
        </w:rPr>
        <w:t xml:space="preserve">avec une acuité </w:t>
      </w:r>
      <w:r>
        <w:rPr>
          <w:lang w:val="fr-CH"/>
        </w:rPr>
        <w:t>particulière</w:t>
      </w:r>
      <w:r w:rsidR="000668A4">
        <w:rPr>
          <w:lang w:val="fr-CH"/>
        </w:rPr>
        <w:t xml:space="preserve"> dans </w:t>
      </w:r>
      <w:r>
        <w:rPr>
          <w:lang w:val="fr-CH"/>
        </w:rPr>
        <w:t>les pays où le large bande s'est déjà largement imposé</w:t>
      </w:r>
      <w:r w:rsidR="000668A4">
        <w:rPr>
          <w:lang w:val="fr-CH"/>
        </w:rPr>
        <w:t>,</w:t>
      </w:r>
      <w:r>
        <w:rPr>
          <w:lang w:val="fr-CH"/>
        </w:rPr>
        <w:t xml:space="preserve"> </w:t>
      </w:r>
      <w:r w:rsidR="000668A4">
        <w:rPr>
          <w:lang w:val="fr-CH"/>
        </w:rPr>
        <w:t xml:space="preserve">par exemple </w:t>
      </w:r>
      <w:r>
        <w:rPr>
          <w:lang w:val="fr-CH"/>
        </w:rPr>
        <w:t>Singapour et la Corée du Sud, il faut encore surmonter de nombreux obstacles pour mettre le large bande à la portée de tous dans les pays développés comme dans les pays en développement.</w:t>
      </w:r>
    </w:p>
    <w:p w:rsidR="006125C2" w:rsidRDefault="006125C2" w:rsidP="00AE56F2">
      <w:pPr>
        <w:rPr>
          <w:lang w:val="fr-CH"/>
        </w:rPr>
      </w:pPr>
      <w:r>
        <w:rPr>
          <w:lang w:val="fr-CH"/>
        </w:rPr>
        <w:t xml:space="preserve">Dans ce contexte, nous </w:t>
      </w:r>
      <w:r w:rsidR="000668A4">
        <w:rPr>
          <w:lang w:val="fr-CH"/>
        </w:rPr>
        <w:t xml:space="preserve">sommes parvenus </w:t>
      </w:r>
      <w:r>
        <w:rPr>
          <w:lang w:val="fr-CH"/>
        </w:rPr>
        <w:t xml:space="preserve">à un tournant de l'histoire des télécommunications dans le monde. Des initiatives de politique générale </w:t>
      </w:r>
      <w:r w:rsidR="00B41BFE">
        <w:rPr>
          <w:lang w:val="fr-CH"/>
        </w:rPr>
        <w:t xml:space="preserve">novatrices </w:t>
      </w:r>
      <w:r>
        <w:rPr>
          <w:lang w:val="fr-CH"/>
        </w:rPr>
        <w:t>sont prises simultanément de Bruxelles à New Delhi et de Washington à Kigali</w:t>
      </w:r>
      <w:r w:rsidR="00B41BFE">
        <w:rPr>
          <w:lang w:val="fr-CH"/>
        </w:rPr>
        <w:t>,</w:t>
      </w:r>
      <w:r>
        <w:rPr>
          <w:lang w:val="fr-CH"/>
        </w:rPr>
        <w:t xml:space="preserve"> afin d</w:t>
      </w:r>
      <w:r w:rsidR="00B41BFE">
        <w:rPr>
          <w:lang w:val="fr-CH"/>
        </w:rPr>
        <w:t>e tirer parti des pot</w:t>
      </w:r>
      <w:r>
        <w:rPr>
          <w:lang w:val="fr-CH"/>
        </w:rPr>
        <w:t>entialités qu'offre le large bande au service</w:t>
      </w:r>
      <w:r w:rsidR="00A6020B">
        <w:rPr>
          <w:lang w:val="fr-CH"/>
        </w:rPr>
        <w:t xml:space="preserve"> du développement numérique. </w:t>
      </w:r>
      <w:r w:rsidR="00B41BFE">
        <w:rPr>
          <w:lang w:val="fr-CH"/>
        </w:rPr>
        <w:t xml:space="preserve">Ces initiatives constituent </w:t>
      </w:r>
      <w:r w:rsidR="00A6020B">
        <w:rPr>
          <w:lang w:val="fr-CH"/>
        </w:rPr>
        <w:t xml:space="preserve">donc une occasion unique de définir une </w:t>
      </w:r>
      <w:r w:rsidR="00B41BFE">
        <w:rPr>
          <w:lang w:val="fr-CH"/>
        </w:rPr>
        <w:t>conception</w:t>
      </w:r>
      <w:r w:rsidR="00A6020B">
        <w:rPr>
          <w:lang w:val="fr-CH"/>
        </w:rPr>
        <w:t xml:space="preserve"> commune de ce que l'on entend par </w:t>
      </w:r>
      <w:r w:rsidR="00B41BFE">
        <w:rPr>
          <w:lang w:val="fr-CH"/>
        </w:rPr>
        <w:t>"M</w:t>
      </w:r>
      <w:r w:rsidR="00A6020B">
        <w:rPr>
          <w:lang w:val="fr-CH"/>
        </w:rPr>
        <w:t>ettre le large bande à la portée de tous</w:t>
      </w:r>
      <w:r w:rsidR="00B41BFE">
        <w:rPr>
          <w:lang w:val="fr-CH"/>
        </w:rPr>
        <w:t>"</w:t>
      </w:r>
      <w:r w:rsidR="00A6020B">
        <w:rPr>
          <w:lang w:val="fr-CH"/>
        </w:rPr>
        <w:t>, dans la perspective des conférences décisives</w:t>
      </w:r>
      <w:r w:rsidR="00B41BFE">
        <w:rPr>
          <w:lang w:val="fr-CH"/>
        </w:rPr>
        <w:t xml:space="preserve"> de l'UIT</w:t>
      </w:r>
      <w:r w:rsidR="00A6020B">
        <w:rPr>
          <w:lang w:val="fr-CH"/>
        </w:rPr>
        <w:t xml:space="preserve"> sur les radiocommunications et la réglementation </w:t>
      </w:r>
      <w:r w:rsidR="00B41BFE">
        <w:rPr>
          <w:lang w:val="fr-CH"/>
        </w:rPr>
        <w:t>qui doivent avoir lieu en</w:t>
      </w:r>
      <w:r w:rsidR="00A6020B">
        <w:rPr>
          <w:lang w:val="fr-CH"/>
        </w:rPr>
        <w:t xml:space="preserve"> 201</w:t>
      </w:r>
      <w:r w:rsidR="00B41BFE">
        <w:rPr>
          <w:lang w:val="fr-CH"/>
        </w:rPr>
        <w:t xml:space="preserve">2 et qui se pencheront sur </w:t>
      </w:r>
      <w:r w:rsidR="00A6020B">
        <w:rPr>
          <w:lang w:val="fr-CH"/>
        </w:rPr>
        <w:t xml:space="preserve">les conséquences de la mise en place </w:t>
      </w:r>
      <w:r w:rsidR="00B41BFE">
        <w:rPr>
          <w:lang w:val="fr-CH"/>
        </w:rPr>
        <w:t xml:space="preserve">pour tous </w:t>
      </w:r>
      <w:r w:rsidR="00A6020B">
        <w:rPr>
          <w:lang w:val="fr-CH"/>
        </w:rPr>
        <w:t>de réseaux numériques placés sous le signe de la convergence.</w:t>
      </w:r>
    </w:p>
    <w:p w:rsidR="00A6020B" w:rsidRDefault="00A6020B" w:rsidP="00AE56F2">
      <w:pPr>
        <w:rPr>
          <w:lang w:val="fr-CH"/>
        </w:rPr>
      </w:pPr>
      <w:r>
        <w:rPr>
          <w:lang w:val="fr-CH"/>
        </w:rPr>
        <w:t>Dans le c</w:t>
      </w:r>
      <w:r w:rsidR="00B41BFE">
        <w:rPr>
          <w:lang w:val="fr-CH"/>
        </w:rPr>
        <w:t>ontexte</w:t>
      </w:r>
      <w:r>
        <w:rPr>
          <w:lang w:val="fr-CH"/>
        </w:rPr>
        <w:t xml:space="preserve"> de l'évolution </w:t>
      </w:r>
      <w:r w:rsidR="00B41BFE">
        <w:rPr>
          <w:lang w:val="fr-CH"/>
        </w:rPr>
        <w:t xml:space="preserve">du </w:t>
      </w:r>
      <w:r>
        <w:rPr>
          <w:lang w:val="fr-CH"/>
        </w:rPr>
        <w:t>numérique dans le monde, certaines questions essentielles sont au bout du compte examinées par toutes les parties prenantes concernées, en particulier dans le cadre de la Commission "</w:t>
      </w:r>
      <w:r w:rsidR="00B41BFE">
        <w:rPr>
          <w:lang w:val="fr-CH"/>
        </w:rPr>
        <w:t>L</w:t>
      </w:r>
      <w:r>
        <w:rPr>
          <w:lang w:val="fr-CH"/>
        </w:rPr>
        <w:t xml:space="preserve">e large bande au service du développement numérique", qui a transmis dernièrement son </w:t>
      </w:r>
      <w:r w:rsidR="00B41BFE">
        <w:rPr>
          <w:lang w:val="fr-CH"/>
        </w:rPr>
        <w:t>r</w:t>
      </w:r>
      <w:r>
        <w:rPr>
          <w:lang w:val="fr-CH"/>
        </w:rPr>
        <w:t>apport final au Secrétaire général de l'ONU. Ces questions sont les suivantes:</w:t>
      </w:r>
    </w:p>
    <w:p w:rsidR="00A6020B" w:rsidRDefault="00A6020B" w:rsidP="00AE56F2">
      <w:pPr>
        <w:pStyle w:val="enumlev1"/>
        <w:rPr>
          <w:lang w:val="fr-CH"/>
        </w:rPr>
      </w:pPr>
      <w:r w:rsidRPr="00A6020B">
        <w:rPr>
          <w:lang w:val="fr-CH"/>
        </w:rPr>
        <w:t>•</w:t>
      </w:r>
      <w:r>
        <w:rPr>
          <w:lang w:val="fr-CH"/>
        </w:rPr>
        <w:tab/>
        <w:t>Comment le secteur public et le secteur privé peuvent-ils, dans le cadre de partenariats, stimuler les nouveaux réseaux large bande?</w:t>
      </w:r>
    </w:p>
    <w:p w:rsidR="00A6020B" w:rsidRDefault="00A6020B" w:rsidP="00AE56F2">
      <w:pPr>
        <w:pStyle w:val="enumlev1"/>
        <w:rPr>
          <w:lang w:val="fr-CH"/>
        </w:rPr>
      </w:pPr>
      <w:r w:rsidRPr="00A6020B">
        <w:rPr>
          <w:lang w:val="fr-CH"/>
        </w:rPr>
        <w:t>•</w:t>
      </w:r>
      <w:r>
        <w:rPr>
          <w:lang w:val="fr-CH"/>
        </w:rPr>
        <w:tab/>
        <w:t>Pourquoi a-t-il été si difficile de faire passer le message selon lequel les investissements consacrés au large bande donne</w:t>
      </w:r>
      <w:r w:rsidR="00B41BFE">
        <w:rPr>
          <w:lang w:val="fr-CH"/>
        </w:rPr>
        <w:t>nt</w:t>
      </w:r>
      <w:r>
        <w:rPr>
          <w:lang w:val="fr-CH"/>
        </w:rPr>
        <w:t xml:space="preserve"> une impulsion économique et sociale</w:t>
      </w:r>
      <w:r w:rsidR="00B41BFE">
        <w:rPr>
          <w:lang w:val="fr-CH"/>
        </w:rPr>
        <w:t xml:space="preserve"> généralisée et</w:t>
      </w:r>
      <w:r>
        <w:rPr>
          <w:lang w:val="fr-CH"/>
        </w:rPr>
        <w:t xml:space="preserve"> durable?</w:t>
      </w:r>
    </w:p>
    <w:p w:rsidR="00A6020B" w:rsidRDefault="00A6020B" w:rsidP="00AE56F2">
      <w:pPr>
        <w:pStyle w:val="enumlev1"/>
        <w:rPr>
          <w:lang w:val="fr-CH"/>
        </w:rPr>
      </w:pPr>
      <w:r w:rsidRPr="00A6020B">
        <w:rPr>
          <w:lang w:val="fr-CH"/>
        </w:rPr>
        <w:t>•</w:t>
      </w:r>
      <w:r>
        <w:rPr>
          <w:lang w:val="fr-CH"/>
        </w:rPr>
        <w:tab/>
        <w:t>En quoi les pouvoirs publics et les nouveaux partenariats secteur public/secteur privé encouragent-ils la demande de services large bande, en particulier dans des secteurs tels que la santé, l'éducation, l'énergie, les entreprises et l'environnement, qui en ont le plus besoin?</w:t>
      </w:r>
    </w:p>
    <w:p w:rsidR="00A6020B" w:rsidRDefault="00A6020B" w:rsidP="00AE56F2">
      <w:pPr>
        <w:pStyle w:val="enumlev1"/>
        <w:rPr>
          <w:lang w:val="fr-CH"/>
        </w:rPr>
      </w:pPr>
      <w:r w:rsidRPr="00A6020B">
        <w:rPr>
          <w:lang w:val="fr-CH"/>
        </w:rPr>
        <w:t>•</w:t>
      </w:r>
      <w:r>
        <w:rPr>
          <w:lang w:val="fr-CH"/>
        </w:rPr>
        <w:tab/>
        <w:t>Pourquoi les entreprises et le secteur privé n'ont</w:t>
      </w:r>
      <w:r w:rsidR="00B41BFE">
        <w:rPr>
          <w:lang w:val="fr-CH"/>
        </w:rPr>
        <w:t>-ils</w:t>
      </w:r>
      <w:r>
        <w:rPr>
          <w:lang w:val="fr-CH"/>
        </w:rPr>
        <w:t xml:space="preserve"> pas réussi à ce jour </w:t>
      </w:r>
      <w:r w:rsidR="00B41BFE">
        <w:rPr>
          <w:lang w:val="fr-CH"/>
        </w:rPr>
        <w:t xml:space="preserve">à </w:t>
      </w:r>
      <w:r>
        <w:rPr>
          <w:lang w:val="fr-CH"/>
        </w:rPr>
        <w:t>adhérer</w:t>
      </w:r>
      <w:r w:rsidR="00FE3F69">
        <w:rPr>
          <w:lang w:val="fr-CH"/>
        </w:rPr>
        <w:t xml:space="preserve"> et à respecter pleinement les O</w:t>
      </w:r>
      <w:r>
        <w:rPr>
          <w:lang w:val="fr-CH"/>
        </w:rPr>
        <w:t>bjectifs du Millénaire pour le développement?</w:t>
      </w:r>
    </w:p>
    <w:p w:rsidR="00A6020B" w:rsidRDefault="00A6020B" w:rsidP="00AE56F2">
      <w:pPr>
        <w:pStyle w:val="enumlev1"/>
        <w:rPr>
          <w:lang w:val="fr-CH"/>
        </w:rPr>
      </w:pPr>
      <w:r w:rsidRPr="00A6020B">
        <w:rPr>
          <w:lang w:val="fr-CH"/>
        </w:rPr>
        <w:t>•</w:t>
      </w:r>
      <w:r>
        <w:rPr>
          <w:lang w:val="fr-CH"/>
        </w:rPr>
        <w:tab/>
        <w:t xml:space="preserve">Quel rôle peut jouer la société civile </w:t>
      </w:r>
      <w:r w:rsidR="00B41BFE">
        <w:rPr>
          <w:lang w:val="fr-CH"/>
        </w:rPr>
        <w:t xml:space="preserve">s'agissant de la </w:t>
      </w:r>
      <w:r>
        <w:rPr>
          <w:lang w:val="fr-CH"/>
        </w:rPr>
        <w:t>participat</w:t>
      </w:r>
      <w:r w:rsidR="00B41BFE">
        <w:rPr>
          <w:lang w:val="fr-CH"/>
        </w:rPr>
        <w:t>ion</w:t>
      </w:r>
      <w:r>
        <w:rPr>
          <w:lang w:val="fr-CH"/>
        </w:rPr>
        <w:t xml:space="preserve"> avec le secteur des TIC à la mise au point de contenu local et d'applications essentielles en matière de développement?</w:t>
      </w:r>
    </w:p>
    <w:p w:rsidR="00A6020B" w:rsidRDefault="00A6020B" w:rsidP="00FE3F69">
      <w:pPr>
        <w:rPr>
          <w:rFonts w:asciiTheme="minorHAnsi" w:hAnsiTheme="minorHAnsi"/>
          <w:szCs w:val="24"/>
          <w:lang w:val="fr-CH"/>
        </w:rPr>
      </w:pPr>
      <w:r>
        <w:rPr>
          <w:lang w:val="fr-CH"/>
        </w:rPr>
        <w:t>Le programme complet de la session, y compris le nom des orateurs confirmé</w:t>
      </w:r>
      <w:r w:rsidR="00B41BFE">
        <w:rPr>
          <w:lang w:val="fr-CH"/>
        </w:rPr>
        <w:t>s</w:t>
      </w:r>
      <w:r>
        <w:rPr>
          <w:lang w:val="fr-CH"/>
        </w:rPr>
        <w:t>, est accessible à l'adresse:</w:t>
      </w:r>
      <w:r w:rsidR="00FE3F69">
        <w:rPr>
          <w:lang w:val="fr-CH"/>
        </w:rPr>
        <w:t xml:space="preserve"> </w:t>
      </w:r>
      <w:hyperlink r:id="rId7" w:history="1">
        <w:r w:rsidRPr="00B41BFE">
          <w:rPr>
            <w:rStyle w:val="Hyperlink"/>
            <w:rFonts w:asciiTheme="minorHAnsi" w:hAnsiTheme="minorHAnsi" w:cs="Verdana-Bold"/>
            <w:szCs w:val="24"/>
          </w:rPr>
          <w:t>www.itu.int/plenipotenti</w:t>
        </w:r>
        <w:r w:rsidRPr="00B41BFE">
          <w:rPr>
            <w:rStyle w:val="Hyperlink"/>
            <w:rFonts w:asciiTheme="minorHAnsi" w:hAnsiTheme="minorHAnsi" w:cs="Verdana-Bold"/>
            <w:szCs w:val="24"/>
          </w:rPr>
          <w:t>a</w:t>
        </w:r>
        <w:r w:rsidRPr="00B41BFE">
          <w:rPr>
            <w:rStyle w:val="Hyperlink"/>
            <w:rFonts w:asciiTheme="minorHAnsi" w:hAnsiTheme="minorHAnsi" w:cs="Verdana-Bold"/>
            <w:szCs w:val="24"/>
          </w:rPr>
          <w:t>ry/2010/index.html</w:t>
        </w:r>
      </w:hyperlink>
      <w:r w:rsidRPr="00B41BFE">
        <w:rPr>
          <w:rFonts w:asciiTheme="minorHAnsi" w:hAnsiTheme="minorHAnsi"/>
          <w:szCs w:val="24"/>
          <w:lang w:val="fr-CH"/>
        </w:rPr>
        <w:t>.</w:t>
      </w:r>
    </w:p>
    <w:p w:rsidR="00AE56F2" w:rsidRDefault="00AE56F2" w:rsidP="00202A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AE56F2" w:rsidSect="00FE3F69">
      <w:headerReference w:type="default" r:id="rId8"/>
      <w:footerReference w:type="default" r:id="rId9"/>
      <w:footerReference w:type="first" r:id="rId10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DE" w:rsidRDefault="00E27DDE">
      <w:r>
        <w:separator/>
      </w:r>
    </w:p>
  </w:endnote>
  <w:endnote w:type="continuationSeparator" w:id="0">
    <w:p w:rsidR="00E27DDE" w:rsidRDefault="00E2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E608B0" w:rsidRDefault="00EE38AF">
    <w:pPr>
      <w:pStyle w:val="Footer"/>
      <w:rPr>
        <w:lang w:val="en-US"/>
      </w:rPr>
    </w:pPr>
    <w:fldSimple w:instr=" FILENAME \p \* MERGEFORMAT ">
      <w:r w:rsidR="00D71403" w:rsidRPr="00D71403">
        <w:rPr>
          <w:lang w:val="en-US"/>
        </w:rPr>
        <w:t>P:\FRA\SG\CONF-SG\PP10\DIV\110F.docx</w:t>
      </w:r>
    </w:fldSimple>
    <w:r w:rsidR="00E27DDE" w:rsidRPr="00E608B0">
      <w:rPr>
        <w:lang w:val="en-US"/>
      </w:rPr>
      <w:t xml:space="preserve"> (296187)</w:t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savedate \@ dd.MM.yy </w:instrText>
    </w:r>
    <w:r>
      <w:fldChar w:fldCharType="separate"/>
    </w:r>
    <w:r w:rsidR="009D78D3">
      <w:t>07.10.10</w:t>
    </w:r>
    <w:r>
      <w:fldChar w:fldCharType="end"/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printdate \@ dd.MM.yy </w:instrText>
    </w:r>
    <w:r>
      <w:fldChar w:fldCharType="separate"/>
    </w:r>
    <w:r w:rsidR="00D71403">
      <w:t>08.10.10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Default="00E27DDE">
    <w:pPr>
      <w:pStyle w:val="First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DE" w:rsidRDefault="00E27DDE">
      <w:r>
        <w:t>____________________</w:t>
      </w:r>
    </w:p>
  </w:footnote>
  <w:footnote w:type="continuationSeparator" w:id="0">
    <w:p w:rsidR="00E27DDE" w:rsidRDefault="00E2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DF1BE8" w:rsidRDefault="00EE38AF" w:rsidP="00DF1BE8">
    <w:pPr>
      <w:pStyle w:val="Header"/>
    </w:pPr>
    <w:r>
      <w:rPr>
        <w:rStyle w:val="PageNumber"/>
      </w:rPr>
      <w:fldChar w:fldCharType="begin"/>
    </w:r>
    <w:r w:rsidR="00E27DD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2A64">
      <w:rPr>
        <w:rStyle w:val="PageNumber"/>
        <w:noProof/>
      </w:rPr>
      <w:t>2</w:t>
    </w:r>
    <w:r>
      <w:rPr>
        <w:rStyle w:val="PageNumber"/>
      </w:rPr>
      <w:fldChar w:fldCharType="end"/>
    </w:r>
    <w:r w:rsidR="00E27DDE">
      <w:rPr>
        <w:rStyle w:val="PageNumber"/>
      </w:rPr>
      <w:t>/</w:t>
    </w:r>
    <w:r>
      <w:rPr>
        <w:rStyle w:val="PageNumber"/>
      </w:rPr>
      <w:fldChar w:fldCharType="begin"/>
    </w:r>
    <w:r w:rsidR="00E27DD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2A6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197"/>
    <w:rsid w:val="000054D8"/>
    <w:rsid w:val="00031752"/>
    <w:rsid w:val="000668A4"/>
    <w:rsid w:val="00072D5C"/>
    <w:rsid w:val="00084308"/>
    <w:rsid w:val="000C467B"/>
    <w:rsid w:val="001051E4"/>
    <w:rsid w:val="00116596"/>
    <w:rsid w:val="00136FCE"/>
    <w:rsid w:val="001941AD"/>
    <w:rsid w:val="001E1B9B"/>
    <w:rsid w:val="001F6233"/>
    <w:rsid w:val="00202A64"/>
    <w:rsid w:val="00236FEF"/>
    <w:rsid w:val="002B1171"/>
    <w:rsid w:val="002C1059"/>
    <w:rsid w:val="002C2F9C"/>
    <w:rsid w:val="002D6197"/>
    <w:rsid w:val="00354D34"/>
    <w:rsid w:val="003A0B7D"/>
    <w:rsid w:val="003A3694"/>
    <w:rsid w:val="003C4BE2"/>
    <w:rsid w:val="003C64F9"/>
    <w:rsid w:val="003D147D"/>
    <w:rsid w:val="0041008D"/>
    <w:rsid w:val="00430015"/>
    <w:rsid w:val="004678D0"/>
    <w:rsid w:val="00482954"/>
    <w:rsid w:val="00505D5B"/>
    <w:rsid w:val="00524001"/>
    <w:rsid w:val="00564B63"/>
    <w:rsid w:val="005836C2"/>
    <w:rsid w:val="005A4EFD"/>
    <w:rsid w:val="005A5ABE"/>
    <w:rsid w:val="005C2ECC"/>
    <w:rsid w:val="005E419E"/>
    <w:rsid w:val="00611CF1"/>
    <w:rsid w:val="0061214B"/>
    <w:rsid w:val="006125C2"/>
    <w:rsid w:val="00614D6F"/>
    <w:rsid w:val="006277DB"/>
    <w:rsid w:val="00635B7B"/>
    <w:rsid w:val="00655B98"/>
    <w:rsid w:val="00686973"/>
    <w:rsid w:val="006A1845"/>
    <w:rsid w:val="006A6342"/>
    <w:rsid w:val="006B6C9C"/>
    <w:rsid w:val="006C7AE3"/>
    <w:rsid w:val="006D55E8"/>
    <w:rsid w:val="0070576B"/>
    <w:rsid w:val="00713335"/>
    <w:rsid w:val="00727C2F"/>
    <w:rsid w:val="00735F13"/>
    <w:rsid w:val="007717F2"/>
    <w:rsid w:val="0078134C"/>
    <w:rsid w:val="007A5830"/>
    <w:rsid w:val="007D1F78"/>
    <w:rsid w:val="00801256"/>
    <w:rsid w:val="008703CB"/>
    <w:rsid w:val="008C33C2"/>
    <w:rsid w:val="008C6137"/>
    <w:rsid w:val="008E2DB4"/>
    <w:rsid w:val="00901DD5"/>
    <w:rsid w:val="00912D5E"/>
    <w:rsid w:val="00934340"/>
    <w:rsid w:val="00966CD3"/>
    <w:rsid w:val="00987A20"/>
    <w:rsid w:val="009A0E15"/>
    <w:rsid w:val="009D78D3"/>
    <w:rsid w:val="009E2669"/>
    <w:rsid w:val="009F0592"/>
    <w:rsid w:val="00A02E84"/>
    <w:rsid w:val="00A20E72"/>
    <w:rsid w:val="00A246DC"/>
    <w:rsid w:val="00A27360"/>
    <w:rsid w:val="00A30B11"/>
    <w:rsid w:val="00A47BAF"/>
    <w:rsid w:val="00A5784F"/>
    <w:rsid w:val="00A6020B"/>
    <w:rsid w:val="00A8436E"/>
    <w:rsid w:val="00A95B66"/>
    <w:rsid w:val="00AA6148"/>
    <w:rsid w:val="00AE56F2"/>
    <w:rsid w:val="00B06C41"/>
    <w:rsid w:val="00B41BFE"/>
    <w:rsid w:val="00B41E0A"/>
    <w:rsid w:val="00B56DE0"/>
    <w:rsid w:val="00B71F12"/>
    <w:rsid w:val="00B743CF"/>
    <w:rsid w:val="00B96B1E"/>
    <w:rsid w:val="00BF7D25"/>
    <w:rsid w:val="00C010C0"/>
    <w:rsid w:val="00C54CE6"/>
    <w:rsid w:val="00C575E2"/>
    <w:rsid w:val="00C7368B"/>
    <w:rsid w:val="00CC4DC5"/>
    <w:rsid w:val="00CE1A7C"/>
    <w:rsid w:val="00D12C74"/>
    <w:rsid w:val="00D56483"/>
    <w:rsid w:val="00D70019"/>
    <w:rsid w:val="00D71403"/>
    <w:rsid w:val="00DA685B"/>
    <w:rsid w:val="00DA742B"/>
    <w:rsid w:val="00DC20C0"/>
    <w:rsid w:val="00DF1BE8"/>
    <w:rsid w:val="00DF25C1"/>
    <w:rsid w:val="00DF48F7"/>
    <w:rsid w:val="00DF4964"/>
    <w:rsid w:val="00DF79B0"/>
    <w:rsid w:val="00E06F80"/>
    <w:rsid w:val="00E1047D"/>
    <w:rsid w:val="00E27DDE"/>
    <w:rsid w:val="00E443FA"/>
    <w:rsid w:val="00E54FCE"/>
    <w:rsid w:val="00E608B0"/>
    <w:rsid w:val="00E84C0B"/>
    <w:rsid w:val="00E93D35"/>
    <w:rsid w:val="00EA45DB"/>
    <w:rsid w:val="00ED2CD9"/>
    <w:rsid w:val="00EE3654"/>
    <w:rsid w:val="00EE38AF"/>
    <w:rsid w:val="00F27714"/>
    <w:rsid w:val="00F4476C"/>
    <w:rsid w:val="00F564C1"/>
    <w:rsid w:val="00F77FA2"/>
    <w:rsid w:val="00F8357A"/>
    <w:rsid w:val="00F92A21"/>
    <w:rsid w:val="00FA1B77"/>
    <w:rsid w:val="00FB4B65"/>
    <w:rsid w:val="00FB74B8"/>
    <w:rsid w:val="00FC49E0"/>
    <w:rsid w:val="00FE3F69"/>
    <w:rsid w:val="00FF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character" w:customStyle="1" w:styleId="FootnoteTextChar">
    <w:name w:val="Footnote Text Char"/>
    <w:basedOn w:val="DefaultParagraphFont"/>
    <w:link w:val="FootnoteText"/>
    <w:uiPriority w:val="99"/>
    <w:rsid w:val="003A3694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A30B11"/>
    <w:rPr>
      <w:color w:val="800080" w:themeColor="followedHyperlink"/>
      <w:u w:val="single"/>
    </w:rPr>
  </w:style>
  <w:style w:type="table" w:styleId="TableGrid">
    <w:name w:val="Table Grid"/>
    <w:basedOn w:val="TableNormal"/>
    <w:rsid w:val="00FE3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plenipotentiary/2010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\Application%20Data\Microsoft\Templates\POOL%20F%20-%20ITU\PF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111E-F214-4A38-BCFC-A270C839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PF_PP10</Template>
  <TotalTime>10</TotalTime>
  <Pages>1</Pages>
  <Words>440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INTERNATIONAL   TELECOMMUNICATION   UNION	</vt:lpstr>
      </vt:variant>
      <vt:variant>
        <vt:i4>0</vt:i4>
      </vt:variant>
    </vt:vector>
  </HeadingPairs>
  <TitlesOfParts>
    <vt:vector size="4" baseType="lpstr">
      <vt:lpstr/>
      <vt:lpstr>Jeudi 14 octobre</vt:lpstr>
      <vt:lpstr>16 h 30-18 heures</vt:lpstr>
      <vt:lpstr>Session SE.3 – Salle G</vt:lpstr>
    </vt:vector>
  </TitlesOfParts>
  <Manager>General Secretariat - Pool</Manager>
  <Company>International Telecommunication Union (ITU)</Company>
  <LinksUpToDate>false</LinksUpToDate>
  <CharactersWithSpaces>2830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brouard</dc:creator>
  <cp:keywords>PP-06</cp:keywords>
  <dc:description>110F.docx  For: _x000d_Document date: _x000d_Saved by DD-44759 at 00:16:57 on 08.10.2010</dc:description>
  <cp:lastModifiedBy>brouard</cp:lastModifiedBy>
  <cp:revision>3</cp:revision>
  <cp:lastPrinted>2010-10-07T22:51:00Z</cp:lastPrinted>
  <dcterms:created xsi:type="dcterms:W3CDTF">2010-10-11T20:28:00Z</dcterms:created>
  <dcterms:modified xsi:type="dcterms:W3CDTF">2010-10-11T20:38:00Z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110F.docx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