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29" w:rsidRPr="00BE6EF9" w:rsidRDefault="00506229" w:rsidP="00506229">
      <w:pPr>
        <w:pStyle w:val="QuestionNo"/>
      </w:pPr>
      <w:bookmarkStart w:id="0" w:name="_Toc393982558"/>
      <w:r w:rsidRPr="00BE6EF9">
        <w:rPr>
          <w:lang w:val="fr-CH"/>
        </w:rPr>
        <w:t>Question 6/1</w:t>
      </w:r>
      <w:bookmarkEnd w:id="0"/>
    </w:p>
    <w:p w:rsidR="00506229" w:rsidRPr="00BE6EF9" w:rsidRDefault="00506229" w:rsidP="00506229">
      <w:pPr>
        <w:pStyle w:val="Questiontitle"/>
        <w:rPr>
          <w:rFonts w:cstheme="minorHAnsi"/>
        </w:rPr>
      </w:pPr>
      <w:r w:rsidRPr="00BE6EF9">
        <w:rPr>
          <w:rFonts w:cstheme="minorHAnsi"/>
        </w:rPr>
        <w:t>Information, protection et droits du consommateur: lois, réglementation, fondements économiques, réseaux de consommateurs</w:t>
      </w:r>
    </w:p>
    <w:p w:rsidR="00506229" w:rsidRPr="00BE6EF9" w:rsidRDefault="00506229" w:rsidP="00506229">
      <w:pPr>
        <w:pStyle w:val="Heading1"/>
      </w:pPr>
      <w:r w:rsidRPr="00BE6EF9">
        <w:t>1</w:t>
      </w:r>
      <w:r w:rsidRPr="00BE6EF9">
        <w:tab/>
        <w:t>Exposé de la situation ou du problème</w:t>
      </w:r>
    </w:p>
    <w:p w:rsidR="00506229" w:rsidRPr="00BE6EF9" w:rsidRDefault="00506229" w:rsidP="00506229">
      <w:r>
        <w:t>Lors de la Conférence mondiale de développement des télécommunications (Dubaï, 2014)</w:t>
      </w:r>
      <w:r w:rsidRPr="00BE6EF9">
        <w:t>, il a été tenu compte de la volonté des Etats Membres et des Membres du Secteur d</w:t>
      </w:r>
      <w:r>
        <w:t>'</w:t>
      </w:r>
      <w:r w:rsidRPr="00BE6EF9">
        <w:t xml:space="preserve">étudier la protection des consommateurs de télécommunications/TIC et cette étude a été </w:t>
      </w:r>
      <w:r>
        <w:t>prise en considération</w:t>
      </w:r>
      <w:r w:rsidRPr="00BE6EF9">
        <w:t xml:space="preserve"> dans </w:t>
      </w:r>
      <w:r>
        <w:t xml:space="preserve">le cadre de </w:t>
      </w:r>
      <w:r w:rsidRPr="00BE6EF9">
        <w:t>la convergence. Face à l</w:t>
      </w:r>
      <w:r>
        <w:t>'</w:t>
      </w:r>
      <w:r w:rsidRPr="00BE6EF9">
        <w:t xml:space="preserve">évolution rapide des technologies </w:t>
      </w:r>
      <w:r>
        <w:t xml:space="preserve">et </w:t>
      </w:r>
      <w:r w:rsidRPr="00BE6EF9">
        <w:t>à la mise sur le marché d</w:t>
      </w:r>
      <w:r>
        <w:t>'</w:t>
      </w:r>
      <w:r w:rsidRPr="00BE6EF9">
        <w:t xml:space="preserve">équipements de plus en plus </w:t>
      </w:r>
      <w:r>
        <w:t>perfectionnés</w:t>
      </w:r>
      <w:r w:rsidRPr="00BE6EF9">
        <w:t>, le consommateur</w:t>
      </w:r>
      <w:r>
        <w:t>,</w:t>
      </w:r>
      <w:r w:rsidRPr="00BE6EF9">
        <w:t xml:space="preserve"> n</w:t>
      </w:r>
      <w:r>
        <w:t>'</w:t>
      </w:r>
      <w:r w:rsidRPr="00BE6EF9">
        <w:t>étant pas un spécialiste des télécommunications/TIC</w:t>
      </w:r>
      <w:r>
        <w:t>,</w:t>
      </w:r>
      <w:r w:rsidRPr="00BE6EF9">
        <w:t xml:space="preserve"> peut se trouver désarmé</w:t>
      </w:r>
      <w:r>
        <w:t>.</w:t>
      </w:r>
      <w:r w:rsidRPr="00BE6EF9">
        <w:t xml:space="preserve"> En conséquence</w:t>
      </w:r>
      <w:r>
        <w:t>,</w:t>
      </w:r>
      <w:r w:rsidRPr="00BE6EF9">
        <w:t xml:space="preserve"> l</w:t>
      </w:r>
      <w:r>
        <w:t>'</w:t>
      </w:r>
      <w:r w:rsidRPr="00BE6EF9">
        <w:t xml:space="preserve">information et les droits du consommateur sont devenus une priorité et </w:t>
      </w:r>
      <w:r>
        <w:t>cette question</w:t>
      </w:r>
      <w:r w:rsidRPr="00BE6EF9">
        <w:t xml:space="preserve"> devrait faire l</w:t>
      </w:r>
      <w:r>
        <w:t>'</w:t>
      </w:r>
      <w:r w:rsidRPr="00BE6EF9">
        <w:t>objet d</w:t>
      </w:r>
      <w:r>
        <w:t>'</w:t>
      </w:r>
      <w:r w:rsidRPr="00BE6EF9">
        <w:t xml:space="preserve">une étude </w:t>
      </w:r>
      <w:r>
        <w:t>distincte.</w:t>
      </w:r>
    </w:p>
    <w:p w:rsidR="00506229" w:rsidRPr="00BE6EF9" w:rsidRDefault="00506229" w:rsidP="00506229">
      <w:r>
        <w:t>D</w:t>
      </w:r>
      <w:r w:rsidRPr="00BE6EF9">
        <w:t xml:space="preserve">ans la plupart des réunions organisées par les </w:t>
      </w:r>
      <w:r>
        <w:t xml:space="preserve">principaux </w:t>
      </w:r>
      <w:r w:rsidRPr="00BE6EF9">
        <w:t xml:space="preserve">acteurs </w:t>
      </w:r>
      <w:r>
        <w:t xml:space="preserve">du </w:t>
      </w:r>
      <w:r w:rsidRPr="00BE6EF9">
        <w:t xml:space="preserve">secteur des télécommunications/TIC, la question de la protection des consommateurs est devenue une préoccupation </w:t>
      </w:r>
      <w:r>
        <w:t>constante</w:t>
      </w:r>
      <w:r w:rsidRPr="00BE6EF9">
        <w:t>. Toutefois</w:t>
      </w:r>
      <w:r>
        <w:t>,</w:t>
      </w:r>
      <w:r w:rsidRPr="00BE6EF9">
        <w:t xml:space="preserve"> ni les régulateurs, ni les opérateurs, ni les fournisseurs de services, ni les équipementiers n</w:t>
      </w:r>
      <w:r>
        <w:t xml:space="preserve">'ont </w:t>
      </w:r>
      <w:r w:rsidRPr="00BE6EF9">
        <w:t>donn</w:t>
      </w:r>
      <w:r>
        <w:t xml:space="preserve">é </w:t>
      </w:r>
      <w:r w:rsidRPr="00BE6EF9">
        <w:t xml:space="preserve">une définition et </w:t>
      </w:r>
      <w:r>
        <w:t xml:space="preserve">des bases </w:t>
      </w:r>
      <w:r w:rsidRPr="00BE6EF9">
        <w:t>juridique</w:t>
      </w:r>
      <w:r>
        <w:t>s</w:t>
      </w:r>
      <w:r w:rsidRPr="00BE6EF9">
        <w:t xml:space="preserve"> précis</w:t>
      </w:r>
      <w:r>
        <w:t>es</w:t>
      </w:r>
      <w:r w:rsidRPr="00BE6EF9">
        <w:t xml:space="preserve"> sur les </w:t>
      </w:r>
      <w:r>
        <w:t xml:space="preserve">instruments </w:t>
      </w:r>
      <w:r w:rsidRPr="00BE6EF9">
        <w:t xml:space="preserve">juridiques de protection </w:t>
      </w:r>
      <w:r>
        <w:t xml:space="preserve">du consommateur </w:t>
      </w:r>
      <w:r w:rsidRPr="00BE6EF9">
        <w:t>à mettre en place pour garantir un accès universel à des services de télécommunication/TIC de qualité et à moindre prix</w:t>
      </w:r>
      <w:r>
        <w:t>.</w:t>
      </w:r>
    </w:p>
    <w:p w:rsidR="00506229" w:rsidRPr="00BE6EF9" w:rsidRDefault="00506229" w:rsidP="00506229">
      <w:r>
        <w:t>Du fait de la rapidité de l'</w:t>
      </w:r>
      <w:r w:rsidRPr="00BE6EF9">
        <w:t>évolution et d</w:t>
      </w:r>
      <w:r>
        <w:t xml:space="preserve">es délais </w:t>
      </w:r>
      <w:r w:rsidRPr="00BE6EF9">
        <w:t>nécessaire</w:t>
      </w:r>
      <w:r>
        <w:t>s</w:t>
      </w:r>
      <w:r w:rsidRPr="00BE6EF9">
        <w:t xml:space="preserve"> à la mise en </w:t>
      </w:r>
      <w:proofErr w:type="spellStart"/>
      <w:r w:rsidRPr="00BE6EF9">
        <w:t>oeuvre</w:t>
      </w:r>
      <w:proofErr w:type="spellEnd"/>
      <w:r w:rsidRPr="00BE6EF9">
        <w:t xml:space="preserve"> d</w:t>
      </w:r>
      <w:r>
        <w:t>'</w:t>
      </w:r>
      <w:r w:rsidRPr="00BE6EF9">
        <w:t xml:space="preserve">une nouvelle législation ou de nouvelles réglementations, les entités chargées de la protection des consommateurs (régulateurs, entités publiques ou privées) devraient modifier à intervalles réguliers leurs cadres réglementaires en trouvant </w:t>
      </w:r>
      <w:r>
        <w:t xml:space="preserve">un </w:t>
      </w:r>
      <w:r w:rsidRPr="00BE6EF9">
        <w:t>juste équilibre entre les intérêts des opérateurs/fournisseurs de services et ceux des utilisateurs</w:t>
      </w:r>
      <w:r>
        <w:t xml:space="preserve"> </w:t>
      </w:r>
      <w:r w:rsidRPr="00BE6EF9">
        <w:t>dans des domaines tels que les contrats d</w:t>
      </w:r>
      <w:r>
        <w:t>'</w:t>
      </w:r>
      <w:r w:rsidRPr="00BE6EF9">
        <w:t xml:space="preserve">abonnements, la protection des droits de propriété intellectuelle et la gestion des droits numériques, sans </w:t>
      </w:r>
      <w:r>
        <w:t xml:space="preserve">porter atteinte </w:t>
      </w:r>
      <w:r w:rsidRPr="00BE6EF9">
        <w:t>aux modèles novateurs de commerce électronique (par exemple, le commerce électronique et le commerce sur mobile, qui ouvrent de vastes perspectives en matière de commerce transfrontière, en permettant à des communautés jusque-là non desservies d</w:t>
      </w:r>
      <w:r>
        <w:t>'</w:t>
      </w:r>
      <w:r w:rsidRPr="00BE6EF9">
        <w:t>accéde</w:t>
      </w:r>
      <w:r>
        <w:t>r à certains biens et services).</w:t>
      </w:r>
    </w:p>
    <w:p w:rsidR="00506229" w:rsidRPr="00BE6EF9" w:rsidRDefault="00506229" w:rsidP="00506229">
      <w:r>
        <w:t>L'</w:t>
      </w:r>
      <w:r w:rsidRPr="00BE6EF9">
        <w:t>un des défis majeurs pour les régulateurs est de créer une culture de la sécurité qui favorise la confiance dans les applications</w:t>
      </w:r>
      <w:r>
        <w:t xml:space="preserve"> et </w:t>
      </w:r>
      <w:r w:rsidRPr="00BE6EF9">
        <w:t>services de télécommunication/TIC et permette d</w:t>
      </w:r>
      <w:r>
        <w:t>'</w:t>
      </w:r>
      <w:r w:rsidRPr="00BE6EF9">
        <w:t>assurer véritablement la confidentialité et la protection des consommateurs</w:t>
      </w:r>
      <w:r>
        <w:t>.</w:t>
      </w:r>
    </w:p>
    <w:p w:rsidR="00506229" w:rsidRPr="00BE6EF9" w:rsidRDefault="00506229" w:rsidP="00506229">
      <w:r>
        <w:t>T</w:t>
      </w:r>
      <w:r w:rsidRPr="00BE6EF9">
        <w:t xml:space="preserve">ous les consommateurs doivent disposer de toutes les informations dont ils ont besoin pour faire </w:t>
      </w:r>
      <w:r>
        <w:t xml:space="preserve">des </w:t>
      </w:r>
      <w:r w:rsidRPr="00BE6EF9">
        <w:t>choix en connaissance de cause et bénéficier de mécanismes de protection et de réparation adéquats en cas de problème</w:t>
      </w:r>
      <w:r>
        <w:t>.</w:t>
      </w:r>
    </w:p>
    <w:p w:rsidR="00506229" w:rsidRPr="00BE6EF9" w:rsidRDefault="00506229" w:rsidP="00506229">
      <w:r>
        <w:t>P</w:t>
      </w:r>
      <w:r w:rsidRPr="00BE6EF9">
        <w:t>our la plupart des pays en développement, le fonctionnement des associations de défense des consommateurs en général, et le secteur des télécommunications/TIC en particulier, notamment en terme d</w:t>
      </w:r>
      <w:r>
        <w:t>'</w:t>
      </w:r>
      <w:r w:rsidRPr="00BE6EF9">
        <w:t xml:space="preserve">expérience et de professionnalisme, </w:t>
      </w:r>
      <w:r>
        <w:t xml:space="preserve">présente des </w:t>
      </w:r>
      <w:r w:rsidRPr="00BE6EF9">
        <w:t>difficulté</w:t>
      </w:r>
      <w:r>
        <w:t>s</w:t>
      </w:r>
      <w:r w:rsidRPr="00BE6EF9">
        <w:t xml:space="preserve"> s</w:t>
      </w:r>
      <w:r>
        <w:t>'</w:t>
      </w:r>
      <w:r w:rsidRPr="00BE6EF9">
        <w:t xml:space="preserve">agissant </w:t>
      </w:r>
      <w:r w:rsidRPr="00BE6EF9">
        <w:lastRenderedPageBreak/>
        <w:t xml:space="preserve">de la gestion de la protection des consommateurs avec les entités </w:t>
      </w:r>
      <w:r>
        <w:t>publiques</w:t>
      </w:r>
      <w:r w:rsidRPr="00BE6EF9">
        <w:t>,</w:t>
      </w:r>
      <w:r>
        <w:t xml:space="preserve"> </w:t>
      </w:r>
      <w:r w:rsidRPr="00BE6EF9">
        <w:t>les régulateurs ou les opér</w:t>
      </w:r>
      <w:r>
        <w:t>ateurs/fournisseurs de services.</w:t>
      </w:r>
    </w:p>
    <w:p w:rsidR="00506229" w:rsidRPr="00BE6EF9" w:rsidRDefault="00506229" w:rsidP="00506229">
      <w:r>
        <w:t>L'</w:t>
      </w:r>
      <w:r w:rsidRPr="00BE6EF9">
        <w:t>éducation et la sensibilisation des consommateurs, y compris les personnes handicapées, les femmes et les enfants</w:t>
      </w:r>
      <w:r>
        <w:t>,</w:t>
      </w:r>
      <w:r w:rsidRPr="00BE6EF9">
        <w:t xml:space="preserve"> devraient être l</w:t>
      </w:r>
      <w:r>
        <w:t>'</w:t>
      </w:r>
      <w:r w:rsidRPr="00BE6EF9">
        <w:t>affaire de toutes les parties concernées par la protection des consommateurs (régulateurs, organismes de protection des consommateurs</w:t>
      </w:r>
      <w:r>
        <w:t xml:space="preserve"> et</w:t>
      </w:r>
      <w:r w:rsidRPr="00BE6EF9">
        <w:t xml:space="preserve"> décideurs)</w:t>
      </w:r>
      <w:r>
        <w:t>.</w:t>
      </w:r>
    </w:p>
    <w:p w:rsidR="00506229" w:rsidRPr="00BE6EF9" w:rsidRDefault="00506229" w:rsidP="00506229">
      <w:r>
        <w:t>L</w:t>
      </w:r>
      <w:r w:rsidRPr="00BE6EF9">
        <w:t>e développement de la concurrence intersectorielle et l</w:t>
      </w:r>
      <w:r>
        <w:t>'</w:t>
      </w:r>
      <w:r w:rsidRPr="00BE6EF9">
        <w:t>émergence des services issus de la convergence (services groupés, services sur mobile, etc.) rend d</w:t>
      </w:r>
      <w:r>
        <w:t>'</w:t>
      </w:r>
      <w:r w:rsidRPr="00BE6EF9">
        <w:t>autant plus grande la nécessité de renforcer la coopération transfrontière, et pour les régulateurs et décideurs</w:t>
      </w:r>
      <w:r>
        <w:t>,</w:t>
      </w:r>
      <w:r w:rsidRPr="00BE6EF9">
        <w:t xml:space="preserve"> d</w:t>
      </w:r>
      <w:r>
        <w:t>'améliorer leurs compétences</w:t>
      </w:r>
      <w:r w:rsidRPr="00BE6EF9">
        <w:t xml:space="preserve"> ainsi que les outils visant à protéger les consommateurs. En outre, la question du service après-vente (SAV)</w:t>
      </w:r>
      <w:r>
        <w:t>,</w:t>
      </w:r>
      <w:r w:rsidRPr="00BE6EF9">
        <w:t xml:space="preserve"> qui est un critère dans le choix des consommateurs, devra être étudiée</w:t>
      </w:r>
      <w:r>
        <w:t>.</w:t>
      </w:r>
    </w:p>
    <w:p w:rsidR="00506229" w:rsidRPr="00BE6EF9" w:rsidRDefault="00506229" w:rsidP="00506229">
      <w:r>
        <w:t>L'</w:t>
      </w:r>
      <w:r w:rsidRPr="00BE6EF9">
        <w:t>étude effectuée au cours de la dernière période d</w:t>
      </w:r>
      <w:r>
        <w:t>'</w:t>
      </w:r>
      <w:r w:rsidRPr="00BE6EF9">
        <w:t>études s</w:t>
      </w:r>
      <w:r>
        <w:t>'</w:t>
      </w:r>
      <w:r w:rsidRPr="00BE6EF9">
        <w:t xml:space="preserve">appuyait sur les conclusions antérieures relatives aux questions fondamentales de protection du consommateur et </w:t>
      </w:r>
      <w:r>
        <w:t>l</w:t>
      </w:r>
      <w:r w:rsidRPr="00BE6EF9">
        <w:t xml:space="preserve">es </w:t>
      </w:r>
      <w:r>
        <w:t>reprenait</w:t>
      </w:r>
      <w:r w:rsidRPr="00BE6EF9">
        <w:t xml:space="preserve">, en particulier dans le contexte de la convergence et de la mise en application, y compris les législations, pratiques, procédures et sanctions appropriées </w:t>
      </w:r>
      <w:r>
        <w:t xml:space="preserve">au niveau </w:t>
      </w:r>
      <w:r w:rsidRPr="00BE6EF9">
        <w:t>national</w:t>
      </w:r>
      <w:r>
        <w:t>.</w:t>
      </w:r>
    </w:p>
    <w:p w:rsidR="00506229" w:rsidRPr="00BE6EF9" w:rsidRDefault="00506229" w:rsidP="00506229">
      <w:r>
        <w:t>L'</w:t>
      </w:r>
      <w:r w:rsidRPr="00BE6EF9">
        <w:t>étude traitait des problèmes liés à l</w:t>
      </w:r>
      <w:r>
        <w:t>'</w:t>
      </w:r>
      <w:r w:rsidRPr="00BE6EF9">
        <w:t>application des lois, des politiques et des réglementations sur la protection des consommateurs, et décrivait en particulier les pratiques en vigueur en la matière dans certains pays, en ce qui concerne également la protection dans le contexte de la convergence</w:t>
      </w:r>
      <w:r>
        <w:t>.</w:t>
      </w:r>
    </w:p>
    <w:p w:rsidR="00506229" w:rsidRPr="00BE6EF9" w:rsidRDefault="00506229" w:rsidP="00506229">
      <w:r>
        <w:t>C</w:t>
      </w:r>
      <w:r w:rsidRPr="00BE6EF9">
        <w:t>ette étude propos</w:t>
      </w:r>
      <w:r>
        <w:t>ait</w:t>
      </w:r>
      <w:r w:rsidRPr="00BE6EF9">
        <w:t xml:space="preserve"> un certain nombre de lignes directrices appli</w:t>
      </w:r>
      <w:r>
        <w:t xml:space="preserve">cables </w:t>
      </w:r>
      <w:r w:rsidRPr="00BE6EF9">
        <w:t>dans diverses conditions</w:t>
      </w:r>
      <w:r>
        <w:t>,</w:t>
      </w:r>
      <w:r w:rsidRPr="00BE6EF9">
        <w:t xml:space="preserve"> et aider</w:t>
      </w:r>
      <w:r>
        <w:t>a</w:t>
      </w:r>
      <w:r w:rsidRPr="00BE6EF9">
        <w:t xml:space="preserve"> les Etats Membres et les Membres de Secteur à faire appliquer leurs législations nationales en matière de protection des consommateurs des se</w:t>
      </w:r>
      <w:r>
        <w:t>rvices de télécommunication/TIC.</w:t>
      </w:r>
    </w:p>
    <w:p w:rsidR="00506229" w:rsidRPr="00BE6EF9" w:rsidRDefault="00506229" w:rsidP="00506229">
      <w:r>
        <w:t>C</w:t>
      </w:r>
      <w:r w:rsidRPr="00BE6EF9">
        <w:t>es études sur la protection d</w:t>
      </w:r>
      <w:r>
        <w:t>es</w:t>
      </w:r>
      <w:r w:rsidRPr="00BE6EF9">
        <w:t xml:space="preserve"> consommateur</w:t>
      </w:r>
      <w:r>
        <w:t>s</w:t>
      </w:r>
      <w:r w:rsidRPr="00BE6EF9">
        <w:t xml:space="preserve"> dans le contexte de convergence devraient néanmoins être </w:t>
      </w:r>
      <w:r>
        <w:t>parachevées</w:t>
      </w:r>
      <w:r w:rsidRPr="00BE6EF9">
        <w:t xml:space="preserve"> et </w:t>
      </w:r>
      <w:r>
        <w:t xml:space="preserve">privilégier </w:t>
      </w:r>
      <w:r w:rsidRPr="00BE6EF9">
        <w:t>les nouveaux défis</w:t>
      </w:r>
      <w:r>
        <w:t>.</w:t>
      </w:r>
    </w:p>
    <w:p w:rsidR="00506229" w:rsidRPr="00BE6EF9" w:rsidRDefault="00506229" w:rsidP="00506229">
      <w:r>
        <w:t>L</w:t>
      </w:r>
      <w:r w:rsidRPr="00BE6EF9">
        <w:t>es Etats Membres et les Membres du Secteur tireraient profit d</w:t>
      </w:r>
      <w:r>
        <w:t>'</w:t>
      </w:r>
      <w:r w:rsidRPr="00BE6EF9">
        <w:t>un rapport décrivant les diverses ressources et stratégies et les différents moyens à leur disposition pour améliorer l</w:t>
      </w:r>
      <w:r>
        <w:t>'</w:t>
      </w:r>
      <w:r w:rsidRPr="00BE6EF9">
        <w:t>application de leurs lois, règles et réglementations nationales et régionales concernant l</w:t>
      </w:r>
      <w:r>
        <w:t>'</w:t>
      </w:r>
      <w:r w:rsidRPr="00BE6EF9">
        <w:t>information, la protection et les droits d</w:t>
      </w:r>
      <w:r>
        <w:t>es</w:t>
      </w:r>
      <w:r w:rsidRPr="00BE6EF9">
        <w:t xml:space="preserve"> consommateur</w:t>
      </w:r>
      <w:r>
        <w:t>s</w:t>
      </w:r>
      <w:r w:rsidRPr="00BE6EF9">
        <w:t>, sous l</w:t>
      </w:r>
      <w:r>
        <w:t>'</w:t>
      </w:r>
      <w:r w:rsidRPr="00BE6EF9">
        <w:t>angle des lois, des réglementations, des bases économiques et des réseaux/organisation</w:t>
      </w:r>
      <w:r>
        <w:t>s</w:t>
      </w:r>
      <w:r w:rsidRPr="00BE6EF9">
        <w:t xml:space="preserve"> de défense des consommateurs.</w:t>
      </w:r>
    </w:p>
    <w:p w:rsidR="00506229" w:rsidRPr="00BE6EF9" w:rsidRDefault="00506229" w:rsidP="00506229">
      <w:pPr>
        <w:pStyle w:val="Heading1"/>
      </w:pPr>
      <w:r w:rsidRPr="00BE6EF9">
        <w:t>2</w:t>
      </w:r>
      <w:r w:rsidRPr="00BE6EF9">
        <w:tab/>
        <w:t>Question ou thème à étudier</w:t>
      </w:r>
    </w:p>
    <w:p w:rsidR="00506229" w:rsidRPr="00BE6EF9" w:rsidRDefault="00506229" w:rsidP="00506229">
      <w:pPr>
        <w:pStyle w:val="enumlev1"/>
      </w:pPr>
      <w:r w:rsidRPr="00BE6EF9">
        <w:rPr>
          <w:szCs w:val="24"/>
        </w:rPr>
        <w:t>a)</w:t>
      </w:r>
      <w:r w:rsidRPr="00BE6EF9">
        <w:rPr>
          <w:szCs w:val="24"/>
        </w:rPr>
        <w:tab/>
      </w:r>
      <w:r>
        <w:rPr>
          <w:szCs w:val="24"/>
        </w:rPr>
        <w:t>M</w:t>
      </w:r>
      <w:r w:rsidRPr="00BE6EF9">
        <w:rPr>
          <w:szCs w:val="24"/>
        </w:rPr>
        <w:t xml:space="preserve">éthodes </w:t>
      </w:r>
      <w:r w:rsidRPr="00BE6EF9">
        <w:t xml:space="preserve">et stratégies </w:t>
      </w:r>
      <w:r w:rsidRPr="00BE6EF9">
        <w:rPr>
          <w:szCs w:val="24"/>
        </w:rPr>
        <w:t>organisationnelles</w:t>
      </w:r>
      <w:r w:rsidRPr="00BE6EF9">
        <w:t xml:space="preserve"> élaborées par les entités publiques chargées de la protection des consommateurs eu égard aux lois et réglementation et aux activités en matière de réglementation.</w:t>
      </w:r>
    </w:p>
    <w:p w:rsidR="00506229" w:rsidRPr="00BE6EF9" w:rsidRDefault="00506229" w:rsidP="00506229">
      <w:pPr>
        <w:pStyle w:val="enumlev1"/>
      </w:pPr>
      <w:r w:rsidRPr="00BE6EF9">
        <w:t>b)</w:t>
      </w:r>
      <w:r w:rsidRPr="00BE6EF9">
        <w:tab/>
      </w:r>
      <w:r>
        <w:t>M</w:t>
      </w:r>
      <w:r w:rsidRPr="00BE6EF9">
        <w:t xml:space="preserve">écanismes ou moyens mis en place par </w:t>
      </w:r>
      <w:r>
        <w:t>les régulateurs, les opérateurs/</w:t>
      </w:r>
      <w:r w:rsidRPr="00BE6EF9">
        <w:t>fournisseurs de services</w:t>
      </w:r>
      <w:r>
        <w:t xml:space="preserve"> et</w:t>
      </w:r>
      <w:r w:rsidRPr="00BE6EF9">
        <w:t xml:space="preserve"> les organisations de </w:t>
      </w:r>
      <w:r>
        <w:t>protection</w:t>
      </w:r>
      <w:r w:rsidRPr="00BE6EF9">
        <w:t xml:space="preserve"> des consommateurs, pour informer les consommateurs, notamment les différents thèmes abordés. </w:t>
      </w:r>
    </w:p>
    <w:p w:rsidR="00506229" w:rsidRPr="00BE6EF9" w:rsidRDefault="00506229" w:rsidP="00506229">
      <w:pPr>
        <w:pStyle w:val="enumlev1"/>
      </w:pPr>
      <w:r w:rsidRPr="00BE6EF9">
        <w:lastRenderedPageBreak/>
        <w:t>c)</w:t>
      </w:r>
      <w:r w:rsidRPr="00BE6EF9">
        <w:tab/>
        <w:t xml:space="preserve">Rôle des organisations internationales, régionales ou nationales de </w:t>
      </w:r>
      <w:r>
        <w:t>protection</w:t>
      </w:r>
      <w:r w:rsidRPr="00BE6EF9">
        <w:t xml:space="preserve"> des droits des consommateurs de télécommunications/TIC. </w:t>
      </w:r>
    </w:p>
    <w:p w:rsidR="00506229" w:rsidRPr="00BE6EF9" w:rsidRDefault="00506229" w:rsidP="00506229">
      <w:pPr>
        <w:pStyle w:val="enumlev1"/>
      </w:pPr>
      <w:r w:rsidRPr="00BE6EF9">
        <w:t>d)</w:t>
      </w:r>
      <w:r w:rsidRPr="00BE6EF9">
        <w:tab/>
      </w:r>
      <w:r>
        <w:t>M</w:t>
      </w:r>
      <w:r w:rsidRPr="00BE6EF9">
        <w:t xml:space="preserve">esures économiques et financières éventuelles prises par les autorités nationales </w:t>
      </w:r>
      <w:r>
        <w:t>dans l'intérêt</w:t>
      </w:r>
      <w:r w:rsidRPr="00BE6EF9">
        <w:t xml:space="preserve"> des consommateurs de services de télécommunication/TIC, notamment </w:t>
      </w:r>
      <w:r>
        <w:t xml:space="preserve">de certaines </w:t>
      </w:r>
      <w:r w:rsidRPr="00BE6EF9">
        <w:t>catégories d</w:t>
      </w:r>
      <w:r>
        <w:t>'</w:t>
      </w:r>
      <w:r w:rsidRPr="00BE6EF9">
        <w:t>usagers (personnes handicapées, femmes et enfants).</w:t>
      </w:r>
    </w:p>
    <w:p w:rsidR="00506229" w:rsidRPr="00BE6EF9" w:rsidRDefault="00506229" w:rsidP="00506229">
      <w:pPr>
        <w:pStyle w:val="enumlev1"/>
      </w:pPr>
      <w:r>
        <w:t>e)</w:t>
      </w:r>
      <w:r>
        <w:tab/>
        <w:t>Problèmes</w:t>
      </w:r>
      <w:r w:rsidRPr="00BE6EF9">
        <w:t xml:space="preserve"> liés à la fourniture des nouveaux services convergents (transparence des offres, fluidité des marchés, qualité et disponibilité des services, services à valeur ajoutée, services après-vente, procédures de traitement des réclamations/préoccupations des consommateurs, etc.) relatifs à la protection des consommateurs</w:t>
      </w:r>
      <w:r>
        <w:t>, et</w:t>
      </w:r>
      <w:r w:rsidRPr="00BE6EF9">
        <w:t xml:space="preserve"> politiques, réglementations et règles établies par les </w:t>
      </w:r>
      <w:r>
        <w:t>autorités nationales de régulation (</w:t>
      </w:r>
      <w:r w:rsidRPr="00BE6EF9">
        <w:t>ANR</w:t>
      </w:r>
      <w:r>
        <w:t>)</w:t>
      </w:r>
      <w:r w:rsidRPr="00BE6EF9">
        <w:t xml:space="preserve"> pour protéger les consommateurs contre </w:t>
      </w:r>
      <w:r>
        <w:t>d'</w:t>
      </w:r>
      <w:r w:rsidRPr="00BE6EF9">
        <w:t xml:space="preserve">éventuels abus </w:t>
      </w:r>
      <w:r>
        <w:t xml:space="preserve">de la part </w:t>
      </w:r>
      <w:r w:rsidRPr="00BE6EF9">
        <w:t>des opérateurs/fournisseurs de ces services convergents.</w:t>
      </w:r>
    </w:p>
    <w:p w:rsidR="00506229" w:rsidRPr="00BE6EF9" w:rsidRDefault="00506229" w:rsidP="00506229">
      <w:pPr>
        <w:pStyle w:val="Heading1"/>
      </w:pPr>
      <w:r w:rsidRPr="00BE6EF9">
        <w:t>3</w:t>
      </w:r>
      <w:r w:rsidRPr="00BE6EF9">
        <w:tab/>
        <w:t>Résultats attendus</w:t>
      </w:r>
    </w:p>
    <w:p w:rsidR="00506229" w:rsidRPr="00FE35D3" w:rsidRDefault="00506229" w:rsidP="00506229">
      <w:pPr>
        <w:pStyle w:val="enumlev1"/>
      </w:pPr>
      <w:r w:rsidRPr="00FE35D3">
        <w:t>a)</w:t>
      </w:r>
      <w:r w:rsidRPr="00FE35D3">
        <w:tab/>
        <w:t>Un rapport à l'intention des Etats Membres et des Membres de Secteur, des organisations de protection des consommateurs et des opérateurs et fournisseurs de services, comprenant des lignes directrices et de bonnes pratiques, devra être rédigé pour aider ces acteurs à trouver les outils nécessaires à une amélioration de la culture de protection des consommateurs concernant l'information, la sensibilisation, la prise en compte des droits fondamentaux des consommateurs dans les lois et textes réglementaires nationaux, régionaux ou internationaux et la protection des consommateurs dans la fourniture de tous les services de télécommunication/TIC.</w:t>
      </w:r>
    </w:p>
    <w:p w:rsidR="00506229" w:rsidRPr="00FE35D3" w:rsidRDefault="00506229" w:rsidP="00506229">
      <w:pPr>
        <w:pStyle w:val="enumlev1"/>
      </w:pPr>
      <w:r w:rsidRPr="00FE35D3">
        <w:t>b)</w:t>
      </w:r>
      <w:r w:rsidRPr="00FE35D3">
        <w:tab/>
        <w:t>Organisation de séminaires régionaux sur la protection des consommateurs: information, protection et droits du consommateur: lois, bases économiques et financières, réseaux de consommateurs.</w:t>
      </w:r>
    </w:p>
    <w:p w:rsidR="00506229" w:rsidRPr="00BE6EF9" w:rsidRDefault="00506229" w:rsidP="00506229">
      <w:pPr>
        <w:pStyle w:val="Heading1"/>
      </w:pPr>
      <w:r>
        <w:t>4</w:t>
      </w:r>
      <w:r>
        <w:tab/>
        <w:t>Echéance</w:t>
      </w:r>
    </w:p>
    <w:p w:rsidR="00506229" w:rsidRPr="00BE6EF9" w:rsidRDefault="00506229" w:rsidP="00506229">
      <w:r w:rsidRPr="00BE6EF9">
        <w:t>Un rapport intérimaire sera présenté à la Commission d</w:t>
      </w:r>
      <w:r>
        <w:t>'</w:t>
      </w:r>
      <w:r w:rsidRPr="00BE6EF9">
        <w:t>études 1 en 2015. Il est proposé que cette étude soit achevée en 2017, date à laquelle un rapport final sera soumis.</w:t>
      </w:r>
    </w:p>
    <w:p w:rsidR="00506229" w:rsidRPr="00BE6EF9" w:rsidRDefault="00506229" w:rsidP="00506229">
      <w:pPr>
        <w:pStyle w:val="Heading1"/>
      </w:pPr>
      <w:r w:rsidRPr="00BE6EF9">
        <w:t>5</w:t>
      </w:r>
      <w:r w:rsidRPr="00BE6EF9">
        <w:tab/>
        <w:t>Auteurs de la proposition</w:t>
      </w:r>
      <w:r>
        <w:t>/sponsors</w:t>
      </w:r>
    </w:p>
    <w:p w:rsidR="00506229" w:rsidRPr="00BE6EF9" w:rsidRDefault="00506229" w:rsidP="00506229">
      <w:r w:rsidRPr="00BE6EF9">
        <w:t>La Commission d</w:t>
      </w:r>
      <w:r>
        <w:t>'</w:t>
      </w:r>
      <w:r w:rsidRPr="00BE6EF9">
        <w:t>études 1 de l</w:t>
      </w:r>
      <w:r>
        <w:t>'</w:t>
      </w:r>
      <w:r w:rsidRPr="00BE6EF9">
        <w:t xml:space="preserve">UIT-D </w:t>
      </w:r>
      <w:r>
        <w:t xml:space="preserve">a </w:t>
      </w:r>
      <w:r w:rsidRPr="00BE6EF9">
        <w:t>propos</w:t>
      </w:r>
      <w:r>
        <w:t>é</w:t>
      </w:r>
      <w:r w:rsidRPr="00BE6EF9">
        <w:t xml:space="preserve"> de poursuivre l</w:t>
      </w:r>
      <w:r>
        <w:t>'</w:t>
      </w:r>
      <w:r w:rsidRPr="00BE6EF9">
        <w:t>étude de cette Question</w:t>
      </w:r>
      <w:r>
        <w:t>,</w:t>
      </w:r>
      <w:r w:rsidRPr="00BE6EF9">
        <w:t xml:space="preserve"> telle qu</w:t>
      </w:r>
      <w:r>
        <w:t>'</w:t>
      </w:r>
      <w:r w:rsidRPr="00BE6EF9">
        <w:t>elle est modifiée ici.</w:t>
      </w:r>
    </w:p>
    <w:p w:rsidR="00506229" w:rsidRPr="00BE6EF9" w:rsidRDefault="00506229" w:rsidP="00506229">
      <w:pPr>
        <w:pStyle w:val="Heading1"/>
      </w:pPr>
      <w:r w:rsidRPr="00BE6EF9">
        <w:t>6</w:t>
      </w:r>
      <w:r w:rsidRPr="00BE6EF9">
        <w:tab/>
        <w:t xml:space="preserve">Origine des contributions </w:t>
      </w:r>
    </w:p>
    <w:p w:rsidR="00506229" w:rsidRPr="00FE35D3" w:rsidRDefault="00506229" w:rsidP="00506229">
      <w:pPr>
        <w:pStyle w:val="enumlev1"/>
      </w:pPr>
      <w:r w:rsidRPr="00FE35D3">
        <w:t>a)</w:t>
      </w:r>
      <w:r w:rsidRPr="00FE35D3">
        <w:tab/>
        <w:t>Contributions des Etats Membres, des Membres de Secteur et des organisations régionales ou internationales intéressées, telles que l'Organisation des Nations Unies et ses institutions spécialisées, l'OCDE et les associations de consommateurs reconnues.</w:t>
      </w:r>
    </w:p>
    <w:p w:rsidR="00506229" w:rsidRPr="00FE35D3" w:rsidRDefault="00506229" w:rsidP="00506229">
      <w:pPr>
        <w:pStyle w:val="enumlev1"/>
      </w:pPr>
      <w:r w:rsidRPr="00FE35D3">
        <w:t>b)</w:t>
      </w:r>
      <w:r w:rsidRPr="00FE35D3">
        <w:tab/>
        <w:t>Enquêtes/entretiens.</w:t>
      </w:r>
    </w:p>
    <w:p w:rsidR="00506229" w:rsidRPr="00FE35D3" w:rsidRDefault="00506229" w:rsidP="00506229">
      <w:pPr>
        <w:pStyle w:val="enumlev1"/>
      </w:pPr>
      <w:r w:rsidRPr="00FE35D3">
        <w:t>c)</w:t>
      </w:r>
      <w:r w:rsidRPr="00FE35D3">
        <w:tab/>
        <w:t>Mise à disposition d'informations sur la réglementation par l'intermédiaire du BDT.</w:t>
      </w:r>
    </w:p>
    <w:p w:rsidR="00506229" w:rsidRPr="00FE35D3" w:rsidRDefault="00506229" w:rsidP="00506229">
      <w:pPr>
        <w:pStyle w:val="enumlev1"/>
      </w:pPr>
      <w:r w:rsidRPr="00FE35D3">
        <w:lastRenderedPageBreak/>
        <w:t>d)</w:t>
      </w:r>
      <w:r w:rsidRPr="00FE35D3">
        <w:tab/>
        <w:t>Sites web des autorités nationales de régulation des télécommunications/TIC dans le monde, des entités gouvernementales régionales ou nationales chargées de la protection des consommateurs et des associations de consommateurs reconnues.</w:t>
      </w:r>
    </w:p>
    <w:p w:rsidR="00506229" w:rsidRPr="00FE35D3" w:rsidRDefault="00506229" w:rsidP="00506229">
      <w:pPr>
        <w:pStyle w:val="enumlev1"/>
      </w:pPr>
      <w:r w:rsidRPr="00FE35D3">
        <w:t>e)</w:t>
      </w:r>
      <w:r w:rsidRPr="00FE35D3">
        <w:tab/>
        <w:t>Travaux pertinents en cours à l'UIT-T et à l'UIT-R.</w:t>
      </w:r>
    </w:p>
    <w:p w:rsidR="00506229" w:rsidRPr="00FE35D3" w:rsidRDefault="00506229" w:rsidP="00506229">
      <w:pPr>
        <w:pStyle w:val="enumlev1"/>
      </w:pPr>
      <w:r>
        <w:t>f)</w:t>
      </w:r>
      <w:r>
        <w:tab/>
        <w:t>Autres sources pertinentes.</w:t>
      </w:r>
    </w:p>
    <w:p w:rsidR="00506229" w:rsidRPr="00BE6EF9" w:rsidRDefault="00506229" w:rsidP="00506229">
      <w:pPr>
        <w:pStyle w:val="Heading1"/>
      </w:pPr>
      <w:r w:rsidRPr="00BE6EF9">
        <w:t>7</w:t>
      </w:r>
      <w:r w:rsidRPr="00BE6EF9">
        <w:tab/>
        <w:t>Destinataires</w:t>
      </w:r>
    </w:p>
    <w:p w:rsidR="00506229" w:rsidRPr="00BE6EF9" w:rsidRDefault="00506229" w:rsidP="00506229">
      <w:r w:rsidRPr="00BE6EF9">
        <w:t>Tous les destinataires</w:t>
      </w:r>
      <w:r>
        <w:t xml:space="preserve"> indiqués ci-dessous</w:t>
      </w:r>
      <w:r w:rsidRPr="00BE6EF9">
        <w:t>, une attention particulière étant accordée aux besoins des pays en développement.</w:t>
      </w:r>
    </w:p>
    <w:tbl>
      <w:tblPr>
        <w:tblW w:w="4524" w:type="pct"/>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242"/>
        <w:gridCol w:w="1667"/>
        <w:gridCol w:w="1755"/>
      </w:tblGrid>
      <w:tr w:rsidR="00506229" w:rsidRPr="00BE6EF9" w:rsidTr="00551072">
        <w:trPr>
          <w:jc w:val="center"/>
        </w:trPr>
        <w:tc>
          <w:tcPr>
            <w:tcW w:w="30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6229" w:rsidRPr="00BE6EF9" w:rsidRDefault="00506229" w:rsidP="00551072">
            <w:pPr>
              <w:pStyle w:val="Tablehead"/>
              <w:spacing w:before="0" w:after="0"/>
              <w:rPr>
                <w:rFonts w:cstheme="minorHAnsi"/>
                <w:bCs/>
              </w:rPr>
            </w:pPr>
            <w:r w:rsidRPr="00BE6EF9">
              <w:rPr>
                <w:rFonts w:cstheme="minorHAnsi"/>
              </w:rPr>
              <w:t>Destinataires de l</w:t>
            </w:r>
            <w:r>
              <w:rPr>
                <w:rFonts w:cstheme="minorHAnsi"/>
              </w:rPr>
              <w:t>'</w:t>
            </w:r>
            <w:r w:rsidRPr="00BE6EF9">
              <w:rPr>
                <w:rFonts w:cstheme="minorHAnsi"/>
              </w:rPr>
              <w:t>étude</w:t>
            </w:r>
          </w:p>
        </w:tc>
        <w:tc>
          <w:tcPr>
            <w:tcW w:w="9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6229" w:rsidRPr="00BE6EF9" w:rsidRDefault="00506229" w:rsidP="00551072">
            <w:pPr>
              <w:pStyle w:val="Tablehead"/>
              <w:spacing w:before="0" w:after="0"/>
              <w:rPr>
                <w:rFonts w:cstheme="minorHAnsi"/>
                <w:bCs/>
              </w:rPr>
            </w:pPr>
            <w:r w:rsidRPr="00BE6EF9">
              <w:rPr>
                <w:rFonts w:cstheme="minorHAnsi"/>
              </w:rPr>
              <w:t xml:space="preserve">Pays </w:t>
            </w:r>
            <w:r w:rsidRPr="00BE6EF9">
              <w:rPr>
                <w:rFonts w:cstheme="minorHAnsi"/>
              </w:rPr>
              <w:br/>
              <w:t>développés</w:t>
            </w:r>
          </w:p>
        </w:tc>
        <w:tc>
          <w:tcPr>
            <w:tcW w:w="10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6229" w:rsidRPr="00BE6EF9" w:rsidRDefault="00506229" w:rsidP="00551072">
            <w:pPr>
              <w:pStyle w:val="Tablehead"/>
              <w:spacing w:before="0" w:after="0"/>
              <w:rPr>
                <w:rFonts w:cstheme="minorHAnsi"/>
                <w:bCs/>
              </w:rPr>
            </w:pPr>
            <w:r w:rsidRPr="00BE6EF9">
              <w:rPr>
                <w:rFonts w:cstheme="minorHAnsi"/>
              </w:rPr>
              <w:t xml:space="preserve">Pays en </w:t>
            </w:r>
            <w:r w:rsidRPr="00BE6EF9">
              <w:rPr>
                <w:rFonts w:cstheme="minorHAnsi"/>
              </w:rPr>
              <w:br/>
              <w:t>développement</w:t>
            </w:r>
            <w:r w:rsidRPr="00BE6EF9">
              <w:rPr>
                <w:rStyle w:val="FootnoteReference"/>
                <w:rFonts w:cstheme="minorHAnsi"/>
                <w:bCs/>
              </w:rPr>
              <w:footnoteReference w:customMarkFollows="1" w:id="1"/>
              <w:t>1</w:t>
            </w:r>
          </w:p>
        </w:tc>
      </w:tr>
      <w:tr w:rsidR="00506229" w:rsidRPr="00BE6EF9" w:rsidTr="00551072">
        <w:trPr>
          <w:jc w:val="center"/>
        </w:trPr>
        <w:tc>
          <w:tcPr>
            <w:tcW w:w="30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229" w:rsidRPr="00BE6EF9" w:rsidRDefault="00506229" w:rsidP="00551072">
            <w:pPr>
              <w:spacing w:before="40" w:after="40"/>
              <w:rPr>
                <w:rFonts w:cstheme="minorHAnsi"/>
                <w:sz w:val="22"/>
                <w:szCs w:val="22"/>
              </w:rPr>
            </w:pPr>
            <w:r w:rsidRPr="00BE6EF9">
              <w:rPr>
                <w:rFonts w:cstheme="minorHAnsi"/>
                <w:sz w:val="22"/>
                <w:szCs w:val="22"/>
              </w:rPr>
              <w:t>Décideurs en matière de télécommunications</w:t>
            </w: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rsidR="00506229" w:rsidRPr="00BE6EF9" w:rsidRDefault="00506229" w:rsidP="00551072">
            <w:pPr>
              <w:spacing w:before="40" w:after="40"/>
              <w:jc w:val="center"/>
              <w:rPr>
                <w:rFonts w:cstheme="minorHAnsi"/>
                <w:i/>
                <w:sz w:val="22"/>
                <w:szCs w:val="22"/>
              </w:rPr>
            </w:pPr>
            <w:r w:rsidRPr="00BE6EF9">
              <w:rPr>
                <w:rFonts w:cstheme="minorHAnsi"/>
                <w:sz w:val="22"/>
                <w:szCs w:val="22"/>
              </w:rPr>
              <w:t>oui</w:t>
            </w:r>
          </w:p>
        </w:tc>
        <w:tc>
          <w:tcPr>
            <w:tcW w:w="1012" w:type="pct"/>
            <w:tcBorders>
              <w:top w:val="nil"/>
              <w:left w:val="nil"/>
              <w:bottom w:val="single" w:sz="8" w:space="0" w:color="auto"/>
              <w:right w:val="single" w:sz="8" w:space="0" w:color="auto"/>
            </w:tcBorders>
            <w:tcMar>
              <w:top w:w="0" w:type="dxa"/>
              <w:left w:w="108" w:type="dxa"/>
              <w:bottom w:w="0" w:type="dxa"/>
              <w:right w:w="108" w:type="dxa"/>
            </w:tcMar>
            <w:hideMark/>
          </w:tcPr>
          <w:p w:rsidR="00506229" w:rsidRPr="00BE6EF9" w:rsidRDefault="00506229" w:rsidP="00551072">
            <w:pPr>
              <w:spacing w:before="40" w:after="40"/>
              <w:jc w:val="center"/>
              <w:rPr>
                <w:rFonts w:cstheme="minorHAnsi"/>
                <w:i/>
                <w:sz w:val="22"/>
                <w:szCs w:val="22"/>
              </w:rPr>
            </w:pPr>
            <w:r w:rsidRPr="00BE6EF9">
              <w:rPr>
                <w:rFonts w:cstheme="minorHAnsi"/>
                <w:sz w:val="22"/>
                <w:szCs w:val="22"/>
              </w:rPr>
              <w:t>oui</w:t>
            </w:r>
          </w:p>
        </w:tc>
      </w:tr>
      <w:tr w:rsidR="00506229" w:rsidRPr="00BE6EF9" w:rsidTr="00551072">
        <w:trPr>
          <w:jc w:val="center"/>
        </w:trPr>
        <w:tc>
          <w:tcPr>
            <w:tcW w:w="30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229" w:rsidRPr="00BE6EF9" w:rsidRDefault="00506229" w:rsidP="00551072">
            <w:pPr>
              <w:spacing w:before="40" w:after="40"/>
              <w:rPr>
                <w:rFonts w:cstheme="minorHAnsi"/>
                <w:i/>
                <w:sz w:val="22"/>
                <w:szCs w:val="22"/>
                <w:u w:val="single"/>
              </w:rPr>
            </w:pPr>
            <w:r w:rsidRPr="00BE6EF9">
              <w:rPr>
                <w:rFonts w:cstheme="minorHAnsi"/>
                <w:sz w:val="22"/>
                <w:szCs w:val="22"/>
              </w:rPr>
              <w:t>Régulateurs des télécommunications</w:t>
            </w:r>
          </w:p>
        </w:tc>
        <w:tc>
          <w:tcPr>
            <w:tcW w:w="962" w:type="pct"/>
            <w:tcBorders>
              <w:top w:val="nil"/>
              <w:left w:val="nil"/>
              <w:bottom w:val="single" w:sz="8" w:space="0" w:color="auto"/>
              <w:right w:val="single" w:sz="8" w:space="0" w:color="auto"/>
            </w:tcBorders>
            <w:tcMar>
              <w:top w:w="0" w:type="dxa"/>
              <w:left w:w="108" w:type="dxa"/>
              <w:bottom w:w="0" w:type="dxa"/>
              <w:right w:w="108" w:type="dxa"/>
            </w:tcMar>
            <w:hideMark/>
          </w:tcPr>
          <w:p w:rsidR="00506229" w:rsidRPr="00BE6EF9" w:rsidRDefault="00506229" w:rsidP="00551072">
            <w:pPr>
              <w:spacing w:before="40" w:after="40"/>
              <w:jc w:val="center"/>
              <w:rPr>
                <w:rFonts w:cstheme="minorHAnsi"/>
                <w:i/>
                <w:sz w:val="22"/>
                <w:szCs w:val="22"/>
              </w:rPr>
            </w:pPr>
            <w:r w:rsidRPr="00BE6EF9">
              <w:rPr>
                <w:rFonts w:cstheme="minorHAnsi"/>
                <w:sz w:val="22"/>
                <w:szCs w:val="22"/>
              </w:rPr>
              <w:t>oui</w:t>
            </w:r>
          </w:p>
        </w:tc>
        <w:tc>
          <w:tcPr>
            <w:tcW w:w="1012" w:type="pct"/>
            <w:tcBorders>
              <w:top w:val="nil"/>
              <w:left w:val="nil"/>
              <w:bottom w:val="single" w:sz="8" w:space="0" w:color="auto"/>
              <w:right w:val="single" w:sz="8" w:space="0" w:color="auto"/>
            </w:tcBorders>
            <w:tcMar>
              <w:top w:w="0" w:type="dxa"/>
              <w:left w:w="108" w:type="dxa"/>
              <w:bottom w:w="0" w:type="dxa"/>
              <w:right w:w="108" w:type="dxa"/>
            </w:tcMar>
            <w:hideMark/>
          </w:tcPr>
          <w:p w:rsidR="00506229" w:rsidRPr="00BE6EF9" w:rsidRDefault="00506229" w:rsidP="00551072">
            <w:pPr>
              <w:spacing w:before="40" w:after="40"/>
              <w:jc w:val="center"/>
              <w:rPr>
                <w:rFonts w:cstheme="minorHAnsi"/>
                <w:i/>
                <w:sz w:val="22"/>
                <w:szCs w:val="22"/>
              </w:rPr>
            </w:pPr>
            <w:r w:rsidRPr="00BE6EF9">
              <w:rPr>
                <w:rFonts w:cstheme="minorHAnsi"/>
                <w:sz w:val="22"/>
                <w:szCs w:val="22"/>
              </w:rPr>
              <w:t>oui</w:t>
            </w:r>
          </w:p>
        </w:tc>
      </w:tr>
      <w:tr w:rsidR="00506229" w:rsidRPr="00BE6EF9" w:rsidTr="00551072">
        <w:trPr>
          <w:jc w:val="center"/>
        </w:trPr>
        <w:tc>
          <w:tcPr>
            <w:tcW w:w="302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6229" w:rsidRPr="00BE6EF9" w:rsidRDefault="00506229" w:rsidP="00551072">
            <w:pPr>
              <w:spacing w:before="40" w:after="40"/>
              <w:rPr>
                <w:rFonts w:cstheme="minorHAnsi"/>
                <w:sz w:val="22"/>
                <w:szCs w:val="22"/>
              </w:rPr>
            </w:pPr>
            <w:r w:rsidRPr="00BE6EF9">
              <w:rPr>
                <w:rFonts w:cstheme="minorHAnsi"/>
                <w:sz w:val="22"/>
                <w:szCs w:val="22"/>
              </w:rPr>
              <w:t>Organisation de p</w:t>
            </w:r>
            <w:r>
              <w:rPr>
                <w:rFonts w:cstheme="minorHAnsi"/>
                <w:sz w:val="22"/>
                <w:szCs w:val="22"/>
              </w:rPr>
              <w:t xml:space="preserve">rotection des consommateurs de </w:t>
            </w:r>
            <w:r w:rsidRPr="00BE6EF9">
              <w:rPr>
                <w:rFonts w:cstheme="minorHAnsi"/>
                <w:sz w:val="22"/>
                <w:szCs w:val="22"/>
              </w:rPr>
              <w:t>télécommunications/TIC</w:t>
            </w:r>
          </w:p>
        </w:tc>
        <w:tc>
          <w:tcPr>
            <w:tcW w:w="962" w:type="pct"/>
            <w:tcBorders>
              <w:top w:val="nil"/>
              <w:left w:val="nil"/>
              <w:bottom w:val="single" w:sz="8" w:space="0" w:color="auto"/>
              <w:right w:val="single" w:sz="8" w:space="0" w:color="auto"/>
            </w:tcBorders>
            <w:tcMar>
              <w:top w:w="0" w:type="dxa"/>
              <w:left w:w="108" w:type="dxa"/>
              <w:bottom w:w="0" w:type="dxa"/>
              <w:right w:w="108" w:type="dxa"/>
            </w:tcMar>
          </w:tcPr>
          <w:p w:rsidR="00506229" w:rsidRPr="00BE6EF9" w:rsidRDefault="00506229" w:rsidP="00551072">
            <w:pPr>
              <w:spacing w:before="40" w:after="40"/>
              <w:jc w:val="center"/>
              <w:rPr>
                <w:rFonts w:cstheme="minorHAnsi"/>
                <w:i/>
                <w:sz w:val="22"/>
                <w:szCs w:val="22"/>
              </w:rPr>
            </w:pPr>
            <w:r w:rsidRPr="00BE6EF9">
              <w:rPr>
                <w:rFonts w:cstheme="minorHAnsi"/>
                <w:sz w:val="22"/>
                <w:szCs w:val="22"/>
              </w:rPr>
              <w:t>oui</w:t>
            </w:r>
          </w:p>
        </w:tc>
        <w:tc>
          <w:tcPr>
            <w:tcW w:w="1012" w:type="pct"/>
            <w:tcBorders>
              <w:top w:val="nil"/>
              <w:left w:val="nil"/>
              <w:bottom w:val="single" w:sz="8" w:space="0" w:color="auto"/>
              <w:right w:val="single" w:sz="8" w:space="0" w:color="auto"/>
            </w:tcBorders>
            <w:tcMar>
              <w:top w:w="0" w:type="dxa"/>
              <w:left w:w="108" w:type="dxa"/>
              <w:bottom w:w="0" w:type="dxa"/>
              <w:right w:w="108" w:type="dxa"/>
            </w:tcMar>
          </w:tcPr>
          <w:p w:rsidR="00506229" w:rsidRPr="00BE6EF9" w:rsidRDefault="00506229" w:rsidP="00551072">
            <w:pPr>
              <w:spacing w:before="40" w:after="40"/>
              <w:jc w:val="center"/>
              <w:rPr>
                <w:rFonts w:cstheme="minorHAnsi"/>
                <w:i/>
                <w:sz w:val="22"/>
                <w:szCs w:val="22"/>
              </w:rPr>
            </w:pPr>
            <w:r w:rsidRPr="00BE6EF9">
              <w:rPr>
                <w:rFonts w:cstheme="minorHAnsi"/>
                <w:sz w:val="22"/>
                <w:szCs w:val="22"/>
              </w:rPr>
              <w:t>oui</w:t>
            </w:r>
          </w:p>
        </w:tc>
      </w:tr>
      <w:tr w:rsidR="00506229" w:rsidRPr="00BE6EF9" w:rsidTr="00551072">
        <w:trPr>
          <w:jc w:val="center"/>
        </w:trPr>
        <w:tc>
          <w:tcPr>
            <w:tcW w:w="30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6229" w:rsidRPr="00BE6EF9" w:rsidRDefault="00506229" w:rsidP="00551072">
            <w:pPr>
              <w:spacing w:before="40" w:after="40"/>
              <w:rPr>
                <w:rFonts w:cstheme="minorHAnsi"/>
                <w:i/>
                <w:sz w:val="22"/>
                <w:szCs w:val="22"/>
              </w:rPr>
            </w:pPr>
            <w:r w:rsidRPr="00BE6EF9">
              <w:rPr>
                <w:rFonts w:cstheme="minorHAnsi"/>
                <w:sz w:val="22"/>
                <w:szCs w:val="22"/>
              </w:rPr>
              <w:t>Fournisseur de services/opérateurs</w:t>
            </w:r>
          </w:p>
        </w:tc>
        <w:tc>
          <w:tcPr>
            <w:tcW w:w="96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06229" w:rsidRPr="00BE6EF9" w:rsidRDefault="00506229" w:rsidP="00551072">
            <w:pPr>
              <w:spacing w:before="40" w:after="40"/>
              <w:jc w:val="center"/>
              <w:rPr>
                <w:rFonts w:cstheme="minorHAnsi"/>
                <w:i/>
                <w:sz w:val="22"/>
                <w:szCs w:val="22"/>
              </w:rPr>
            </w:pPr>
            <w:r w:rsidRPr="00BE6EF9">
              <w:rPr>
                <w:rFonts w:cstheme="minorHAnsi"/>
                <w:sz w:val="22"/>
                <w:szCs w:val="22"/>
              </w:rPr>
              <w:t>oui</w:t>
            </w:r>
          </w:p>
        </w:tc>
        <w:tc>
          <w:tcPr>
            <w:tcW w:w="10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06229" w:rsidRPr="00BE6EF9" w:rsidRDefault="00506229" w:rsidP="00551072">
            <w:pPr>
              <w:spacing w:before="40" w:after="40"/>
              <w:jc w:val="center"/>
              <w:rPr>
                <w:rFonts w:cstheme="minorHAnsi"/>
                <w:i/>
                <w:sz w:val="22"/>
                <w:szCs w:val="22"/>
              </w:rPr>
            </w:pPr>
            <w:r w:rsidRPr="00BE6EF9">
              <w:rPr>
                <w:rFonts w:cstheme="minorHAnsi"/>
                <w:sz w:val="22"/>
                <w:szCs w:val="22"/>
              </w:rPr>
              <w:t>oui</w:t>
            </w:r>
          </w:p>
        </w:tc>
      </w:tr>
      <w:tr w:rsidR="00506229" w:rsidRPr="00BE6EF9" w:rsidTr="00551072">
        <w:trPr>
          <w:jc w:val="center"/>
        </w:trPr>
        <w:tc>
          <w:tcPr>
            <w:tcW w:w="30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6229" w:rsidRPr="00BE6EF9" w:rsidRDefault="00506229" w:rsidP="00551072">
            <w:pPr>
              <w:spacing w:before="40" w:after="40"/>
              <w:rPr>
                <w:rFonts w:cstheme="minorHAnsi"/>
                <w:sz w:val="22"/>
                <w:szCs w:val="22"/>
              </w:rPr>
            </w:pPr>
            <w:r w:rsidRPr="00BE6EF9">
              <w:rPr>
                <w:rFonts w:cstheme="minorHAnsi"/>
                <w:sz w:val="22"/>
                <w:szCs w:val="22"/>
              </w:rPr>
              <w:t>Equipementiers</w:t>
            </w:r>
          </w:p>
        </w:tc>
        <w:tc>
          <w:tcPr>
            <w:tcW w:w="96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06229" w:rsidRPr="00BE6EF9" w:rsidRDefault="00506229" w:rsidP="00551072">
            <w:pPr>
              <w:spacing w:before="40" w:after="40"/>
              <w:jc w:val="center"/>
              <w:rPr>
                <w:rFonts w:cstheme="minorHAnsi"/>
                <w:i/>
                <w:sz w:val="22"/>
                <w:szCs w:val="22"/>
              </w:rPr>
            </w:pPr>
            <w:r w:rsidRPr="00BE6EF9">
              <w:rPr>
                <w:rFonts w:cstheme="minorHAnsi"/>
                <w:sz w:val="22"/>
                <w:szCs w:val="22"/>
              </w:rPr>
              <w:t>oui</w:t>
            </w:r>
          </w:p>
        </w:tc>
        <w:tc>
          <w:tcPr>
            <w:tcW w:w="10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06229" w:rsidRPr="00BE6EF9" w:rsidRDefault="00506229" w:rsidP="00551072">
            <w:pPr>
              <w:spacing w:before="40" w:after="40"/>
              <w:jc w:val="center"/>
              <w:rPr>
                <w:rFonts w:cstheme="minorHAnsi"/>
                <w:i/>
                <w:sz w:val="22"/>
                <w:szCs w:val="22"/>
              </w:rPr>
            </w:pPr>
            <w:r w:rsidRPr="00BE6EF9">
              <w:rPr>
                <w:rFonts w:cstheme="minorHAnsi"/>
                <w:sz w:val="22"/>
                <w:szCs w:val="22"/>
              </w:rPr>
              <w:t>oui</w:t>
            </w:r>
          </w:p>
        </w:tc>
      </w:tr>
      <w:tr w:rsidR="00506229" w:rsidRPr="00BE6EF9" w:rsidTr="00551072">
        <w:trPr>
          <w:jc w:val="center"/>
        </w:trPr>
        <w:tc>
          <w:tcPr>
            <w:tcW w:w="30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6229" w:rsidRPr="00BE6EF9" w:rsidRDefault="00506229" w:rsidP="00551072">
            <w:pPr>
              <w:spacing w:before="40" w:after="40"/>
              <w:rPr>
                <w:rFonts w:cstheme="minorHAnsi"/>
                <w:i/>
                <w:sz w:val="22"/>
                <w:szCs w:val="22"/>
              </w:rPr>
            </w:pPr>
            <w:r w:rsidRPr="00BE6EF9">
              <w:rPr>
                <w:rFonts w:cstheme="minorHAnsi"/>
                <w:sz w:val="22"/>
                <w:szCs w:val="22"/>
              </w:rPr>
              <w:t>Programme de l</w:t>
            </w:r>
            <w:r>
              <w:rPr>
                <w:rFonts w:cstheme="minorHAnsi"/>
                <w:sz w:val="22"/>
                <w:szCs w:val="22"/>
              </w:rPr>
              <w:t>'</w:t>
            </w:r>
            <w:r w:rsidRPr="00BE6EF9">
              <w:rPr>
                <w:rFonts w:cstheme="minorHAnsi"/>
                <w:sz w:val="22"/>
                <w:szCs w:val="22"/>
              </w:rPr>
              <w:t>UIT-D</w:t>
            </w:r>
          </w:p>
        </w:tc>
        <w:tc>
          <w:tcPr>
            <w:tcW w:w="96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06229" w:rsidRPr="00BE6EF9" w:rsidRDefault="00506229" w:rsidP="00551072">
            <w:pPr>
              <w:spacing w:before="40" w:after="40"/>
              <w:jc w:val="center"/>
              <w:rPr>
                <w:rFonts w:cstheme="minorHAnsi"/>
                <w:i/>
                <w:sz w:val="22"/>
                <w:szCs w:val="22"/>
              </w:rPr>
            </w:pPr>
            <w:r w:rsidRPr="00BE6EF9">
              <w:rPr>
                <w:rFonts w:cstheme="minorHAnsi"/>
                <w:sz w:val="22"/>
                <w:szCs w:val="22"/>
              </w:rPr>
              <w:t>oui</w:t>
            </w:r>
          </w:p>
        </w:tc>
        <w:tc>
          <w:tcPr>
            <w:tcW w:w="10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06229" w:rsidRPr="00BE6EF9" w:rsidRDefault="00506229" w:rsidP="00551072">
            <w:pPr>
              <w:spacing w:before="40" w:after="40"/>
              <w:jc w:val="center"/>
              <w:rPr>
                <w:rFonts w:cstheme="minorHAnsi"/>
                <w:i/>
                <w:sz w:val="22"/>
                <w:szCs w:val="22"/>
              </w:rPr>
            </w:pPr>
            <w:r w:rsidRPr="00BE6EF9">
              <w:rPr>
                <w:rFonts w:cstheme="minorHAnsi"/>
                <w:sz w:val="22"/>
                <w:szCs w:val="22"/>
              </w:rPr>
              <w:t>oui</w:t>
            </w:r>
          </w:p>
        </w:tc>
      </w:tr>
    </w:tbl>
    <w:p w:rsidR="00506229" w:rsidRPr="00BE6EF9" w:rsidRDefault="00506229" w:rsidP="00506229">
      <w:pPr>
        <w:spacing w:before="360"/>
        <w:rPr>
          <w:rFonts w:cstheme="minorHAnsi"/>
          <w:b/>
          <w:szCs w:val="24"/>
        </w:rPr>
      </w:pPr>
      <w:r w:rsidRPr="00BE6EF9">
        <w:rPr>
          <w:rFonts w:cstheme="minorHAnsi"/>
          <w:b/>
          <w:szCs w:val="24"/>
        </w:rPr>
        <w:t>a)</w:t>
      </w:r>
      <w:r w:rsidRPr="00BE6EF9">
        <w:rPr>
          <w:rFonts w:cstheme="minorHAnsi"/>
          <w:b/>
          <w:szCs w:val="24"/>
        </w:rPr>
        <w:tab/>
        <w:t>Destinataires de l</w:t>
      </w:r>
      <w:r>
        <w:rPr>
          <w:rFonts w:cstheme="minorHAnsi"/>
          <w:b/>
          <w:szCs w:val="24"/>
        </w:rPr>
        <w:t>'</w:t>
      </w:r>
      <w:r w:rsidRPr="00BE6EF9">
        <w:rPr>
          <w:rFonts w:cstheme="minorHAnsi"/>
          <w:b/>
          <w:szCs w:val="24"/>
        </w:rPr>
        <w:t>étude – Qui précisément en utilisera les résultats</w:t>
      </w:r>
    </w:p>
    <w:p w:rsidR="00506229" w:rsidRDefault="00506229" w:rsidP="00506229">
      <w:r>
        <w:t>Décideurs, régulateurs, fournisseurs de services et opérateurs nationaux de télécommunication et organismes internationaux, régionaux ou nationaux reconnus en matière de protection des consommateurs de télécommunications/TIC.</w:t>
      </w:r>
    </w:p>
    <w:p w:rsidR="00506229" w:rsidRPr="00BE6EF9" w:rsidRDefault="00506229" w:rsidP="00506229">
      <w:pPr>
        <w:rPr>
          <w:rFonts w:cstheme="minorHAnsi"/>
          <w:b/>
          <w:szCs w:val="24"/>
        </w:rPr>
      </w:pPr>
      <w:r w:rsidRPr="00BE6EF9">
        <w:rPr>
          <w:rFonts w:cstheme="minorHAnsi"/>
          <w:b/>
          <w:szCs w:val="24"/>
        </w:rPr>
        <w:t>b)</w:t>
      </w:r>
      <w:r w:rsidRPr="00BE6EF9">
        <w:rPr>
          <w:rFonts w:cstheme="minorHAnsi"/>
          <w:b/>
          <w:szCs w:val="24"/>
        </w:rPr>
        <w:tab/>
        <w:t xml:space="preserve">Méthodes proposées pour la mise en </w:t>
      </w:r>
      <w:proofErr w:type="spellStart"/>
      <w:r w:rsidRPr="00BE6EF9">
        <w:rPr>
          <w:rFonts w:cstheme="minorHAnsi"/>
          <w:b/>
          <w:szCs w:val="24"/>
        </w:rPr>
        <w:t>oeuvre</w:t>
      </w:r>
      <w:proofErr w:type="spellEnd"/>
      <w:r w:rsidRPr="00BE6EF9">
        <w:rPr>
          <w:rFonts w:cstheme="minorHAnsi"/>
          <w:b/>
          <w:szCs w:val="24"/>
        </w:rPr>
        <w:t xml:space="preserve"> des résultats</w:t>
      </w:r>
    </w:p>
    <w:p w:rsidR="00506229" w:rsidRPr="00FE35D3" w:rsidRDefault="00506229" w:rsidP="00506229">
      <w:pPr>
        <w:pStyle w:val="enumlev1"/>
      </w:pPr>
      <w:r w:rsidRPr="00FE35D3">
        <w:t>–</w:t>
      </w:r>
      <w:r w:rsidRPr="00FE35D3">
        <w:tab/>
        <w:t>Distribution électronique du rapport et des lignes directrices à tous les Etats Membres, Membres du Secteur et aux ANR concernées ainsi qu'aux bureaux régionaux de l'UIT.</w:t>
      </w:r>
    </w:p>
    <w:p w:rsidR="00506229" w:rsidRPr="00FE35D3" w:rsidRDefault="00506229" w:rsidP="00506229">
      <w:pPr>
        <w:pStyle w:val="enumlev1"/>
      </w:pPr>
      <w:r w:rsidRPr="00FE35D3">
        <w:t>–</w:t>
      </w:r>
      <w:r w:rsidRPr="00FE35D3">
        <w:tab/>
        <w:t>Distribution du rapport et des lignes directrices lors du Colloque mondial des régulateurs et des séminaires concernés du BDT, du BR et du TSB.</w:t>
      </w:r>
    </w:p>
    <w:p w:rsidR="00506229" w:rsidRPr="00BE6EF9" w:rsidRDefault="00506229" w:rsidP="00506229">
      <w:pPr>
        <w:pStyle w:val="Heading1"/>
      </w:pPr>
      <w:r w:rsidRPr="00BE6EF9">
        <w:t>8</w:t>
      </w:r>
      <w:r w:rsidRPr="00BE6EF9">
        <w:tab/>
        <w:t>Méthodes proposées pour traiter la Question ou le thème</w:t>
      </w:r>
    </w:p>
    <w:p w:rsidR="00506229" w:rsidRPr="00BE6EF9" w:rsidRDefault="00506229" w:rsidP="00506229">
      <w:pPr>
        <w:pStyle w:val="Headingb"/>
        <w:rPr>
          <w:rFonts w:cstheme="minorHAnsi"/>
          <w:szCs w:val="24"/>
        </w:rPr>
      </w:pPr>
      <w:r>
        <w:rPr>
          <w:rFonts w:cstheme="minorHAnsi"/>
          <w:szCs w:val="24"/>
        </w:rPr>
        <w:t>a)</w:t>
      </w:r>
      <w:r>
        <w:rPr>
          <w:rFonts w:cstheme="minorHAnsi"/>
          <w:szCs w:val="24"/>
        </w:rPr>
        <w:tab/>
      </w:r>
      <w:r w:rsidRPr="00BE6EF9">
        <w:rPr>
          <w:rFonts w:cstheme="minorHAnsi"/>
          <w:szCs w:val="24"/>
        </w:rPr>
        <w:t>Comment?</w:t>
      </w:r>
    </w:p>
    <w:p w:rsidR="00506229" w:rsidRPr="00BE6EF9" w:rsidRDefault="00506229" w:rsidP="00506229">
      <w:pPr>
        <w:pStyle w:val="enumlev1"/>
        <w:rPr>
          <w:rFonts w:cstheme="minorHAnsi"/>
        </w:rPr>
      </w:pPr>
      <w:r w:rsidRPr="00BE6EF9">
        <w:rPr>
          <w:rFonts w:cstheme="minorHAnsi"/>
        </w:rPr>
        <w:t>1)</w:t>
      </w:r>
      <w:r w:rsidRPr="00BE6EF9">
        <w:rPr>
          <w:rFonts w:cstheme="minorHAnsi"/>
        </w:rPr>
        <w:tab/>
        <w:t>Dans le cadre d</w:t>
      </w:r>
      <w:r>
        <w:rPr>
          <w:rFonts w:cstheme="minorHAnsi"/>
        </w:rPr>
        <w:t>'</w:t>
      </w:r>
      <w:r w:rsidRPr="00BE6EF9">
        <w:rPr>
          <w:rFonts w:cstheme="minorHAnsi"/>
        </w:rPr>
        <w:t xml:space="preserve">une </w:t>
      </w:r>
      <w:r>
        <w:rPr>
          <w:rFonts w:cstheme="minorHAnsi"/>
        </w:rPr>
        <w:t>c</w:t>
      </w:r>
      <w:r w:rsidRPr="00BE6EF9">
        <w:rPr>
          <w:rFonts w:cstheme="minorHAnsi"/>
        </w:rPr>
        <w:t>ommission d</w:t>
      </w:r>
      <w:r>
        <w:rPr>
          <w:rFonts w:cstheme="minorHAnsi"/>
        </w:rPr>
        <w:t>'</w:t>
      </w:r>
      <w:r w:rsidRPr="00BE6EF9">
        <w:rPr>
          <w:rFonts w:cstheme="minorHAnsi"/>
        </w:rPr>
        <w:t xml:space="preserve">études: </w:t>
      </w:r>
      <w:r w:rsidRPr="00BE6EF9">
        <w:rPr>
          <w:rFonts w:cstheme="minorHAnsi"/>
          <w:szCs w:val="24"/>
        </w:rPr>
        <w:tab/>
      </w:r>
      <w:r w:rsidRPr="00BE6EF9">
        <w:rPr>
          <w:rFonts w:cstheme="minorHAnsi"/>
          <w:szCs w:val="24"/>
        </w:rPr>
        <w:tab/>
      </w:r>
      <w:r w:rsidRPr="00BE6EF9">
        <w:rPr>
          <w:rFonts w:cstheme="minorHAnsi"/>
          <w:szCs w:val="24"/>
        </w:rPr>
        <w:tab/>
      </w:r>
      <w:r w:rsidRPr="00BE6EF9">
        <w:rPr>
          <w:rFonts w:cstheme="minorHAnsi"/>
          <w:szCs w:val="24"/>
        </w:rPr>
        <w:tab/>
      </w:r>
      <w:r w:rsidRPr="00BE6EF9">
        <w:rPr>
          <w:rFonts w:cstheme="minorHAnsi"/>
          <w:szCs w:val="24"/>
        </w:rPr>
        <w:tab/>
      </w:r>
      <w:r w:rsidRPr="00BE6EF9">
        <w:rPr>
          <w:rFonts w:cstheme="minorHAnsi"/>
          <w:szCs w:val="24"/>
        </w:rPr>
        <w:tab/>
      </w:r>
      <w:r w:rsidRPr="00BE6EF9">
        <w:rPr>
          <w:rFonts w:cstheme="minorHAnsi"/>
          <w:szCs w:val="24"/>
        </w:rPr>
        <w:sym w:font="Wingdings 2" w:char="F052"/>
      </w:r>
      <w:r w:rsidRPr="00BE6EF9">
        <w:rPr>
          <w:rFonts w:cstheme="minorHAnsi"/>
        </w:rPr>
        <w:t xml:space="preserve"> </w:t>
      </w:r>
    </w:p>
    <w:p w:rsidR="00506229" w:rsidRPr="00BE6EF9" w:rsidRDefault="00506229" w:rsidP="00506229">
      <w:pPr>
        <w:pStyle w:val="enumlev2"/>
        <w:tabs>
          <w:tab w:val="left" w:pos="8647"/>
        </w:tabs>
        <w:rPr>
          <w:rFonts w:cstheme="minorHAnsi"/>
        </w:rPr>
      </w:pPr>
      <w:r w:rsidRPr="00BE6EF9">
        <w:rPr>
          <w:rFonts w:cstheme="minorHAnsi"/>
        </w:rPr>
        <w:t>–</w:t>
      </w:r>
      <w:r w:rsidRPr="00BE6EF9">
        <w:rPr>
          <w:rFonts w:cstheme="minorHAnsi"/>
        </w:rPr>
        <w:tab/>
        <w:t>Question (</w:t>
      </w:r>
      <w:r>
        <w:rPr>
          <w:rFonts w:cstheme="minorHAnsi"/>
        </w:rPr>
        <w:t xml:space="preserve">traitée sur plusieurs années </w:t>
      </w:r>
      <w:r w:rsidRPr="00BE6EF9">
        <w:rPr>
          <w:rFonts w:cstheme="minorHAnsi"/>
        </w:rPr>
        <w:t>au cours d</w:t>
      </w:r>
      <w:r>
        <w:rPr>
          <w:rFonts w:cstheme="minorHAnsi"/>
        </w:rPr>
        <w:t>'</w:t>
      </w:r>
      <w:r w:rsidRPr="00BE6EF9">
        <w:rPr>
          <w:rFonts w:cstheme="minorHAnsi"/>
        </w:rPr>
        <w:t>une période d</w:t>
      </w:r>
      <w:r>
        <w:rPr>
          <w:rFonts w:cstheme="minorHAnsi"/>
        </w:rPr>
        <w:t>'</w:t>
      </w:r>
      <w:r w:rsidRPr="00BE6EF9">
        <w:rPr>
          <w:rFonts w:cstheme="minorHAnsi"/>
        </w:rPr>
        <w:t>études)</w:t>
      </w:r>
      <w:r w:rsidRPr="00BE6EF9">
        <w:rPr>
          <w:rFonts w:cstheme="minorHAnsi"/>
        </w:rPr>
        <w:tab/>
      </w:r>
      <w:r w:rsidRPr="00BE6EF9">
        <w:rPr>
          <w:rFonts w:cstheme="minorHAnsi"/>
          <w:sz w:val="16"/>
          <w:szCs w:val="16"/>
        </w:rPr>
        <w:fldChar w:fldCharType="begin">
          <w:ffData>
            <w:name w:val=""/>
            <w:enabled/>
            <w:calcOnExit w:val="0"/>
            <w:checkBox>
              <w:sizeAuto/>
              <w:default w:val="0"/>
            </w:checkBox>
          </w:ffData>
        </w:fldChar>
      </w:r>
      <w:r w:rsidRPr="00BE6EF9">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sidRPr="00BE6EF9">
        <w:rPr>
          <w:rFonts w:cstheme="minorHAnsi"/>
          <w:sz w:val="16"/>
          <w:szCs w:val="16"/>
        </w:rPr>
        <w:fldChar w:fldCharType="end"/>
      </w:r>
    </w:p>
    <w:p w:rsidR="00506229" w:rsidRPr="00BE6EF9" w:rsidRDefault="00506229" w:rsidP="00506229">
      <w:pPr>
        <w:pStyle w:val="enumlev1"/>
        <w:rPr>
          <w:rFonts w:cstheme="minorHAnsi"/>
        </w:rPr>
      </w:pPr>
      <w:r w:rsidRPr="00BE6EF9">
        <w:rPr>
          <w:rFonts w:cstheme="minorHAnsi"/>
        </w:rPr>
        <w:t>2)</w:t>
      </w:r>
      <w:r w:rsidRPr="00BE6EF9">
        <w:rPr>
          <w:rFonts w:cstheme="minorHAnsi"/>
        </w:rPr>
        <w:tab/>
        <w:t xml:space="preserve">Dans le cadre des activités </w:t>
      </w:r>
      <w:r>
        <w:rPr>
          <w:rFonts w:cstheme="minorHAnsi"/>
        </w:rPr>
        <w:t>courantes</w:t>
      </w:r>
      <w:r w:rsidRPr="00BE6EF9">
        <w:rPr>
          <w:rFonts w:cstheme="minorHAnsi"/>
        </w:rPr>
        <w:t xml:space="preserve"> du BDT:</w:t>
      </w:r>
    </w:p>
    <w:p w:rsidR="00506229" w:rsidRPr="00BE6EF9" w:rsidRDefault="00506229" w:rsidP="00506229">
      <w:pPr>
        <w:pStyle w:val="enumlev2"/>
        <w:rPr>
          <w:rFonts w:cstheme="minorHAnsi"/>
        </w:rPr>
      </w:pPr>
      <w:r>
        <w:rPr>
          <w:rFonts w:cstheme="minorHAnsi"/>
          <w:szCs w:val="24"/>
        </w:rPr>
        <w:lastRenderedPageBreak/>
        <w:t>–</w:t>
      </w:r>
      <w:r>
        <w:rPr>
          <w:rFonts w:cstheme="minorHAnsi"/>
          <w:szCs w:val="24"/>
        </w:rPr>
        <w:tab/>
      </w:r>
      <w:r w:rsidRPr="00BE6EF9">
        <w:rPr>
          <w:rFonts w:cstheme="minorHAnsi"/>
        </w:rPr>
        <w:t>Objectif 2</w:t>
      </w:r>
      <w:r w:rsidRPr="00BE6EF9">
        <w:rPr>
          <w:rFonts w:cstheme="minorHAnsi"/>
        </w:rPr>
        <w:tab/>
      </w:r>
      <w:r w:rsidRPr="00BE6EF9">
        <w:rPr>
          <w:rFonts w:cstheme="minorHAnsi"/>
        </w:rPr>
        <w:tab/>
      </w:r>
      <w:r w:rsidRPr="00BE6EF9">
        <w:rPr>
          <w:rFonts w:cstheme="minorHAnsi"/>
        </w:rPr>
        <w:tab/>
      </w:r>
      <w:r w:rsidRPr="00BE6EF9">
        <w:rPr>
          <w:rFonts w:cstheme="minorHAnsi"/>
        </w:rPr>
        <w:tab/>
      </w:r>
      <w:r w:rsidRPr="00BE6EF9">
        <w:rPr>
          <w:rFonts w:cstheme="minorHAnsi"/>
        </w:rPr>
        <w:tab/>
      </w:r>
      <w:r w:rsidRPr="00BE6EF9">
        <w:rPr>
          <w:rFonts w:cstheme="minorHAnsi"/>
        </w:rPr>
        <w:tab/>
      </w:r>
      <w:r w:rsidRPr="00BE6EF9">
        <w:rPr>
          <w:rFonts w:cstheme="minorHAnsi"/>
        </w:rPr>
        <w:tab/>
      </w:r>
      <w:r w:rsidRPr="00BE6EF9">
        <w:rPr>
          <w:rFonts w:cstheme="minorHAnsi"/>
        </w:rPr>
        <w:tab/>
      </w:r>
      <w:r w:rsidRPr="00BE6EF9">
        <w:rPr>
          <w:rFonts w:cstheme="minorHAnsi"/>
        </w:rPr>
        <w:tab/>
      </w:r>
      <w:r w:rsidRPr="00BE6EF9">
        <w:rPr>
          <w:rFonts w:cstheme="minorHAnsi"/>
        </w:rPr>
        <w:tab/>
      </w:r>
      <w:r w:rsidRPr="00BE6EF9">
        <w:rPr>
          <w:rFonts w:cstheme="minorHAnsi"/>
          <w:szCs w:val="24"/>
        </w:rPr>
        <w:sym w:font="Wingdings 2" w:char="F052"/>
      </w:r>
    </w:p>
    <w:p w:rsidR="00506229" w:rsidRPr="00BE6EF9" w:rsidRDefault="00506229" w:rsidP="00506229">
      <w:pPr>
        <w:pStyle w:val="enumlev2"/>
        <w:rPr>
          <w:rFonts w:cstheme="minorHAnsi"/>
          <w:szCs w:val="24"/>
        </w:rPr>
      </w:pPr>
      <w:r>
        <w:rPr>
          <w:rFonts w:cstheme="minorHAnsi"/>
          <w:szCs w:val="24"/>
        </w:rPr>
        <w:t>–</w:t>
      </w:r>
      <w:r>
        <w:rPr>
          <w:rFonts w:cstheme="minorHAnsi"/>
          <w:szCs w:val="24"/>
        </w:rPr>
        <w:tab/>
        <w:t>Projets: i</w:t>
      </w:r>
      <w:r w:rsidRPr="00BE6EF9">
        <w:rPr>
          <w:rFonts w:cstheme="minorHAnsi"/>
          <w:szCs w:val="24"/>
        </w:rPr>
        <w:t xml:space="preserve">nitiatives </w:t>
      </w:r>
      <w:r>
        <w:rPr>
          <w:rFonts w:cstheme="minorHAnsi"/>
          <w:szCs w:val="24"/>
        </w:rPr>
        <w:t>r</w:t>
      </w:r>
      <w:r w:rsidRPr="00BE6EF9">
        <w:rPr>
          <w:rFonts w:cstheme="minorHAnsi"/>
          <w:szCs w:val="24"/>
        </w:rPr>
        <w:t>égionales</w:t>
      </w:r>
      <w:r w:rsidRPr="00BE6EF9">
        <w:rPr>
          <w:rFonts w:cstheme="minorHAnsi"/>
          <w:szCs w:val="24"/>
        </w:rPr>
        <w:tab/>
      </w:r>
      <w:r w:rsidRPr="00BE6EF9">
        <w:rPr>
          <w:rFonts w:cstheme="minorHAnsi"/>
          <w:szCs w:val="24"/>
        </w:rPr>
        <w:tab/>
      </w:r>
      <w:r w:rsidRPr="00BE6EF9">
        <w:rPr>
          <w:rFonts w:cstheme="minorHAnsi"/>
          <w:szCs w:val="24"/>
        </w:rPr>
        <w:tab/>
      </w:r>
      <w:r w:rsidRPr="00BE6EF9">
        <w:rPr>
          <w:rFonts w:cstheme="minorHAnsi"/>
          <w:szCs w:val="24"/>
        </w:rPr>
        <w:tab/>
      </w:r>
      <w:r w:rsidRPr="00BE6EF9">
        <w:rPr>
          <w:rFonts w:cstheme="minorHAnsi"/>
          <w:szCs w:val="24"/>
        </w:rPr>
        <w:tab/>
      </w:r>
      <w:r w:rsidRPr="00BE6EF9">
        <w:rPr>
          <w:rFonts w:cstheme="minorHAnsi"/>
          <w:szCs w:val="24"/>
        </w:rPr>
        <w:tab/>
      </w:r>
      <w:r w:rsidRPr="00BE6EF9">
        <w:rPr>
          <w:rFonts w:cstheme="minorHAnsi"/>
          <w:szCs w:val="24"/>
        </w:rPr>
        <w:tab/>
      </w:r>
      <w:r w:rsidRPr="00BE6EF9">
        <w:rPr>
          <w:rFonts w:cstheme="minorHAnsi"/>
          <w:sz w:val="16"/>
          <w:szCs w:val="16"/>
        </w:rPr>
        <w:fldChar w:fldCharType="begin">
          <w:ffData>
            <w:name w:val=""/>
            <w:enabled/>
            <w:calcOnExit w:val="0"/>
            <w:checkBox>
              <w:sizeAuto/>
              <w:default w:val="0"/>
            </w:checkBox>
          </w:ffData>
        </w:fldChar>
      </w:r>
      <w:r w:rsidRPr="00BE6EF9">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sidRPr="00BE6EF9">
        <w:rPr>
          <w:rFonts w:cstheme="minorHAnsi"/>
          <w:sz w:val="16"/>
          <w:szCs w:val="16"/>
        </w:rPr>
        <w:fldChar w:fldCharType="end"/>
      </w:r>
    </w:p>
    <w:p w:rsidR="00506229" w:rsidRPr="00BE6EF9" w:rsidRDefault="00506229" w:rsidP="00506229">
      <w:pPr>
        <w:pStyle w:val="enumlev2"/>
        <w:rPr>
          <w:rFonts w:cstheme="minorHAnsi"/>
          <w:szCs w:val="24"/>
        </w:rPr>
      </w:pPr>
      <w:r w:rsidRPr="00BE6EF9">
        <w:rPr>
          <w:rFonts w:cstheme="minorHAnsi"/>
          <w:szCs w:val="24"/>
        </w:rPr>
        <w:t>–</w:t>
      </w:r>
      <w:r w:rsidRPr="00BE6EF9">
        <w:rPr>
          <w:rFonts w:cstheme="minorHAnsi"/>
          <w:szCs w:val="24"/>
        </w:rPr>
        <w:tab/>
        <w:t xml:space="preserve">Consultants </w:t>
      </w:r>
      <w:r>
        <w:rPr>
          <w:rFonts w:cstheme="minorHAnsi"/>
          <w:szCs w:val="24"/>
        </w:rPr>
        <w:t>spécialisés</w:t>
      </w:r>
      <w:r w:rsidRPr="00BE6EF9">
        <w:rPr>
          <w:rFonts w:cstheme="minorHAnsi"/>
          <w:szCs w:val="24"/>
        </w:rPr>
        <w:t xml:space="preserve"> </w:t>
      </w:r>
      <w:r w:rsidRPr="00BE6EF9">
        <w:rPr>
          <w:rFonts w:cstheme="minorHAnsi"/>
          <w:szCs w:val="24"/>
        </w:rPr>
        <w:tab/>
      </w:r>
      <w:r w:rsidRPr="00BE6EF9">
        <w:rPr>
          <w:rFonts w:cstheme="minorHAnsi"/>
          <w:szCs w:val="24"/>
        </w:rPr>
        <w:tab/>
      </w:r>
      <w:r w:rsidRPr="00BE6EF9">
        <w:rPr>
          <w:rFonts w:cstheme="minorHAnsi"/>
          <w:szCs w:val="24"/>
        </w:rPr>
        <w:tab/>
      </w:r>
      <w:r w:rsidRPr="00BE6EF9">
        <w:rPr>
          <w:rFonts w:cstheme="minorHAnsi"/>
          <w:szCs w:val="24"/>
        </w:rPr>
        <w:tab/>
      </w:r>
      <w:r w:rsidRPr="00BE6EF9">
        <w:rPr>
          <w:rFonts w:cstheme="minorHAnsi"/>
          <w:szCs w:val="24"/>
        </w:rPr>
        <w:tab/>
      </w:r>
      <w:r w:rsidRPr="00BE6EF9">
        <w:rPr>
          <w:rFonts w:cstheme="minorHAnsi"/>
          <w:szCs w:val="24"/>
        </w:rPr>
        <w:tab/>
      </w:r>
      <w:r w:rsidRPr="00BE6EF9">
        <w:rPr>
          <w:rFonts w:cstheme="minorHAnsi"/>
          <w:szCs w:val="24"/>
        </w:rPr>
        <w:tab/>
      </w:r>
      <w:r w:rsidRPr="00BE6EF9">
        <w:rPr>
          <w:rFonts w:cstheme="minorHAnsi"/>
          <w:szCs w:val="24"/>
        </w:rPr>
        <w:tab/>
      </w:r>
      <w:r w:rsidRPr="00BE6EF9">
        <w:rPr>
          <w:rFonts w:cstheme="minorHAnsi"/>
          <w:sz w:val="16"/>
          <w:szCs w:val="16"/>
        </w:rPr>
        <w:fldChar w:fldCharType="begin">
          <w:ffData>
            <w:name w:val=""/>
            <w:enabled/>
            <w:calcOnExit w:val="0"/>
            <w:checkBox>
              <w:sizeAuto/>
              <w:default w:val="0"/>
            </w:checkBox>
          </w:ffData>
        </w:fldChar>
      </w:r>
      <w:r w:rsidRPr="00BE6EF9">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sidRPr="00BE6EF9">
        <w:rPr>
          <w:rFonts w:cstheme="minorHAnsi"/>
          <w:sz w:val="16"/>
          <w:szCs w:val="16"/>
        </w:rPr>
        <w:fldChar w:fldCharType="end"/>
      </w:r>
    </w:p>
    <w:p w:rsidR="00506229" w:rsidRPr="00BE6EF9" w:rsidRDefault="00506229" w:rsidP="00506229">
      <w:pPr>
        <w:pStyle w:val="enumlev1"/>
        <w:rPr>
          <w:rFonts w:cstheme="minorHAnsi"/>
        </w:rPr>
      </w:pPr>
      <w:r w:rsidRPr="00BE6EF9">
        <w:rPr>
          <w:rFonts w:cstheme="minorHAnsi"/>
          <w:szCs w:val="24"/>
        </w:rPr>
        <w:t>3)</w:t>
      </w:r>
      <w:r w:rsidRPr="00BE6EF9">
        <w:rPr>
          <w:rFonts w:cstheme="minorHAnsi"/>
          <w:szCs w:val="24"/>
        </w:rPr>
        <w:tab/>
        <w:t>D</w:t>
      </w:r>
      <w:r>
        <w:rPr>
          <w:rFonts w:cstheme="minorHAnsi"/>
          <w:szCs w:val="24"/>
        </w:rPr>
        <w:t>'</w:t>
      </w:r>
      <w:r w:rsidRPr="00BE6EF9">
        <w:rPr>
          <w:rFonts w:cstheme="minorHAnsi"/>
          <w:szCs w:val="24"/>
        </w:rPr>
        <w:t>un</w:t>
      </w:r>
      <w:r>
        <w:rPr>
          <w:rFonts w:cstheme="minorHAnsi"/>
          <w:szCs w:val="24"/>
        </w:rPr>
        <w:t>e</w:t>
      </w:r>
      <w:r w:rsidRPr="00BE6EF9">
        <w:rPr>
          <w:rFonts w:cstheme="minorHAnsi"/>
          <w:szCs w:val="24"/>
        </w:rPr>
        <w:t xml:space="preserve"> autre </w:t>
      </w:r>
      <w:r>
        <w:rPr>
          <w:rFonts w:cstheme="minorHAnsi"/>
          <w:szCs w:val="24"/>
        </w:rPr>
        <w:t xml:space="preserve">manière </w:t>
      </w:r>
      <w:r w:rsidRPr="00BE6EF9">
        <w:rPr>
          <w:rFonts w:cstheme="minorHAnsi"/>
          <w:szCs w:val="24"/>
        </w:rPr>
        <w:t xml:space="preserve">– </w:t>
      </w:r>
      <w:r>
        <w:rPr>
          <w:rFonts w:cstheme="minorHAnsi"/>
          <w:szCs w:val="24"/>
        </w:rPr>
        <w:t>P</w:t>
      </w:r>
      <w:r w:rsidRPr="00BE6EF9">
        <w:rPr>
          <w:rFonts w:cstheme="minorHAnsi"/>
          <w:szCs w:val="24"/>
        </w:rPr>
        <w:t>réciser (</w:t>
      </w:r>
      <w:r>
        <w:rPr>
          <w:rFonts w:cstheme="minorHAnsi"/>
          <w:szCs w:val="24"/>
        </w:rPr>
        <w:t>sur le plan</w:t>
      </w:r>
      <w:r w:rsidRPr="00BE6EF9">
        <w:rPr>
          <w:rFonts w:cstheme="minorHAnsi"/>
          <w:szCs w:val="24"/>
        </w:rPr>
        <w:t xml:space="preserve"> régional, </w:t>
      </w:r>
      <w:r>
        <w:rPr>
          <w:rFonts w:cstheme="minorHAnsi"/>
          <w:szCs w:val="24"/>
        </w:rPr>
        <w:t xml:space="preserve">dans le cadre </w:t>
      </w:r>
      <w:r w:rsidRPr="00BE6EF9">
        <w:rPr>
          <w:rFonts w:cstheme="minorHAnsi"/>
          <w:szCs w:val="24"/>
        </w:rPr>
        <w:t>d</w:t>
      </w:r>
      <w:r>
        <w:rPr>
          <w:rFonts w:cstheme="minorHAnsi"/>
          <w:szCs w:val="24"/>
        </w:rPr>
        <w:t>'</w:t>
      </w:r>
      <w:r w:rsidRPr="00BE6EF9">
        <w:rPr>
          <w:rFonts w:cstheme="minorHAnsi"/>
          <w:szCs w:val="24"/>
        </w:rPr>
        <w:t xml:space="preserve">autres </w:t>
      </w:r>
      <w:r>
        <w:rPr>
          <w:rFonts w:cstheme="minorHAnsi"/>
          <w:szCs w:val="24"/>
        </w:rPr>
        <w:br/>
      </w:r>
      <w:r w:rsidRPr="00BE6EF9">
        <w:rPr>
          <w:rFonts w:cstheme="minorHAnsi"/>
          <w:szCs w:val="24"/>
        </w:rPr>
        <w:t>organisations, conjointement avec d</w:t>
      </w:r>
      <w:r>
        <w:rPr>
          <w:rFonts w:cstheme="minorHAnsi"/>
          <w:szCs w:val="24"/>
        </w:rPr>
        <w:t>'</w:t>
      </w:r>
      <w:r w:rsidRPr="00BE6EF9">
        <w:rPr>
          <w:rFonts w:cstheme="minorHAnsi"/>
          <w:szCs w:val="24"/>
        </w:rPr>
        <w:t>autres organisations, etc.)</w:t>
      </w:r>
      <w:r w:rsidRPr="00BE6EF9">
        <w:rPr>
          <w:rFonts w:cstheme="minorHAnsi"/>
          <w:szCs w:val="24"/>
        </w:rPr>
        <w:tab/>
      </w:r>
      <w:r w:rsidRPr="00BE6EF9">
        <w:rPr>
          <w:rFonts w:cstheme="minorHAnsi"/>
          <w:szCs w:val="24"/>
        </w:rPr>
        <w:tab/>
      </w:r>
      <w:r>
        <w:rPr>
          <w:rFonts w:cstheme="minorHAnsi"/>
          <w:szCs w:val="24"/>
        </w:rPr>
        <w:tab/>
      </w:r>
      <w:r w:rsidRPr="00BE6EF9">
        <w:rPr>
          <w:rFonts w:cstheme="minorHAnsi"/>
          <w:sz w:val="16"/>
          <w:szCs w:val="16"/>
        </w:rPr>
        <w:fldChar w:fldCharType="begin">
          <w:ffData>
            <w:name w:val=""/>
            <w:enabled/>
            <w:calcOnExit w:val="0"/>
            <w:checkBox>
              <w:sizeAuto/>
              <w:default w:val="0"/>
            </w:checkBox>
          </w:ffData>
        </w:fldChar>
      </w:r>
      <w:r w:rsidRPr="00BE6EF9">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sidRPr="00BE6EF9">
        <w:rPr>
          <w:rFonts w:cstheme="minorHAnsi"/>
          <w:sz w:val="16"/>
          <w:szCs w:val="16"/>
        </w:rPr>
        <w:fldChar w:fldCharType="end"/>
      </w:r>
    </w:p>
    <w:p w:rsidR="00506229" w:rsidRPr="00BE6EF9" w:rsidRDefault="00506229" w:rsidP="00506229">
      <w:r w:rsidRPr="00BE6EF9">
        <w:t xml:space="preserve">Conjointement avec </w:t>
      </w:r>
      <w:r>
        <w:t>d</w:t>
      </w:r>
      <w:r w:rsidRPr="00BE6EF9">
        <w:t xml:space="preserve">es organismes internationaux, régionaux </w:t>
      </w:r>
      <w:r>
        <w:t>ou</w:t>
      </w:r>
      <w:r w:rsidRPr="00BE6EF9">
        <w:t xml:space="preserve"> nationaux </w:t>
      </w:r>
      <w:r>
        <w:t xml:space="preserve">reconnus en matière de protection </w:t>
      </w:r>
      <w:r w:rsidRPr="00BE6EF9">
        <w:t>des consommateurs de télécommunications/TIC.</w:t>
      </w:r>
    </w:p>
    <w:p w:rsidR="00506229" w:rsidRPr="00BE6EF9" w:rsidRDefault="00506229" w:rsidP="00506229">
      <w:pPr>
        <w:pStyle w:val="Headingb"/>
        <w:rPr>
          <w:rFonts w:cstheme="minorHAnsi"/>
          <w:szCs w:val="24"/>
        </w:rPr>
      </w:pPr>
      <w:r w:rsidRPr="00BE6EF9">
        <w:rPr>
          <w:rFonts w:cstheme="minorHAnsi"/>
          <w:szCs w:val="24"/>
        </w:rPr>
        <w:t>b)</w:t>
      </w:r>
      <w:r w:rsidRPr="00BE6EF9">
        <w:rPr>
          <w:rFonts w:cstheme="minorHAnsi"/>
          <w:szCs w:val="24"/>
        </w:rPr>
        <w:tab/>
      </w:r>
      <w:r w:rsidRPr="00BE6EF9">
        <w:rPr>
          <w:rFonts w:cstheme="minorHAnsi"/>
        </w:rPr>
        <w:t>Pourquoi dans le cadre de la commission d</w:t>
      </w:r>
      <w:r>
        <w:rPr>
          <w:rFonts w:cstheme="minorHAnsi"/>
        </w:rPr>
        <w:t>'</w:t>
      </w:r>
      <w:r w:rsidRPr="00BE6EF9">
        <w:rPr>
          <w:rFonts w:cstheme="minorHAnsi"/>
        </w:rPr>
        <w:t>études?</w:t>
      </w:r>
    </w:p>
    <w:p w:rsidR="00506229" w:rsidRPr="00BE6EF9" w:rsidRDefault="00506229" w:rsidP="00506229">
      <w:r w:rsidRPr="00BE6EF9">
        <w:t>Une commission d</w:t>
      </w:r>
      <w:r>
        <w:t>'</w:t>
      </w:r>
      <w:r w:rsidRPr="00BE6EF9">
        <w:t>études est le cadre le plus indiqué pour assurer la participation la plus large possible des pays en développement aux travaux sur cette Question et à l</w:t>
      </w:r>
      <w:r>
        <w:t>'</w:t>
      </w:r>
      <w:r w:rsidRPr="00BE6EF9">
        <w:t xml:space="preserve">élaboration des documents </w:t>
      </w:r>
      <w:r>
        <w:t>finals (</w:t>
      </w:r>
      <w:r w:rsidRPr="00BE6EF9">
        <w:t>à savoir les lignes directrices sur les bonnes pratiques</w:t>
      </w:r>
      <w:r>
        <w:t>)</w:t>
      </w:r>
      <w:r w:rsidRPr="00BE6EF9">
        <w:t>.</w:t>
      </w:r>
    </w:p>
    <w:p w:rsidR="00506229" w:rsidRPr="00BE6EF9" w:rsidRDefault="00506229" w:rsidP="00506229">
      <w:pPr>
        <w:pStyle w:val="Heading1"/>
      </w:pPr>
      <w:r w:rsidRPr="00BE6EF9">
        <w:t>9</w:t>
      </w:r>
      <w:r w:rsidRPr="00BE6EF9">
        <w:tab/>
        <w:t>Coordination et collaboration</w:t>
      </w:r>
    </w:p>
    <w:p w:rsidR="00506229" w:rsidRPr="00BE6EF9" w:rsidRDefault="00506229" w:rsidP="00506229">
      <w:r w:rsidRPr="00BE6EF9">
        <w:t>L</w:t>
      </w:r>
      <w:r>
        <w:t>'</w:t>
      </w:r>
      <w:r w:rsidRPr="00BE6EF9">
        <w:t>étude de cette Question devrait être coordonnée avec l</w:t>
      </w:r>
      <w:r>
        <w:t>'</w:t>
      </w:r>
      <w:r w:rsidRPr="00BE6EF9">
        <w:t>Objectif 2 de l</w:t>
      </w:r>
      <w:r>
        <w:t>'</w:t>
      </w:r>
      <w:r w:rsidRPr="00BE6EF9">
        <w:t xml:space="preserve">UIT-D et les Questions relatives aux personnes handicapées, </w:t>
      </w:r>
      <w:r>
        <w:t>aux</w:t>
      </w:r>
      <w:r w:rsidRPr="00BE6EF9">
        <w:t xml:space="preserve"> personnes ayant des besoins particuliers</w:t>
      </w:r>
      <w:r>
        <w:t xml:space="preserve"> et</w:t>
      </w:r>
      <w:r w:rsidRPr="00BE6EF9">
        <w:t xml:space="preserve"> aux services de télécommunication/TIC qu</w:t>
      </w:r>
      <w:r>
        <w:t>'</w:t>
      </w:r>
      <w:r w:rsidRPr="00BE6EF9">
        <w:t xml:space="preserve">il est proposé de </w:t>
      </w:r>
      <w:r>
        <w:t>mettre à l'étude</w:t>
      </w:r>
      <w:r w:rsidRPr="00BE6EF9">
        <w:t xml:space="preserve"> au cours de la période 2014-2018.</w:t>
      </w:r>
    </w:p>
    <w:p w:rsidR="00506229" w:rsidRPr="00BE6EF9" w:rsidRDefault="00506229" w:rsidP="00506229">
      <w:pPr>
        <w:pStyle w:val="Heading1"/>
      </w:pPr>
      <w:r w:rsidRPr="00BE6EF9">
        <w:t>10</w:t>
      </w:r>
      <w:r w:rsidRPr="00BE6EF9">
        <w:tab/>
        <w:t xml:space="preserve">Lien avec les </w:t>
      </w:r>
      <w:r>
        <w:t>p</w:t>
      </w:r>
      <w:r w:rsidRPr="00BE6EF9">
        <w:t>rogrammes du BDT</w:t>
      </w:r>
    </w:p>
    <w:p w:rsidR="00506229" w:rsidRPr="00BE6EF9" w:rsidRDefault="00506229" w:rsidP="00506229">
      <w:pPr>
        <w:rPr>
          <w:bCs/>
        </w:rPr>
      </w:pPr>
      <w:r w:rsidRPr="00BE6EF9">
        <w:t>Objectif 2 de l</w:t>
      </w:r>
      <w:r>
        <w:t>'</w:t>
      </w:r>
      <w:r w:rsidRPr="00BE6EF9">
        <w:t>UIT</w:t>
      </w:r>
      <w:r w:rsidRPr="00BE6EF9">
        <w:noBreakHyphen/>
        <w:t>D.</w:t>
      </w:r>
    </w:p>
    <w:p w:rsidR="00506229" w:rsidRPr="00BE6EF9" w:rsidRDefault="00506229" w:rsidP="00506229">
      <w:pPr>
        <w:pStyle w:val="Heading1"/>
      </w:pPr>
      <w:r w:rsidRPr="00BE6EF9">
        <w:t>11</w:t>
      </w:r>
      <w:r w:rsidRPr="00BE6EF9">
        <w:tab/>
        <w:t>Autres informations utiles</w:t>
      </w:r>
    </w:p>
    <w:p w:rsidR="00506229" w:rsidRPr="00BE6EF9" w:rsidRDefault="00506229" w:rsidP="00506229">
      <w:r w:rsidRPr="00BE6EF9">
        <w:t xml:space="preserve">Toute autre information qui peut </w:t>
      </w:r>
      <w:r>
        <w:t xml:space="preserve">se faire jour </w:t>
      </w:r>
      <w:r w:rsidRPr="00BE6EF9">
        <w:t>au cours de la durée de validité de cette Question.</w:t>
      </w:r>
    </w:p>
    <w:p w:rsidR="00506229" w:rsidRPr="00BE6EF9" w:rsidRDefault="00506229" w:rsidP="00506229">
      <w:pPr>
        <w:rPr>
          <w:rFonts w:cstheme="minorHAnsi"/>
        </w:rPr>
      </w:pPr>
      <w:r w:rsidRPr="00BE6EF9">
        <w:rPr>
          <w:rFonts w:cstheme="minorHAnsi"/>
        </w:rPr>
        <w:br w:type="page"/>
      </w:r>
    </w:p>
    <w:p w:rsidR="00C47824" w:rsidRDefault="00C47824">
      <w:bookmarkStart w:id="1" w:name="_GoBack"/>
      <w:bookmarkEnd w:id="1"/>
    </w:p>
    <w:sectPr w:rsidR="00C478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638" w:rsidRDefault="004D3638" w:rsidP="00506229">
      <w:pPr>
        <w:spacing w:before="0"/>
      </w:pPr>
      <w:r>
        <w:separator/>
      </w:r>
    </w:p>
  </w:endnote>
  <w:endnote w:type="continuationSeparator" w:id="0">
    <w:p w:rsidR="004D3638" w:rsidRDefault="004D3638" w:rsidP="0050622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638" w:rsidRDefault="004D3638" w:rsidP="00506229">
      <w:pPr>
        <w:spacing w:before="0"/>
      </w:pPr>
      <w:r>
        <w:separator/>
      </w:r>
    </w:p>
  </w:footnote>
  <w:footnote w:type="continuationSeparator" w:id="0">
    <w:p w:rsidR="004D3638" w:rsidRDefault="004D3638" w:rsidP="00506229">
      <w:pPr>
        <w:spacing w:before="0"/>
      </w:pPr>
      <w:r>
        <w:continuationSeparator/>
      </w:r>
    </w:p>
  </w:footnote>
  <w:footnote w:id="1">
    <w:p w:rsidR="00506229" w:rsidRPr="00150067" w:rsidRDefault="00506229" w:rsidP="00506229">
      <w:pPr>
        <w:pStyle w:val="FootnoteText"/>
        <w:rPr>
          <w:lang w:val="fr-CH"/>
        </w:rPr>
      </w:pPr>
      <w:r>
        <w:rPr>
          <w:rStyle w:val="FootnoteReference"/>
        </w:rPr>
        <w:t>1</w:t>
      </w:r>
      <w:r>
        <w:t xml:space="preserve"> </w:t>
      </w:r>
      <w:r>
        <w:rPr>
          <w:lang w:val="fr-CH"/>
        </w:rPr>
        <w:tab/>
      </w:r>
      <w:r w:rsidRPr="00DE5F3A">
        <w:t>Par pays en développement, on entend aussi les pays les moins avancés, les petits Etats insulaires en développement, les pays en développement sans littoral et les pays dont l</w:t>
      </w:r>
      <w:r>
        <w:t>'</w:t>
      </w:r>
      <w:r w:rsidRPr="00DE5F3A">
        <w:t>économie est en transition.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29"/>
    <w:rsid w:val="00011D19"/>
    <w:rsid w:val="000145E8"/>
    <w:rsid w:val="00050DB8"/>
    <w:rsid w:val="00056109"/>
    <w:rsid w:val="000820F9"/>
    <w:rsid w:val="000A0C8B"/>
    <w:rsid w:val="000A548E"/>
    <w:rsid w:val="000F58E3"/>
    <w:rsid w:val="00111135"/>
    <w:rsid w:val="001367CA"/>
    <w:rsid w:val="001976E8"/>
    <w:rsid w:val="001A636E"/>
    <w:rsid w:val="001B6C10"/>
    <w:rsid w:val="00200B77"/>
    <w:rsid w:val="00202B07"/>
    <w:rsid w:val="002752FB"/>
    <w:rsid w:val="002921BD"/>
    <w:rsid w:val="00295C83"/>
    <w:rsid w:val="002A3982"/>
    <w:rsid w:val="002A577C"/>
    <w:rsid w:val="002B105F"/>
    <w:rsid w:val="002B5516"/>
    <w:rsid w:val="002C1773"/>
    <w:rsid w:val="002D49C8"/>
    <w:rsid w:val="002E7AE4"/>
    <w:rsid w:val="003123F3"/>
    <w:rsid w:val="0033199B"/>
    <w:rsid w:val="003406CB"/>
    <w:rsid w:val="00357A3C"/>
    <w:rsid w:val="00367B76"/>
    <w:rsid w:val="00395D92"/>
    <w:rsid w:val="003B6C25"/>
    <w:rsid w:val="003C3CDC"/>
    <w:rsid w:val="003E4284"/>
    <w:rsid w:val="003F526C"/>
    <w:rsid w:val="00481256"/>
    <w:rsid w:val="004967DD"/>
    <w:rsid w:val="004B3517"/>
    <w:rsid w:val="004C2236"/>
    <w:rsid w:val="004C3165"/>
    <w:rsid w:val="004D29FC"/>
    <w:rsid w:val="004D3638"/>
    <w:rsid w:val="004F7EC2"/>
    <w:rsid w:val="00502B05"/>
    <w:rsid w:val="00502B18"/>
    <w:rsid w:val="00506229"/>
    <w:rsid w:val="005108DD"/>
    <w:rsid w:val="00516704"/>
    <w:rsid w:val="005532A3"/>
    <w:rsid w:val="005618E1"/>
    <w:rsid w:val="00583400"/>
    <w:rsid w:val="005855C0"/>
    <w:rsid w:val="005D2515"/>
    <w:rsid w:val="005E09F6"/>
    <w:rsid w:val="00643EE8"/>
    <w:rsid w:val="006441EA"/>
    <w:rsid w:val="00656FD6"/>
    <w:rsid w:val="00660BF0"/>
    <w:rsid w:val="006629C6"/>
    <w:rsid w:val="0067629B"/>
    <w:rsid w:val="006B71B4"/>
    <w:rsid w:val="006F7E23"/>
    <w:rsid w:val="00721E17"/>
    <w:rsid w:val="00731F23"/>
    <w:rsid w:val="0073643D"/>
    <w:rsid w:val="00750E72"/>
    <w:rsid w:val="007971F8"/>
    <w:rsid w:val="007B20C7"/>
    <w:rsid w:val="007B6ECC"/>
    <w:rsid w:val="007F341D"/>
    <w:rsid w:val="00803FCE"/>
    <w:rsid w:val="0083715B"/>
    <w:rsid w:val="00841DA8"/>
    <w:rsid w:val="008441B6"/>
    <w:rsid w:val="00862127"/>
    <w:rsid w:val="008650A2"/>
    <w:rsid w:val="00897375"/>
    <w:rsid w:val="008A540C"/>
    <w:rsid w:val="008B64E5"/>
    <w:rsid w:val="008D20E2"/>
    <w:rsid w:val="008D5334"/>
    <w:rsid w:val="008E7F19"/>
    <w:rsid w:val="008F6F54"/>
    <w:rsid w:val="0092370B"/>
    <w:rsid w:val="009317DA"/>
    <w:rsid w:val="009418B0"/>
    <w:rsid w:val="00953E98"/>
    <w:rsid w:val="00971C83"/>
    <w:rsid w:val="009B1748"/>
    <w:rsid w:val="009B4B74"/>
    <w:rsid w:val="009E0276"/>
    <w:rsid w:val="009F2F81"/>
    <w:rsid w:val="009F69F6"/>
    <w:rsid w:val="00A246FA"/>
    <w:rsid w:val="00A3770C"/>
    <w:rsid w:val="00A5408C"/>
    <w:rsid w:val="00A614F6"/>
    <w:rsid w:val="00AD24A6"/>
    <w:rsid w:val="00B04FF7"/>
    <w:rsid w:val="00B16E6F"/>
    <w:rsid w:val="00B3406E"/>
    <w:rsid w:val="00B61044"/>
    <w:rsid w:val="00B66088"/>
    <w:rsid w:val="00B709EF"/>
    <w:rsid w:val="00BE58AB"/>
    <w:rsid w:val="00C3667C"/>
    <w:rsid w:val="00C47824"/>
    <w:rsid w:val="00C52650"/>
    <w:rsid w:val="00C66ECB"/>
    <w:rsid w:val="00C67D80"/>
    <w:rsid w:val="00C81F8B"/>
    <w:rsid w:val="00C9415B"/>
    <w:rsid w:val="00CC5571"/>
    <w:rsid w:val="00CF178A"/>
    <w:rsid w:val="00D13C04"/>
    <w:rsid w:val="00D34377"/>
    <w:rsid w:val="00D405B0"/>
    <w:rsid w:val="00D44D2D"/>
    <w:rsid w:val="00D51495"/>
    <w:rsid w:val="00D927D7"/>
    <w:rsid w:val="00DA5542"/>
    <w:rsid w:val="00DE129C"/>
    <w:rsid w:val="00DF30D3"/>
    <w:rsid w:val="00E07072"/>
    <w:rsid w:val="00E107C5"/>
    <w:rsid w:val="00E22DD0"/>
    <w:rsid w:val="00E427B2"/>
    <w:rsid w:val="00E71153"/>
    <w:rsid w:val="00EA0973"/>
    <w:rsid w:val="00EB7F47"/>
    <w:rsid w:val="00EC01AC"/>
    <w:rsid w:val="00ED27C7"/>
    <w:rsid w:val="00F01683"/>
    <w:rsid w:val="00F117A6"/>
    <w:rsid w:val="00F1235D"/>
    <w:rsid w:val="00F124D2"/>
    <w:rsid w:val="00F53834"/>
    <w:rsid w:val="00F63223"/>
    <w:rsid w:val="00F81560"/>
    <w:rsid w:val="00F818A6"/>
    <w:rsid w:val="00F84982"/>
    <w:rsid w:val="00F94149"/>
    <w:rsid w:val="00F95879"/>
    <w:rsid w:val="00FC0CC6"/>
    <w:rsid w:val="00FD3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2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4"/>
      <w:szCs w:val="20"/>
      <w:lang w:val="fr-FR" w:eastAsia="en-US"/>
    </w:rPr>
  </w:style>
  <w:style w:type="paragraph" w:styleId="Heading1">
    <w:name w:val="heading 1"/>
    <w:basedOn w:val="Normal"/>
    <w:next w:val="Normal"/>
    <w:link w:val="Heading1Char"/>
    <w:qFormat/>
    <w:rsid w:val="00506229"/>
    <w:pPr>
      <w:keepNext/>
      <w:keepLines/>
      <w:spacing w:before="280"/>
      <w:ind w:left="794" w:hanging="79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229"/>
    <w:rPr>
      <w:rFonts w:eastAsia="Batang" w:cs="Times New Roman"/>
      <w:b/>
      <w:sz w:val="28"/>
      <w:szCs w:val="20"/>
      <w:lang w:val="fr-FR"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506229"/>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506229"/>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506229"/>
    <w:rPr>
      <w:rFonts w:eastAsia="Batang" w:cs="Times New Roman"/>
      <w:sz w:val="24"/>
      <w:szCs w:val="20"/>
      <w:lang w:val="fr-FR" w:eastAsia="en-US"/>
    </w:rPr>
  </w:style>
  <w:style w:type="paragraph" w:customStyle="1" w:styleId="enumlev1">
    <w:name w:val="enumlev1"/>
    <w:basedOn w:val="Normal"/>
    <w:link w:val="enumlev1Char"/>
    <w:rsid w:val="00506229"/>
    <w:pPr>
      <w:spacing w:before="80"/>
      <w:ind w:left="794" w:hanging="794"/>
    </w:pPr>
  </w:style>
  <w:style w:type="paragraph" w:customStyle="1" w:styleId="enumlev2">
    <w:name w:val="enumlev2"/>
    <w:basedOn w:val="enumlev1"/>
    <w:link w:val="enumlev2Char"/>
    <w:rsid w:val="00506229"/>
    <w:pPr>
      <w:ind w:left="1191" w:hanging="397"/>
    </w:pPr>
  </w:style>
  <w:style w:type="paragraph" w:customStyle="1" w:styleId="Headingb">
    <w:name w:val="Heading_b"/>
    <w:basedOn w:val="Normal"/>
    <w:next w:val="Normal"/>
    <w:link w:val="HeadingbChar"/>
    <w:rsid w:val="00506229"/>
    <w:pPr>
      <w:keepNext/>
      <w:spacing w:before="160"/>
    </w:pPr>
    <w:rPr>
      <w:b/>
    </w:rPr>
  </w:style>
  <w:style w:type="paragraph" w:customStyle="1" w:styleId="QuestionNo">
    <w:name w:val="Question_No"/>
    <w:basedOn w:val="Normal"/>
    <w:next w:val="Questiontitle"/>
    <w:rsid w:val="00506229"/>
    <w:pPr>
      <w:keepNext/>
      <w:keepLines/>
      <w:spacing w:before="480"/>
      <w:jc w:val="center"/>
    </w:pPr>
    <w:rPr>
      <w:caps/>
      <w:sz w:val="28"/>
    </w:rPr>
  </w:style>
  <w:style w:type="paragraph" w:customStyle="1" w:styleId="Questiontitle">
    <w:name w:val="Question_title"/>
    <w:basedOn w:val="Normal"/>
    <w:next w:val="Normal"/>
    <w:rsid w:val="00506229"/>
    <w:pPr>
      <w:keepNext/>
      <w:keepLines/>
      <w:spacing w:before="240"/>
      <w:jc w:val="center"/>
    </w:pPr>
    <w:rPr>
      <w:b/>
      <w:sz w:val="28"/>
    </w:rPr>
  </w:style>
  <w:style w:type="paragraph" w:customStyle="1" w:styleId="Tablehead">
    <w:name w:val="Table_head"/>
    <w:basedOn w:val="Normal"/>
    <w:next w:val="Normal"/>
    <w:rsid w:val="0050622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HeadingbChar">
    <w:name w:val="Heading_b Char"/>
    <w:basedOn w:val="DefaultParagraphFont"/>
    <w:link w:val="Headingb"/>
    <w:locked/>
    <w:rsid w:val="00506229"/>
    <w:rPr>
      <w:rFonts w:eastAsia="Batang" w:cs="Times New Roman"/>
      <w:b/>
      <w:sz w:val="24"/>
      <w:szCs w:val="20"/>
      <w:lang w:val="fr-FR" w:eastAsia="en-US"/>
    </w:rPr>
  </w:style>
  <w:style w:type="character" w:customStyle="1" w:styleId="enumlev1Char">
    <w:name w:val="enumlev1 Char"/>
    <w:link w:val="enumlev1"/>
    <w:locked/>
    <w:rsid w:val="00506229"/>
    <w:rPr>
      <w:rFonts w:eastAsia="Batang" w:cs="Times New Roman"/>
      <w:sz w:val="24"/>
      <w:szCs w:val="20"/>
      <w:lang w:val="fr-FR" w:eastAsia="en-US"/>
    </w:rPr>
  </w:style>
  <w:style w:type="character" w:customStyle="1" w:styleId="enumlev2Char">
    <w:name w:val="enumlev2 Char"/>
    <w:basedOn w:val="enumlev1Char"/>
    <w:link w:val="enumlev2"/>
    <w:rsid w:val="00506229"/>
    <w:rPr>
      <w:rFonts w:eastAsia="Batang" w:cs="Times New Roman"/>
      <w:sz w:val="24"/>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2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4"/>
      <w:szCs w:val="20"/>
      <w:lang w:val="fr-FR" w:eastAsia="en-US"/>
    </w:rPr>
  </w:style>
  <w:style w:type="paragraph" w:styleId="Heading1">
    <w:name w:val="heading 1"/>
    <w:basedOn w:val="Normal"/>
    <w:next w:val="Normal"/>
    <w:link w:val="Heading1Char"/>
    <w:qFormat/>
    <w:rsid w:val="00506229"/>
    <w:pPr>
      <w:keepNext/>
      <w:keepLines/>
      <w:spacing w:before="280"/>
      <w:ind w:left="794" w:hanging="79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229"/>
    <w:rPr>
      <w:rFonts w:eastAsia="Batang" w:cs="Times New Roman"/>
      <w:b/>
      <w:sz w:val="28"/>
      <w:szCs w:val="20"/>
      <w:lang w:val="fr-FR"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506229"/>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506229"/>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506229"/>
    <w:rPr>
      <w:rFonts w:eastAsia="Batang" w:cs="Times New Roman"/>
      <w:sz w:val="24"/>
      <w:szCs w:val="20"/>
      <w:lang w:val="fr-FR" w:eastAsia="en-US"/>
    </w:rPr>
  </w:style>
  <w:style w:type="paragraph" w:customStyle="1" w:styleId="enumlev1">
    <w:name w:val="enumlev1"/>
    <w:basedOn w:val="Normal"/>
    <w:link w:val="enumlev1Char"/>
    <w:rsid w:val="00506229"/>
    <w:pPr>
      <w:spacing w:before="80"/>
      <w:ind w:left="794" w:hanging="794"/>
    </w:pPr>
  </w:style>
  <w:style w:type="paragraph" w:customStyle="1" w:styleId="enumlev2">
    <w:name w:val="enumlev2"/>
    <w:basedOn w:val="enumlev1"/>
    <w:link w:val="enumlev2Char"/>
    <w:rsid w:val="00506229"/>
    <w:pPr>
      <w:ind w:left="1191" w:hanging="397"/>
    </w:pPr>
  </w:style>
  <w:style w:type="paragraph" w:customStyle="1" w:styleId="Headingb">
    <w:name w:val="Heading_b"/>
    <w:basedOn w:val="Normal"/>
    <w:next w:val="Normal"/>
    <w:link w:val="HeadingbChar"/>
    <w:rsid w:val="00506229"/>
    <w:pPr>
      <w:keepNext/>
      <w:spacing w:before="160"/>
    </w:pPr>
    <w:rPr>
      <w:b/>
    </w:rPr>
  </w:style>
  <w:style w:type="paragraph" w:customStyle="1" w:styleId="QuestionNo">
    <w:name w:val="Question_No"/>
    <w:basedOn w:val="Normal"/>
    <w:next w:val="Questiontitle"/>
    <w:rsid w:val="00506229"/>
    <w:pPr>
      <w:keepNext/>
      <w:keepLines/>
      <w:spacing w:before="480"/>
      <w:jc w:val="center"/>
    </w:pPr>
    <w:rPr>
      <w:caps/>
      <w:sz w:val="28"/>
    </w:rPr>
  </w:style>
  <w:style w:type="paragraph" w:customStyle="1" w:styleId="Questiontitle">
    <w:name w:val="Question_title"/>
    <w:basedOn w:val="Normal"/>
    <w:next w:val="Normal"/>
    <w:rsid w:val="00506229"/>
    <w:pPr>
      <w:keepNext/>
      <w:keepLines/>
      <w:spacing w:before="240"/>
      <w:jc w:val="center"/>
    </w:pPr>
    <w:rPr>
      <w:b/>
      <w:sz w:val="28"/>
    </w:rPr>
  </w:style>
  <w:style w:type="paragraph" w:customStyle="1" w:styleId="Tablehead">
    <w:name w:val="Table_head"/>
    <w:basedOn w:val="Normal"/>
    <w:next w:val="Normal"/>
    <w:rsid w:val="0050622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HeadingbChar">
    <w:name w:val="Heading_b Char"/>
    <w:basedOn w:val="DefaultParagraphFont"/>
    <w:link w:val="Headingb"/>
    <w:locked/>
    <w:rsid w:val="00506229"/>
    <w:rPr>
      <w:rFonts w:eastAsia="Batang" w:cs="Times New Roman"/>
      <w:b/>
      <w:sz w:val="24"/>
      <w:szCs w:val="20"/>
      <w:lang w:val="fr-FR" w:eastAsia="en-US"/>
    </w:rPr>
  </w:style>
  <w:style w:type="character" w:customStyle="1" w:styleId="enumlev1Char">
    <w:name w:val="enumlev1 Char"/>
    <w:link w:val="enumlev1"/>
    <w:locked/>
    <w:rsid w:val="00506229"/>
    <w:rPr>
      <w:rFonts w:eastAsia="Batang" w:cs="Times New Roman"/>
      <w:sz w:val="24"/>
      <w:szCs w:val="20"/>
      <w:lang w:val="fr-FR" w:eastAsia="en-US"/>
    </w:rPr>
  </w:style>
  <w:style w:type="character" w:customStyle="1" w:styleId="enumlev2Char">
    <w:name w:val="enumlev2 Char"/>
    <w:basedOn w:val="enumlev1Char"/>
    <w:link w:val="enumlev2"/>
    <w:rsid w:val="00506229"/>
    <w:rPr>
      <w:rFonts w:eastAsia="Batang" w:cs="Times New Roman"/>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Fahima</dc:creator>
  <cp:lastModifiedBy>Mohamed, Fahima </cp:lastModifiedBy>
  <cp:revision>1</cp:revision>
  <dcterms:created xsi:type="dcterms:W3CDTF">2014-08-15T13:39:00Z</dcterms:created>
  <dcterms:modified xsi:type="dcterms:W3CDTF">2014-08-15T13:40:00Z</dcterms:modified>
</cp:coreProperties>
</file>