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57" w:rsidRDefault="008D3257" w:rsidP="008D3257">
      <w:pPr>
        <w:pStyle w:val="QuestionNo"/>
        <w:rPr>
          <w:rtl/>
          <w:lang w:val="fr-FR" w:bidi="ar-SY"/>
        </w:rPr>
      </w:pPr>
      <w:bookmarkStart w:id="0" w:name="_Toc394494154"/>
      <w:r w:rsidRPr="00797779">
        <w:rPr>
          <w:rFonts w:hint="cs"/>
          <w:rtl/>
        </w:rPr>
        <w:t xml:space="preserve">المسألة </w:t>
      </w:r>
      <w:r>
        <w:t>4/1</w:t>
      </w:r>
      <w:bookmarkEnd w:id="0"/>
    </w:p>
    <w:p w:rsidR="008D3257" w:rsidRPr="00797779" w:rsidRDefault="008D3257" w:rsidP="008D3257">
      <w:pPr>
        <w:pStyle w:val="Questiontitle"/>
        <w:rPr>
          <w:spacing w:val="-6"/>
          <w:rtl/>
        </w:rPr>
      </w:pPr>
      <w:r w:rsidRPr="00B60146">
        <w:rPr>
          <w:rFonts w:hint="cs"/>
          <w:rtl/>
        </w:rPr>
        <w:t>السياسات</w:t>
      </w:r>
      <w:r w:rsidRPr="00B60146">
        <w:rPr>
          <w:rtl/>
        </w:rPr>
        <w:t xml:space="preserve"> </w:t>
      </w:r>
      <w:r w:rsidRPr="00B60146">
        <w:rPr>
          <w:rFonts w:hint="cs"/>
          <w:rtl/>
        </w:rPr>
        <w:t>الاقتصادية</w:t>
      </w:r>
      <w:r w:rsidRPr="00B60146">
        <w:rPr>
          <w:rtl/>
        </w:rPr>
        <w:t xml:space="preserve"> </w:t>
      </w:r>
      <w:r w:rsidRPr="00B60146">
        <w:rPr>
          <w:rFonts w:hint="cs"/>
          <w:rtl/>
        </w:rPr>
        <w:t>وطرائق تحديد</w:t>
      </w:r>
      <w:r w:rsidRPr="00B60146">
        <w:rPr>
          <w:rtl/>
        </w:rPr>
        <w:t xml:space="preserve"> </w:t>
      </w:r>
      <w:r w:rsidRPr="00B60146">
        <w:rPr>
          <w:rFonts w:hint="cs"/>
          <w:rtl/>
        </w:rPr>
        <w:t>تكاليف</w:t>
      </w:r>
      <w:r w:rsidRPr="00B60146">
        <w:rPr>
          <w:rtl/>
        </w:rPr>
        <w:t xml:space="preserve"> </w:t>
      </w:r>
      <w:r w:rsidRPr="00B60146">
        <w:rPr>
          <w:rFonts w:hint="cs"/>
          <w:rtl/>
        </w:rPr>
        <w:t>الخدمات</w:t>
      </w:r>
      <w:r w:rsidRPr="00B60146">
        <w:rPr>
          <w:rtl/>
        </w:rPr>
        <w:t xml:space="preserve"> </w:t>
      </w:r>
      <w:r w:rsidRPr="00B60146">
        <w:rPr>
          <w:rFonts w:hint="cs"/>
          <w:rtl/>
        </w:rPr>
        <w:t>المتعلقة</w:t>
      </w:r>
      <w:r>
        <w:rPr>
          <w:rtl/>
        </w:rPr>
        <w:br/>
      </w:r>
      <w:r w:rsidRPr="00B60146">
        <w:rPr>
          <w:rFonts w:hint="cs"/>
          <w:rtl/>
        </w:rPr>
        <w:t>بشبكات</w:t>
      </w:r>
      <w:r w:rsidRPr="00B60146">
        <w:rPr>
          <w:rtl/>
        </w:rPr>
        <w:t xml:space="preserve"> </w:t>
      </w:r>
      <w:r w:rsidRPr="00B60146">
        <w:rPr>
          <w:rFonts w:hint="cs"/>
          <w:rtl/>
        </w:rPr>
        <w:t>الاتصالات</w:t>
      </w:r>
      <w:r w:rsidRPr="00B60146">
        <w:rPr>
          <w:rtl/>
        </w:rPr>
        <w:t>/</w:t>
      </w:r>
      <w:r w:rsidRPr="00B60146">
        <w:rPr>
          <w:rFonts w:hint="cs"/>
          <w:rtl/>
        </w:rPr>
        <w:t>تكنولوجيا</w:t>
      </w:r>
      <w:r w:rsidRPr="00B60146">
        <w:rPr>
          <w:rtl/>
        </w:rPr>
        <w:t xml:space="preserve"> </w:t>
      </w:r>
      <w:r w:rsidRPr="00B60146">
        <w:rPr>
          <w:rFonts w:hint="cs"/>
          <w:rtl/>
        </w:rPr>
        <w:t>المعلومات</w:t>
      </w:r>
      <w:r w:rsidRPr="00B60146">
        <w:rPr>
          <w:rtl/>
        </w:rPr>
        <w:t xml:space="preserve"> </w:t>
      </w:r>
      <w:r w:rsidRPr="00B60146">
        <w:rPr>
          <w:rFonts w:hint="cs"/>
          <w:rtl/>
        </w:rPr>
        <w:t>والاتصالات</w:t>
      </w:r>
      <w:r w:rsidRPr="00B60146">
        <w:rPr>
          <w:rtl/>
        </w:rPr>
        <w:t xml:space="preserve"> </w:t>
      </w:r>
      <w:r w:rsidRPr="00B60146">
        <w:rPr>
          <w:rFonts w:hint="cs"/>
          <w:rtl/>
        </w:rPr>
        <w:t>الوطنية،</w:t>
      </w:r>
      <w:r>
        <w:rPr>
          <w:rtl/>
        </w:rPr>
        <w:br/>
      </w:r>
      <w:r w:rsidRPr="00B60146">
        <w:rPr>
          <w:rFonts w:hint="cs"/>
          <w:rtl/>
        </w:rPr>
        <w:t>بما</w:t>
      </w:r>
      <w:r w:rsidRPr="00B60146">
        <w:rPr>
          <w:rtl/>
        </w:rPr>
        <w:t xml:space="preserve"> </w:t>
      </w:r>
      <w:r w:rsidRPr="00B60146">
        <w:rPr>
          <w:rFonts w:hint="cs"/>
          <w:rtl/>
        </w:rPr>
        <w:t>فيها</w:t>
      </w:r>
      <w:r w:rsidRPr="00B60146">
        <w:rPr>
          <w:rtl/>
        </w:rPr>
        <w:t xml:space="preserve"> </w:t>
      </w:r>
      <w:r w:rsidRPr="00B60146">
        <w:rPr>
          <w:rFonts w:hint="cs"/>
          <w:rtl/>
        </w:rPr>
        <w:t>شبكات</w:t>
      </w:r>
      <w:r w:rsidRPr="00B60146">
        <w:rPr>
          <w:rtl/>
        </w:rPr>
        <w:t xml:space="preserve"> </w:t>
      </w:r>
      <w:r w:rsidRPr="00B60146">
        <w:rPr>
          <w:rFonts w:hint="cs"/>
          <w:rtl/>
        </w:rPr>
        <w:t>الجيل</w:t>
      </w:r>
      <w:r w:rsidRPr="00B60146">
        <w:rPr>
          <w:rtl/>
        </w:rPr>
        <w:t xml:space="preserve"> </w:t>
      </w:r>
      <w:r w:rsidRPr="00B60146">
        <w:rPr>
          <w:rFonts w:hint="cs"/>
          <w:rtl/>
        </w:rPr>
        <w:t>التالي</w:t>
      </w:r>
      <w:r w:rsidRPr="00B60146">
        <w:rPr>
          <w:rFonts w:hint="eastAsia"/>
          <w:rtl/>
        </w:rPr>
        <w:t> </w:t>
      </w:r>
      <w:r w:rsidRPr="00B60146">
        <w:t>(NGN)</w:t>
      </w:r>
    </w:p>
    <w:p w:rsidR="008D3257" w:rsidRPr="00797779" w:rsidRDefault="008D3257" w:rsidP="008D3257">
      <w:pPr>
        <w:pStyle w:val="Heading1"/>
        <w:rPr>
          <w:rtl/>
        </w:rPr>
      </w:pPr>
      <w:r w:rsidRPr="00797779">
        <w:t>1</w:t>
      </w:r>
      <w:r w:rsidRPr="00797779">
        <w:rPr>
          <w:rFonts w:hint="cs"/>
          <w:rtl/>
        </w:rPr>
        <w:tab/>
        <w:t xml:space="preserve">بيان </w:t>
      </w:r>
      <w:r w:rsidRPr="00797779">
        <w:rPr>
          <w:rtl/>
        </w:rPr>
        <w:t xml:space="preserve">الحالة </w:t>
      </w:r>
      <w:r w:rsidRPr="00797779">
        <w:rPr>
          <w:rFonts w:hint="cs"/>
          <w:rtl/>
        </w:rPr>
        <w:t xml:space="preserve">أو </w:t>
      </w:r>
      <w:r>
        <w:rPr>
          <w:rFonts w:hint="cs"/>
          <w:rtl/>
        </w:rPr>
        <w:t>المشكلة</w:t>
      </w:r>
    </w:p>
    <w:p w:rsidR="008D3257" w:rsidRPr="00471994" w:rsidRDefault="008D3257" w:rsidP="008D3257">
      <w:pPr>
        <w:rPr>
          <w:rtl/>
        </w:rPr>
      </w:pPr>
      <w:r w:rsidRPr="00471994">
        <w:rPr>
          <w:rFonts w:hint="cs"/>
          <w:rtl/>
        </w:rPr>
        <w:t xml:space="preserve">اعترافاً بالتقدم المحرز في فترة الدراسة السابقة بشأن المسألة </w:t>
      </w:r>
      <w:r w:rsidRPr="00471994">
        <w:t>12</w:t>
      </w:r>
      <w:r w:rsidRPr="00471994">
        <w:noBreakHyphen/>
        <w:t>3/1</w:t>
      </w:r>
      <w:r w:rsidRPr="00471994">
        <w:rPr>
          <w:rFonts w:hint="cs"/>
          <w:rtl/>
        </w:rPr>
        <w:t xml:space="preserve">، سوف تراعي المسألة المراجَعة </w:t>
      </w:r>
      <w:r w:rsidRPr="00471994">
        <w:t>4/1</w:t>
      </w:r>
      <w:r w:rsidRPr="00471994">
        <w:rPr>
          <w:rFonts w:hint="cs"/>
          <w:rtl/>
          <w:lang w:bidi="ar-SY"/>
        </w:rPr>
        <w:t xml:space="preserve"> </w:t>
      </w:r>
      <w:r w:rsidRPr="00471994">
        <w:rPr>
          <w:rFonts w:hint="cs"/>
          <w:rtl/>
        </w:rPr>
        <w:t>أنه سيتاح للمشغلين ولمقدمي الخدمات في إطار شبكات الجيل التالي النفاذ إلى شبكات الاتصالات/تكنولوجيا المعلومات والاتصالات، بما في ذلك شبكات وخدمات البنية التحتية للنطاق العريض، ضمن سياق التقارب من أجل إتاحة تقديم واستخدام خدمات وسائط الإعلام المتعددة والتطبيقات الإلكترونية (الحكومة الإلكترونية والتعليم الإلكتروني والصحة الإلكترونية والصيرفة الإلكترونية</w:t>
      </w:r>
      <w:r w:rsidRPr="00471994">
        <w:rPr>
          <w:rtl/>
        </w:rPr>
        <w:t xml:space="preserve"> </w:t>
      </w:r>
      <w:r w:rsidRPr="00471994">
        <w:rPr>
          <w:rFonts w:hint="cs"/>
          <w:rtl/>
        </w:rPr>
        <w:t>والتجارة</w:t>
      </w:r>
      <w:r>
        <w:rPr>
          <w:rFonts w:hint="eastAsia"/>
          <w:rtl/>
        </w:rPr>
        <w:t> </w:t>
      </w:r>
      <w:r w:rsidRPr="00471994">
        <w:rPr>
          <w:rFonts w:hint="cs"/>
          <w:rtl/>
        </w:rPr>
        <w:t>الإلكترونية).</w:t>
      </w:r>
    </w:p>
    <w:p w:rsidR="008D3257" w:rsidRPr="00A52ADC" w:rsidRDefault="008D3257" w:rsidP="008D3257">
      <w:pPr>
        <w:rPr>
          <w:rtl/>
        </w:rPr>
      </w:pPr>
      <w:r>
        <w:rPr>
          <w:rFonts w:hint="cs"/>
          <w:rtl/>
        </w:rPr>
        <w:t xml:space="preserve">ويغطي </w:t>
      </w:r>
      <w:r w:rsidRPr="00A52ADC">
        <w:rPr>
          <w:rFonts w:hint="cs"/>
          <w:rtl/>
        </w:rPr>
        <w:t xml:space="preserve">برنامج </w:t>
      </w:r>
      <w:r>
        <w:rPr>
          <w:rFonts w:hint="cs"/>
          <w:rtl/>
        </w:rPr>
        <w:t>ال</w:t>
      </w:r>
      <w:r w:rsidRPr="00A52ADC">
        <w:rPr>
          <w:rFonts w:hint="cs"/>
          <w:rtl/>
        </w:rPr>
        <w:t xml:space="preserve">عمل لتوجيه الأنشطة المتصلة بالمسألة </w:t>
      </w:r>
      <w:r>
        <w:t>4/1</w:t>
      </w:r>
      <w:r w:rsidRPr="00A52ADC">
        <w:rPr>
          <w:rFonts w:hint="cs"/>
          <w:rtl/>
        </w:rPr>
        <w:t xml:space="preserve"> </w:t>
      </w:r>
      <w:r>
        <w:rPr>
          <w:rFonts w:hint="cs"/>
          <w:rtl/>
        </w:rPr>
        <w:t>ما يلي:</w:t>
      </w:r>
    </w:p>
    <w:p w:rsidR="008D3257" w:rsidRPr="00A52ADC" w:rsidRDefault="008D3257" w:rsidP="008D3257">
      <w:pPr>
        <w:pStyle w:val="enumlev1"/>
      </w:pPr>
      <w:r w:rsidRPr="00A52ADC">
        <w:rPr>
          <w:rFonts w:hint="cs"/>
          <w:rtl/>
        </w:rPr>
        <w:t>-</w:t>
      </w:r>
      <w:r w:rsidRPr="00A52ADC">
        <w:rPr>
          <w:rtl/>
        </w:rPr>
        <w:tab/>
      </w:r>
      <w:r w:rsidRPr="00A52ADC">
        <w:rPr>
          <w:rFonts w:hint="cs"/>
          <w:rtl/>
        </w:rPr>
        <w:t xml:space="preserve">تحديد </w:t>
      </w:r>
      <w:r>
        <w:rPr>
          <w:rFonts w:hint="cs"/>
          <w:rtl/>
        </w:rPr>
        <w:t xml:space="preserve">المعاونين </w:t>
      </w:r>
      <w:r w:rsidRPr="00A52ADC">
        <w:rPr>
          <w:rFonts w:hint="cs"/>
          <w:rtl/>
        </w:rPr>
        <w:t>النشطين؛</w:t>
      </w:r>
    </w:p>
    <w:p w:rsidR="008D3257" w:rsidRPr="00A52ADC" w:rsidRDefault="008D3257" w:rsidP="008D3257">
      <w:pPr>
        <w:pStyle w:val="enumlev1"/>
      </w:pPr>
      <w:r w:rsidRPr="00A52ADC">
        <w:rPr>
          <w:rFonts w:hint="cs"/>
          <w:rtl/>
        </w:rPr>
        <w:t>-</w:t>
      </w:r>
      <w:r w:rsidRPr="00A52ADC">
        <w:rPr>
          <w:rtl/>
        </w:rPr>
        <w:tab/>
      </w:r>
      <w:r w:rsidRPr="00A52ADC">
        <w:rPr>
          <w:rFonts w:hint="cs"/>
          <w:rtl/>
        </w:rPr>
        <w:t>النواتج المتوقعة للمسألة؛</w:t>
      </w:r>
    </w:p>
    <w:p w:rsidR="008D3257" w:rsidRPr="00A52ADC" w:rsidRDefault="008D3257" w:rsidP="008D3257">
      <w:pPr>
        <w:pStyle w:val="enumlev1"/>
      </w:pPr>
      <w:r w:rsidRPr="00A52ADC">
        <w:rPr>
          <w:rFonts w:hint="cs"/>
          <w:rtl/>
        </w:rPr>
        <w:t>-</w:t>
      </w:r>
      <w:r w:rsidRPr="00A52ADC">
        <w:rPr>
          <w:rtl/>
        </w:rPr>
        <w:tab/>
      </w:r>
      <w:r w:rsidRPr="00A52ADC">
        <w:rPr>
          <w:rFonts w:hint="cs"/>
          <w:rtl/>
        </w:rPr>
        <w:t>أساليب العمل؛</w:t>
      </w:r>
    </w:p>
    <w:p w:rsidR="008D3257" w:rsidRPr="00A52ADC" w:rsidRDefault="008D3257" w:rsidP="008D3257">
      <w:pPr>
        <w:pStyle w:val="enumlev1"/>
      </w:pPr>
      <w:r w:rsidRPr="00A52ADC">
        <w:rPr>
          <w:rFonts w:hint="cs"/>
          <w:rtl/>
        </w:rPr>
        <w:t>-</w:t>
      </w:r>
      <w:r w:rsidRPr="00A52ADC">
        <w:rPr>
          <w:rFonts w:hint="cs"/>
          <w:rtl/>
        </w:rPr>
        <w:tab/>
        <w:t>برنامج العمل.</w:t>
      </w:r>
    </w:p>
    <w:p w:rsidR="008D3257" w:rsidRPr="00797779" w:rsidRDefault="008D3257" w:rsidP="008D3257">
      <w:pPr>
        <w:pStyle w:val="Heading1"/>
        <w:rPr>
          <w:rtl/>
        </w:rPr>
      </w:pPr>
      <w:r w:rsidRPr="00797779">
        <w:t>2</w:t>
      </w:r>
      <w:r w:rsidRPr="00797779">
        <w:rPr>
          <w:rFonts w:hint="cs"/>
          <w:rtl/>
        </w:rPr>
        <w:tab/>
      </w:r>
      <w:r>
        <w:rPr>
          <w:rtl/>
        </w:rPr>
        <w:t xml:space="preserve">المسألة أو القضية </w:t>
      </w:r>
      <w:r>
        <w:rPr>
          <w:rFonts w:hint="cs"/>
          <w:rtl/>
        </w:rPr>
        <w:t xml:space="preserve">المطروحة </w:t>
      </w:r>
      <w:r>
        <w:rPr>
          <w:rtl/>
        </w:rPr>
        <w:t>للدراسة</w:t>
      </w:r>
    </w:p>
    <w:p w:rsidR="008D3257" w:rsidRPr="00A52ADC" w:rsidRDefault="008D3257" w:rsidP="008D3257">
      <w:pPr>
        <w:rPr>
          <w:rtl/>
        </w:rPr>
      </w:pPr>
      <w:r w:rsidRPr="00A52ADC">
        <w:rPr>
          <w:rFonts w:hint="cs"/>
          <w:rtl/>
        </w:rPr>
        <w:t>من المتوقع أن تأتي مساهمة مهمة</w:t>
      </w:r>
      <w:r>
        <w:rPr>
          <w:rFonts w:hint="cs"/>
          <w:rtl/>
        </w:rPr>
        <w:t xml:space="preserve"> في </w:t>
      </w:r>
      <w:r w:rsidRPr="00A52ADC">
        <w:rPr>
          <w:rFonts w:hint="cs"/>
          <w:rtl/>
        </w:rPr>
        <w:t xml:space="preserve">العمل المطلوب إنجازه بشأن المسألة </w:t>
      </w:r>
      <w:r>
        <w:t>4/1</w:t>
      </w:r>
      <w:r>
        <w:rPr>
          <w:rFonts w:hint="cs"/>
          <w:rtl/>
        </w:rPr>
        <w:t xml:space="preserve"> </w:t>
      </w:r>
      <w:r w:rsidRPr="00A52ADC">
        <w:rPr>
          <w:rFonts w:hint="cs"/>
          <w:rtl/>
        </w:rPr>
        <w:t>من فريق من الخبراء الدوليين (فريق</w:t>
      </w:r>
      <w:r w:rsidRPr="00A52ADC">
        <w:rPr>
          <w:rFonts w:hint="eastAsia"/>
          <w:rtl/>
        </w:rPr>
        <w:t> </w:t>
      </w:r>
      <w:r w:rsidRPr="00A52ADC">
        <w:rPr>
          <w:rFonts w:hint="cs"/>
          <w:rtl/>
        </w:rPr>
        <w:t>المقرر). وبالتالي، يُدعى جميع الأطراف المهتمة بالأمر إلى الانضمام إلى فريق المقرر حتى يتسنى تقدم العمل بشكل مرضٍ شاملاً نطاق المسألة.</w:t>
      </w:r>
    </w:p>
    <w:p w:rsidR="008D3257" w:rsidRPr="00A52ADC" w:rsidRDefault="008D3257" w:rsidP="008D3257">
      <w:pPr>
        <w:rPr>
          <w:rtl/>
        </w:rPr>
      </w:pPr>
      <w:r>
        <w:rPr>
          <w:rFonts w:hint="cs"/>
          <w:rtl/>
        </w:rPr>
        <w:t>وستُدرس</w:t>
      </w:r>
      <w:r w:rsidRPr="00A52ADC">
        <w:rPr>
          <w:rFonts w:hint="cs"/>
          <w:rtl/>
        </w:rPr>
        <w:t xml:space="preserve"> ضمن إطار المسألة المواضيع الرئيسية التالية على وجه التحديد:</w:t>
      </w:r>
    </w:p>
    <w:p w:rsidR="008D3257" w:rsidRPr="00FE78C5" w:rsidRDefault="008D3257" w:rsidP="008D3257">
      <w:pPr>
        <w:pStyle w:val="enumlev1"/>
        <w:rPr>
          <w:spacing w:val="-6"/>
          <w:rtl/>
        </w:rPr>
      </w:pPr>
      <w:r>
        <w:rPr>
          <w:spacing w:val="-6"/>
        </w:rPr>
        <w:t>(</w:t>
      </w:r>
      <w:r w:rsidRPr="00FE78C5">
        <w:rPr>
          <w:spacing w:val="-6"/>
        </w:rPr>
        <w:t>1</w:t>
      </w:r>
      <w:r w:rsidRPr="00FE78C5">
        <w:rPr>
          <w:rFonts w:hint="cs"/>
          <w:spacing w:val="-6"/>
          <w:rtl/>
        </w:rPr>
        <w:tab/>
        <w:t>الطرائق الجديدة لتحديد الرسوم التي تدفع لقاء الخدمات المقدّمة على شبكات الجيل التالي (أو نماذج تحديدها عند الاقتضاء)</w:t>
      </w:r>
    </w:p>
    <w:p w:rsidR="008D3257" w:rsidRPr="00831CDB" w:rsidRDefault="008D3257" w:rsidP="008D3257">
      <w:pPr>
        <w:pStyle w:val="enumlev2"/>
        <w:rPr>
          <w:spacing w:val="4"/>
          <w:rtl/>
        </w:rPr>
      </w:pPr>
      <w:proofErr w:type="gramStart"/>
      <w:r w:rsidRPr="00831CDB">
        <w:rPr>
          <w:spacing w:val="4"/>
        </w:rPr>
        <w:t>1.1</w:t>
      </w:r>
      <w:r w:rsidRPr="00831CDB">
        <w:rPr>
          <w:rFonts w:hint="cs"/>
          <w:spacing w:val="4"/>
          <w:rtl/>
        </w:rPr>
        <w:tab/>
        <w:t>طرائق تحديد تكاليف النفاذ إلى الاتصالات</w:t>
      </w:r>
      <w:r>
        <w:rPr>
          <w:rFonts w:hint="cs"/>
          <w:spacing w:val="4"/>
          <w:rtl/>
        </w:rPr>
        <w:t xml:space="preserve"> في </w:t>
      </w:r>
      <w:r w:rsidRPr="00831CDB">
        <w:rPr>
          <w:rFonts w:hint="cs"/>
          <w:spacing w:val="4"/>
          <w:rtl/>
        </w:rPr>
        <w:t xml:space="preserve">بيئة شبكات الجيل التالي (أسعار الجملة) </w:t>
      </w:r>
      <w:r>
        <w:rPr>
          <w:rFonts w:hint="cs"/>
          <w:spacing w:val="4"/>
          <w:rtl/>
        </w:rPr>
        <w:t>(أو نماذج تحديدها عند الاقتضاء).</w:t>
      </w:r>
      <w:proofErr w:type="gramEnd"/>
    </w:p>
    <w:p w:rsidR="008D3257" w:rsidRPr="00A52ADC" w:rsidRDefault="008D3257" w:rsidP="008D3257">
      <w:pPr>
        <w:pStyle w:val="enumlev1"/>
        <w:rPr>
          <w:rtl/>
        </w:rPr>
      </w:pPr>
      <w:r>
        <w:rPr>
          <w:lang w:bidi="ar-SY"/>
        </w:rPr>
        <w:t>(</w:t>
      </w:r>
      <w:r w:rsidRPr="00A52ADC">
        <w:t>2</w:t>
      </w:r>
      <w:r w:rsidRPr="00A52ADC">
        <w:rPr>
          <w:rFonts w:hint="cs"/>
          <w:rtl/>
        </w:rPr>
        <w:tab/>
      </w:r>
      <w:r>
        <w:rPr>
          <w:rFonts w:hint="cs"/>
          <w:rtl/>
          <w:lang w:bidi="ar-SY"/>
        </w:rPr>
        <w:t xml:space="preserve">النماذج </w:t>
      </w:r>
      <w:r>
        <w:rPr>
          <w:rFonts w:hint="cs"/>
          <w:rtl/>
        </w:rPr>
        <w:t xml:space="preserve">المختلفة لتقاسم </w:t>
      </w:r>
      <w:r w:rsidRPr="00A52ADC">
        <w:rPr>
          <w:rFonts w:hint="cs"/>
          <w:rtl/>
        </w:rPr>
        <w:t>البنية التحتية</w:t>
      </w:r>
      <w:r>
        <w:rPr>
          <w:rFonts w:hint="cs"/>
          <w:rtl/>
        </w:rPr>
        <w:t>،</w:t>
      </w:r>
      <w:r w:rsidRPr="00A52ADC">
        <w:rPr>
          <w:rFonts w:hint="cs"/>
          <w:rtl/>
        </w:rPr>
        <w:t> </w:t>
      </w:r>
      <w:r w:rsidRPr="00FE78C5">
        <w:rPr>
          <w:rFonts w:hint="cs"/>
          <w:rtl/>
        </w:rPr>
        <w:t>بما فيها نماذج</w:t>
      </w:r>
      <w:r w:rsidRPr="00AD3FB6">
        <w:rPr>
          <w:rFonts w:hint="cs"/>
          <w:rtl/>
        </w:rPr>
        <w:t xml:space="preserve"> </w:t>
      </w:r>
      <w:r>
        <w:rPr>
          <w:rFonts w:hint="cs"/>
          <w:rtl/>
        </w:rPr>
        <w:t xml:space="preserve">التقاسم </w:t>
      </w:r>
      <w:r w:rsidRPr="00FE78C5">
        <w:rPr>
          <w:rFonts w:hint="cs"/>
          <w:rtl/>
        </w:rPr>
        <w:t>ب</w:t>
      </w:r>
      <w:r w:rsidRPr="00FE78C5">
        <w:rPr>
          <w:rtl/>
        </w:rPr>
        <w:t>شروط التفاوض التجاري</w:t>
      </w:r>
      <w:r>
        <w:rPr>
          <w:rFonts w:hint="cs"/>
          <w:rtl/>
        </w:rPr>
        <w:t>:</w:t>
      </w:r>
    </w:p>
    <w:p w:rsidR="008D3257" w:rsidRPr="00A52ADC" w:rsidRDefault="008D3257" w:rsidP="008D3257">
      <w:pPr>
        <w:pStyle w:val="enumlev2"/>
        <w:rPr>
          <w:rtl/>
        </w:rPr>
      </w:pPr>
      <w:proofErr w:type="gramStart"/>
      <w:r w:rsidRPr="00FE78C5">
        <w:t>1.2</w:t>
      </w:r>
      <w:r w:rsidRPr="00A52ADC">
        <w:rPr>
          <w:rFonts w:hint="cs"/>
          <w:rtl/>
        </w:rPr>
        <w:tab/>
      </w:r>
      <w:r>
        <w:rPr>
          <w:rFonts w:hint="cs"/>
          <w:rtl/>
        </w:rPr>
        <w:t xml:space="preserve">تقاسم </w:t>
      </w:r>
      <w:r w:rsidRPr="00A52ADC">
        <w:rPr>
          <w:rFonts w:hint="cs"/>
          <w:rtl/>
        </w:rPr>
        <w:t xml:space="preserve">البنى التحتية والنفاذ إلى الشبكات/البنى التحتية فيما يخص </w:t>
      </w:r>
      <w:r>
        <w:rPr>
          <w:rFonts w:hint="cs"/>
          <w:rtl/>
        </w:rPr>
        <w:t xml:space="preserve">الوافدين </w:t>
      </w:r>
      <w:r w:rsidRPr="00A52ADC">
        <w:rPr>
          <w:rFonts w:hint="cs"/>
          <w:rtl/>
        </w:rPr>
        <w:t>الجدد، بما</w:t>
      </w:r>
      <w:r>
        <w:rPr>
          <w:rFonts w:hint="cs"/>
          <w:rtl/>
        </w:rPr>
        <w:t xml:space="preserve"> في </w:t>
      </w:r>
      <w:r w:rsidRPr="00A52ADC">
        <w:rPr>
          <w:rFonts w:hint="cs"/>
          <w:rtl/>
        </w:rPr>
        <w:t>ذلك الجوانب المتصلة بالتجوال على الصعيد الوطني</w:t>
      </w:r>
      <w:r>
        <w:rPr>
          <w:rFonts w:hint="cs"/>
          <w:rtl/>
        </w:rPr>
        <w:t>.</w:t>
      </w:r>
      <w:proofErr w:type="gramEnd"/>
    </w:p>
    <w:p w:rsidR="008D3257" w:rsidRPr="00A52ADC" w:rsidRDefault="008D3257" w:rsidP="008D3257">
      <w:pPr>
        <w:pStyle w:val="enumlev2"/>
        <w:rPr>
          <w:rtl/>
        </w:rPr>
      </w:pPr>
      <w:proofErr w:type="gramStart"/>
      <w:r w:rsidRPr="00A52ADC">
        <w:lastRenderedPageBreak/>
        <w:t>2.2</w:t>
      </w:r>
      <w:r w:rsidRPr="00A52ADC">
        <w:rPr>
          <w:rFonts w:hint="cs"/>
          <w:rtl/>
        </w:rPr>
        <w:tab/>
        <w:t>حوافز تطوير الشبكات</w:t>
      </w:r>
      <w:r>
        <w:rPr>
          <w:rFonts w:hint="cs"/>
          <w:rtl/>
        </w:rPr>
        <w:t>.</w:t>
      </w:r>
      <w:proofErr w:type="gramEnd"/>
    </w:p>
    <w:p w:rsidR="008D3257" w:rsidRPr="00A52ADC" w:rsidRDefault="008D3257" w:rsidP="008D3257">
      <w:pPr>
        <w:pStyle w:val="enumlev2"/>
        <w:rPr>
          <w:rtl/>
        </w:rPr>
      </w:pPr>
      <w:r w:rsidRPr="00A52ADC">
        <w:t>3.2</w:t>
      </w:r>
      <w:r w:rsidRPr="00A52ADC">
        <w:rPr>
          <w:rFonts w:hint="cs"/>
          <w:rtl/>
        </w:rPr>
        <w:tab/>
        <w:t xml:space="preserve">أثر </w:t>
      </w:r>
      <w:r>
        <w:rPr>
          <w:rFonts w:hint="cs"/>
          <w:rtl/>
        </w:rPr>
        <w:t xml:space="preserve">تقاسم </w:t>
      </w:r>
      <w:r w:rsidRPr="00A52ADC">
        <w:rPr>
          <w:rFonts w:hint="cs"/>
          <w:rtl/>
        </w:rPr>
        <w:t>البنية التحتية على تكلفة الاستثمار وتوفير خدمات الاتصالات/تكنولوجيا المعلومات والاتصالات</w:t>
      </w:r>
      <w:r>
        <w:rPr>
          <w:rFonts w:hint="cs"/>
          <w:rtl/>
        </w:rPr>
        <w:t>، والمنافسة،</w:t>
      </w:r>
      <w:r w:rsidRPr="00A52ADC">
        <w:rPr>
          <w:rFonts w:hint="cs"/>
          <w:rtl/>
        </w:rPr>
        <w:t xml:space="preserve"> والأسعار بالنسبة للمستهلكين: دراسات حالات مع تحليل كمي</w:t>
      </w:r>
      <w:r>
        <w:rPr>
          <w:rFonts w:hint="cs"/>
          <w:rtl/>
        </w:rPr>
        <w:t>.</w:t>
      </w:r>
    </w:p>
    <w:p w:rsidR="008D3257" w:rsidRPr="00A52ADC" w:rsidRDefault="008D3257" w:rsidP="008D3257">
      <w:pPr>
        <w:pStyle w:val="enumlev1"/>
        <w:keepNext/>
        <w:keepLines/>
        <w:rPr>
          <w:rtl/>
        </w:rPr>
      </w:pPr>
      <w:r>
        <w:t>(3</w:t>
      </w:r>
      <w:r w:rsidRPr="00A52ADC">
        <w:rPr>
          <w:rFonts w:hint="cs"/>
          <w:rtl/>
        </w:rPr>
        <w:tab/>
        <w:t xml:space="preserve">تطور الأسعار </w:t>
      </w:r>
      <w:r w:rsidRPr="00A52ADC">
        <w:rPr>
          <w:rFonts w:hint="cs"/>
          <w:rtl/>
          <w:lang w:bidi="ar-SY"/>
        </w:rPr>
        <w:t>الاستهلاكية</w:t>
      </w:r>
      <w:r w:rsidRPr="00A52ADC">
        <w:rPr>
          <w:rFonts w:hint="cs"/>
          <w:rtl/>
        </w:rPr>
        <w:t xml:space="preserve"> وأثره على استعمال خدمات تكنولوجيا المعلومات والاتصالات، وعلى الابتكار</w:t>
      </w:r>
      <w:r>
        <w:rPr>
          <w:rFonts w:hint="cs"/>
          <w:rtl/>
        </w:rPr>
        <w:t xml:space="preserve"> في </w:t>
      </w:r>
      <w:r w:rsidRPr="00A52ADC">
        <w:rPr>
          <w:rFonts w:hint="cs"/>
          <w:rtl/>
        </w:rPr>
        <w:t xml:space="preserve">هذا المجال، وعلى الاستثمار فيه، وعلى إيرادات </w:t>
      </w:r>
      <w:r>
        <w:rPr>
          <w:rFonts w:hint="cs"/>
          <w:rtl/>
        </w:rPr>
        <w:t>المشغلين:</w:t>
      </w:r>
    </w:p>
    <w:p w:rsidR="008D3257" w:rsidRPr="00FE78C5" w:rsidRDefault="008D3257" w:rsidP="008D3257">
      <w:pPr>
        <w:pStyle w:val="enumlev2"/>
        <w:rPr>
          <w:rtl/>
        </w:rPr>
      </w:pPr>
      <w:proofErr w:type="gramStart"/>
      <w:r w:rsidRPr="00FE78C5">
        <w:t>1.3</w:t>
      </w:r>
      <w:r w:rsidRPr="00FE78C5">
        <w:rPr>
          <w:rFonts w:hint="cs"/>
          <w:rtl/>
        </w:rPr>
        <w:tab/>
        <w:t>نماذج الأعمال الجديدة والمبتكرة فيما يخص الخدمات المقدمة</w:t>
      </w:r>
      <w:r>
        <w:rPr>
          <w:rFonts w:hint="cs"/>
          <w:rtl/>
        </w:rPr>
        <w:t xml:space="preserve"> في </w:t>
      </w:r>
      <w:r w:rsidRPr="00FE78C5">
        <w:rPr>
          <w:rFonts w:hint="cs"/>
          <w:rtl/>
        </w:rPr>
        <w:t>بيئة شبكات الجيل التالي، بما</w:t>
      </w:r>
      <w:r>
        <w:rPr>
          <w:rFonts w:hint="cs"/>
          <w:rtl/>
        </w:rPr>
        <w:t xml:space="preserve"> في </w:t>
      </w:r>
      <w:r w:rsidRPr="00FE78C5">
        <w:rPr>
          <w:rFonts w:hint="cs"/>
          <w:rtl/>
        </w:rPr>
        <w:t xml:space="preserve">ذلك أساليب تشجيع اعتماد واستخدام خدمات </w:t>
      </w:r>
      <w:r w:rsidRPr="00A52ADC">
        <w:rPr>
          <w:rFonts w:hint="cs"/>
          <w:rtl/>
        </w:rPr>
        <w:t>تكنولوجيا المعلومات والاتصالات</w:t>
      </w:r>
      <w:r>
        <w:rPr>
          <w:rFonts w:hint="cs"/>
          <w:rtl/>
        </w:rPr>
        <w:t>.</w:t>
      </w:r>
      <w:proofErr w:type="gramEnd"/>
    </w:p>
    <w:p w:rsidR="008D3257" w:rsidRPr="00A52ADC" w:rsidRDefault="008D3257" w:rsidP="008D3257">
      <w:pPr>
        <w:pStyle w:val="enumlev2"/>
        <w:rPr>
          <w:rtl/>
        </w:rPr>
      </w:pPr>
      <w:proofErr w:type="gramStart"/>
      <w:r w:rsidRPr="00A52ADC">
        <w:t>2.</w:t>
      </w:r>
      <w:r>
        <w:t>3</w:t>
      </w:r>
      <w:r w:rsidRPr="00A52ADC">
        <w:rPr>
          <w:rFonts w:hint="cs"/>
          <w:rtl/>
        </w:rPr>
        <w:tab/>
        <w:t>الاتجاهات</w:t>
      </w:r>
      <w:r>
        <w:rPr>
          <w:rFonts w:hint="cs"/>
          <w:rtl/>
        </w:rPr>
        <w:t xml:space="preserve"> في </w:t>
      </w:r>
      <w:r w:rsidRPr="00A52ADC">
        <w:rPr>
          <w:rFonts w:hint="cs"/>
          <w:rtl/>
        </w:rPr>
        <w:t>أسعار خدمات الاتصالات/تكنولوجيا المعلومات والاتصالات</w:t>
      </w:r>
      <w:r>
        <w:rPr>
          <w:rFonts w:hint="cs"/>
          <w:rtl/>
        </w:rPr>
        <w:t>، بما فيها التجوال المتنقل الدولي.</w:t>
      </w:r>
      <w:proofErr w:type="gramEnd"/>
    </w:p>
    <w:p w:rsidR="008D3257" w:rsidRPr="00A52ADC" w:rsidRDefault="008D3257" w:rsidP="008D3257">
      <w:pPr>
        <w:pStyle w:val="enumlev2"/>
        <w:rPr>
          <w:rtl/>
        </w:rPr>
      </w:pPr>
      <w:proofErr w:type="gramStart"/>
      <w:r w:rsidRPr="00A52ADC">
        <w:t>3.</w:t>
      </w:r>
      <w:r>
        <w:t>3</w:t>
      </w:r>
      <w:r w:rsidRPr="00A52ADC">
        <w:rPr>
          <w:rFonts w:hint="cs"/>
          <w:rtl/>
        </w:rPr>
        <w:tab/>
        <w:t>أثر تخفيض الأسعار على اعتماد واستعمال خدمات تكنولوجيا المعلومات والاتصالات</w:t>
      </w:r>
      <w:r>
        <w:rPr>
          <w:rFonts w:hint="cs"/>
          <w:rtl/>
        </w:rPr>
        <w:t>،</w:t>
      </w:r>
      <w:r w:rsidRPr="00A52ADC">
        <w:rPr>
          <w:rFonts w:hint="cs"/>
          <w:rtl/>
        </w:rPr>
        <w:t xml:space="preserve"> </w:t>
      </w:r>
      <w:r>
        <w:rPr>
          <w:rFonts w:hint="cs"/>
          <w:rtl/>
        </w:rPr>
        <w:t xml:space="preserve">وعلى الاستهلاك </w:t>
      </w:r>
      <w:r w:rsidRPr="00A52ADC">
        <w:rPr>
          <w:rFonts w:hint="cs"/>
          <w:rtl/>
        </w:rPr>
        <w:t xml:space="preserve">والابتكار والاستثمار وإيرادات </w:t>
      </w:r>
      <w:r>
        <w:rPr>
          <w:rFonts w:hint="cs"/>
          <w:rtl/>
        </w:rPr>
        <w:t xml:space="preserve">المشغلين ومقدمي </w:t>
      </w:r>
      <w:r w:rsidRPr="00A52ADC">
        <w:rPr>
          <w:rFonts w:hint="cs"/>
          <w:rtl/>
        </w:rPr>
        <w:t>الخدمات</w:t>
      </w:r>
      <w:r>
        <w:rPr>
          <w:rFonts w:hint="cs"/>
          <w:rtl/>
        </w:rPr>
        <w:t>.</w:t>
      </w:r>
      <w:proofErr w:type="gramEnd"/>
    </w:p>
    <w:p w:rsidR="008D3257" w:rsidRPr="00A52ADC" w:rsidRDefault="008D3257" w:rsidP="008D3257">
      <w:pPr>
        <w:pStyle w:val="enumlev1"/>
        <w:rPr>
          <w:rtl/>
        </w:rPr>
      </w:pPr>
      <w:r>
        <w:t>(4</w:t>
      </w:r>
      <w:r w:rsidRPr="00A52ADC">
        <w:rPr>
          <w:rFonts w:hint="cs"/>
          <w:rtl/>
        </w:rPr>
        <w:tab/>
        <w:t xml:space="preserve">طرائق تحديد تكلفة تراخيص تشغيل الشبكات و/أو توفير خدمات الاتصالات المقدَّمة إلى </w:t>
      </w:r>
      <w:r>
        <w:rPr>
          <w:rFonts w:hint="cs"/>
          <w:rtl/>
        </w:rPr>
        <w:t xml:space="preserve">المشغلين أو مقدمي </w:t>
      </w:r>
      <w:r w:rsidRPr="00A52ADC">
        <w:rPr>
          <w:rFonts w:hint="cs"/>
          <w:rtl/>
        </w:rPr>
        <w:t>الخدمات، بما</w:t>
      </w:r>
      <w:r>
        <w:rPr>
          <w:rFonts w:hint="eastAsia"/>
          <w:rtl/>
        </w:rPr>
        <w:t xml:space="preserve"> في </w:t>
      </w:r>
      <w:r w:rsidRPr="00A52ADC">
        <w:rPr>
          <w:rFonts w:hint="cs"/>
          <w:rtl/>
        </w:rPr>
        <w:t>ذلك تكاليف الموارد</w:t>
      </w:r>
      <w:r>
        <w:rPr>
          <w:rFonts w:hint="cs"/>
          <w:rtl/>
        </w:rPr>
        <w:t xml:space="preserve"> (الترددات وأرقام الهواتف، مثلاً)</w:t>
      </w:r>
      <w:r w:rsidRPr="00A52ADC">
        <w:rPr>
          <w:rFonts w:hint="cs"/>
          <w:rtl/>
        </w:rPr>
        <w:t xml:space="preserve"> المتاحة لها</w:t>
      </w:r>
      <w:r>
        <w:rPr>
          <w:rFonts w:hint="cs"/>
          <w:rtl/>
        </w:rPr>
        <w:t xml:space="preserve"> في </w:t>
      </w:r>
      <w:r w:rsidRPr="00A52ADC">
        <w:rPr>
          <w:rFonts w:hint="cs"/>
          <w:rtl/>
        </w:rPr>
        <w:t>البلد المعني</w:t>
      </w:r>
      <w:r>
        <w:rPr>
          <w:rFonts w:hint="cs"/>
          <w:rtl/>
        </w:rPr>
        <w:t xml:space="preserve"> في </w:t>
      </w:r>
      <w:r w:rsidRPr="00A52ADC">
        <w:rPr>
          <w:rFonts w:hint="cs"/>
          <w:rtl/>
        </w:rPr>
        <w:t>بيئة التقارب</w:t>
      </w:r>
      <w:r>
        <w:rPr>
          <w:rFonts w:hint="cs"/>
          <w:rtl/>
        </w:rPr>
        <w:t>:</w:t>
      </w:r>
    </w:p>
    <w:p w:rsidR="008D3257" w:rsidRPr="00A52ADC" w:rsidRDefault="008D3257" w:rsidP="008D3257">
      <w:pPr>
        <w:pStyle w:val="enumlev2"/>
        <w:rPr>
          <w:rtl/>
        </w:rPr>
      </w:pPr>
      <w:r w:rsidRPr="00A52ADC">
        <w:rPr>
          <w:lang w:val="en-CA"/>
        </w:rPr>
        <w:t>1.</w:t>
      </w:r>
      <w:r>
        <w:rPr>
          <w:lang w:val="en-CA"/>
        </w:rPr>
        <w:t>4</w:t>
      </w:r>
      <w:r w:rsidRPr="00A52ADC">
        <w:rPr>
          <w:rFonts w:hint="cs"/>
          <w:rtl/>
        </w:rPr>
        <w:tab/>
        <w:t>طرائق تحديد رسوم التراخيص: دراسات حالات وتجارب قُطرية</w:t>
      </w:r>
      <w:r>
        <w:rPr>
          <w:rFonts w:hint="cs"/>
          <w:rtl/>
        </w:rPr>
        <w:t>.</w:t>
      </w:r>
    </w:p>
    <w:p w:rsidR="008D3257" w:rsidRPr="00A52ADC" w:rsidRDefault="008D3257" w:rsidP="008D3257">
      <w:pPr>
        <w:pStyle w:val="enumlev2"/>
        <w:rPr>
          <w:rtl/>
        </w:rPr>
      </w:pPr>
      <w:proofErr w:type="gramStart"/>
      <w:r w:rsidRPr="00A52ADC">
        <w:t>2.</w:t>
      </w:r>
      <w:r>
        <w:t>4</w:t>
      </w:r>
      <w:r w:rsidRPr="00A52ADC">
        <w:rPr>
          <w:rFonts w:hint="cs"/>
          <w:rtl/>
        </w:rPr>
        <w:tab/>
        <w:t>تغيُّر رسوم التراخيص وفقاً لحال السوق، بما</w:t>
      </w:r>
      <w:r>
        <w:rPr>
          <w:rFonts w:hint="cs"/>
          <w:rtl/>
        </w:rPr>
        <w:t xml:space="preserve"> في </w:t>
      </w:r>
      <w:r w:rsidRPr="00A52ADC">
        <w:rPr>
          <w:rFonts w:hint="cs"/>
          <w:rtl/>
        </w:rPr>
        <w:t xml:space="preserve">ذلك رسوم الموارد الأخرى (الترددات </w:t>
      </w:r>
      <w:r>
        <w:rPr>
          <w:rFonts w:hint="cs"/>
          <w:rtl/>
        </w:rPr>
        <w:t>وأرقام الهواتف مثلاً</w:t>
      </w:r>
      <w:r w:rsidRPr="00A52ADC">
        <w:rPr>
          <w:rFonts w:hint="cs"/>
          <w:rtl/>
        </w:rPr>
        <w:t>)</w:t>
      </w:r>
      <w:r>
        <w:rPr>
          <w:rFonts w:hint="cs"/>
          <w:rtl/>
        </w:rPr>
        <w:t>.</w:t>
      </w:r>
      <w:proofErr w:type="gramEnd"/>
    </w:p>
    <w:p w:rsidR="008D3257" w:rsidRPr="00797779" w:rsidRDefault="008D3257" w:rsidP="008D3257">
      <w:pPr>
        <w:pStyle w:val="enumlev2"/>
        <w:rPr>
          <w:rtl/>
        </w:rPr>
      </w:pPr>
      <w:r w:rsidRPr="00A52ADC">
        <w:t>3.</w:t>
      </w:r>
      <w:r>
        <w:t>4</w:t>
      </w:r>
      <w:r w:rsidRPr="00A52ADC">
        <w:rPr>
          <w:rFonts w:hint="cs"/>
          <w:rtl/>
        </w:rPr>
        <w:tab/>
        <w:t>أفضل الممارسات لتحديد رسوم التراخيص</w:t>
      </w:r>
      <w:r>
        <w:rPr>
          <w:rFonts w:hint="cs"/>
          <w:rtl/>
        </w:rPr>
        <w:t xml:space="preserve">: </w:t>
      </w:r>
      <w:r w:rsidRPr="00797779">
        <w:rPr>
          <w:rFonts w:hint="cs"/>
          <w:rtl/>
        </w:rPr>
        <w:t>ينفذ المشغلون الآن شبكات الجيل التالي وقد يتطلب ذلك تغييراً</w:t>
      </w:r>
      <w:r>
        <w:rPr>
          <w:rFonts w:hint="cs"/>
          <w:rtl/>
        </w:rPr>
        <w:t xml:space="preserve"> في </w:t>
      </w:r>
      <w:r w:rsidRPr="00797779">
        <w:rPr>
          <w:rFonts w:hint="cs"/>
          <w:rtl/>
        </w:rPr>
        <w:t>أدوات محاسبية تنظيمية، بما</w:t>
      </w:r>
      <w:r>
        <w:rPr>
          <w:rFonts w:hint="cs"/>
          <w:rtl/>
        </w:rPr>
        <w:t xml:space="preserve"> في </w:t>
      </w:r>
      <w:r w:rsidRPr="00797779">
        <w:rPr>
          <w:rFonts w:hint="cs"/>
          <w:rtl/>
        </w:rPr>
        <w:t>ذلك فصل بعضها عن بعض، لمواصلة تعزيز عملية المنافسة وتحقيق فائدة طويلة الأجل للمستعملين النهائيين. ومع تحول شبكات النفاذ والشبكات الأساسية إلى شبكات الجيل التالي، ستكون هناك حاجة إلى أدوات محاسبية للتعامل مع هذه الهياكل من الشبكات</w:t>
      </w:r>
      <w:r>
        <w:rPr>
          <w:rFonts w:hint="cs"/>
          <w:rtl/>
        </w:rPr>
        <w:t xml:space="preserve"> في </w:t>
      </w:r>
      <w:r w:rsidRPr="00797779">
        <w:rPr>
          <w:rFonts w:hint="cs"/>
          <w:rtl/>
        </w:rPr>
        <w:t>المستقبل. وبالنظر إلى وجود منصة واحدة فقط لجميع الخدمات ستكون عملية تحديد التكاليف المشتركة وتوزيعها أكثر صعوبة. ومن شأن العمل المتعلق بهذه المسألة أن يحدد ما يلي:</w:t>
      </w:r>
    </w:p>
    <w:p w:rsidR="008D3257" w:rsidRPr="00797779" w:rsidRDefault="008D3257" w:rsidP="008D3257">
      <w:pPr>
        <w:pStyle w:val="enumlev1"/>
        <w:rPr>
          <w:rtl/>
        </w:rPr>
      </w:pPr>
      <w:r w:rsidRPr="00797779">
        <w:t>•</w:t>
      </w:r>
      <w:r w:rsidRPr="00797779">
        <w:rPr>
          <w:rtl/>
        </w:rPr>
        <w:tab/>
      </w:r>
      <w:r w:rsidRPr="00797779">
        <w:rPr>
          <w:rFonts w:hint="cs"/>
          <w:rtl/>
        </w:rPr>
        <w:t>قضايا التصميم الرئيسية</w:t>
      </w:r>
    </w:p>
    <w:p w:rsidR="008D3257" w:rsidRPr="00797779" w:rsidRDefault="008D3257" w:rsidP="008D3257">
      <w:pPr>
        <w:pStyle w:val="enumlev1"/>
        <w:rPr>
          <w:rtl/>
        </w:rPr>
      </w:pPr>
      <w:r w:rsidRPr="00797779">
        <w:t>•</w:t>
      </w:r>
      <w:r w:rsidRPr="00797779">
        <w:rPr>
          <w:rtl/>
        </w:rPr>
        <w:tab/>
      </w:r>
      <w:r w:rsidRPr="00797779">
        <w:rPr>
          <w:rFonts w:hint="cs"/>
          <w:rtl/>
        </w:rPr>
        <w:t>تفاصيل التنفيذ</w:t>
      </w:r>
    </w:p>
    <w:p w:rsidR="008D3257" w:rsidRPr="00797779" w:rsidRDefault="008D3257" w:rsidP="008D3257">
      <w:pPr>
        <w:pStyle w:val="enumlev1"/>
        <w:rPr>
          <w:rtl/>
        </w:rPr>
      </w:pPr>
      <w:r w:rsidRPr="00797779">
        <w:t>•</w:t>
      </w:r>
      <w:r w:rsidRPr="00797779">
        <w:rPr>
          <w:rtl/>
        </w:rPr>
        <w:tab/>
      </w:r>
      <w:r w:rsidRPr="00797779">
        <w:rPr>
          <w:rFonts w:hint="cs"/>
          <w:rtl/>
        </w:rPr>
        <w:t>نوع المراجعة المطلوبة للنموذج</w:t>
      </w:r>
    </w:p>
    <w:p w:rsidR="008D3257" w:rsidRPr="00797779" w:rsidRDefault="008D3257" w:rsidP="008D3257">
      <w:pPr>
        <w:pStyle w:val="enumlev1"/>
        <w:rPr>
          <w:rtl/>
        </w:rPr>
      </w:pPr>
      <w:proofErr w:type="gramStart"/>
      <w:r w:rsidRPr="00797779">
        <w:t>•</w:t>
      </w:r>
      <w:r w:rsidRPr="00797779">
        <w:rPr>
          <w:rtl/>
        </w:rPr>
        <w:tab/>
      </w:r>
      <w:r w:rsidRPr="00797779">
        <w:rPr>
          <w:rFonts w:hint="cs"/>
          <w:rtl/>
        </w:rPr>
        <w:t>الآثار غير المقصودة المحتملة.</w:t>
      </w:r>
      <w:proofErr w:type="gramEnd"/>
    </w:p>
    <w:p w:rsidR="008D3257" w:rsidRDefault="008D3257" w:rsidP="008D3257">
      <w:pPr>
        <w:pStyle w:val="Note"/>
        <w:rPr>
          <w:rFonts w:eastAsia="SimSun"/>
          <w:rtl/>
        </w:rPr>
      </w:pPr>
      <w:r w:rsidRPr="00797779">
        <w:rPr>
          <w:rFonts w:eastAsia="SimSun" w:hint="cs"/>
          <w:b/>
          <w:bCs/>
          <w:u w:val="single"/>
          <w:rtl/>
        </w:rPr>
        <w:t>ملاحظة</w:t>
      </w:r>
      <w:r w:rsidRPr="00797779">
        <w:rPr>
          <w:rFonts w:eastAsia="SimSun" w:hint="cs"/>
          <w:rtl/>
        </w:rPr>
        <w:t xml:space="preserve">: سوف تتم دراسة رسوم ترخيص </w:t>
      </w:r>
      <w:r>
        <w:rPr>
          <w:rFonts w:eastAsia="SimSun" w:hint="cs"/>
          <w:rtl/>
        </w:rPr>
        <w:t>استخدام الترددات بالتعاون مع الفريق المعني بالقرار </w:t>
      </w:r>
      <w:r w:rsidRPr="00797779">
        <w:rPr>
          <w:rFonts w:eastAsia="SimSun"/>
        </w:rPr>
        <w:t>9</w:t>
      </w:r>
      <w:r w:rsidRPr="00797779">
        <w:rPr>
          <w:rFonts w:eastAsia="SimSun" w:hint="cs"/>
          <w:rtl/>
        </w:rPr>
        <w:t xml:space="preserve"> </w:t>
      </w:r>
      <w:r>
        <w:rPr>
          <w:rFonts w:eastAsia="SimSun" w:hint="cs"/>
          <w:rtl/>
        </w:rPr>
        <w:t xml:space="preserve">(المراجَع في دبي، </w:t>
      </w:r>
      <w:r>
        <w:rPr>
          <w:rFonts w:eastAsia="SimSun"/>
        </w:rPr>
        <w:t>2014</w:t>
      </w:r>
      <w:r>
        <w:rPr>
          <w:rFonts w:eastAsia="SimSun" w:hint="cs"/>
          <w:rtl/>
          <w:lang w:bidi="ar-SY"/>
        </w:rPr>
        <w:t xml:space="preserve">) </w:t>
      </w:r>
      <w:r w:rsidRPr="00797779">
        <w:rPr>
          <w:rFonts w:eastAsia="SimSun" w:hint="cs"/>
          <w:rtl/>
        </w:rPr>
        <w:t>لتجنب الازدواج</w:t>
      </w:r>
      <w:r>
        <w:rPr>
          <w:rFonts w:eastAsia="SimSun" w:hint="cs"/>
          <w:rtl/>
        </w:rPr>
        <w:t xml:space="preserve"> في </w:t>
      </w:r>
      <w:r w:rsidRPr="00797779">
        <w:rPr>
          <w:rFonts w:eastAsia="SimSun" w:hint="cs"/>
          <w:rtl/>
        </w:rPr>
        <w:t>الدراسة.</w:t>
      </w:r>
    </w:p>
    <w:p w:rsidR="008D3257" w:rsidRPr="00FE78C5" w:rsidRDefault="008D3257" w:rsidP="008D3257">
      <w:pPr>
        <w:pStyle w:val="Heading1"/>
      </w:pPr>
      <w:r w:rsidRPr="00C06148">
        <w:t>3</w:t>
      </w:r>
      <w:r w:rsidRPr="00C06148">
        <w:rPr>
          <w:rFonts w:hint="cs"/>
          <w:rtl/>
        </w:rPr>
        <w:tab/>
      </w:r>
      <w:r w:rsidRPr="00FE78C5">
        <w:rPr>
          <w:rtl/>
        </w:rPr>
        <w:t>الناتج المتوقع</w:t>
      </w:r>
    </w:p>
    <w:p w:rsidR="008D3257" w:rsidRPr="00A52ADC" w:rsidRDefault="008D3257" w:rsidP="008D3257">
      <w:pPr>
        <w:rPr>
          <w:rtl/>
        </w:rPr>
      </w:pPr>
      <w:r>
        <w:rPr>
          <w:rFonts w:hint="cs"/>
          <w:rtl/>
        </w:rPr>
        <w:t>إعداد أفضل الممارسات في </w:t>
      </w:r>
      <w:r w:rsidRPr="00B8648B">
        <w:rPr>
          <w:rtl/>
        </w:rPr>
        <w:t>كل من المجالات التالية:</w:t>
      </w:r>
    </w:p>
    <w:p w:rsidR="008D3257" w:rsidRPr="00A52ADC" w:rsidRDefault="008D3257" w:rsidP="008D3257">
      <w:pPr>
        <w:pStyle w:val="enumlev1"/>
        <w:rPr>
          <w:rtl/>
        </w:rPr>
      </w:pPr>
      <w:r>
        <w:rPr>
          <w:rFonts w:hint="cs"/>
          <w:rtl/>
        </w:rPr>
        <w:t xml:space="preserve"> أ )</w:t>
      </w:r>
      <w:r w:rsidRPr="00A52ADC">
        <w:rPr>
          <w:rFonts w:hint="cs"/>
          <w:rtl/>
        </w:rPr>
        <w:tab/>
      </w:r>
      <w:r>
        <w:rPr>
          <w:rFonts w:hint="cs"/>
          <w:rtl/>
        </w:rPr>
        <w:t>دعم التقاسم المناسب للبنية التحتية</w:t>
      </w:r>
    </w:p>
    <w:p w:rsidR="008D3257" w:rsidRPr="00A52ADC" w:rsidRDefault="008D3257" w:rsidP="008D3257">
      <w:pPr>
        <w:pStyle w:val="enumlev1"/>
        <w:rPr>
          <w:rtl/>
        </w:rPr>
      </w:pPr>
      <w:r>
        <w:rPr>
          <w:rFonts w:hint="cs"/>
          <w:rtl/>
        </w:rPr>
        <w:lastRenderedPageBreak/>
        <w:t>ب)</w:t>
      </w:r>
      <w:r w:rsidRPr="00A52ADC">
        <w:rPr>
          <w:rFonts w:hint="cs"/>
          <w:rtl/>
        </w:rPr>
        <w:tab/>
        <w:t>تشجيع تخفيض الأسعار/التعريفات فيما يخص المستهلكين</w:t>
      </w:r>
      <w:r>
        <w:rPr>
          <w:rFonts w:hint="cs"/>
          <w:rtl/>
        </w:rPr>
        <w:t xml:space="preserve"> من خلال المنافسة</w:t>
      </w:r>
    </w:p>
    <w:p w:rsidR="008D3257" w:rsidRDefault="008D3257" w:rsidP="008D3257">
      <w:pPr>
        <w:pStyle w:val="enumlev1"/>
        <w:rPr>
          <w:rtl/>
        </w:rPr>
      </w:pPr>
      <w:r>
        <w:rPr>
          <w:rFonts w:hint="cs"/>
          <w:rtl/>
        </w:rPr>
        <w:t>ج)</w:t>
      </w:r>
      <w:r>
        <w:tab/>
      </w:r>
      <w:r>
        <w:rPr>
          <w:rFonts w:hint="cs"/>
          <w:rtl/>
        </w:rPr>
        <w:t xml:space="preserve">تحفيز النفاذ إلى هذه </w:t>
      </w:r>
      <w:r w:rsidRPr="00FE78C5">
        <w:rPr>
          <w:rFonts w:hint="cs"/>
          <w:rtl/>
        </w:rPr>
        <w:t>الخدمات</w:t>
      </w:r>
      <w:r>
        <w:rPr>
          <w:rFonts w:hint="cs"/>
          <w:rtl/>
        </w:rPr>
        <w:t xml:space="preserve"> واستخدامها</w:t>
      </w:r>
    </w:p>
    <w:p w:rsidR="008D3257" w:rsidRPr="00FE78C5" w:rsidRDefault="008D3257" w:rsidP="008D3257">
      <w:pPr>
        <w:pStyle w:val="Heading1"/>
      </w:pPr>
      <w:r w:rsidRPr="00FE78C5">
        <w:t>4</w:t>
      </w:r>
      <w:r w:rsidRPr="00FE78C5">
        <w:rPr>
          <w:rFonts w:hint="cs"/>
          <w:rtl/>
        </w:rPr>
        <w:tab/>
      </w:r>
      <w:r w:rsidRPr="00FE78C5">
        <w:rPr>
          <w:rtl/>
        </w:rPr>
        <w:t>التوقيت</w:t>
      </w:r>
    </w:p>
    <w:p w:rsidR="008D3257" w:rsidRPr="00FE78C5" w:rsidRDefault="008D3257" w:rsidP="008D3257">
      <w:r w:rsidRPr="00FE78C5">
        <w:rPr>
          <w:rtl/>
        </w:rPr>
        <w:t>سيقدم تقرير مؤقت إلى لجنة الدراسات</w:t>
      </w:r>
      <w:r w:rsidRPr="00FE78C5">
        <w:rPr>
          <w:rFonts w:hint="cs"/>
          <w:rtl/>
        </w:rPr>
        <w:t xml:space="preserve"> </w:t>
      </w:r>
      <w:r>
        <w:t>1</w:t>
      </w:r>
      <w:r>
        <w:rPr>
          <w:rFonts w:hint="cs"/>
          <w:rtl/>
        </w:rPr>
        <w:t xml:space="preserve"> في </w:t>
      </w:r>
      <w:r w:rsidRPr="00FE78C5">
        <w:rPr>
          <w:rtl/>
        </w:rPr>
        <w:t>عام</w:t>
      </w:r>
      <w:r w:rsidRPr="00FE78C5">
        <w:rPr>
          <w:rFonts w:hint="cs"/>
          <w:rtl/>
        </w:rPr>
        <w:t xml:space="preserve"> </w:t>
      </w:r>
      <w:r w:rsidRPr="00FE78C5">
        <w:t>2015</w:t>
      </w:r>
      <w:r w:rsidRPr="00FE78C5">
        <w:rPr>
          <w:rFonts w:hint="cs"/>
          <w:rtl/>
        </w:rPr>
        <w:t>.</w:t>
      </w:r>
      <w:r w:rsidRPr="00FE78C5">
        <w:rPr>
          <w:rtl/>
        </w:rPr>
        <w:t xml:space="preserve"> ويقترح أن </w:t>
      </w:r>
      <w:r w:rsidRPr="00FE78C5">
        <w:rPr>
          <w:rFonts w:hint="cs"/>
          <w:rtl/>
        </w:rPr>
        <w:t>تُستكمل</w:t>
      </w:r>
      <w:r w:rsidRPr="00FE78C5">
        <w:rPr>
          <w:rtl/>
        </w:rPr>
        <w:t xml:space="preserve"> هذه الدراسة</w:t>
      </w:r>
      <w:r>
        <w:rPr>
          <w:rtl/>
        </w:rPr>
        <w:t xml:space="preserve"> في </w:t>
      </w:r>
      <w:r w:rsidRPr="00FE78C5">
        <w:rPr>
          <w:rtl/>
        </w:rPr>
        <w:t>عام</w:t>
      </w:r>
      <w:r>
        <w:rPr>
          <w:rFonts w:hint="eastAsia"/>
          <w:rtl/>
        </w:rPr>
        <w:t> </w:t>
      </w:r>
      <w:r w:rsidRPr="00FE78C5">
        <w:t>2017</w:t>
      </w:r>
      <w:r w:rsidRPr="00FE78C5">
        <w:rPr>
          <w:rFonts w:hint="cs"/>
          <w:rtl/>
        </w:rPr>
        <w:t xml:space="preserve"> ع</w:t>
      </w:r>
      <w:r w:rsidRPr="00FE78C5">
        <w:rPr>
          <w:rtl/>
        </w:rPr>
        <w:t>ندما يقد</w:t>
      </w:r>
      <w:r>
        <w:rPr>
          <w:rFonts w:hint="cs"/>
          <w:rtl/>
        </w:rPr>
        <w:t>َّ</w:t>
      </w:r>
      <w:r w:rsidRPr="00FE78C5">
        <w:rPr>
          <w:rtl/>
        </w:rPr>
        <w:t>م تقرير نهائي</w:t>
      </w:r>
      <w:r>
        <w:rPr>
          <w:rFonts w:hint="cs"/>
          <w:rtl/>
        </w:rPr>
        <w:t> </w:t>
      </w:r>
      <w:r w:rsidRPr="00FE78C5">
        <w:rPr>
          <w:rtl/>
        </w:rPr>
        <w:t>بشأنها</w:t>
      </w:r>
      <w:r w:rsidRPr="00FE78C5">
        <w:rPr>
          <w:rFonts w:hint="cs"/>
          <w:rtl/>
        </w:rPr>
        <w:t>.</w:t>
      </w:r>
    </w:p>
    <w:p w:rsidR="008D3257" w:rsidRPr="00FE78C5" w:rsidRDefault="008D3257" w:rsidP="008D3257">
      <w:pPr>
        <w:pStyle w:val="Heading1"/>
      </w:pPr>
      <w:r w:rsidRPr="00FE78C5">
        <w:t>5</w:t>
      </w:r>
      <w:r w:rsidRPr="00FE78C5">
        <w:rPr>
          <w:rFonts w:hint="cs"/>
          <w:rtl/>
        </w:rPr>
        <w:tab/>
      </w:r>
      <w:r w:rsidRPr="00C06148">
        <w:rPr>
          <w:rtl/>
        </w:rPr>
        <w:t>جهات الاقتراح/</w:t>
      </w:r>
      <w:r>
        <w:rPr>
          <w:rFonts w:hint="cs"/>
          <w:rtl/>
        </w:rPr>
        <w:t>الجهات الراعية</w:t>
      </w:r>
    </w:p>
    <w:p w:rsidR="008D3257" w:rsidRPr="00FE78C5" w:rsidRDefault="008D3257" w:rsidP="008D3257">
      <w:r>
        <w:rPr>
          <w:rFonts w:hint="cs"/>
          <w:rtl/>
        </w:rPr>
        <w:t>اقترحت</w:t>
      </w:r>
      <w:r w:rsidRPr="00FE78C5">
        <w:rPr>
          <w:rtl/>
        </w:rPr>
        <w:t xml:space="preserve"> لجنة الدراسات </w:t>
      </w:r>
      <w:r w:rsidRPr="00FE78C5">
        <w:t>1</w:t>
      </w:r>
      <w:r w:rsidRPr="00FE78C5">
        <w:rPr>
          <w:rtl/>
        </w:rPr>
        <w:t xml:space="preserve"> لقطاع تنمية الاتصالات</w:t>
      </w:r>
      <w:r w:rsidRPr="00FE78C5">
        <w:rPr>
          <w:rFonts w:hint="cs"/>
          <w:rtl/>
        </w:rPr>
        <w:t>،</w:t>
      </w:r>
      <w:r w:rsidRPr="00FE78C5">
        <w:rPr>
          <w:rtl/>
        </w:rPr>
        <w:t xml:space="preserve"> مواصلة بحث هذه المسألة على النحو المعدل هن</w:t>
      </w:r>
      <w:r w:rsidRPr="00FE78C5">
        <w:rPr>
          <w:rFonts w:hint="cs"/>
          <w:rtl/>
        </w:rPr>
        <w:t>ا.</w:t>
      </w:r>
    </w:p>
    <w:p w:rsidR="008D3257" w:rsidRPr="00FE78C5" w:rsidRDefault="008D3257" w:rsidP="008D3257">
      <w:pPr>
        <w:pStyle w:val="Heading1"/>
      </w:pPr>
      <w:r w:rsidRPr="00FE78C5">
        <w:t>6</w:t>
      </w:r>
      <w:r w:rsidRPr="00FE78C5">
        <w:rPr>
          <w:rFonts w:hint="cs"/>
          <w:rtl/>
        </w:rPr>
        <w:tab/>
      </w:r>
      <w:r w:rsidRPr="00FE78C5">
        <w:rPr>
          <w:rtl/>
        </w:rPr>
        <w:t>مصادر الم</w:t>
      </w:r>
      <w:r>
        <w:rPr>
          <w:rFonts w:hint="cs"/>
          <w:rtl/>
        </w:rPr>
        <w:t>ُ</w:t>
      </w:r>
      <w:r w:rsidRPr="00FE78C5">
        <w:rPr>
          <w:rtl/>
        </w:rPr>
        <w:t>دخلات</w:t>
      </w:r>
    </w:p>
    <w:p w:rsidR="008D3257" w:rsidRDefault="008D3257" w:rsidP="008D3257">
      <w:pPr>
        <w:rPr>
          <w:rtl/>
        </w:rPr>
      </w:pPr>
      <w:r>
        <w:rPr>
          <w:rFonts w:hint="cs"/>
          <w:rtl/>
        </w:rPr>
        <w:t>يتمثل المصدر الرئيسي للمدخلات في تجارب الدول الأعضاء وأعضاء القطاع بشأن قضايا تحديد التكاليف والأسعار. وستكون المساهمات المقدمة من الدول الأعضاء وأعضاء القطاع ضرورية لنجاح دراسة هذه القضية.</w:t>
      </w:r>
    </w:p>
    <w:p w:rsidR="008D3257" w:rsidRDefault="008D3257" w:rsidP="008D3257">
      <w:pPr>
        <w:rPr>
          <w:rtl/>
        </w:rPr>
      </w:pPr>
      <w:r>
        <w:rPr>
          <w:rFonts w:hint="cs"/>
          <w:rtl/>
        </w:rPr>
        <w:t>وينبغي أيضاً استعمال المقابلات والتقارير والدراسات الاستقصائية المتوفرة من أجل جمع البيانات والمعلومات لوضع صيغة نهائية لمجموعة شاملة من الخطوط التوجيهية بشأن أفضل الممارسات.</w:t>
      </w:r>
    </w:p>
    <w:p w:rsidR="008D3257" w:rsidRDefault="008D3257" w:rsidP="008D3257">
      <w:pPr>
        <w:rPr>
          <w:rtl/>
        </w:rPr>
      </w:pPr>
      <w:r>
        <w:rPr>
          <w:rFonts w:hint="cs"/>
          <w:rtl/>
        </w:rPr>
        <w:t>وينبغي أيضاً استعمال المواد المتوفرة لدى منظمات الاتصالات الإقليمية ومراكز البحوث في مجال الاتصالات والمصنعين وأفرقة العمل، بغية تفادي الازدواجية في العمل.</w:t>
      </w:r>
    </w:p>
    <w:p w:rsidR="008D3257" w:rsidRDefault="008D3257" w:rsidP="008D3257">
      <w:pPr>
        <w:rPr>
          <w:rtl/>
        </w:rPr>
      </w:pPr>
      <w:r>
        <w:rPr>
          <w:rFonts w:hint="cs"/>
          <w:rtl/>
        </w:rPr>
        <w:t>ومن المتوقع تقديم مساهمات من الدول الأعضاء وأعضاء القطاع والمنتسبين إليه، ومن لجان الدراسات في قطاع الاتصالات الراديوية وقطاع تقييس الاتصالات وقطاع تنمية الاتصالات، ومن أصحاب المصلحة الآخرين.</w:t>
      </w:r>
    </w:p>
    <w:p w:rsidR="008D3257" w:rsidRPr="00FE78C5" w:rsidRDefault="008D3257" w:rsidP="008D3257">
      <w:pPr>
        <w:pStyle w:val="Heading1"/>
        <w:rPr>
          <w:rtl/>
        </w:rPr>
      </w:pPr>
      <w:r w:rsidRPr="00FE78C5">
        <w:t>7</w:t>
      </w:r>
      <w:r w:rsidRPr="00FE78C5">
        <w:rPr>
          <w:rFonts w:hint="cs"/>
          <w:rtl/>
        </w:rPr>
        <w:tab/>
      </w:r>
      <w:r w:rsidRPr="00FE78C5">
        <w:rPr>
          <w:rtl/>
        </w:rPr>
        <w:t>الجمهور المستهد</w:t>
      </w:r>
      <w:r>
        <w:rPr>
          <w:rFonts w:hint="cs"/>
          <w:rtl/>
        </w:rPr>
        <w:t>َ</w:t>
      </w:r>
      <w:r w:rsidRPr="00FE78C5">
        <w:rPr>
          <w:rtl/>
        </w:rPr>
        <w:t>ف</w:t>
      </w:r>
    </w:p>
    <w:p w:rsidR="008D3257" w:rsidRDefault="008D3257" w:rsidP="008D3257">
      <w:pPr>
        <w:spacing w:after="120"/>
        <w:rPr>
          <w:rtl/>
        </w:rPr>
      </w:pPr>
      <w:r w:rsidRPr="00B8648B">
        <w:rPr>
          <w:rtl/>
        </w:rPr>
        <w:t xml:space="preserve">جميع </w:t>
      </w:r>
      <w:r w:rsidRPr="00B8648B">
        <w:rPr>
          <w:rFonts w:hint="cs"/>
          <w:rtl/>
        </w:rPr>
        <w:t xml:space="preserve">فئات الجمهور المستهدف المشار إليه </w:t>
      </w:r>
      <w:r>
        <w:rPr>
          <w:rFonts w:hint="cs"/>
          <w:rtl/>
        </w:rPr>
        <w:t>أدناه</w:t>
      </w:r>
      <w:r w:rsidRPr="00B8648B">
        <w:rPr>
          <w:rFonts w:hint="cs"/>
          <w:rtl/>
          <w:lang w:val="en-CA"/>
        </w:rPr>
        <w:t xml:space="preserve">، مع إيلاء اهتمام خاص </w:t>
      </w:r>
      <w:r>
        <w:rPr>
          <w:rFonts w:hint="cs"/>
          <w:rtl/>
        </w:rPr>
        <w:t xml:space="preserve">إلى </w:t>
      </w:r>
      <w:r w:rsidRPr="00B8648B">
        <w:rPr>
          <w:rtl/>
        </w:rPr>
        <w:t>البلدان النام</w:t>
      </w:r>
      <w:r w:rsidRPr="00B8648B">
        <w:rPr>
          <w:rFonts w:hint="cs"/>
          <w:rtl/>
        </w:rPr>
        <w:t>ية.</w:t>
      </w:r>
    </w:p>
    <w:tbl>
      <w:tblPr>
        <w:bidiVisual/>
        <w:tblW w:w="7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8"/>
        <w:gridCol w:w="2206"/>
        <w:gridCol w:w="2637"/>
      </w:tblGrid>
      <w:tr w:rsidR="008D3257" w:rsidRPr="002F011A" w:rsidTr="00C27F96">
        <w:trPr>
          <w:jc w:val="center"/>
        </w:trPr>
        <w:tc>
          <w:tcPr>
            <w:tcW w:w="3118" w:type="dxa"/>
            <w:tcBorders>
              <w:bottom w:val="single" w:sz="4" w:space="0" w:color="auto"/>
            </w:tcBorders>
          </w:tcPr>
          <w:p w:rsidR="008D3257" w:rsidRPr="00E83766" w:rsidRDefault="008D3257" w:rsidP="00C27F96">
            <w:pPr>
              <w:keepNext/>
              <w:tabs>
                <w:tab w:val="left" w:pos="284"/>
                <w:tab w:val="left" w:pos="851"/>
                <w:tab w:val="left" w:pos="1418"/>
                <w:tab w:val="left" w:pos="2552"/>
                <w:tab w:val="left" w:pos="3119"/>
                <w:tab w:val="left" w:pos="3402"/>
                <w:tab w:val="left" w:pos="3686"/>
                <w:tab w:val="left" w:pos="3969"/>
              </w:tabs>
              <w:spacing w:before="80" w:after="80"/>
              <w:rPr>
                <w:b/>
                <w:sz w:val="20"/>
                <w:szCs w:val="26"/>
              </w:rPr>
            </w:pPr>
          </w:p>
        </w:tc>
        <w:tc>
          <w:tcPr>
            <w:tcW w:w="2206" w:type="dxa"/>
            <w:tcBorders>
              <w:bottom w:val="single" w:sz="4" w:space="0" w:color="auto"/>
            </w:tcBorders>
          </w:tcPr>
          <w:p w:rsidR="008D3257" w:rsidRPr="00E83766" w:rsidRDefault="008D3257" w:rsidP="00C27F96">
            <w:pPr>
              <w:jc w:val="center"/>
              <w:rPr>
                <w:b/>
                <w:bCs/>
                <w:sz w:val="20"/>
                <w:szCs w:val="26"/>
                <w:lang w:val="fr-FR"/>
              </w:rPr>
            </w:pPr>
            <w:r w:rsidRPr="00E83766">
              <w:rPr>
                <w:rFonts w:hint="cs"/>
                <w:b/>
                <w:bCs/>
                <w:sz w:val="20"/>
                <w:szCs w:val="26"/>
                <w:rtl/>
                <w:lang w:val="fr-FR"/>
              </w:rPr>
              <w:t>البلدان المتقدمة</w:t>
            </w:r>
          </w:p>
        </w:tc>
        <w:tc>
          <w:tcPr>
            <w:tcW w:w="2637" w:type="dxa"/>
            <w:tcBorders>
              <w:bottom w:val="single" w:sz="4" w:space="0" w:color="auto"/>
            </w:tcBorders>
          </w:tcPr>
          <w:p w:rsidR="008D3257" w:rsidRPr="00E83766" w:rsidRDefault="008D3257" w:rsidP="00C27F96">
            <w:pPr>
              <w:jc w:val="center"/>
              <w:rPr>
                <w:b/>
                <w:bCs/>
                <w:sz w:val="20"/>
                <w:szCs w:val="26"/>
              </w:rPr>
            </w:pPr>
            <w:r w:rsidRPr="00E83766">
              <w:rPr>
                <w:rFonts w:hint="cs"/>
                <w:b/>
                <w:bCs/>
                <w:sz w:val="20"/>
                <w:szCs w:val="26"/>
                <w:rtl/>
                <w:lang w:val="fr-FR"/>
              </w:rPr>
              <w:t>البلدان النامية</w:t>
            </w:r>
            <w:r>
              <w:rPr>
                <w:rStyle w:val="FootnoteReference"/>
                <w:rFonts w:cs="Times New Roman"/>
                <w:b/>
                <w:bCs/>
                <w:rtl/>
              </w:rPr>
              <w:footnoteReference w:customMarkFollows="1" w:id="1"/>
              <w:t>1</w:t>
            </w:r>
          </w:p>
        </w:tc>
      </w:tr>
      <w:tr w:rsidR="008D3257" w:rsidRPr="002F011A" w:rsidTr="00C27F96">
        <w:trPr>
          <w:jc w:val="center"/>
        </w:trPr>
        <w:tc>
          <w:tcPr>
            <w:tcW w:w="3118" w:type="dxa"/>
            <w:tcBorders>
              <w:top w:val="single" w:sz="4" w:space="0" w:color="auto"/>
            </w:tcBorders>
          </w:tcPr>
          <w:p w:rsidR="008D3257" w:rsidRPr="00E83766" w:rsidRDefault="008D3257" w:rsidP="00C27F96">
            <w:pPr>
              <w:rPr>
                <w:sz w:val="20"/>
                <w:szCs w:val="26"/>
                <w:lang w:val="fr-FR"/>
              </w:rPr>
            </w:pPr>
            <w:r>
              <w:rPr>
                <w:rFonts w:hint="cs"/>
                <w:sz w:val="20"/>
                <w:szCs w:val="26"/>
                <w:rtl/>
                <w:lang w:val="fr-FR"/>
              </w:rPr>
              <w:t>واضعو سياسات الاتصالات</w:t>
            </w:r>
          </w:p>
        </w:tc>
        <w:tc>
          <w:tcPr>
            <w:tcW w:w="2206" w:type="dxa"/>
            <w:tcBorders>
              <w:top w:val="single" w:sz="4" w:space="0" w:color="auto"/>
            </w:tcBorders>
          </w:tcPr>
          <w:p w:rsidR="008D3257" w:rsidRPr="00E83766" w:rsidRDefault="008D3257" w:rsidP="00C27F96">
            <w:pPr>
              <w:jc w:val="center"/>
              <w:rPr>
                <w:sz w:val="20"/>
                <w:szCs w:val="26"/>
                <w:lang w:val="fr-FR"/>
              </w:rPr>
            </w:pPr>
            <w:r w:rsidRPr="00E83766">
              <w:rPr>
                <w:rFonts w:hint="cs"/>
                <w:sz w:val="20"/>
                <w:szCs w:val="26"/>
                <w:rtl/>
                <w:lang w:val="fr-FR"/>
              </w:rPr>
              <w:t>نعم</w:t>
            </w:r>
          </w:p>
        </w:tc>
        <w:tc>
          <w:tcPr>
            <w:tcW w:w="2637" w:type="dxa"/>
            <w:tcBorders>
              <w:top w:val="single" w:sz="4" w:space="0" w:color="auto"/>
            </w:tcBorders>
          </w:tcPr>
          <w:p w:rsidR="008D3257" w:rsidRPr="00E83766" w:rsidRDefault="008D3257" w:rsidP="00C27F96">
            <w:pPr>
              <w:jc w:val="center"/>
              <w:rPr>
                <w:sz w:val="20"/>
                <w:szCs w:val="26"/>
                <w:lang w:val="fr-FR"/>
              </w:rPr>
            </w:pPr>
            <w:r w:rsidRPr="00E83766">
              <w:rPr>
                <w:rFonts w:hint="cs"/>
                <w:sz w:val="20"/>
                <w:szCs w:val="26"/>
                <w:rtl/>
                <w:lang w:val="fr-FR"/>
              </w:rPr>
              <w:t>نعم</w:t>
            </w:r>
          </w:p>
        </w:tc>
      </w:tr>
      <w:tr w:rsidR="008D3257" w:rsidRPr="002F011A" w:rsidTr="00C27F96">
        <w:trPr>
          <w:jc w:val="center"/>
        </w:trPr>
        <w:tc>
          <w:tcPr>
            <w:tcW w:w="3118" w:type="dxa"/>
          </w:tcPr>
          <w:p w:rsidR="008D3257" w:rsidRPr="00E83766" w:rsidRDefault="008D3257" w:rsidP="00C27F96">
            <w:pPr>
              <w:rPr>
                <w:sz w:val="20"/>
                <w:szCs w:val="26"/>
                <w:u w:val="single"/>
                <w:lang w:val="fr-FR"/>
              </w:rPr>
            </w:pPr>
            <w:r>
              <w:rPr>
                <w:rFonts w:hint="cs"/>
                <w:sz w:val="20"/>
                <w:szCs w:val="26"/>
                <w:rtl/>
                <w:lang w:val="fr-FR"/>
              </w:rPr>
              <w:t>منظمو الاتصالات</w:t>
            </w:r>
          </w:p>
        </w:tc>
        <w:tc>
          <w:tcPr>
            <w:tcW w:w="2206" w:type="dxa"/>
          </w:tcPr>
          <w:p w:rsidR="008D3257" w:rsidRPr="00E83766" w:rsidRDefault="008D3257" w:rsidP="00C27F96">
            <w:pPr>
              <w:jc w:val="center"/>
              <w:rPr>
                <w:sz w:val="20"/>
                <w:szCs w:val="26"/>
              </w:rPr>
            </w:pPr>
            <w:r w:rsidRPr="00E83766">
              <w:rPr>
                <w:rFonts w:hint="cs"/>
                <w:sz w:val="20"/>
                <w:szCs w:val="26"/>
                <w:rtl/>
                <w:lang w:val="fr-FR"/>
              </w:rPr>
              <w:t>نعم</w:t>
            </w:r>
          </w:p>
        </w:tc>
        <w:tc>
          <w:tcPr>
            <w:tcW w:w="2637" w:type="dxa"/>
          </w:tcPr>
          <w:p w:rsidR="008D3257" w:rsidRPr="00E83766" w:rsidRDefault="008D3257" w:rsidP="00C27F96">
            <w:pPr>
              <w:jc w:val="center"/>
              <w:rPr>
                <w:sz w:val="20"/>
                <w:szCs w:val="26"/>
              </w:rPr>
            </w:pPr>
            <w:r w:rsidRPr="00E83766">
              <w:rPr>
                <w:rFonts w:hint="cs"/>
                <w:sz w:val="20"/>
                <w:szCs w:val="26"/>
                <w:rtl/>
                <w:lang w:val="fr-FR"/>
              </w:rPr>
              <w:t>نعم</w:t>
            </w:r>
          </w:p>
        </w:tc>
      </w:tr>
      <w:tr w:rsidR="008D3257" w:rsidRPr="002F011A" w:rsidTr="00C27F96">
        <w:trPr>
          <w:jc w:val="center"/>
        </w:trPr>
        <w:tc>
          <w:tcPr>
            <w:tcW w:w="3118" w:type="dxa"/>
          </w:tcPr>
          <w:p w:rsidR="008D3257" w:rsidRPr="00E83766" w:rsidRDefault="008D3257" w:rsidP="00C27F96">
            <w:pPr>
              <w:rPr>
                <w:sz w:val="20"/>
                <w:szCs w:val="26"/>
                <w:lang w:val="fr-FR"/>
              </w:rPr>
            </w:pPr>
            <w:r>
              <w:rPr>
                <w:rFonts w:hint="cs"/>
                <w:sz w:val="20"/>
                <w:szCs w:val="26"/>
                <w:rtl/>
                <w:lang w:val="fr-FR"/>
              </w:rPr>
              <w:t xml:space="preserve">مقدمو </w:t>
            </w:r>
            <w:r w:rsidRPr="00E83766">
              <w:rPr>
                <w:rFonts w:hint="cs"/>
                <w:sz w:val="20"/>
                <w:szCs w:val="26"/>
                <w:rtl/>
                <w:lang w:val="fr-FR"/>
              </w:rPr>
              <w:t>الخدمات</w:t>
            </w:r>
            <w:r>
              <w:rPr>
                <w:rFonts w:hint="cs"/>
                <w:sz w:val="20"/>
                <w:szCs w:val="26"/>
                <w:rtl/>
                <w:lang w:val="fr-FR"/>
              </w:rPr>
              <w:t>/المشغلون</w:t>
            </w:r>
          </w:p>
        </w:tc>
        <w:tc>
          <w:tcPr>
            <w:tcW w:w="2206" w:type="dxa"/>
          </w:tcPr>
          <w:p w:rsidR="008D3257" w:rsidRPr="00E83766" w:rsidRDefault="008D3257" w:rsidP="00C27F96">
            <w:pPr>
              <w:jc w:val="center"/>
              <w:rPr>
                <w:sz w:val="20"/>
                <w:szCs w:val="26"/>
              </w:rPr>
            </w:pPr>
            <w:r w:rsidRPr="00E83766">
              <w:rPr>
                <w:rFonts w:hint="cs"/>
                <w:sz w:val="20"/>
                <w:szCs w:val="26"/>
                <w:rtl/>
                <w:lang w:val="fr-FR"/>
              </w:rPr>
              <w:t>نعم</w:t>
            </w:r>
          </w:p>
        </w:tc>
        <w:tc>
          <w:tcPr>
            <w:tcW w:w="2637" w:type="dxa"/>
          </w:tcPr>
          <w:p w:rsidR="008D3257" w:rsidRPr="00E83766" w:rsidRDefault="008D3257" w:rsidP="00C27F96">
            <w:pPr>
              <w:jc w:val="center"/>
              <w:rPr>
                <w:sz w:val="20"/>
                <w:szCs w:val="26"/>
              </w:rPr>
            </w:pPr>
            <w:r w:rsidRPr="00E83766">
              <w:rPr>
                <w:rFonts w:hint="cs"/>
                <w:sz w:val="20"/>
                <w:szCs w:val="26"/>
                <w:rtl/>
                <w:lang w:val="fr-FR"/>
              </w:rPr>
              <w:t>نعم</w:t>
            </w:r>
          </w:p>
        </w:tc>
      </w:tr>
      <w:tr w:rsidR="008D3257" w:rsidRPr="002F011A" w:rsidTr="00C27F96">
        <w:trPr>
          <w:jc w:val="center"/>
        </w:trPr>
        <w:tc>
          <w:tcPr>
            <w:tcW w:w="3118" w:type="dxa"/>
          </w:tcPr>
          <w:p w:rsidR="008D3257" w:rsidRPr="00E83766" w:rsidRDefault="008D3257" w:rsidP="00C27F96">
            <w:pPr>
              <w:rPr>
                <w:sz w:val="20"/>
                <w:szCs w:val="26"/>
                <w:lang w:val="fr-FR"/>
              </w:rPr>
            </w:pPr>
            <w:r w:rsidRPr="00E83766">
              <w:rPr>
                <w:rFonts w:hint="cs"/>
                <w:sz w:val="20"/>
                <w:szCs w:val="26"/>
                <w:rtl/>
                <w:lang w:val="fr-FR"/>
              </w:rPr>
              <w:t>المصنعون</w:t>
            </w:r>
          </w:p>
        </w:tc>
        <w:tc>
          <w:tcPr>
            <w:tcW w:w="2206" w:type="dxa"/>
          </w:tcPr>
          <w:p w:rsidR="008D3257" w:rsidRPr="00E83766" w:rsidRDefault="008D3257" w:rsidP="00C27F96">
            <w:pPr>
              <w:jc w:val="center"/>
              <w:rPr>
                <w:sz w:val="20"/>
                <w:szCs w:val="26"/>
              </w:rPr>
            </w:pPr>
            <w:r w:rsidRPr="00E83766">
              <w:rPr>
                <w:rFonts w:hint="cs"/>
                <w:sz w:val="20"/>
                <w:szCs w:val="26"/>
                <w:rtl/>
                <w:lang w:val="fr-FR"/>
              </w:rPr>
              <w:t>نعم</w:t>
            </w:r>
          </w:p>
        </w:tc>
        <w:tc>
          <w:tcPr>
            <w:tcW w:w="2637" w:type="dxa"/>
          </w:tcPr>
          <w:p w:rsidR="008D3257" w:rsidRPr="00E83766" w:rsidRDefault="008D3257" w:rsidP="00C27F96">
            <w:pPr>
              <w:jc w:val="center"/>
              <w:rPr>
                <w:sz w:val="20"/>
                <w:szCs w:val="26"/>
              </w:rPr>
            </w:pPr>
            <w:r w:rsidRPr="00E83766">
              <w:rPr>
                <w:rFonts w:hint="cs"/>
                <w:sz w:val="20"/>
                <w:szCs w:val="26"/>
                <w:rtl/>
                <w:lang w:val="fr-FR"/>
              </w:rPr>
              <w:t>نعم</w:t>
            </w:r>
          </w:p>
        </w:tc>
      </w:tr>
      <w:tr w:rsidR="008D3257" w:rsidRPr="002F011A" w:rsidTr="00C27F96">
        <w:trPr>
          <w:jc w:val="center"/>
        </w:trPr>
        <w:tc>
          <w:tcPr>
            <w:tcW w:w="3118" w:type="dxa"/>
          </w:tcPr>
          <w:p w:rsidR="008D3257" w:rsidRPr="00E83766" w:rsidRDefault="008D3257" w:rsidP="00C27F96">
            <w:pPr>
              <w:rPr>
                <w:sz w:val="20"/>
                <w:szCs w:val="26"/>
                <w:rtl/>
                <w:lang w:val="fr-FR"/>
              </w:rPr>
            </w:pPr>
            <w:r w:rsidRPr="00E83766">
              <w:rPr>
                <w:rFonts w:hint="cs"/>
                <w:sz w:val="20"/>
                <w:szCs w:val="26"/>
                <w:rtl/>
                <w:lang w:val="fr-FR"/>
              </w:rPr>
              <w:t>برنامج قطاع تنمية الاتصالات</w:t>
            </w:r>
          </w:p>
        </w:tc>
        <w:tc>
          <w:tcPr>
            <w:tcW w:w="2206" w:type="dxa"/>
          </w:tcPr>
          <w:p w:rsidR="008D3257" w:rsidRPr="00E83766" w:rsidRDefault="008D3257" w:rsidP="00C27F96">
            <w:pPr>
              <w:jc w:val="center"/>
              <w:rPr>
                <w:sz w:val="20"/>
                <w:szCs w:val="26"/>
              </w:rPr>
            </w:pPr>
            <w:r w:rsidRPr="00E83766">
              <w:rPr>
                <w:rFonts w:hint="cs"/>
                <w:sz w:val="20"/>
                <w:szCs w:val="26"/>
                <w:rtl/>
                <w:lang w:val="fr-FR"/>
              </w:rPr>
              <w:t>نعم</w:t>
            </w:r>
          </w:p>
        </w:tc>
        <w:tc>
          <w:tcPr>
            <w:tcW w:w="2637" w:type="dxa"/>
          </w:tcPr>
          <w:p w:rsidR="008D3257" w:rsidRPr="00E83766" w:rsidRDefault="008D3257" w:rsidP="00C27F96">
            <w:pPr>
              <w:jc w:val="center"/>
              <w:rPr>
                <w:sz w:val="20"/>
                <w:szCs w:val="26"/>
              </w:rPr>
            </w:pPr>
            <w:r w:rsidRPr="00E83766">
              <w:rPr>
                <w:rFonts w:hint="cs"/>
                <w:sz w:val="20"/>
                <w:szCs w:val="26"/>
                <w:rtl/>
                <w:lang w:val="fr-FR"/>
              </w:rPr>
              <w:t>نعم</w:t>
            </w:r>
          </w:p>
        </w:tc>
      </w:tr>
    </w:tbl>
    <w:p w:rsidR="008D3257" w:rsidRPr="00B03F13" w:rsidRDefault="008D3257" w:rsidP="008D3257">
      <w:pPr>
        <w:pStyle w:val="Headingb"/>
      </w:pPr>
      <w:r w:rsidRPr="00B03F13">
        <w:rPr>
          <w:rFonts w:hint="cs"/>
          <w:rtl/>
        </w:rPr>
        <w:lastRenderedPageBreak/>
        <w:t xml:space="preserve"> أ )</w:t>
      </w:r>
      <w:r w:rsidRPr="00B03F13">
        <w:rPr>
          <w:rFonts w:hint="cs"/>
          <w:rtl/>
        </w:rPr>
        <w:tab/>
      </w:r>
      <w:r>
        <w:rPr>
          <w:rtl/>
        </w:rPr>
        <w:t xml:space="preserve">الجمهور المستهدف - </w:t>
      </w:r>
      <w:r>
        <w:rPr>
          <w:rFonts w:hint="cs"/>
          <w:rtl/>
        </w:rPr>
        <w:t>من تحديداً الذي سيستخدم الناتج</w:t>
      </w:r>
    </w:p>
    <w:p w:rsidR="008D3257" w:rsidRPr="002B78C4" w:rsidRDefault="008D3257" w:rsidP="008D3257">
      <w:r>
        <w:rPr>
          <w:rFonts w:hint="cs"/>
          <w:rtl/>
        </w:rPr>
        <w:t>جميع واضعي سياسات الاتصالات ومنظمي الاتصالات ومقدمي الخدمات والمشغلين على الصعيد الوطني، خصوصاً في البلدان النامية، إضافةً إلى المنظمات الإقليمية والدولية.</w:t>
      </w:r>
    </w:p>
    <w:p w:rsidR="008D3257" w:rsidRPr="002B78C4" w:rsidRDefault="008D3257" w:rsidP="008D3257">
      <w:pPr>
        <w:pStyle w:val="Headingb"/>
        <w:rPr>
          <w:lang w:val="en-US" w:eastAsia="zh-CN"/>
        </w:rPr>
      </w:pPr>
      <w:r w:rsidRPr="002B78C4">
        <w:rPr>
          <w:rFonts w:hint="cs"/>
          <w:rtl/>
          <w:lang w:val="en-US" w:eastAsia="zh-CN"/>
        </w:rPr>
        <w:t>ب)</w:t>
      </w:r>
      <w:r w:rsidRPr="002B78C4">
        <w:rPr>
          <w:rFonts w:hint="cs"/>
          <w:rtl/>
          <w:lang w:val="en-US" w:eastAsia="zh-CN"/>
        </w:rPr>
        <w:tab/>
      </w:r>
      <w:r>
        <w:rPr>
          <w:rFonts w:hint="cs"/>
          <w:rtl/>
        </w:rPr>
        <w:t>الطرائق المقترحة لتنفيذ النتائج</w:t>
      </w:r>
    </w:p>
    <w:p w:rsidR="008D3257" w:rsidRPr="00B81B94" w:rsidRDefault="008D3257" w:rsidP="008D3257">
      <w:pPr>
        <w:rPr>
          <w:spacing w:val="-2"/>
          <w:rtl/>
          <w:lang w:bidi="ar-SY"/>
        </w:rPr>
      </w:pPr>
      <w:r w:rsidRPr="00B81B94">
        <w:rPr>
          <w:rFonts w:hint="cs"/>
          <w:spacing w:val="-2"/>
          <w:rtl/>
        </w:rPr>
        <w:t>توزع نتائج دراسة المسألة من خلال تقارير مرحلية ونهائية صادرة عن قطاع تنمية الاتصالات، مما يوفر وسيلة لتزويد الجمهور دورياً بمعلومات محدثة عن العمل المنجز ويسمح لهم بتقديم مدخلات و/أو التماس توضيحات/مزيد من المعلومات من لجنة الدراسات </w:t>
      </w:r>
      <w:r w:rsidRPr="00B81B94">
        <w:rPr>
          <w:spacing w:val="-2"/>
        </w:rPr>
        <w:t>1</w:t>
      </w:r>
      <w:r w:rsidRPr="00B81B94">
        <w:rPr>
          <w:rFonts w:hint="cs"/>
          <w:spacing w:val="-2"/>
          <w:rtl/>
          <w:lang w:bidi="ar-SY"/>
        </w:rPr>
        <w:t xml:space="preserve"> عندما يحتاجون ذلك.</w:t>
      </w:r>
    </w:p>
    <w:p w:rsidR="008D3257" w:rsidRPr="002B78C4" w:rsidRDefault="008D3257" w:rsidP="008D3257">
      <w:pPr>
        <w:pStyle w:val="Heading1"/>
      </w:pPr>
      <w:r w:rsidRPr="002B78C4">
        <w:t>8</w:t>
      </w:r>
      <w:r w:rsidRPr="002B78C4">
        <w:rPr>
          <w:rFonts w:hint="cs"/>
          <w:rtl/>
        </w:rPr>
        <w:tab/>
      </w:r>
      <w:r>
        <w:rPr>
          <w:rtl/>
        </w:rPr>
        <w:t>الطرائق المقترحة لتناول المسألة أو القضية</w:t>
      </w:r>
    </w:p>
    <w:p w:rsidR="008D3257" w:rsidRPr="002B78C4" w:rsidRDefault="008D3257" w:rsidP="008D3257">
      <w:pPr>
        <w:rPr>
          <w:rtl/>
        </w:rPr>
      </w:pPr>
      <w:r w:rsidRPr="002B78C4">
        <w:rPr>
          <w:rtl/>
        </w:rPr>
        <w:t>التوزيع الإلكتروني للتقرير والمبادئ التوجيهية على جميع الدول الأعضاء و</w:t>
      </w:r>
      <w:r w:rsidRPr="002B78C4">
        <w:rPr>
          <w:rFonts w:hint="cs"/>
          <w:rtl/>
        </w:rPr>
        <w:t>أعضاء القطاعات و</w:t>
      </w:r>
      <w:r w:rsidRPr="002B78C4">
        <w:rPr>
          <w:rtl/>
        </w:rPr>
        <w:t>الهيئات</w:t>
      </w:r>
      <w:r w:rsidRPr="002B78C4">
        <w:rPr>
          <w:rFonts w:hint="cs"/>
          <w:rtl/>
        </w:rPr>
        <w:t xml:space="preserve"> </w:t>
      </w:r>
      <w:r w:rsidRPr="002B78C4">
        <w:rPr>
          <w:rtl/>
        </w:rPr>
        <w:t>الوطنية لتنظيم الاتصالا</w:t>
      </w:r>
      <w:r w:rsidRPr="002B78C4">
        <w:rPr>
          <w:rFonts w:hint="cs"/>
          <w:rtl/>
        </w:rPr>
        <w:t>ت المعنية والمكاتب الإقليمية للاتحاد.</w:t>
      </w:r>
    </w:p>
    <w:p w:rsidR="008D3257" w:rsidRPr="002B78C4" w:rsidRDefault="008D3257" w:rsidP="008D3257">
      <w:pPr>
        <w:rPr>
          <w:szCs w:val="28"/>
          <w:rtl/>
        </w:rPr>
      </w:pPr>
      <w:r w:rsidRPr="002B78C4">
        <w:rPr>
          <w:szCs w:val="28"/>
          <w:rtl/>
        </w:rPr>
        <w:t>توزيع التقرير والمبادئ التوجيهية على المنتدى العالمي لمنظمي الاتصالات والحلقات</w:t>
      </w:r>
      <w:r w:rsidRPr="002B78C4">
        <w:rPr>
          <w:rFonts w:hint="cs"/>
          <w:szCs w:val="28"/>
          <w:rtl/>
        </w:rPr>
        <w:t xml:space="preserve"> </w:t>
      </w:r>
      <w:r w:rsidRPr="002B78C4">
        <w:rPr>
          <w:szCs w:val="28"/>
          <w:rtl/>
        </w:rPr>
        <w:t xml:space="preserve">الدراسية </w:t>
      </w:r>
      <w:r w:rsidRPr="002B78C4">
        <w:rPr>
          <w:rFonts w:hint="cs"/>
          <w:szCs w:val="28"/>
          <w:rtl/>
        </w:rPr>
        <w:t>ذات الصلة</w:t>
      </w:r>
      <w:r w:rsidRPr="002B78C4">
        <w:rPr>
          <w:szCs w:val="28"/>
          <w:rtl/>
        </w:rPr>
        <w:t xml:space="preserve"> لمكتب تنمية الاتصالا</w:t>
      </w:r>
      <w:r w:rsidRPr="002B78C4">
        <w:rPr>
          <w:rFonts w:hint="cs"/>
          <w:szCs w:val="28"/>
          <w:rtl/>
        </w:rPr>
        <w:t>ت ومكتب الاتصالات الراديوية ومكتب تقييس الاتصالات.</w:t>
      </w:r>
    </w:p>
    <w:p w:rsidR="008D3257" w:rsidRPr="00B03F13" w:rsidRDefault="008D3257" w:rsidP="008D3257">
      <w:pPr>
        <w:pStyle w:val="Headingb"/>
      </w:pPr>
      <w:r w:rsidRPr="00B03F13">
        <w:rPr>
          <w:rFonts w:hint="cs"/>
          <w:rtl/>
        </w:rPr>
        <w:t xml:space="preserve"> أ )</w:t>
      </w:r>
      <w:r w:rsidRPr="00B03F13">
        <w:rPr>
          <w:rFonts w:hint="cs"/>
          <w:rtl/>
        </w:rPr>
        <w:tab/>
        <w:t>ما هي الطريقة</w:t>
      </w:r>
      <w:r w:rsidRPr="00B03F13">
        <w:rPr>
          <w:rtl/>
        </w:rPr>
        <w:t>؟</w:t>
      </w:r>
    </w:p>
    <w:p w:rsidR="008D3257" w:rsidRPr="002B78C4" w:rsidRDefault="008D3257" w:rsidP="008D3257">
      <w:pPr>
        <w:pStyle w:val="enumlev2"/>
        <w:tabs>
          <w:tab w:val="left" w:pos="7371"/>
        </w:tabs>
        <w:rPr>
          <w:rtl/>
        </w:rPr>
      </w:pPr>
      <w:r w:rsidRPr="002B78C4">
        <w:t>(1</w:t>
      </w:r>
      <w:r w:rsidRPr="002B78C4">
        <w:rPr>
          <w:rFonts w:hint="cs"/>
          <w:rtl/>
        </w:rPr>
        <w:tab/>
      </w:r>
      <w:r w:rsidRPr="002B78C4">
        <w:rPr>
          <w:rtl/>
        </w:rPr>
        <w:t xml:space="preserve">في إطار لجنة </w:t>
      </w:r>
      <w:r w:rsidRPr="002B78C4">
        <w:rPr>
          <w:rFonts w:hint="cs"/>
          <w:rtl/>
        </w:rPr>
        <w:t>ال</w:t>
      </w:r>
      <w:r w:rsidRPr="002B78C4">
        <w:rPr>
          <w:rtl/>
        </w:rPr>
        <w:t>دراسات</w:t>
      </w:r>
      <w:r w:rsidRPr="002B78C4">
        <w:rPr>
          <w:rFonts w:hint="cs"/>
          <w:rtl/>
        </w:rPr>
        <w:t>:</w:t>
      </w:r>
      <w:r>
        <w:rPr>
          <w:rtl/>
        </w:rPr>
        <w:tab/>
      </w:r>
      <w:r>
        <w:rPr>
          <w:rFonts w:hint="cs"/>
          <w:rtl/>
        </w:rPr>
        <w:tab/>
      </w:r>
      <w:r>
        <w:sym w:font="Wingdings 2" w:char="F052"/>
      </w:r>
    </w:p>
    <w:p w:rsidR="008D3257" w:rsidRPr="002B78C4" w:rsidRDefault="008D3257" w:rsidP="008D3257">
      <w:pPr>
        <w:pStyle w:val="enumlev3"/>
        <w:tabs>
          <w:tab w:val="left" w:pos="7371"/>
        </w:tabs>
      </w:pPr>
      <w:r w:rsidRPr="002B78C4">
        <w:rPr>
          <w:rtl/>
        </w:rPr>
        <w:t>مسأل</w:t>
      </w:r>
      <w:r w:rsidRPr="002B78C4">
        <w:rPr>
          <w:rFonts w:hint="cs"/>
          <w:rtl/>
        </w:rPr>
        <w:t>ة (</w:t>
      </w:r>
      <w:r w:rsidRPr="002B78C4">
        <w:rPr>
          <w:rtl/>
        </w:rPr>
        <w:t>خلال فترة دراسة متعددة السنوات</w:t>
      </w:r>
      <w:r w:rsidRPr="002B78C4">
        <w:rPr>
          <w:rFonts w:hint="cs"/>
          <w:rtl/>
        </w:rPr>
        <w:t>)</w:t>
      </w:r>
      <w:r w:rsidRPr="002B78C4">
        <w:rPr>
          <w:rtl/>
        </w:rPr>
        <w:tab/>
      </w:r>
      <w:r>
        <w:rPr>
          <w:rFonts w:hint="cs"/>
          <w:rtl/>
        </w:rPr>
        <w:tab/>
      </w:r>
      <w:r>
        <w:sym w:font="Wingdings 2" w:char="F052"/>
      </w:r>
    </w:p>
    <w:p w:rsidR="008D3257" w:rsidRPr="002B78C4" w:rsidRDefault="008D3257" w:rsidP="008D3257">
      <w:pPr>
        <w:pStyle w:val="enumlev2"/>
        <w:tabs>
          <w:tab w:val="left" w:pos="7371"/>
        </w:tabs>
        <w:rPr>
          <w:rtl/>
        </w:rPr>
      </w:pPr>
      <w:r w:rsidRPr="002B78C4">
        <w:t>(2</w:t>
      </w:r>
      <w:r w:rsidRPr="002B78C4">
        <w:rPr>
          <w:rFonts w:hint="cs"/>
          <w:rtl/>
        </w:rPr>
        <w:tab/>
        <w:t>ف</w:t>
      </w:r>
      <w:r w:rsidRPr="002B78C4">
        <w:rPr>
          <w:rtl/>
        </w:rPr>
        <w:t xml:space="preserve">ي إطار أنشطة مكتب </w:t>
      </w:r>
      <w:r w:rsidRPr="002B78C4">
        <w:rPr>
          <w:rFonts w:hint="cs"/>
          <w:rtl/>
        </w:rPr>
        <w:t>تنمية الاتصالات العادية:</w:t>
      </w:r>
    </w:p>
    <w:p w:rsidR="008D3257" w:rsidRDefault="008D3257" w:rsidP="008D3257">
      <w:pPr>
        <w:pStyle w:val="enumlev3"/>
        <w:tabs>
          <w:tab w:val="left" w:pos="7371"/>
        </w:tabs>
      </w:pPr>
      <w:r w:rsidRPr="002B78C4">
        <w:rPr>
          <w:rFonts w:hint="cs"/>
          <w:rtl/>
        </w:rPr>
        <w:t xml:space="preserve">الهدف </w:t>
      </w:r>
      <w:r w:rsidRPr="002B78C4">
        <w:t>2</w:t>
      </w:r>
      <w:r w:rsidRPr="002B78C4">
        <w:rPr>
          <w:rtl/>
        </w:rPr>
        <w:t xml:space="preserve"> </w:t>
      </w:r>
      <w:r>
        <w:rPr>
          <w:rtl/>
        </w:rPr>
        <w:tab/>
      </w:r>
      <w:r>
        <w:rPr>
          <w:rFonts w:hint="cs"/>
          <w:rtl/>
        </w:rPr>
        <w:tab/>
      </w:r>
      <w:r>
        <w:sym w:font="Wingdings 2" w:char="F052"/>
      </w:r>
    </w:p>
    <w:p w:rsidR="008D3257" w:rsidRPr="002B78C4" w:rsidRDefault="008D3257" w:rsidP="008D3257">
      <w:pPr>
        <w:pStyle w:val="enumlev3"/>
        <w:tabs>
          <w:tab w:val="left" w:pos="7371"/>
        </w:tabs>
        <w:rPr>
          <w:rtl/>
        </w:rPr>
      </w:pPr>
      <w:r w:rsidRPr="002B78C4">
        <w:rPr>
          <w:rtl/>
        </w:rPr>
        <w:t>مشاريع</w:t>
      </w:r>
      <w:r w:rsidRPr="002B78C4">
        <w:rPr>
          <w:rFonts w:hint="cs"/>
          <w:rtl/>
        </w:rPr>
        <w:t>: مبادرات إقليمية</w:t>
      </w:r>
      <w:r w:rsidRPr="002B78C4">
        <w:rPr>
          <w:rtl/>
        </w:rPr>
        <w:tab/>
      </w:r>
      <w:r>
        <w:rPr>
          <w:rFonts w:hint="cs"/>
          <w:rtl/>
        </w:rPr>
        <w:tab/>
      </w:r>
      <w:r w:rsidRPr="001F2229">
        <w:rPr>
          <w:szCs w:val="22"/>
        </w:rPr>
        <w:sym w:font="Wingdings" w:char="F06F"/>
      </w:r>
    </w:p>
    <w:p w:rsidR="008D3257" w:rsidRPr="002B78C4" w:rsidRDefault="008D3257" w:rsidP="008D3257">
      <w:pPr>
        <w:pStyle w:val="enumlev3"/>
        <w:tabs>
          <w:tab w:val="left" w:pos="7371"/>
        </w:tabs>
        <w:rPr>
          <w:rtl/>
        </w:rPr>
      </w:pPr>
      <w:r w:rsidRPr="002B78C4">
        <w:rPr>
          <w:rtl/>
        </w:rPr>
        <w:t>خبراء استشاريون</w:t>
      </w:r>
      <w:r w:rsidRPr="002B78C4">
        <w:rPr>
          <w:rtl/>
        </w:rPr>
        <w:tab/>
      </w:r>
      <w:r>
        <w:rPr>
          <w:rFonts w:hint="cs"/>
          <w:rtl/>
        </w:rPr>
        <w:tab/>
      </w:r>
      <w:r>
        <w:sym w:font="Wingdings 2" w:char="F052"/>
      </w:r>
    </w:p>
    <w:p w:rsidR="008D3257" w:rsidRPr="002B78C4" w:rsidRDefault="008D3257" w:rsidP="008D3257">
      <w:pPr>
        <w:pStyle w:val="Heading1"/>
      </w:pPr>
      <w:r w:rsidRPr="002B78C4">
        <w:t>9</w:t>
      </w:r>
      <w:r w:rsidRPr="002B78C4">
        <w:rPr>
          <w:rFonts w:hint="cs"/>
          <w:rtl/>
        </w:rPr>
        <w:tab/>
        <w:t>التنسيق والتعاون</w:t>
      </w:r>
    </w:p>
    <w:p w:rsidR="008D3257" w:rsidRDefault="008D3257" w:rsidP="008D3257">
      <w:pPr>
        <w:rPr>
          <w:rtl/>
        </w:rPr>
      </w:pPr>
      <w:r>
        <w:rPr>
          <w:rFonts w:hint="cs"/>
          <w:rtl/>
        </w:rPr>
        <w:t>سيتعين على لجنة الدراسات لقطاع تنمية الاتصالات المعنية بهذه المسألة أن تقوم بالتنسيق مع:</w:t>
      </w:r>
    </w:p>
    <w:p w:rsidR="008D3257" w:rsidRDefault="008D3257" w:rsidP="008D3257">
      <w:pPr>
        <w:pStyle w:val="enumlev1"/>
        <w:rPr>
          <w:rtl/>
          <w:lang w:bidi="ar-SY"/>
        </w:rPr>
      </w:pPr>
      <w:r>
        <w:rPr>
          <w:rFonts w:hint="cs"/>
          <w:rtl/>
        </w:rPr>
        <w:t>-</w:t>
      </w:r>
      <w:r>
        <w:rPr>
          <w:rFonts w:hint="cs"/>
          <w:rtl/>
        </w:rPr>
        <w:tab/>
        <w:t xml:space="preserve">المسائل ذات الصلة للجان دراسات قطاع تنمية الاتصالات، وخصوصاً المسألة </w:t>
      </w:r>
      <w:r>
        <w:t>1/1</w:t>
      </w:r>
    </w:p>
    <w:p w:rsidR="008D3257" w:rsidRDefault="008D3257" w:rsidP="008D3257">
      <w:pPr>
        <w:pStyle w:val="enumlev1"/>
        <w:rPr>
          <w:rtl/>
          <w:lang w:bidi="ar-SY"/>
        </w:rPr>
      </w:pPr>
      <w:r>
        <w:rPr>
          <w:rFonts w:hint="cs"/>
          <w:rtl/>
          <w:lang w:bidi="ar-SY"/>
        </w:rPr>
        <w:t>-</w:t>
      </w:r>
      <w:r>
        <w:rPr>
          <w:rFonts w:hint="cs"/>
          <w:rtl/>
          <w:lang w:bidi="ar-SY"/>
        </w:rPr>
        <w:tab/>
        <w:t xml:space="preserve">لجان الدراسات ذات الصلة لقطاع تقييس الاتصالات، وخصوصاً لجنة الدراسات </w:t>
      </w:r>
      <w:r>
        <w:rPr>
          <w:lang w:bidi="ar-SY"/>
        </w:rPr>
        <w:t>3</w:t>
      </w:r>
    </w:p>
    <w:p w:rsidR="008D3257" w:rsidRDefault="008D3257" w:rsidP="008D3257">
      <w:pPr>
        <w:pStyle w:val="enumlev1"/>
        <w:rPr>
          <w:rtl/>
          <w:lang w:bidi="ar-SY"/>
        </w:rPr>
      </w:pPr>
      <w:r>
        <w:rPr>
          <w:rFonts w:hint="cs"/>
          <w:rtl/>
          <w:lang w:bidi="ar-SY"/>
        </w:rPr>
        <w:t>-</w:t>
      </w:r>
      <w:r>
        <w:rPr>
          <w:rFonts w:hint="cs"/>
          <w:rtl/>
          <w:lang w:bidi="ar-SY"/>
        </w:rPr>
        <w:tab/>
        <w:t>جهات الاتصال ذات الصلة في مكتب تنمية الاتصالات والمكاتب الإقليمية للاتحاد</w:t>
      </w:r>
    </w:p>
    <w:p w:rsidR="008D3257" w:rsidRPr="002B78C4" w:rsidRDefault="008D3257" w:rsidP="008D3257">
      <w:pPr>
        <w:pStyle w:val="enumlev1"/>
        <w:rPr>
          <w:rtl/>
          <w:lang w:bidi="ar-SY"/>
        </w:rPr>
      </w:pPr>
      <w:r>
        <w:rPr>
          <w:rFonts w:hint="cs"/>
          <w:rtl/>
          <w:lang w:bidi="ar-SY"/>
        </w:rPr>
        <w:t>-</w:t>
      </w:r>
      <w:r>
        <w:rPr>
          <w:rFonts w:hint="cs"/>
          <w:rtl/>
          <w:lang w:bidi="ar-SY"/>
        </w:rPr>
        <w:tab/>
        <w:t>الخبراء والمنظمات ذات الخبرة في هذا المجال.</w:t>
      </w:r>
    </w:p>
    <w:p w:rsidR="008D3257" w:rsidRPr="002B78C4" w:rsidRDefault="008D3257" w:rsidP="008D3257">
      <w:pPr>
        <w:pStyle w:val="Heading1"/>
        <w:rPr>
          <w:rtl/>
        </w:rPr>
      </w:pPr>
      <w:r w:rsidRPr="002B78C4">
        <w:lastRenderedPageBreak/>
        <w:t>10</w:t>
      </w:r>
      <w:r w:rsidRPr="002B78C4">
        <w:rPr>
          <w:rFonts w:hint="cs"/>
          <w:rtl/>
        </w:rPr>
        <w:tab/>
      </w:r>
      <w:r>
        <w:rPr>
          <w:rFonts w:hint="cs"/>
          <w:rtl/>
        </w:rPr>
        <w:t>الصلة ببرامج</w:t>
      </w:r>
      <w:r w:rsidRPr="002B78C4">
        <w:rPr>
          <w:rtl/>
        </w:rPr>
        <w:t xml:space="preserve"> مكتب تنمية الاتصالات</w:t>
      </w:r>
    </w:p>
    <w:p w:rsidR="008D3257" w:rsidRPr="002B78C4" w:rsidRDefault="008D3257" w:rsidP="008D3257">
      <w:pPr>
        <w:rPr>
          <w:szCs w:val="28"/>
        </w:rPr>
      </w:pPr>
      <w:r w:rsidRPr="002B78C4">
        <w:rPr>
          <w:rFonts w:hint="cs"/>
          <w:szCs w:val="28"/>
          <w:rtl/>
        </w:rPr>
        <w:t>الهدف</w:t>
      </w:r>
      <w:r>
        <w:rPr>
          <w:rFonts w:hint="eastAsia"/>
          <w:szCs w:val="28"/>
          <w:rtl/>
        </w:rPr>
        <w:t> </w:t>
      </w:r>
      <w:r w:rsidRPr="002B78C4">
        <w:rPr>
          <w:szCs w:val="28"/>
        </w:rPr>
        <w:t>2</w:t>
      </w:r>
      <w:r w:rsidRPr="002B78C4">
        <w:rPr>
          <w:rFonts w:hint="cs"/>
          <w:szCs w:val="28"/>
          <w:rtl/>
        </w:rPr>
        <w:t xml:space="preserve"> </w:t>
      </w:r>
      <w:r>
        <w:rPr>
          <w:rFonts w:hint="cs"/>
          <w:szCs w:val="28"/>
          <w:rtl/>
        </w:rPr>
        <w:t xml:space="preserve">لقطاع </w:t>
      </w:r>
      <w:r w:rsidRPr="002B78C4">
        <w:rPr>
          <w:szCs w:val="28"/>
          <w:rtl/>
        </w:rPr>
        <w:t>تنمية الاتصالات</w:t>
      </w:r>
      <w:r w:rsidRPr="002B78C4">
        <w:rPr>
          <w:rFonts w:hint="cs"/>
          <w:szCs w:val="28"/>
          <w:rtl/>
        </w:rPr>
        <w:t>.</w:t>
      </w:r>
    </w:p>
    <w:p w:rsidR="008D3257" w:rsidRPr="002B78C4" w:rsidRDefault="008D3257" w:rsidP="008D3257">
      <w:pPr>
        <w:pStyle w:val="Heading1"/>
      </w:pPr>
      <w:r w:rsidRPr="002B78C4">
        <w:t>11</w:t>
      </w:r>
      <w:r w:rsidRPr="002B78C4">
        <w:rPr>
          <w:rFonts w:hint="cs"/>
          <w:rtl/>
        </w:rPr>
        <w:tab/>
      </w:r>
      <w:r w:rsidRPr="002B78C4">
        <w:rPr>
          <w:rtl/>
        </w:rPr>
        <w:t>معلومات أخرى ذات صلة</w:t>
      </w:r>
    </w:p>
    <w:p w:rsidR="008D3257" w:rsidRPr="002B78C4" w:rsidRDefault="008D3257" w:rsidP="008D3257">
      <w:pPr>
        <w:rPr>
          <w:rtl/>
        </w:rPr>
      </w:pPr>
      <w:r>
        <w:rPr>
          <w:rFonts w:hint="cs"/>
          <w:rtl/>
        </w:rPr>
        <w:t>سيقام اتصال مباشر في </w:t>
      </w:r>
      <w:r w:rsidRPr="002B78C4">
        <w:rPr>
          <w:rFonts w:hint="cs"/>
          <w:rtl/>
        </w:rPr>
        <w:t xml:space="preserve">إطار المسألة </w:t>
      </w:r>
      <w:r>
        <w:t>4/1</w:t>
      </w:r>
      <w:r>
        <w:rPr>
          <w:rFonts w:hint="cs"/>
          <w:rtl/>
          <w:lang w:bidi="ar-SY"/>
        </w:rPr>
        <w:t xml:space="preserve"> مع لجنة </w:t>
      </w:r>
      <w:r w:rsidRPr="002B78C4">
        <w:rPr>
          <w:rFonts w:hint="cs"/>
          <w:rtl/>
        </w:rPr>
        <w:t>الدراسات</w:t>
      </w:r>
      <w:r>
        <w:rPr>
          <w:rFonts w:hint="eastAsia"/>
          <w:rtl/>
        </w:rPr>
        <w:t> </w:t>
      </w:r>
      <w:r w:rsidRPr="002B78C4">
        <w:t>3</w:t>
      </w:r>
      <w:r w:rsidRPr="002B78C4">
        <w:rPr>
          <w:rFonts w:hint="cs"/>
          <w:rtl/>
        </w:rPr>
        <w:t xml:space="preserve"> التابعة لقطاع</w:t>
      </w:r>
      <w:r w:rsidRPr="002B78C4">
        <w:rPr>
          <w:rtl/>
        </w:rPr>
        <w:t xml:space="preserve"> تقييس الاتصالات</w:t>
      </w:r>
      <w:r w:rsidRPr="002B78C4">
        <w:rPr>
          <w:rFonts w:hint="cs"/>
          <w:rtl/>
        </w:rPr>
        <w:t xml:space="preserve"> وأفرقتها الإقليمية لإفريقيا</w:t>
      </w:r>
      <w:r w:rsidRPr="002B78C4">
        <w:rPr>
          <w:rFonts w:hint="eastAsia"/>
          <w:rtl/>
        </w:rPr>
        <w:t> </w:t>
      </w:r>
      <w:r w:rsidRPr="002B78C4">
        <w:t>(SG3RG</w:t>
      </w:r>
      <w:r w:rsidRPr="002B78C4">
        <w:noBreakHyphen/>
        <w:t>AFR)</w:t>
      </w:r>
      <w:r w:rsidRPr="002B78C4">
        <w:rPr>
          <w:rFonts w:hint="cs"/>
          <w:rtl/>
        </w:rPr>
        <w:t xml:space="preserve"> وآسيا وأوقيانوسيا </w:t>
      </w:r>
      <w:r w:rsidRPr="002B78C4">
        <w:t>(SG3RG</w:t>
      </w:r>
      <w:r w:rsidRPr="002B78C4">
        <w:noBreakHyphen/>
        <w:t>AO)</w:t>
      </w:r>
      <w:r w:rsidRPr="002B78C4">
        <w:rPr>
          <w:rFonts w:hint="cs"/>
          <w:rtl/>
        </w:rPr>
        <w:t xml:space="preserve"> والدول العربية </w:t>
      </w:r>
      <w:r w:rsidRPr="002B78C4">
        <w:t>(SG3RG</w:t>
      </w:r>
      <w:r w:rsidRPr="002B78C4">
        <w:noBreakHyphen/>
        <w:t>ARB)</w:t>
      </w:r>
      <w:r w:rsidRPr="002B78C4">
        <w:rPr>
          <w:rFonts w:hint="cs"/>
          <w:rtl/>
        </w:rPr>
        <w:t xml:space="preserve"> وأمريكا اللاتينية والكاريب‍ي</w:t>
      </w:r>
      <w:r>
        <w:rPr>
          <w:rFonts w:hint="eastAsia"/>
          <w:rtl/>
        </w:rPr>
        <w:t> </w:t>
      </w:r>
      <w:r w:rsidRPr="002B78C4">
        <w:t>(SG3RG</w:t>
      </w:r>
      <w:r w:rsidRPr="002B78C4">
        <w:noBreakHyphen/>
        <w:t>LAC)</w:t>
      </w:r>
      <w:r w:rsidRPr="002B78C4">
        <w:rPr>
          <w:rFonts w:hint="cs"/>
          <w:rtl/>
        </w:rPr>
        <w:t xml:space="preserve"> ولجنتي الدراسات </w:t>
      </w:r>
      <w:r w:rsidRPr="002B78C4">
        <w:t>1</w:t>
      </w:r>
      <w:r w:rsidRPr="002B78C4">
        <w:rPr>
          <w:rFonts w:hint="cs"/>
          <w:rtl/>
        </w:rPr>
        <w:t xml:space="preserve"> و</w:t>
      </w:r>
      <w:r w:rsidRPr="002B78C4">
        <w:t>2</w:t>
      </w:r>
      <w:r w:rsidRPr="002B78C4">
        <w:rPr>
          <w:rFonts w:hint="cs"/>
          <w:rtl/>
        </w:rPr>
        <w:t xml:space="preserve"> التابعتين</w:t>
      </w:r>
      <w:r w:rsidRPr="002B78C4">
        <w:t xml:space="preserve"> </w:t>
      </w:r>
      <w:r w:rsidRPr="002B78C4">
        <w:rPr>
          <w:rFonts w:hint="cs"/>
          <w:rtl/>
        </w:rPr>
        <w:t>ل</w:t>
      </w:r>
      <w:r w:rsidRPr="002B78C4">
        <w:rPr>
          <w:rtl/>
        </w:rPr>
        <w:t>قطاع تنمية الاتصالات</w:t>
      </w:r>
      <w:r w:rsidRPr="002B78C4">
        <w:rPr>
          <w:rFonts w:hint="cs"/>
          <w:rtl/>
        </w:rPr>
        <w:t xml:space="preserve"> والمنظمات الدولية والإقليمية الأخرى المعنية بالقضايا ذات الصلة بتكاليف وتعريفات خدمات الاتصالات </w:t>
      </w:r>
      <w:r>
        <w:rPr>
          <w:rFonts w:hint="cs"/>
          <w:rtl/>
        </w:rPr>
        <w:t>وبرنامج البيئة التمكينية في </w:t>
      </w:r>
      <w:r w:rsidRPr="002B78C4">
        <w:rPr>
          <w:rtl/>
        </w:rPr>
        <w:t>قطاع تنمية الاتصالات</w:t>
      </w:r>
      <w:r w:rsidRPr="002B78C4">
        <w:rPr>
          <w:rFonts w:hint="cs"/>
          <w:rtl/>
        </w:rPr>
        <w:t>.</w:t>
      </w:r>
    </w:p>
    <w:p w:rsidR="008D3257" w:rsidRPr="002B78C4" w:rsidRDefault="008D3257" w:rsidP="008D3257">
      <w:pPr>
        <w:rPr>
          <w:rtl/>
        </w:rPr>
      </w:pPr>
      <w:r w:rsidRPr="002B78C4">
        <w:rPr>
          <w:rFonts w:hint="cs"/>
          <w:rtl/>
        </w:rPr>
        <w:t>وجميع المعلومات الأخرى التي قد</w:t>
      </w:r>
      <w:r w:rsidRPr="002B78C4">
        <w:rPr>
          <w:rtl/>
        </w:rPr>
        <w:t xml:space="preserve"> </w:t>
      </w:r>
      <w:r w:rsidRPr="002B78C4">
        <w:rPr>
          <w:rFonts w:hint="cs"/>
          <w:rtl/>
        </w:rPr>
        <w:t>ت</w:t>
      </w:r>
      <w:r w:rsidRPr="002B78C4">
        <w:rPr>
          <w:rtl/>
        </w:rPr>
        <w:t>تضح خلال دراسة هذه</w:t>
      </w:r>
      <w:r w:rsidRPr="002B78C4">
        <w:rPr>
          <w:rFonts w:hint="cs"/>
          <w:rtl/>
        </w:rPr>
        <w:t xml:space="preserve"> المسألة.</w:t>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C9" w:rsidRDefault="00F266C9" w:rsidP="008D3257">
      <w:pPr>
        <w:spacing w:before="0" w:line="240" w:lineRule="auto"/>
      </w:pPr>
      <w:r>
        <w:separator/>
      </w:r>
    </w:p>
  </w:endnote>
  <w:endnote w:type="continuationSeparator" w:id="0">
    <w:p w:rsidR="00F266C9" w:rsidRDefault="00F266C9" w:rsidP="008D32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C9" w:rsidRDefault="00F266C9" w:rsidP="008D3257">
      <w:pPr>
        <w:spacing w:before="0" w:line="240" w:lineRule="auto"/>
      </w:pPr>
      <w:r>
        <w:separator/>
      </w:r>
    </w:p>
  </w:footnote>
  <w:footnote w:type="continuationSeparator" w:id="0">
    <w:p w:rsidR="00F266C9" w:rsidRDefault="00F266C9" w:rsidP="008D3257">
      <w:pPr>
        <w:spacing w:before="0" w:line="240" w:lineRule="auto"/>
      </w:pPr>
      <w:r>
        <w:continuationSeparator/>
      </w:r>
    </w:p>
  </w:footnote>
  <w:footnote w:id="1">
    <w:p w:rsidR="008D3257" w:rsidRPr="00117E63" w:rsidRDefault="008D3257" w:rsidP="008D3257">
      <w:pPr>
        <w:pStyle w:val="FootnoteText"/>
        <w:spacing w:after="0"/>
      </w:pPr>
      <w:r w:rsidRPr="006C09FF">
        <w:rPr>
          <w:rStyle w:val="FootnoteReference"/>
          <w:szCs w:val="20"/>
          <w:rtl/>
        </w:rPr>
        <w:t>1</w:t>
      </w:r>
      <w:r w:rsidRPr="00117E63">
        <w:rPr>
          <w:rFonts w:hint="cs"/>
          <w:rtl/>
        </w:rPr>
        <w:tab/>
        <w:t xml:space="preserve">يشمل هذا المصطلح أيضاً أقل البلدان نمواً </w:t>
      </w:r>
      <w:r w:rsidRPr="00117E63">
        <w:t>(LDC)</w:t>
      </w:r>
      <w:r w:rsidRPr="00117E63">
        <w:rPr>
          <w:rFonts w:hint="cs"/>
          <w:rtl/>
        </w:rPr>
        <w:t xml:space="preserve"> والدول الجزرية الصغيرة النامية </w:t>
      </w:r>
      <w:r w:rsidRPr="00117E63">
        <w:t>(SIDS)</w:t>
      </w:r>
      <w:r w:rsidRPr="00117E63">
        <w:rPr>
          <w:rFonts w:hint="cs"/>
          <w:rtl/>
        </w:rPr>
        <w:t xml:space="preserve"> والبلدان النامية غير الساحلية </w:t>
      </w:r>
      <w:r w:rsidRPr="00117E63">
        <w:t>(LLDC)</w:t>
      </w:r>
      <w:r w:rsidRPr="00117E63">
        <w:rPr>
          <w:rFonts w:hint="cs"/>
          <w:rtl/>
        </w:rPr>
        <w:t xml:space="preserve"> والبلدان التي تمر اقتصاداتها بمرحلة</w:t>
      </w:r>
      <w:r w:rsidRPr="00117E63">
        <w:rPr>
          <w:rFonts w:hint="eastAsia"/>
          <w:rtl/>
        </w:rPr>
        <w:t> </w:t>
      </w:r>
      <w:r w:rsidRPr="00117E63">
        <w:rPr>
          <w:rFonts w:hint="cs"/>
          <w:rtl/>
        </w:rPr>
        <w:t>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57"/>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3257"/>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266C9"/>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57"/>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D3257"/>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D3257"/>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8D3257"/>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D3257"/>
    <w:rPr>
      <w:rFonts w:ascii="Calibri" w:eastAsia="SimSun" w:hAnsi="Calibri" w:cs="Traditional Arabic"/>
      <w:szCs w:val="30"/>
    </w:rPr>
  </w:style>
  <w:style w:type="paragraph" w:customStyle="1" w:styleId="enumlev2">
    <w:name w:val="enumlev2"/>
    <w:link w:val="enumlev2Char"/>
    <w:qFormat/>
    <w:rsid w:val="008D3257"/>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8D3257"/>
    <w:rPr>
      <w:rFonts w:ascii="Calibri" w:eastAsia="SimSun" w:hAnsi="Calibri" w:cs="Traditional Arabic"/>
      <w:szCs w:val="30"/>
      <w:lang w:bidi="ar-SY"/>
    </w:rPr>
  </w:style>
  <w:style w:type="paragraph" w:customStyle="1" w:styleId="enumlev3">
    <w:name w:val="enumlev3"/>
    <w:link w:val="enumlev3Char"/>
    <w:qFormat/>
    <w:rsid w:val="008D3257"/>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8D3257"/>
    <w:rPr>
      <w:rFonts w:ascii="Calibri" w:eastAsia="SimSun" w:hAnsi="Calibri" w:cs="Traditional Arabic"/>
      <w:szCs w:val="30"/>
      <w:lang w:bidi="ar-SY"/>
    </w:rPr>
  </w:style>
  <w:style w:type="paragraph" w:customStyle="1" w:styleId="Note">
    <w:name w:val="Note"/>
    <w:basedOn w:val="Normal"/>
    <w:qFormat/>
    <w:rsid w:val="008D3257"/>
    <w:pPr>
      <w:tabs>
        <w:tab w:val="left" w:pos="851"/>
      </w:tabs>
      <w:overflowPunct w:val="0"/>
      <w:autoSpaceDE w:val="0"/>
      <w:autoSpaceDN w:val="0"/>
      <w:adjustRightInd w:val="0"/>
      <w:textAlignment w:val="baseline"/>
    </w:pPr>
    <w:rPr>
      <w:rFonts w:eastAsia="Times New Roman"/>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D3257"/>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D3257"/>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D3257"/>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D3257"/>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D3257"/>
    <w:rPr>
      <w:rFonts w:ascii="Calibri" w:eastAsia="SimSun" w:hAnsi="Calibri" w:cs="Traditional Arabic"/>
      <w:sz w:val="20"/>
      <w:szCs w:val="26"/>
      <w:lang w:bidi="ar-EG"/>
    </w:rPr>
  </w:style>
  <w:style w:type="paragraph" w:customStyle="1" w:styleId="Headingb">
    <w:name w:val="Heading b"/>
    <w:basedOn w:val="Normal"/>
    <w:autoRedefine/>
    <w:qFormat/>
    <w:rsid w:val="008D3257"/>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57"/>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D3257"/>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D3257"/>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8D3257"/>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D3257"/>
    <w:rPr>
      <w:rFonts w:ascii="Calibri" w:eastAsia="SimSun" w:hAnsi="Calibri" w:cs="Traditional Arabic"/>
      <w:szCs w:val="30"/>
    </w:rPr>
  </w:style>
  <w:style w:type="paragraph" w:customStyle="1" w:styleId="enumlev2">
    <w:name w:val="enumlev2"/>
    <w:link w:val="enumlev2Char"/>
    <w:qFormat/>
    <w:rsid w:val="008D3257"/>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8D3257"/>
    <w:rPr>
      <w:rFonts w:ascii="Calibri" w:eastAsia="SimSun" w:hAnsi="Calibri" w:cs="Traditional Arabic"/>
      <w:szCs w:val="30"/>
      <w:lang w:bidi="ar-SY"/>
    </w:rPr>
  </w:style>
  <w:style w:type="paragraph" w:customStyle="1" w:styleId="enumlev3">
    <w:name w:val="enumlev3"/>
    <w:link w:val="enumlev3Char"/>
    <w:qFormat/>
    <w:rsid w:val="008D3257"/>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8D3257"/>
    <w:rPr>
      <w:rFonts w:ascii="Calibri" w:eastAsia="SimSun" w:hAnsi="Calibri" w:cs="Traditional Arabic"/>
      <w:szCs w:val="30"/>
      <w:lang w:bidi="ar-SY"/>
    </w:rPr>
  </w:style>
  <w:style w:type="paragraph" w:customStyle="1" w:styleId="Note">
    <w:name w:val="Note"/>
    <w:basedOn w:val="Normal"/>
    <w:qFormat/>
    <w:rsid w:val="008D3257"/>
    <w:pPr>
      <w:tabs>
        <w:tab w:val="left" w:pos="851"/>
      </w:tabs>
      <w:overflowPunct w:val="0"/>
      <w:autoSpaceDE w:val="0"/>
      <w:autoSpaceDN w:val="0"/>
      <w:adjustRightInd w:val="0"/>
      <w:textAlignment w:val="baseline"/>
    </w:pPr>
    <w:rPr>
      <w:rFonts w:eastAsia="Times New Roman"/>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D3257"/>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D3257"/>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D3257"/>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D3257"/>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D3257"/>
    <w:rPr>
      <w:rFonts w:ascii="Calibri" w:eastAsia="SimSun" w:hAnsi="Calibri" w:cs="Traditional Arabic"/>
      <w:sz w:val="20"/>
      <w:szCs w:val="26"/>
      <w:lang w:bidi="ar-EG"/>
    </w:rPr>
  </w:style>
  <w:style w:type="paragraph" w:customStyle="1" w:styleId="Headingb">
    <w:name w:val="Heading b"/>
    <w:basedOn w:val="Normal"/>
    <w:autoRedefine/>
    <w:qFormat/>
    <w:rsid w:val="008D3257"/>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2014-08-19T08:34:00Z</dcterms:created>
  <dcterms:modified xsi:type="dcterms:W3CDTF">2014-08-19T08:35:00Z</dcterms:modified>
</cp:coreProperties>
</file>