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D503E" w:rsidRPr="00862632" w:rsidRDefault="001D503E" w:rsidP="009554F1">
      <w:pPr>
        <w:rPr>
          <w:lang w:val="es-ES"/>
        </w:rPr>
      </w:pPr>
    </w:p>
    <w:p w:rsidR="009554F1" w:rsidRPr="00862632" w:rsidRDefault="00EC650D" w:rsidP="00EC650D">
      <w:pPr>
        <w:tabs>
          <w:tab w:val="clear" w:pos="794"/>
          <w:tab w:val="clear" w:pos="1191"/>
          <w:tab w:val="clear" w:pos="1588"/>
          <w:tab w:val="clear" w:pos="1985"/>
          <w:tab w:val="right" w:pos="9072"/>
        </w:tabs>
        <w:spacing w:before="100" w:beforeAutospacing="1" w:after="100" w:afterAutospacing="1"/>
        <w:jc w:val="right"/>
        <w:rPr>
          <w:rFonts w:asciiTheme="minorHAnsi" w:hAnsiTheme="minorHAnsi" w:cstheme="minorHAnsi"/>
          <w:sz w:val="26"/>
          <w:szCs w:val="26"/>
          <w:lang w:val="es-ES"/>
        </w:rPr>
      </w:pPr>
      <w:r w:rsidRPr="00862632">
        <w:rPr>
          <w:rFonts w:asciiTheme="minorHAnsi" w:hAnsiTheme="minorHAnsi" w:cstheme="minorHAnsi"/>
          <w:sz w:val="26"/>
          <w:szCs w:val="26"/>
          <w:lang w:val="es-ES"/>
        </w:rPr>
        <w:t>10 de enero de 2013</w:t>
      </w:r>
    </w:p>
    <w:p w:rsidR="009554F1" w:rsidRPr="00862632" w:rsidRDefault="00EC650D">
      <w:pPr>
        <w:tabs>
          <w:tab w:val="left" w:pos="2552"/>
        </w:tabs>
        <w:spacing w:before="100" w:beforeAutospacing="1" w:after="100" w:afterAutospacing="1"/>
        <w:jc w:val="center"/>
        <w:rPr>
          <w:rFonts w:asciiTheme="minorHAnsi" w:hAnsiTheme="minorHAnsi" w:cstheme="minorHAnsi"/>
          <w:b/>
          <w:bCs/>
          <w:sz w:val="26"/>
          <w:szCs w:val="26"/>
          <w:lang w:val="es-ES"/>
        </w:rPr>
      </w:pPr>
      <w:r w:rsidRPr="00862632">
        <w:rPr>
          <w:rFonts w:asciiTheme="minorHAnsi" w:hAnsiTheme="minorHAnsi" w:cstheme="minorHAnsi"/>
          <w:b/>
          <w:bCs/>
          <w:sz w:val="26"/>
          <w:szCs w:val="26"/>
          <w:lang w:val="es-ES"/>
        </w:rPr>
        <w:t>CUARTO</w:t>
      </w:r>
      <w:r w:rsidR="009554F1" w:rsidRPr="00862632">
        <w:rPr>
          <w:rFonts w:asciiTheme="minorHAnsi" w:hAnsiTheme="minorHAnsi" w:cstheme="minorHAnsi"/>
          <w:b/>
          <w:bCs/>
          <w:sz w:val="26"/>
          <w:szCs w:val="26"/>
          <w:lang w:val="es-ES"/>
        </w:rPr>
        <w:t xml:space="preserve"> PROYECTO DE INFORME DEL SECRETARIO GENERAL</w:t>
      </w:r>
    </w:p>
    <w:p w:rsidR="00344D10" w:rsidRPr="00862632" w:rsidRDefault="009554F1">
      <w:pPr>
        <w:tabs>
          <w:tab w:val="left" w:pos="2552"/>
        </w:tabs>
        <w:spacing w:before="100" w:beforeAutospacing="1" w:after="100" w:afterAutospacing="1"/>
        <w:jc w:val="center"/>
        <w:rPr>
          <w:rFonts w:asciiTheme="minorHAnsi" w:hAnsiTheme="minorHAnsi" w:cstheme="minorHAnsi"/>
          <w:b/>
          <w:bCs/>
          <w:sz w:val="26"/>
          <w:szCs w:val="26"/>
          <w:lang w:val="es-ES"/>
        </w:rPr>
      </w:pPr>
      <w:r w:rsidRPr="00862632">
        <w:rPr>
          <w:rFonts w:asciiTheme="minorHAnsi" w:hAnsiTheme="minorHAnsi" w:cstheme="minorHAnsi"/>
          <w:b/>
          <w:bCs/>
          <w:sz w:val="26"/>
          <w:szCs w:val="26"/>
          <w:lang w:val="es-ES"/>
        </w:rPr>
        <w:t>para el</w:t>
      </w:r>
      <w:r w:rsidRPr="00862632">
        <w:rPr>
          <w:rFonts w:asciiTheme="minorHAnsi" w:hAnsiTheme="minorHAnsi" w:cstheme="minorHAnsi"/>
          <w:b/>
          <w:bCs/>
          <w:sz w:val="26"/>
          <w:szCs w:val="26"/>
          <w:lang w:val="es-ES"/>
        </w:rPr>
        <w:br/>
        <w:t>Quinto Foro Mundial de Política de las Telecomunicaciones/</w:t>
      </w:r>
      <w:r w:rsidRPr="00862632">
        <w:rPr>
          <w:rFonts w:asciiTheme="minorHAnsi" w:hAnsiTheme="minorHAnsi" w:cstheme="minorHAnsi"/>
          <w:b/>
          <w:bCs/>
          <w:sz w:val="26"/>
          <w:szCs w:val="26"/>
          <w:lang w:val="es-ES"/>
        </w:rPr>
        <w:br/>
        <w:t>Tecnología de la Información y la Comunicación 2013</w:t>
      </w:r>
    </w:p>
    <w:p w:rsidR="009554F1" w:rsidRPr="009723BC" w:rsidRDefault="009554F1" w:rsidP="009723BC">
      <w:pPr>
        <w:pStyle w:val="Heading1"/>
      </w:pPr>
      <w:r w:rsidRPr="009723BC">
        <w:t>1</w:t>
      </w:r>
      <w:r w:rsidRPr="009723BC">
        <w:tab/>
        <w:t>Preámbulo</w:t>
      </w:r>
    </w:p>
    <w:p w:rsidR="009554F1" w:rsidRPr="009723BC" w:rsidRDefault="009554F1" w:rsidP="00344D10">
      <w:pPr>
        <w:pStyle w:val="Heading2"/>
      </w:pPr>
      <w:r w:rsidRPr="009723BC">
        <w:t>1.1</w:t>
      </w:r>
      <w:r w:rsidRPr="009723BC">
        <w:tab/>
        <w:t>Quinto Foro Mundial de Política de las Telecomunicaciones/TIC (FMPT)</w:t>
      </w:r>
      <w:r w:rsidRPr="00886B49">
        <w:rPr>
          <w:rStyle w:val="FootnoteReference"/>
          <w:b w:val="0"/>
          <w:bCs/>
        </w:rPr>
        <w:footnoteReference w:id="1"/>
      </w:r>
    </w:p>
    <w:p w:rsidR="009554F1" w:rsidRPr="00862632" w:rsidRDefault="009554F1" w:rsidP="009723BC">
      <w:pPr>
        <w:rPr>
          <w:lang w:val="es-ES"/>
        </w:rPr>
      </w:pPr>
      <w:r w:rsidRPr="00862632">
        <w:rPr>
          <w:b/>
          <w:bCs/>
          <w:lang w:val="es-ES"/>
        </w:rPr>
        <w:t>1.1.1</w:t>
      </w:r>
      <w:r w:rsidRPr="00862632">
        <w:rPr>
          <w:b/>
          <w:bCs/>
          <w:lang w:val="es-ES"/>
        </w:rPr>
        <w:tab/>
      </w:r>
      <w:r w:rsidRPr="00862632">
        <w:rPr>
          <w:lang w:val="es-ES"/>
        </w:rPr>
        <w:t>El FMPT, establecido originalmente por la Conferencia de Plenipotenciarios de 1994, es un foro en el que los Estados Miembros y Miembros de Sector de la UIT pueden debatir e intercambiar opiniones e información sobre nuevos asuntos de política y reglamentación de las telecomunicaciones/TIC y, en particular, cuestiones de carácter mundial y transectorial</w:t>
      </w:r>
      <w:r w:rsidR="00FE7679" w:rsidRPr="00862632">
        <w:rPr>
          <w:lang w:val="es-ES"/>
        </w:rPr>
        <w:t xml:space="preserve"> </w:t>
      </w:r>
      <w:r w:rsidRPr="00862632">
        <w:rPr>
          <w:lang w:val="es-ES"/>
        </w:rPr>
        <w:t>(Resolución 2, Rev. Guadalajara, 2010).</w:t>
      </w:r>
    </w:p>
    <w:p w:rsidR="009554F1" w:rsidRPr="00862632" w:rsidRDefault="009554F1" w:rsidP="0018010C">
      <w:pPr>
        <w:rPr>
          <w:rFonts w:asciiTheme="minorHAnsi" w:hAnsiTheme="minorHAnsi" w:cstheme="minorHAnsi"/>
          <w:szCs w:val="24"/>
          <w:lang w:val="es-ES"/>
        </w:rPr>
      </w:pPr>
      <w:r w:rsidRPr="00862632">
        <w:rPr>
          <w:rFonts w:asciiTheme="minorHAnsi" w:hAnsiTheme="minorHAnsi" w:cstheme="minorHAnsi"/>
          <w:b/>
          <w:bCs/>
          <w:szCs w:val="22"/>
          <w:lang w:val="es-ES"/>
        </w:rPr>
        <w:t>1.1.2</w:t>
      </w:r>
      <w:r w:rsidRPr="00862632">
        <w:rPr>
          <w:rFonts w:asciiTheme="minorHAnsi" w:hAnsiTheme="minorHAnsi" w:cstheme="minorHAnsi"/>
          <w:szCs w:val="24"/>
          <w:lang w:val="es-ES"/>
        </w:rPr>
        <w:tab/>
      </w:r>
      <w:r w:rsidRPr="009723BC">
        <w:rPr>
          <w:lang w:val="es-ES"/>
        </w:rPr>
        <w:t xml:space="preserve">En su Acuerdo 562, la reunión de 2011 del Consejo de la UIT determinó que el FMPT-2013 examinará todas las cuestiones planteadas en la Resolución 101 </w:t>
      </w:r>
      <w:r w:rsidR="00BC5045" w:rsidRPr="009723BC">
        <w:rPr>
          <w:lang w:val="es-ES"/>
        </w:rPr>
        <w:t>"</w:t>
      </w:r>
      <w:r w:rsidRPr="009723BC">
        <w:rPr>
          <w:lang w:val="es-ES"/>
        </w:rPr>
        <w:t>Redes basadas en el protocolo Internet</w:t>
      </w:r>
      <w:r w:rsidR="00BC5045" w:rsidRPr="009723BC">
        <w:rPr>
          <w:lang w:val="es-ES"/>
        </w:rPr>
        <w:t>"</w:t>
      </w:r>
      <w:r w:rsidRPr="009723BC">
        <w:rPr>
          <w:lang w:val="es-ES"/>
        </w:rPr>
        <w:t xml:space="preserve"> (Rev. Guadalajara, 2010), la Resolución 102 </w:t>
      </w:r>
      <w:r w:rsidR="00BC5045" w:rsidRPr="009723BC">
        <w:rPr>
          <w:lang w:val="es-ES"/>
        </w:rPr>
        <w:t>"</w:t>
      </w:r>
      <w:r w:rsidRPr="009723BC">
        <w:rPr>
          <w:lang w:val="es-ES"/>
        </w:rPr>
        <w:t>Función de la UIT con respecto a las cuestiones de política pública internacional relacionadas con Internet y la gestión de los recursos de Internet, incluidos los nombres de dominio y las direcciones</w:t>
      </w:r>
      <w:r w:rsidR="00BC5045" w:rsidRPr="009723BC">
        <w:rPr>
          <w:lang w:val="es-ES"/>
        </w:rPr>
        <w:t>"</w:t>
      </w:r>
      <w:r w:rsidRPr="009723BC">
        <w:rPr>
          <w:lang w:val="es-ES"/>
        </w:rPr>
        <w:t xml:space="preserve"> (Rev. Guadalajara, 2010), y la Resolución 133 </w:t>
      </w:r>
      <w:r w:rsidR="00BC5045" w:rsidRPr="009723BC">
        <w:rPr>
          <w:lang w:val="es-ES"/>
        </w:rPr>
        <w:t>"</w:t>
      </w:r>
      <w:r w:rsidRPr="009723BC">
        <w:rPr>
          <w:lang w:val="es-ES"/>
        </w:rPr>
        <w:t>Función de las Administraciones de los Estados Miembros en la gestión de los nombres de dominio internacionalizados (plurilingües)</w:t>
      </w:r>
      <w:r w:rsidR="00BC5045" w:rsidRPr="009723BC">
        <w:rPr>
          <w:lang w:val="es-ES"/>
        </w:rPr>
        <w:t>"</w:t>
      </w:r>
      <w:r w:rsidRPr="009723BC">
        <w:rPr>
          <w:lang w:val="es-ES"/>
        </w:rPr>
        <w:t xml:space="preserve"> (Rev. Guadalajara, 2010).</w:t>
      </w:r>
    </w:p>
    <w:p w:rsidR="00344D10" w:rsidRPr="00862632" w:rsidRDefault="009554F1" w:rsidP="0065679A">
      <w:pPr>
        <w:rPr>
          <w:rFonts w:asciiTheme="minorHAnsi" w:hAnsiTheme="minorHAnsi" w:cstheme="minorHAnsi"/>
          <w:szCs w:val="24"/>
          <w:lang w:val="es-ES"/>
        </w:rPr>
      </w:pPr>
      <w:r w:rsidRPr="00862632">
        <w:rPr>
          <w:rFonts w:asciiTheme="minorHAnsi" w:hAnsiTheme="minorHAnsi" w:cstheme="minorHAnsi"/>
          <w:b/>
          <w:bCs/>
          <w:szCs w:val="22"/>
          <w:lang w:val="es-ES"/>
        </w:rPr>
        <w:t>1.1.3</w:t>
      </w:r>
      <w:r w:rsidRPr="00862632">
        <w:rPr>
          <w:rFonts w:asciiTheme="minorHAnsi" w:hAnsiTheme="minorHAnsi" w:cstheme="minorHAnsi"/>
          <w:szCs w:val="24"/>
          <w:lang w:val="es-ES"/>
        </w:rPr>
        <w:tab/>
      </w:r>
      <w:r w:rsidRPr="009723BC">
        <w:rPr>
          <w:lang w:val="es-ES"/>
        </w:rPr>
        <w:t xml:space="preserve">La Secretaría de la UIT prepara </w:t>
      </w:r>
      <w:r w:rsidR="0065679A" w:rsidRPr="009723BC">
        <w:rPr>
          <w:lang w:val="es-ES"/>
        </w:rPr>
        <w:t>I</w:t>
      </w:r>
      <w:r w:rsidRPr="009723BC">
        <w:rPr>
          <w:lang w:val="es-ES"/>
        </w:rPr>
        <w:t>nformes anuales al Consejo sobre las actividades de la UIT en relación con la aplicación de la Resolución 101 (Rev. Guadalajara, 2010), la Resolución 102 (Rev.</w:t>
      </w:r>
      <w:r w:rsidR="0065679A" w:rsidRPr="009723BC">
        <w:rPr>
          <w:lang w:val="es-ES"/>
        </w:rPr>
        <w:t> </w:t>
      </w:r>
      <w:r w:rsidRPr="009723BC">
        <w:rPr>
          <w:lang w:val="es-ES"/>
        </w:rPr>
        <w:t xml:space="preserve">Guadalajara, 2010) y la Resolución 133 (Rev. Guadalajara, 2010). La UIT también lleva a cabo otras actividades pertinentes en el marco de sus </w:t>
      </w:r>
      <w:r w:rsidR="0065679A" w:rsidRPr="009723BC">
        <w:rPr>
          <w:lang w:val="es-ES"/>
        </w:rPr>
        <w:t>Planes Estratégico, Operacional</w:t>
      </w:r>
      <w:r w:rsidRPr="009723BC">
        <w:rPr>
          <w:lang w:val="es-ES"/>
        </w:rPr>
        <w:t xml:space="preserve"> y </w:t>
      </w:r>
      <w:r w:rsidR="0065679A" w:rsidRPr="009723BC">
        <w:rPr>
          <w:lang w:val="es-ES"/>
        </w:rPr>
        <w:t>F</w:t>
      </w:r>
      <w:r w:rsidRPr="009723BC">
        <w:rPr>
          <w:lang w:val="es-ES"/>
        </w:rPr>
        <w:t>inanciero.</w:t>
      </w:r>
    </w:p>
    <w:p w:rsidR="009554F1" w:rsidRPr="00862632" w:rsidRDefault="009554F1">
      <w:pPr>
        <w:rPr>
          <w:rFonts w:asciiTheme="minorHAnsi" w:hAnsiTheme="minorHAnsi" w:cstheme="minorHAnsi"/>
          <w:color w:val="000000"/>
          <w:szCs w:val="24"/>
          <w:lang w:val="es-ES"/>
        </w:rPr>
      </w:pPr>
      <w:r w:rsidRPr="00862632">
        <w:rPr>
          <w:rFonts w:asciiTheme="minorHAnsi" w:hAnsiTheme="minorHAnsi" w:cstheme="minorHAnsi"/>
          <w:b/>
          <w:bCs/>
          <w:szCs w:val="22"/>
          <w:lang w:val="es-ES"/>
        </w:rPr>
        <w:t>1.1.4</w:t>
      </w:r>
      <w:r w:rsidRPr="00862632">
        <w:rPr>
          <w:rFonts w:asciiTheme="minorHAnsi" w:hAnsiTheme="minorHAnsi" w:cstheme="minorHAnsi"/>
          <w:szCs w:val="24"/>
          <w:lang w:val="es-ES"/>
        </w:rPr>
        <w:tab/>
      </w:r>
      <w:r w:rsidRPr="00862632">
        <w:rPr>
          <w:rFonts w:asciiTheme="minorHAnsi" w:hAnsiTheme="minorHAnsi" w:cstheme="minorHAnsi"/>
          <w:szCs w:val="22"/>
          <w:lang w:val="es-ES"/>
        </w:rPr>
        <w:t xml:space="preserve">A partir de los trabajos del Grupo Especializado, el Grupo de Trabajo del Consejo sobre cuestiones de política pública </w:t>
      </w:r>
      <w:r w:rsidRPr="009723BC">
        <w:rPr>
          <w:lang w:val="es-ES"/>
        </w:rPr>
        <w:t>internacional</w:t>
      </w:r>
      <w:r w:rsidRPr="00862632">
        <w:rPr>
          <w:rFonts w:asciiTheme="minorHAnsi" w:hAnsiTheme="minorHAnsi" w:cstheme="minorHAnsi"/>
          <w:szCs w:val="22"/>
          <w:lang w:val="es-ES"/>
        </w:rPr>
        <w:t xml:space="preserve"> relacionadas con Internet (GTC-Internet)</w:t>
      </w:r>
      <w:r w:rsidRPr="00862632">
        <w:rPr>
          <w:rFonts w:asciiTheme="minorHAnsi" w:hAnsiTheme="minorHAnsi" w:cstheme="minorHAnsi"/>
          <w:szCs w:val="22"/>
          <w:vertAlign w:val="superscript"/>
          <w:lang w:val="es-ES"/>
        </w:rPr>
        <w:footnoteReference w:id="2"/>
      </w:r>
      <w:r w:rsidRPr="00862632">
        <w:rPr>
          <w:rFonts w:asciiTheme="minorHAnsi" w:hAnsiTheme="minorHAnsi" w:cstheme="minorHAnsi"/>
          <w:szCs w:val="22"/>
          <w:lang w:val="es-ES"/>
        </w:rPr>
        <w:t xml:space="preserve"> se estableció por medio de la Resolución 1336 de la reunión de 2011 del Consejo, conforme a las Resoluciones 102 y 140 de la Conferencia de Plenipotenciarios de 2010. Su</w:t>
      </w:r>
      <w:r w:rsidRPr="00862632">
        <w:rPr>
          <w:rFonts w:asciiTheme="minorHAnsi" w:hAnsiTheme="minorHAnsi" w:cstheme="minorHAnsi"/>
          <w:i/>
          <w:iCs/>
          <w:color w:val="000000"/>
          <w:szCs w:val="24"/>
          <w:lang w:val="es-ES"/>
        </w:rPr>
        <w:t> </w:t>
      </w:r>
      <w:hyperlink r:id="rId9" w:history="1">
        <w:r w:rsidRPr="00862632">
          <w:rPr>
            <w:rStyle w:val="Hyperlink"/>
            <w:rFonts w:asciiTheme="minorHAnsi" w:hAnsiTheme="minorHAnsi" w:cstheme="minorHAnsi"/>
            <w:szCs w:val="22"/>
            <w:lang w:val="es-ES"/>
          </w:rPr>
          <w:t>mandato</w:t>
        </w:r>
      </w:hyperlink>
      <w:r w:rsidRPr="00862632">
        <w:rPr>
          <w:rFonts w:asciiTheme="minorHAnsi" w:hAnsiTheme="minorHAnsi" w:cstheme="minorHAnsi"/>
          <w:color w:val="000000"/>
          <w:szCs w:val="24"/>
          <w:lang w:val="es-ES"/>
        </w:rPr>
        <w:t xml:space="preserve"> </w:t>
      </w:r>
      <w:r w:rsidRPr="00862632">
        <w:rPr>
          <w:rFonts w:asciiTheme="minorHAnsi" w:hAnsiTheme="minorHAnsi" w:cstheme="minorHAnsi"/>
          <w:szCs w:val="22"/>
          <w:lang w:val="es-ES"/>
        </w:rPr>
        <w:t>consiste en identificar, estudiar y desarrollar asuntos relacionados con cuestiones de política pública internacional relacionadas con Internet, incluidas las identificadas en la Resolución 1305 de la reunión de 2009 del Consejo. La participación en el GTC</w:t>
      </w:r>
      <w:r w:rsidR="00535054" w:rsidRPr="00862632">
        <w:rPr>
          <w:rFonts w:asciiTheme="minorHAnsi" w:hAnsiTheme="minorHAnsi" w:cstheme="minorHAnsi"/>
          <w:szCs w:val="22"/>
          <w:lang w:val="es-ES"/>
        </w:rPr>
        <w:noBreakHyphen/>
      </w:r>
      <w:r w:rsidRPr="00862632">
        <w:rPr>
          <w:rFonts w:asciiTheme="minorHAnsi" w:hAnsiTheme="minorHAnsi" w:cstheme="minorHAnsi"/>
          <w:szCs w:val="22"/>
          <w:lang w:val="es-ES"/>
        </w:rPr>
        <w:t xml:space="preserve">Internet está limitada a los </w:t>
      </w:r>
      <w:r w:rsidR="00535054" w:rsidRPr="00862632">
        <w:rPr>
          <w:rFonts w:asciiTheme="minorHAnsi" w:hAnsiTheme="minorHAnsi" w:cstheme="minorHAnsi"/>
          <w:szCs w:val="22"/>
          <w:lang w:val="es-ES"/>
        </w:rPr>
        <w:t xml:space="preserve">Estados Miembros </w:t>
      </w:r>
      <w:r w:rsidRPr="00862632">
        <w:rPr>
          <w:rFonts w:asciiTheme="minorHAnsi" w:hAnsiTheme="minorHAnsi" w:cstheme="minorHAnsi"/>
          <w:szCs w:val="22"/>
          <w:lang w:val="es-ES"/>
        </w:rPr>
        <w:t>de la UIT, y con consultas abiertas a todas las partes interesadas</w:t>
      </w:r>
      <w:r w:rsidRPr="00862632">
        <w:rPr>
          <w:rFonts w:asciiTheme="minorHAnsi" w:hAnsiTheme="minorHAnsi" w:cstheme="minorHAnsi"/>
          <w:szCs w:val="22"/>
          <w:vertAlign w:val="superscript"/>
          <w:lang w:val="es-ES"/>
        </w:rPr>
        <w:footnoteReference w:id="3"/>
      </w:r>
      <w:r w:rsidRPr="00862632">
        <w:rPr>
          <w:rFonts w:asciiTheme="minorHAnsi" w:hAnsiTheme="minorHAnsi" w:cstheme="minorHAnsi"/>
          <w:szCs w:val="22"/>
          <w:lang w:val="es-ES"/>
        </w:rPr>
        <w:t>. En la Resolución 1344 de la reunión de 2012 del Consejo se dan más detalles de las modalidades de consulta abierta para que el GTC-Internet realice consultas en línea a todas las partes interesadas</w:t>
      </w:r>
      <w:r w:rsidRPr="00862632">
        <w:rPr>
          <w:rFonts w:asciiTheme="minorHAnsi" w:hAnsiTheme="minorHAnsi" w:cstheme="minorHAnsi"/>
          <w:szCs w:val="22"/>
          <w:vertAlign w:val="superscript"/>
          <w:lang w:val="es-ES"/>
        </w:rPr>
        <w:footnoteReference w:id="4"/>
      </w:r>
      <w:r w:rsidRPr="00862632">
        <w:rPr>
          <w:rFonts w:asciiTheme="minorHAnsi" w:hAnsiTheme="minorHAnsi" w:cstheme="minorHAnsi"/>
          <w:color w:val="000000"/>
          <w:szCs w:val="24"/>
          <w:lang w:val="es-ES"/>
        </w:rPr>
        <w:t>.</w:t>
      </w:r>
    </w:p>
    <w:p w:rsidR="00344D10" w:rsidRPr="00862632" w:rsidRDefault="009554F1" w:rsidP="009723BC">
      <w:pPr>
        <w:rPr>
          <w:lang w:val="es-ES"/>
        </w:rPr>
      </w:pPr>
      <w:r w:rsidRPr="00862632">
        <w:rPr>
          <w:b/>
          <w:bCs/>
          <w:szCs w:val="22"/>
          <w:lang w:val="es-ES"/>
        </w:rPr>
        <w:lastRenderedPageBreak/>
        <w:t>1.1.5</w:t>
      </w:r>
      <w:r w:rsidRPr="00862632">
        <w:rPr>
          <w:lang w:val="es-ES"/>
        </w:rPr>
        <w:tab/>
        <w:t xml:space="preserve">El FMPT-2013 </w:t>
      </w:r>
      <w:r w:rsidR="00EC650D" w:rsidRPr="00862632">
        <w:rPr>
          <w:lang w:val="es-ES"/>
        </w:rPr>
        <w:t xml:space="preserve">no elaborará reglamentos prescriptivos, sino que </w:t>
      </w:r>
      <w:r w:rsidRPr="00862632">
        <w:rPr>
          <w:lang w:val="es-ES"/>
        </w:rPr>
        <w:t>prepara</w:t>
      </w:r>
      <w:r w:rsidR="00EC650D" w:rsidRPr="00862632">
        <w:rPr>
          <w:lang w:val="es-ES"/>
        </w:rPr>
        <w:t>rá</w:t>
      </w:r>
      <w:r w:rsidRPr="00862632">
        <w:rPr>
          <w:lang w:val="es-ES"/>
        </w:rPr>
        <w:t xml:space="preserve"> informes y adoptará por consenso opiniones no vinculantes que someterá a la consideración de los </w:t>
      </w:r>
      <w:r w:rsidR="00EC650D" w:rsidRPr="00862632">
        <w:rPr>
          <w:lang w:val="es-ES"/>
        </w:rPr>
        <w:t xml:space="preserve">Estados Miembros, los Miembros de Sector </w:t>
      </w:r>
      <w:r w:rsidRPr="00862632">
        <w:rPr>
          <w:lang w:val="es-ES"/>
        </w:rPr>
        <w:t>y las reuniones pertinentes de la UIT, teniendo presente los puntos 1.1.3 y 1.1.4, y la necesidad de evitar contradicciones entre l</w:t>
      </w:r>
      <w:r w:rsidR="00EC650D" w:rsidRPr="00862632">
        <w:rPr>
          <w:lang w:val="es-ES"/>
        </w:rPr>
        <w:t xml:space="preserve">os temas y </w:t>
      </w:r>
      <w:r w:rsidRPr="00862632">
        <w:rPr>
          <w:lang w:val="es-ES"/>
        </w:rPr>
        <w:t xml:space="preserve">debates del FMPT y las actividades en curso emprendidas en cumplimiento del mandato de la UIT conforme a las Resoluciones de la Conferencia de Plenipotenciarios (y otras decisiones de </w:t>
      </w:r>
      <w:r w:rsidR="0018010C" w:rsidRPr="00862632">
        <w:rPr>
          <w:lang w:val="es-ES"/>
        </w:rPr>
        <w:t xml:space="preserve">Conferencias </w:t>
      </w:r>
      <w:r w:rsidRPr="00862632">
        <w:rPr>
          <w:lang w:val="es-ES"/>
        </w:rPr>
        <w:t xml:space="preserve">y </w:t>
      </w:r>
      <w:r w:rsidR="0018010C" w:rsidRPr="00862632">
        <w:rPr>
          <w:lang w:val="es-ES"/>
        </w:rPr>
        <w:t xml:space="preserve">Asambleas </w:t>
      </w:r>
      <w:r w:rsidRPr="00862632">
        <w:rPr>
          <w:lang w:val="es-ES"/>
        </w:rPr>
        <w:t>de la UIT), así como el mandato del G</w:t>
      </w:r>
      <w:r w:rsidR="00EC650D" w:rsidRPr="00862632">
        <w:rPr>
          <w:lang w:val="es-ES"/>
        </w:rPr>
        <w:t xml:space="preserve">rupo de </w:t>
      </w:r>
      <w:r w:rsidRPr="00862632">
        <w:rPr>
          <w:lang w:val="es-ES"/>
        </w:rPr>
        <w:t>T</w:t>
      </w:r>
      <w:r w:rsidR="00EC650D" w:rsidRPr="00862632">
        <w:rPr>
          <w:lang w:val="es-ES"/>
        </w:rPr>
        <w:t xml:space="preserve">rabajo del </w:t>
      </w:r>
      <w:r w:rsidRPr="00862632">
        <w:rPr>
          <w:lang w:val="es-ES"/>
        </w:rPr>
        <w:t>C</w:t>
      </w:r>
      <w:r w:rsidR="00EC650D" w:rsidRPr="00862632">
        <w:rPr>
          <w:lang w:val="es-ES"/>
        </w:rPr>
        <w:t xml:space="preserve">onsejo sobre Asuntos de Política Pública Internacional relacionados con </w:t>
      </w:r>
      <w:r w:rsidRPr="00862632">
        <w:rPr>
          <w:lang w:val="es-ES"/>
        </w:rPr>
        <w:t>Internet</w:t>
      </w:r>
      <w:r w:rsidRPr="00862632">
        <w:rPr>
          <w:szCs w:val="22"/>
          <w:vertAlign w:val="superscript"/>
          <w:lang w:val="es-ES"/>
        </w:rPr>
        <w:footnoteReference w:id="5"/>
      </w:r>
      <w:r w:rsidRPr="00862632">
        <w:rPr>
          <w:lang w:val="es-ES"/>
        </w:rPr>
        <w:t>.</w:t>
      </w:r>
    </w:p>
    <w:p w:rsidR="00344D10" w:rsidRPr="00862632" w:rsidRDefault="009554F1" w:rsidP="009723BC">
      <w:pPr>
        <w:rPr>
          <w:lang w:val="es-ES"/>
        </w:rPr>
      </w:pPr>
      <w:r w:rsidRPr="00862632">
        <w:rPr>
          <w:b/>
          <w:bCs/>
          <w:szCs w:val="22"/>
          <w:lang w:val="es-ES"/>
        </w:rPr>
        <w:t>1.1.6</w:t>
      </w:r>
      <w:r w:rsidRPr="00862632">
        <w:rPr>
          <w:lang w:val="es-ES"/>
        </w:rPr>
        <w:tab/>
        <w:t xml:space="preserve">Toda la información relativa al FMPT-2013 figura en </w:t>
      </w:r>
      <w:hyperlink r:id="rId10" w:history="1">
        <w:r w:rsidRPr="00862632">
          <w:rPr>
            <w:rStyle w:val="Hyperlink"/>
            <w:rFonts w:asciiTheme="minorHAnsi" w:hAnsiTheme="minorHAnsi" w:cstheme="minorHAnsi"/>
            <w:szCs w:val="24"/>
            <w:lang w:val="es-ES"/>
          </w:rPr>
          <w:t>http://www.itu.int/wtpf</w:t>
        </w:r>
      </w:hyperlink>
      <w:r w:rsidRPr="00862632">
        <w:rPr>
          <w:lang w:val="es-ES"/>
        </w:rPr>
        <w:t>.</w:t>
      </w:r>
    </w:p>
    <w:p w:rsidR="00344D10" w:rsidRPr="00862632" w:rsidRDefault="009554F1" w:rsidP="009723BC">
      <w:pPr>
        <w:pStyle w:val="Heading2"/>
        <w:rPr>
          <w:lang w:val="es-ES"/>
        </w:rPr>
      </w:pPr>
      <w:r w:rsidRPr="00862632">
        <w:rPr>
          <w:lang w:val="es-ES"/>
        </w:rPr>
        <w:t>1.2</w:t>
      </w:r>
      <w:r w:rsidRPr="00862632">
        <w:rPr>
          <w:lang w:val="es-ES"/>
        </w:rPr>
        <w:tab/>
        <w:t>Preparación del Informe del Secretario General</w:t>
      </w:r>
    </w:p>
    <w:p w:rsidR="00344D10" w:rsidRPr="00862632" w:rsidRDefault="009554F1" w:rsidP="00A037C4">
      <w:pPr>
        <w:rPr>
          <w:rFonts w:eastAsiaTheme="minorEastAsia"/>
          <w:lang w:val="es-ES" w:eastAsia="zh-CN"/>
        </w:rPr>
      </w:pPr>
      <w:r w:rsidRPr="00862632">
        <w:rPr>
          <w:b/>
          <w:bCs/>
          <w:szCs w:val="22"/>
          <w:lang w:val="es-ES"/>
        </w:rPr>
        <w:t>1.2.1</w:t>
      </w:r>
      <w:r w:rsidRPr="00862632">
        <w:rPr>
          <w:lang w:val="es-ES"/>
        </w:rPr>
        <w:tab/>
        <w:t xml:space="preserve">Los debates del FMPT-2013 se basarán en un </w:t>
      </w:r>
      <w:r w:rsidR="0018010C" w:rsidRPr="00862632">
        <w:rPr>
          <w:lang w:val="es-ES"/>
        </w:rPr>
        <w:t xml:space="preserve">informe </w:t>
      </w:r>
      <w:r w:rsidRPr="00862632">
        <w:rPr>
          <w:lang w:val="es-ES"/>
        </w:rPr>
        <w:t xml:space="preserve">del Secretario General que contendrá contribuciones de los Estados Miembros y Miembros de Sector de la UIT, que constituirá el único documento de trabajo del Foro, y tratará esencialmente de cuestiones fundamentales sobre las que convendría llegar a una conclusión (Acuerdo 562 de la reunión de 2011 del Consejo). En ese proyecto de Informe se resume un posible ámbito de debate y se presentan algunas de las cuestiones de política pública relacionadas con Internet que se están examinando en diversos grupos de partes interesadas. </w:t>
      </w:r>
    </w:p>
    <w:p w:rsidR="00344D10" w:rsidRPr="00862632" w:rsidRDefault="009554F1" w:rsidP="0018010C">
      <w:pPr>
        <w:rPr>
          <w:lang w:val="es-ES"/>
        </w:rPr>
      </w:pPr>
      <w:r w:rsidRPr="00862632">
        <w:rPr>
          <w:b/>
          <w:bCs/>
          <w:szCs w:val="22"/>
          <w:lang w:val="es-ES"/>
        </w:rPr>
        <w:t>1.2.2</w:t>
      </w:r>
      <w:r w:rsidRPr="00862632">
        <w:rPr>
          <w:lang w:val="es-ES"/>
        </w:rPr>
        <w:tab/>
        <w:t>Conforme al Acuerdo 562, el Secretario General establecerá un grupo oficioso y equilibrado de expertos que estén trabajando en la preparación del Foro de Política. La participación en el Grupo de Expertos está abierta ahora a todos los interesados. En su reunión de 2012, el Consejo convino en que todos los interesados debían participar en los trabajos del Grupo de Expertos del FMPT</w:t>
      </w:r>
      <w:r w:rsidRPr="00862632">
        <w:rPr>
          <w:lang w:val="es-ES"/>
        </w:rPr>
        <w:noBreakHyphen/>
        <w:t>13 a fin de contribuir con sus respectivas ideas al proceso preparatorio, conforme a sus funciones y responsabilidades definidas en el §</w:t>
      </w:r>
      <w:r w:rsidR="00535054" w:rsidRPr="00862632">
        <w:rPr>
          <w:lang w:val="es-ES"/>
        </w:rPr>
        <w:t> </w:t>
      </w:r>
      <w:r w:rsidRPr="00862632">
        <w:rPr>
          <w:lang w:val="es-ES"/>
        </w:rPr>
        <w:t xml:space="preserve">35 de la </w:t>
      </w:r>
      <w:r w:rsidRPr="00862632">
        <w:rPr>
          <w:i/>
          <w:iCs/>
          <w:lang w:val="es-ES"/>
        </w:rPr>
        <w:t>Agenda de Túnez</w:t>
      </w:r>
      <w:r w:rsidRPr="00862632">
        <w:rPr>
          <w:lang w:val="es-ES"/>
        </w:rPr>
        <w:t xml:space="preserve"> (2005). Por consiguiente, la participación en los trabajos del Grupo de Expertos estará abierta a todos los interesados de conformidad con l</w:t>
      </w:r>
      <w:r w:rsidR="00EC650D" w:rsidRPr="00862632">
        <w:rPr>
          <w:lang w:val="es-ES"/>
        </w:rPr>
        <w:t>os Acuerdos adoptados por el Consejo en sus reuniones de 2011 y 2012</w:t>
      </w:r>
      <w:r w:rsidRPr="00862632">
        <w:rPr>
          <w:lang w:val="es-ES"/>
        </w:rPr>
        <w:t xml:space="preserve"> y </w:t>
      </w:r>
      <w:r w:rsidR="00EC650D" w:rsidRPr="00862632">
        <w:rPr>
          <w:lang w:val="es-ES"/>
        </w:rPr>
        <w:t xml:space="preserve">teniendo en cuenta </w:t>
      </w:r>
      <w:r w:rsidRPr="00862632">
        <w:rPr>
          <w:lang w:val="es-ES"/>
        </w:rPr>
        <w:t xml:space="preserve">la necesidad de mantener un </w:t>
      </w:r>
      <w:r w:rsidR="00535054" w:rsidRPr="00862632">
        <w:rPr>
          <w:lang w:val="es-ES"/>
        </w:rPr>
        <w:t>G</w:t>
      </w:r>
      <w:r w:rsidRPr="00862632">
        <w:rPr>
          <w:lang w:val="es-ES"/>
        </w:rPr>
        <w:t xml:space="preserve">rupo de </w:t>
      </w:r>
      <w:r w:rsidR="00535054" w:rsidRPr="00862632">
        <w:rPr>
          <w:lang w:val="es-ES"/>
        </w:rPr>
        <w:t>E</w:t>
      </w:r>
      <w:r w:rsidRPr="00862632">
        <w:rPr>
          <w:lang w:val="es-ES"/>
        </w:rPr>
        <w:t xml:space="preserve">xpertos equilibrado. Se invita a los interesados a expresar su interés en participar en el Grupo de Expertos inscribiéndose en </w:t>
      </w:r>
      <w:hyperlink r:id="rId11" w:history="1">
        <w:r w:rsidRPr="00862632">
          <w:rPr>
            <w:rStyle w:val="Hyperlink"/>
            <w:rFonts w:asciiTheme="minorHAnsi" w:hAnsiTheme="minorHAnsi" w:cstheme="minorHAnsi"/>
            <w:szCs w:val="24"/>
            <w:lang w:val="es-ES"/>
          </w:rPr>
          <w:t>http://www.itu.int/wtpf</w:t>
        </w:r>
      </w:hyperlink>
      <w:r w:rsidRPr="00862632">
        <w:rPr>
          <w:lang w:val="es-ES"/>
        </w:rPr>
        <w:t>.</w:t>
      </w:r>
    </w:p>
    <w:p w:rsidR="00344D10" w:rsidRPr="00862632" w:rsidRDefault="009554F1" w:rsidP="00A037C4">
      <w:pPr>
        <w:rPr>
          <w:lang w:val="es-ES"/>
        </w:rPr>
      </w:pPr>
      <w:r w:rsidRPr="00862632">
        <w:rPr>
          <w:b/>
          <w:bCs/>
          <w:lang w:val="es-ES"/>
        </w:rPr>
        <w:t>1.2.3</w:t>
      </w:r>
      <w:r w:rsidRPr="00862632">
        <w:rPr>
          <w:lang w:val="es-ES"/>
        </w:rPr>
        <w:tab/>
        <w:t>A continuación figura un calendario basado en las contribuciones recibidas de los miembros y aprobadas por la reunión de 2012 del Consejo</w:t>
      </w:r>
      <w:r w:rsidRPr="00862632">
        <w:rPr>
          <w:szCs w:val="22"/>
          <w:vertAlign w:val="superscript"/>
          <w:lang w:val="es-ES"/>
        </w:rPr>
        <w:footnoteReference w:id="6"/>
      </w:r>
      <w:r w:rsidRPr="00862632">
        <w:rPr>
          <w:lang w:val="es-ES"/>
        </w:rPr>
        <w:t>.</w:t>
      </w:r>
    </w:p>
    <w:p w:rsidR="009554F1" w:rsidRPr="00862632" w:rsidRDefault="009554F1" w:rsidP="0018010C">
      <w:pPr>
        <w:pStyle w:val="TabletitleBR"/>
        <w:spacing w:before="240"/>
        <w:rPr>
          <w:lang w:val="es-ES"/>
        </w:rPr>
      </w:pPr>
      <w:r w:rsidRPr="00862632">
        <w:rPr>
          <w:lang w:val="es-ES"/>
        </w:rPr>
        <w:t>Cuadro 1: Calendario de elaboración del Informe del Secretario General</w:t>
      </w:r>
    </w:p>
    <w:tbl>
      <w:tblPr>
        <w:tblW w:w="9139" w:type="dxa"/>
        <w:jc w:val="center"/>
        <w:tblBorders>
          <w:top w:val="single" w:sz="4"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A0" w:firstRow="1" w:lastRow="0" w:firstColumn="1" w:lastColumn="0" w:noHBand="0" w:noVBand="0"/>
      </w:tblPr>
      <w:tblGrid>
        <w:gridCol w:w="2444"/>
        <w:gridCol w:w="6695"/>
      </w:tblGrid>
      <w:tr w:rsidR="009554F1" w:rsidRPr="00862632" w:rsidTr="0018010C">
        <w:trPr>
          <w:cantSplit/>
          <w:jc w:val="center"/>
        </w:trPr>
        <w:tc>
          <w:tcPr>
            <w:tcW w:w="2444" w:type="dxa"/>
            <w:tcBorders>
              <w:top w:val="single" w:sz="8" w:space="0" w:color="auto"/>
              <w:left w:val="single" w:sz="8" w:space="0" w:color="auto"/>
              <w:bottom w:val="single" w:sz="8" w:space="0" w:color="auto"/>
              <w:right w:val="single" w:sz="8" w:space="0" w:color="auto"/>
            </w:tcBorders>
            <w:shd w:val="clear" w:color="auto" w:fill="FFFFFF" w:themeFill="background1"/>
            <w:tcMar>
              <w:top w:w="0" w:type="dxa"/>
              <w:left w:w="108" w:type="dxa"/>
              <w:bottom w:w="0" w:type="dxa"/>
              <w:right w:w="108" w:type="dxa"/>
            </w:tcMar>
          </w:tcPr>
          <w:p w:rsidR="009554F1" w:rsidRPr="00A037C4" w:rsidRDefault="009554F1" w:rsidP="00A037C4">
            <w:pPr>
              <w:pStyle w:val="Tabletext"/>
              <w:rPr>
                <w:b/>
                <w:bCs/>
                <w:lang w:val="es-ES"/>
              </w:rPr>
            </w:pPr>
            <w:r w:rsidRPr="00A037C4">
              <w:rPr>
                <w:b/>
                <w:bCs/>
                <w:lang w:val="es-ES"/>
              </w:rPr>
              <w:t>9 de marzo de 2012</w:t>
            </w:r>
          </w:p>
        </w:tc>
        <w:tc>
          <w:tcPr>
            <w:tcW w:w="6695" w:type="dxa"/>
            <w:tcBorders>
              <w:top w:val="single" w:sz="8" w:space="0" w:color="auto"/>
              <w:left w:val="single" w:sz="8" w:space="0" w:color="auto"/>
              <w:bottom w:val="single" w:sz="8" w:space="0" w:color="auto"/>
              <w:right w:val="single" w:sz="8" w:space="0" w:color="auto"/>
            </w:tcBorders>
            <w:shd w:val="clear" w:color="auto" w:fill="FFFFFF" w:themeFill="background1"/>
            <w:tcMar>
              <w:top w:w="0" w:type="dxa"/>
              <w:left w:w="108" w:type="dxa"/>
              <w:bottom w:w="0" w:type="dxa"/>
              <w:right w:w="108" w:type="dxa"/>
            </w:tcMar>
          </w:tcPr>
          <w:p w:rsidR="009554F1" w:rsidRPr="00862632" w:rsidRDefault="009554F1" w:rsidP="00A037C4">
            <w:pPr>
              <w:pStyle w:val="Tabletext"/>
              <w:rPr>
                <w:lang w:val="es-ES"/>
              </w:rPr>
            </w:pPr>
            <w:r w:rsidRPr="00862632">
              <w:rPr>
                <w:lang w:val="es-ES"/>
              </w:rPr>
              <w:t>Plazo para que los miembros presenten los materiales que se consideran pertinentes para el primer proyecto de Informe del Secretario General.</w:t>
            </w:r>
          </w:p>
        </w:tc>
      </w:tr>
      <w:tr w:rsidR="009554F1" w:rsidRPr="00862632" w:rsidTr="0018010C">
        <w:trPr>
          <w:cantSplit/>
          <w:jc w:val="center"/>
        </w:trPr>
        <w:tc>
          <w:tcPr>
            <w:tcW w:w="2444" w:type="dxa"/>
            <w:tcBorders>
              <w:top w:val="single" w:sz="8" w:space="0" w:color="auto"/>
              <w:left w:val="single" w:sz="8" w:space="0" w:color="auto"/>
              <w:bottom w:val="single" w:sz="8" w:space="0" w:color="auto"/>
              <w:right w:val="single" w:sz="8" w:space="0" w:color="auto"/>
            </w:tcBorders>
            <w:shd w:val="clear" w:color="auto" w:fill="FFFFFF" w:themeFill="background1"/>
            <w:tcMar>
              <w:top w:w="0" w:type="dxa"/>
              <w:left w:w="108" w:type="dxa"/>
              <w:bottom w:w="0" w:type="dxa"/>
              <w:right w:w="108" w:type="dxa"/>
            </w:tcMar>
          </w:tcPr>
          <w:p w:rsidR="009554F1" w:rsidRPr="00A037C4" w:rsidRDefault="009554F1" w:rsidP="00A037C4">
            <w:pPr>
              <w:pStyle w:val="Tabletext"/>
              <w:rPr>
                <w:b/>
                <w:bCs/>
                <w:lang w:val="es-ES"/>
              </w:rPr>
            </w:pPr>
            <w:r w:rsidRPr="00A037C4">
              <w:rPr>
                <w:b/>
                <w:bCs/>
                <w:lang w:val="es-ES"/>
              </w:rPr>
              <w:t>13 de abril de 2012</w:t>
            </w:r>
          </w:p>
        </w:tc>
        <w:tc>
          <w:tcPr>
            <w:tcW w:w="6695" w:type="dxa"/>
            <w:tcBorders>
              <w:top w:val="single" w:sz="8" w:space="0" w:color="auto"/>
              <w:left w:val="single" w:sz="8" w:space="0" w:color="auto"/>
              <w:bottom w:val="single" w:sz="8" w:space="0" w:color="auto"/>
              <w:right w:val="single" w:sz="8" w:space="0" w:color="auto"/>
            </w:tcBorders>
            <w:shd w:val="clear" w:color="auto" w:fill="FFFFFF" w:themeFill="background1"/>
            <w:tcMar>
              <w:top w:w="0" w:type="dxa"/>
              <w:left w:w="108" w:type="dxa"/>
              <w:bottom w:w="0" w:type="dxa"/>
              <w:right w:w="108" w:type="dxa"/>
            </w:tcMar>
          </w:tcPr>
          <w:p w:rsidR="009554F1" w:rsidRPr="00862632" w:rsidRDefault="009554F1" w:rsidP="00A037C4">
            <w:pPr>
              <w:pStyle w:val="Tabletext"/>
              <w:rPr>
                <w:lang w:val="es-ES"/>
              </w:rPr>
            </w:pPr>
            <w:r w:rsidRPr="00862632">
              <w:rPr>
                <w:lang w:val="es-ES"/>
              </w:rPr>
              <w:t>Publicación en línea y distribución a los miembros del primer proyecto del Informe del Secretario General (elaborado a partir del material disponible).</w:t>
            </w:r>
          </w:p>
        </w:tc>
      </w:tr>
      <w:tr w:rsidR="009554F1" w:rsidRPr="00862632" w:rsidTr="0018010C">
        <w:trPr>
          <w:cantSplit/>
          <w:jc w:val="center"/>
        </w:trPr>
        <w:tc>
          <w:tcPr>
            <w:tcW w:w="2444" w:type="dxa"/>
            <w:tcBorders>
              <w:top w:val="single" w:sz="8" w:space="0" w:color="auto"/>
              <w:left w:val="single" w:sz="8" w:space="0" w:color="auto"/>
              <w:bottom w:val="single" w:sz="8" w:space="0" w:color="auto"/>
              <w:right w:val="single" w:sz="8" w:space="0" w:color="auto"/>
            </w:tcBorders>
            <w:shd w:val="clear" w:color="auto" w:fill="FFFFFF" w:themeFill="background1"/>
            <w:tcMar>
              <w:top w:w="0" w:type="dxa"/>
              <w:left w:w="108" w:type="dxa"/>
              <w:bottom w:w="0" w:type="dxa"/>
              <w:right w:w="108" w:type="dxa"/>
            </w:tcMar>
          </w:tcPr>
          <w:p w:rsidR="009554F1" w:rsidRPr="00A037C4" w:rsidRDefault="009554F1" w:rsidP="00A037C4">
            <w:pPr>
              <w:pStyle w:val="Tabletext"/>
              <w:rPr>
                <w:b/>
                <w:bCs/>
                <w:lang w:val="es-ES"/>
              </w:rPr>
            </w:pPr>
            <w:r w:rsidRPr="00A037C4">
              <w:rPr>
                <w:b/>
                <w:bCs/>
                <w:lang w:val="es-ES"/>
              </w:rPr>
              <w:t>15 de mayo de 2012</w:t>
            </w:r>
          </w:p>
        </w:tc>
        <w:tc>
          <w:tcPr>
            <w:tcW w:w="6695" w:type="dxa"/>
            <w:tcBorders>
              <w:top w:val="single" w:sz="8" w:space="0" w:color="auto"/>
              <w:left w:val="single" w:sz="8" w:space="0" w:color="auto"/>
              <w:bottom w:val="single" w:sz="8" w:space="0" w:color="auto"/>
              <w:right w:val="single" w:sz="8" w:space="0" w:color="auto"/>
            </w:tcBorders>
            <w:shd w:val="clear" w:color="auto" w:fill="FFFFFF" w:themeFill="background1"/>
            <w:tcMar>
              <w:top w:w="0" w:type="dxa"/>
              <w:left w:w="108" w:type="dxa"/>
              <w:bottom w:w="0" w:type="dxa"/>
              <w:right w:w="108" w:type="dxa"/>
            </w:tcMar>
          </w:tcPr>
          <w:p w:rsidR="009554F1" w:rsidRPr="00862632" w:rsidRDefault="009554F1" w:rsidP="00A037C4">
            <w:pPr>
              <w:pStyle w:val="Tabletext"/>
              <w:rPr>
                <w:lang w:val="es-ES"/>
              </w:rPr>
            </w:pPr>
            <w:r w:rsidRPr="00862632">
              <w:rPr>
                <w:lang w:val="es-ES"/>
              </w:rPr>
              <w:t xml:space="preserve">Fin del plazo para la recepción de los comentarios de los miembros sobre el primer proyecto y materiales adicionales para el segundo proyecto. </w:t>
            </w:r>
          </w:p>
        </w:tc>
      </w:tr>
      <w:tr w:rsidR="009554F1" w:rsidRPr="00862632" w:rsidTr="0018010C">
        <w:trPr>
          <w:cantSplit/>
          <w:jc w:val="center"/>
        </w:trPr>
        <w:tc>
          <w:tcPr>
            <w:tcW w:w="2444" w:type="dxa"/>
            <w:tcBorders>
              <w:top w:val="single" w:sz="8" w:space="0" w:color="auto"/>
              <w:left w:val="single" w:sz="8" w:space="0" w:color="auto"/>
              <w:bottom w:val="single" w:sz="8" w:space="0" w:color="auto"/>
              <w:right w:val="single" w:sz="8" w:space="0" w:color="auto"/>
            </w:tcBorders>
            <w:shd w:val="clear" w:color="auto" w:fill="FFFFFF" w:themeFill="background1"/>
            <w:tcMar>
              <w:top w:w="0" w:type="dxa"/>
              <w:left w:w="108" w:type="dxa"/>
              <w:bottom w:w="0" w:type="dxa"/>
              <w:right w:w="108" w:type="dxa"/>
            </w:tcMar>
          </w:tcPr>
          <w:p w:rsidR="009554F1" w:rsidRPr="00A037C4" w:rsidRDefault="009554F1" w:rsidP="00A037C4">
            <w:pPr>
              <w:pStyle w:val="Tabletext"/>
              <w:rPr>
                <w:b/>
                <w:bCs/>
                <w:lang w:val="es-ES"/>
              </w:rPr>
            </w:pPr>
            <w:r w:rsidRPr="00A037C4">
              <w:rPr>
                <w:b/>
                <w:bCs/>
                <w:lang w:val="es-ES"/>
              </w:rPr>
              <w:t>5 de junio de 2012</w:t>
            </w:r>
          </w:p>
        </w:tc>
        <w:tc>
          <w:tcPr>
            <w:tcW w:w="6695" w:type="dxa"/>
            <w:tcBorders>
              <w:top w:val="single" w:sz="8" w:space="0" w:color="auto"/>
              <w:left w:val="single" w:sz="8" w:space="0" w:color="auto"/>
              <w:bottom w:val="single" w:sz="8" w:space="0" w:color="auto"/>
              <w:right w:val="single" w:sz="8" w:space="0" w:color="auto"/>
            </w:tcBorders>
            <w:shd w:val="clear" w:color="auto" w:fill="FFFFFF" w:themeFill="background1"/>
            <w:tcMar>
              <w:top w:w="0" w:type="dxa"/>
              <w:left w:w="108" w:type="dxa"/>
              <w:bottom w:w="0" w:type="dxa"/>
              <w:right w:w="108" w:type="dxa"/>
            </w:tcMar>
          </w:tcPr>
          <w:p w:rsidR="009554F1" w:rsidRPr="00862632" w:rsidRDefault="009554F1" w:rsidP="00A037C4">
            <w:pPr>
              <w:pStyle w:val="Tabletext"/>
              <w:rPr>
                <w:lang w:val="es-ES"/>
              </w:rPr>
            </w:pPr>
            <w:r w:rsidRPr="00862632">
              <w:rPr>
                <w:lang w:val="es-ES"/>
              </w:rPr>
              <w:t>Primera reunión del Grupo de Expertos.</w:t>
            </w:r>
          </w:p>
          <w:p w:rsidR="009554F1" w:rsidRPr="00862632" w:rsidRDefault="009554F1" w:rsidP="00A037C4">
            <w:pPr>
              <w:pStyle w:val="Tabletext"/>
              <w:rPr>
                <w:lang w:val="es-ES"/>
              </w:rPr>
            </w:pPr>
            <w:r w:rsidRPr="00862632">
              <w:rPr>
                <w:lang w:val="es-ES"/>
              </w:rPr>
              <w:t>Segundo anteproyecto de Informe del Secretario General.</w:t>
            </w:r>
          </w:p>
        </w:tc>
      </w:tr>
      <w:tr w:rsidR="009554F1" w:rsidRPr="00862632" w:rsidTr="0018010C">
        <w:trPr>
          <w:cantSplit/>
          <w:jc w:val="center"/>
        </w:trPr>
        <w:tc>
          <w:tcPr>
            <w:tcW w:w="2444"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9554F1" w:rsidRPr="00A037C4" w:rsidRDefault="009554F1" w:rsidP="00A037C4">
            <w:pPr>
              <w:pStyle w:val="Tabletext"/>
              <w:rPr>
                <w:b/>
                <w:bCs/>
                <w:lang w:val="es-ES"/>
              </w:rPr>
            </w:pPr>
            <w:r w:rsidRPr="00A037C4">
              <w:rPr>
                <w:b/>
                <w:bCs/>
                <w:lang w:val="es-ES"/>
              </w:rPr>
              <w:lastRenderedPageBreak/>
              <w:t>25 de junio de 2012</w:t>
            </w:r>
          </w:p>
        </w:tc>
        <w:tc>
          <w:tcPr>
            <w:tcW w:w="6695"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9554F1" w:rsidRPr="00862632" w:rsidRDefault="009554F1" w:rsidP="00A037C4">
            <w:pPr>
              <w:pStyle w:val="Tabletext"/>
              <w:rPr>
                <w:lang w:val="es-ES"/>
              </w:rPr>
            </w:pPr>
            <w:r w:rsidRPr="00862632">
              <w:rPr>
                <w:lang w:val="es-ES"/>
              </w:rPr>
              <w:t>Fin del plazo para recibir comentarios sobre el segundo anteproyecto de Informe del Secretario General.</w:t>
            </w:r>
          </w:p>
        </w:tc>
      </w:tr>
      <w:tr w:rsidR="009554F1" w:rsidRPr="00862632" w:rsidTr="0018010C">
        <w:trPr>
          <w:cantSplit/>
          <w:jc w:val="center"/>
        </w:trPr>
        <w:tc>
          <w:tcPr>
            <w:tcW w:w="2444"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9554F1" w:rsidRPr="00A037C4" w:rsidRDefault="009554F1" w:rsidP="00A037C4">
            <w:pPr>
              <w:pStyle w:val="Tabletext"/>
              <w:rPr>
                <w:b/>
                <w:bCs/>
                <w:lang w:val="es-ES"/>
              </w:rPr>
            </w:pPr>
            <w:r w:rsidRPr="00A037C4">
              <w:rPr>
                <w:b/>
                <w:bCs/>
                <w:lang w:val="es-ES"/>
              </w:rPr>
              <w:t>3 de julio de 2012</w:t>
            </w:r>
          </w:p>
        </w:tc>
        <w:tc>
          <w:tcPr>
            <w:tcW w:w="6695"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9554F1" w:rsidRPr="00862632" w:rsidRDefault="009554F1" w:rsidP="00A037C4">
            <w:pPr>
              <w:pStyle w:val="Tabletext"/>
              <w:rPr>
                <w:lang w:val="es-ES"/>
              </w:rPr>
            </w:pPr>
            <w:r w:rsidRPr="00862632">
              <w:rPr>
                <w:lang w:val="es-ES"/>
              </w:rPr>
              <w:t>Publicación en línea del segundo anteproyecto con comentarios recibidos.</w:t>
            </w:r>
          </w:p>
        </w:tc>
      </w:tr>
      <w:tr w:rsidR="009554F1" w:rsidRPr="00862632" w:rsidTr="0018010C">
        <w:trPr>
          <w:cantSplit/>
          <w:jc w:val="center"/>
        </w:trPr>
        <w:tc>
          <w:tcPr>
            <w:tcW w:w="2444"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9554F1" w:rsidRPr="00A037C4" w:rsidRDefault="009554F1" w:rsidP="00A037C4">
            <w:pPr>
              <w:pStyle w:val="Tabletext"/>
              <w:rPr>
                <w:b/>
                <w:bCs/>
                <w:lang w:val="es-ES"/>
              </w:rPr>
            </w:pPr>
            <w:r w:rsidRPr="00A037C4">
              <w:rPr>
                <w:b/>
                <w:bCs/>
                <w:lang w:val="es-ES"/>
              </w:rPr>
              <w:t>1 de agosto de 2012</w:t>
            </w:r>
          </w:p>
        </w:tc>
        <w:tc>
          <w:tcPr>
            <w:tcW w:w="6695"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9554F1" w:rsidRPr="00862632" w:rsidRDefault="009554F1" w:rsidP="00A037C4">
            <w:pPr>
              <w:pStyle w:val="Tabletext"/>
              <w:rPr>
                <w:lang w:val="es-ES"/>
              </w:rPr>
            </w:pPr>
            <w:r w:rsidRPr="00862632">
              <w:rPr>
                <w:lang w:val="es-ES"/>
              </w:rPr>
              <w:t>Fin del plazo de recepción de comentarios sobre el segundo anteproyecto y solicitud de contribuciones para elaborar el tercer proyecto, incluidas las grandes líneas para posibles proyectos de opinión. Carta de invitación a todas las partes interesadas para que participen en el Grupo de Expertos.</w:t>
            </w:r>
          </w:p>
        </w:tc>
      </w:tr>
      <w:tr w:rsidR="009554F1" w:rsidRPr="00862632" w:rsidTr="0018010C">
        <w:trPr>
          <w:cantSplit/>
          <w:jc w:val="center"/>
        </w:trPr>
        <w:tc>
          <w:tcPr>
            <w:tcW w:w="2444"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9554F1" w:rsidRPr="00A037C4" w:rsidRDefault="009554F1" w:rsidP="00A037C4">
            <w:pPr>
              <w:pStyle w:val="Tabletext"/>
              <w:rPr>
                <w:b/>
                <w:bCs/>
                <w:lang w:val="es-ES"/>
              </w:rPr>
            </w:pPr>
            <w:r w:rsidRPr="00A037C4">
              <w:rPr>
                <w:b/>
                <w:bCs/>
                <w:lang w:val="es-ES"/>
              </w:rPr>
              <w:t>31 de agosto de 2012</w:t>
            </w:r>
          </w:p>
        </w:tc>
        <w:tc>
          <w:tcPr>
            <w:tcW w:w="6695"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9554F1" w:rsidRPr="00862632" w:rsidRDefault="009554F1" w:rsidP="00A037C4">
            <w:pPr>
              <w:pStyle w:val="Tabletext"/>
              <w:rPr>
                <w:lang w:val="es-ES"/>
              </w:rPr>
            </w:pPr>
            <w:r w:rsidRPr="00862632">
              <w:rPr>
                <w:lang w:val="es-ES"/>
              </w:rPr>
              <w:t>Publicación en línea del tercer anteproyecto y de las grandes líneas para posibles proyectos de opinión.</w:t>
            </w:r>
          </w:p>
        </w:tc>
      </w:tr>
      <w:tr w:rsidR="009554F1" w:rsidRPr="00862632" w:rsidTr="0018010C">
        <w:trPr>
          <w:cantSplit/>
          <w:jc w:val="center"/>
        </w:trPr>
        <w:tc>
          <w:tcPr>
            <w:tcW w:w="2444"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9554F1" w:rsidRPr="00A037C4" w:rsidRDefault="009554F1" w:rsidP="00A037C4">
            <w:pPr>
              <w:pStyle w:val="Tabletext"/>
              <w:rPr>
                <w:b/>
                <w:bCs/>
                <w:lang w:val="es-ES"/>
              </w:rPr>
            </w:pPr>
            <w:r w:rsidRPr="00A037C4">
              <w:rPr>
                <w:b/>
                <w:bCs/>
                <w:lang w:val="es-ES"/>
              </w:rPr>
              <w:t>30 de septiembre de</w:t>
            </w:r>
            <w:r w:rsidR="00897365" w:rsidRPr="00A037C4">
              <w:rPr>
                <w:b/>
                <w:bCs/>
                <w:lang w:val="es-ES"/>
              </w:rPr>
              <w:t> </w:t>
            </w:r>
            <w:r w:rsidRPr="00A037C4">
              <w:rPr>
                <w:b/>
                <w:bCs/>
                <w:lang w:val="es-ES"/>
              </w:rPr>
              <w:t>2012</w:t>
            </w:r>
          </w:p>
        </w:tc>
        <w:tc>
          <w:tcPr>
            <w:tcW w:w="6695"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9554F1" w:rsidRPr="00862632" w:rsidRDefault="009554F1" w:rsidP="00A037C4">
            <w:pPr>
              <w:pStyle w:val="Tabletext"/>
              <w:rPr>
                <w:lang w:val="es-ES"/>
              </w:rPr>
            </w:pPr>
            <w:r w:rsidRPr="00862632">
              <w:rPr>
                <w:lang w:val="es-ES"/>
              </w:rPr>
              <w:t>Fin del plazo de recepción de comentarios sobre el tercer proyecto.</w:t>
            </w:r>
          </w:p>
        </w:tc>
      </w:tr>
      <w:tr w:rsidR="009554F1" w:rsidRPr="00862632" w:rsidTr="0018010C">
        <w:trPr>
          <w:cantSplit/>
          <w:jc w:val="center"/>
        </w:trPr>
        <w:tc>
          <w:tcPr>
            <w:tcW w:w="2444"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9554F1" w:rsidRPr="00A037C4" w:rsidRDefault="009554F1" w:rsidP="0018010C">
            <w:pPr>
              <w:pStyle w:val="Tabletext"/>
              <w:rPr>
                <w:b/>
                <w:bCs/>
                <w:lang w:val="es-ES"/>
              </w:rPr>
            </w:pPr>
            <w:r w:rsidRPr="00A037C4">
              <w:rPr>
                <w:b/>
                <w:bCs/>
                <w:lang w:val="es-ES"/>
              </w:rPr>
              <w:t>10</w:t>
            </w:r>
            <w:r w:rsidR="0018010C">
              <w:rPr>
                <w:b/>
                <w:bCs/>
                <w:lang w:val="es-ES"/>
              </w:rPr>
              <w:t>-</w:t>
            </w:r>
            <w:r w:rsidRPr="00A037C4">
              <w:rPr>
                <w:b/>
                <w:bCs/>
                <w:lang w:val="es-ES"/>
              </w:rPr>
              <w:t>12</w:t>
            </w:r>
            <w:r w:rsidR="00BA1F3F">
              <w:rPr>
                <w:b/>
                <w:bCs/>
                <w:lang w:val="es-ES"/>
              </w:rPr>
              <w:t xml:space="preserve"> </w:t>
            </w:r>
            <w:r w:rsidRPr="00A037C4">
              <w:rPr>
                <w:b/>
                <w:bCs/>
                <w:lang w:val="es-ES"/>
              </w:rPr>
              <w:t xml:space="preserve">de octubre de 2012 </w:t>
            </w:r>
          </w:p>
        </w:tc>
        <w:tc>
          <w:tcPr>
            <w:tcW w:w="6695"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9554F1" w:rsidRPr="00862632" w:rsidRDefault="009554F1" w:rsidP="00A037C4">
            <w:pPr>
              <w:pStyle w:val="Tabletext"/>
              <w:rPr>
                <w:lang w:val="es-ES"/>
              </w:rPr>
            </w:pPr>
            <w:r w:rsidRPr="00862632">
              <w:rPr>
                <w:lang w:val="es-ES"/>
              </w:rPr>
              <w:t>Segunda reunión del Grupo de Expertos.</w:t>
            </w:r>
          </w:p>
        </w:tc>
      </w:tr>
      <w:tr w:rsidR="009554F1" w:rsidRPr="00862632" w:rsidTr="0018010C">
        <w:trPr>
          <w:cantSplit/>
          <w:jc w:val="center"/>
        </w:trPr>
        <w:tc>
          <w:tcPr>
            <w:tcW w:w="2444"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9554F1" w:rsidRPr="00A037C4" w:rsidRDefault="009554F1" w:rsidP="00A037C4">
            <w:pPr>
              <w:pStyle w:val="Tabletext"/>
              <w:rPr>
                <w:b/>
                <w:bCs/>
                <w:lang w:val="es-ES"/>
              </w:rPr>
            </w:pPr>
            <w:r w:rsidRPr="00A037C4">
              <w:rPr>
                <w:b/>
                <w:bCs/>
                <w:lang w:val="es-ES"/>
              </w:rPr>
              <w:t>10 de enero de 2013</w:t>
            </w:r>
          </w:p>
        </w:tc>
        <w:tc>
          <w:tcPr>
            <w:tcW w:w="6695"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9554F1" w:rsidRPr="00862632" w:rsidRDefault="009554F1" w:rsidP="00A037C4">
            <w:pPr>
              <w:pStyle w:val="Tabletext"/>
              <w:rPr>
                <w:lang w:val="es-ES"/>
              </w:rPr>
            </w:pPr>
            <w:r w:rsidRPr="00862632">
              <w:rPr>
                <w:lang w:val="es-ES"/>
              </w:rPr>
              <w:t>Publicación en línea del cuarto anteproyecto, incluidos proyectos de opinión.</w:t>
            </w:r>
          </w:p>
        </w:tc>
      </w:tr>
      <w:tr w:rsidR="009554F1" w:rsidRPr="00862632" w:rsidTr="0018010C">
        <w:trPr>
          <w:cantSplit/>
          <w:jc w:val="center"/>
        </w:trPr>
        <w:tc>
          <w:tcPr>
            <w:tcW w:w="2444"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9554F1" w:rsidRPr="00A037C4" w:rsidRDefault="00EC650D" w:rsidP="00A037C4">
            <w:pPr>
              <w:pStyle w:val="Tabletext"/>
              <w:rPr>
                <w:b/>
                <w:bCs/>
                <w:lang w:val="es-ES"/>
              </w:rPr>
            </w:pPr>
            <w:r w:rsidRPr="00A037C4">
              <w:rPr>
                <w:b/>
                <w:bCs/>
                <w:lang w:val="es-ES"/>
              </w:rPr>
              <w:t>6-8 de f</w:t>
            </w:r>
            <w:r w:rsidR="009554F1" w:rsidRPr="00A037C4">
              <w:rPr>
                <w:b/>
                <w:bCs/>
                <w:lang w:val="es-ES"/>
              </w:rPr>
              <w:t xml:space="preserve">ebrero de 2013 </w:t>
            </w:r>
          </w:p>
        </w:tc>
        <w:tc>
          <w:tcPr>
            <w:tcW w:w="6695"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9554F1" w:rsidRPr="00862632" w:rsidRDefault="009554F1" w:rsidP="00A037C4">
            <w:pPr>
              <w:pStyle w:val="Tabletext"/>
              <w:rPr>
                <w:lang w:val="es-ES"/>
              </w:rPr>
            </w:pPr>
            <w:r w:rsidRPr="00862632">
              <w:rPr>
                <w:lang w:val="es-ES"/>
              </w:rPr>
              <w:t>Tercera reunión del Grupo de Expertos.</w:t>
            </w:r>
          </w:p>
        </w:tc>
      </w:tr>
      <w:tr w:rsidR="009554F1" w:rsidRPr="00862632" w:rsidTr="0018010C">
        <w:trPr>
          <w:cantSplit/>
          <w:jc w:val="center"/>
        </w:trPr>
        <w:tc>
          <w:tcPr>
            <w:tcW w:w="2444"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9554F1" w:rsidRPr="00A037C4" w:rsidRDefault="009554F1" w:rsidP="00A037C4">
            <w:pPr>
              <w:pStyle w:val="Tabletext"/>
              <w:rPr>
                <w:b/>
                <w:bCs/>
                <w:lang w:val="es-ES"/>
              </w:rPr>
            </w:pPr>
            <w:r w:rsidRPr="00A037C4">
              <w:rPr>
                <w:b/>
                <w:bCs/>
                <w:lang w:val="es-ES"/>
              </w:rPr>
              <w:t>1 de marzo de 2013</w:t>
            </w:r>
          </w:p>
        </w:tc>
        <w:tc>
          <w:tcPr>
            <w:tcW w:w="6695"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9554F1" w:rsidRPr="00862632" w:rsidRDefault="009554F1" w:rsidP="00A037C4">
            <w:pPr>
              <w:pStyle w:val="Tabletext"/>
              <w:rPr>
                <w:lang w:val="es-ES"/>
              </w:rPr>
            </w:pPr>
            <w:r w:rsidRPr="00862632">
              <w:rPr>
                <w:lang w:val="es-ES"/>
              </w:rPr>
              <w:t>Finalización y publicación del Informe del Secretario General.</w:t>
            </w:r>
          </w:p>
        </w:tc>
      </w:tr>
      <w:tr w:rsidR="009554F1" w:rsidRPr="00862632" w:rsidTr="0018010C">
        <w:trPr>
          <w:cantSplit/>
          <w:jc w:val="center"/>
        </w:trPr>
        <w:tc>
          <w:tcPr>
            <w:tcW w:w="2444"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9554F1" w:rsidRPr="00A037C4" w:rsidRDefault="009554F1" w:rsidP="00A037C4">
            <w:pPr>
              <w:pStyle w:val="Tabletext"/>
              <w:rPr>
                <w:b/>
                <w:bCs/>
                <w:lang w:val="es-ES"/>
              </w:rPr>
            </w:pPr>
            <w:r w:rsidRPr="00A037C4">
              <w:rPr>
                <w:b/>
                <w:bCs/>
                <w:lang w:val="es-ES"/>
              </w:rPr>
              <w:t>13 de mayo de 2013</w:t>
            </w:r>
          </w:p>
        </w:tc>
        <w:tc>
          <w:tcPr>
            <w:tcW w:w="6695"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9554F1" w:rsidRPr="00862632" w:rsidRDefault="00EC650D" w:rsidP="00A037C4">
            <w:pPr>
              <w:pStyle w:val="Tabletext"/>
              <w:rPr>
                <w:lang w:val="es-ES"/>
              </w:rPr>
            </w:pPr>
            <w:r w:rsidRPr="00862632">
              <w:rPr>
                <w:lang w:val="es-ES"/>
              </w:rPr>
              <w:t>D</w:t>
            </w:r>
            <w:r w:rsidR="009554F1" w:rsidRPr="00862632">
              <w:rPr>
                <w:lang w:val="es-ES"/>
              </w:rPr>
              <w:t>iálogo estratégico del FMPT</w:t>
            </w:r>
          </w:p>
        </w:tc>
      </w:tr>
      <w:tr w:rsidR="009554F1" w:rsidRPr="00862632" w:rsidTr="0018010C">
        <w:trPr>
          <w:cantSplit/>
          <w:jc w:val="center"/>
        </w:trPr>
        <w:tc>
          <w:tcPr>
            <w:tcW w:w="2444"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9554F1" w:rsidRPr="00A037C4" w:rsidRDefault="009554F1" w:rsidP="00A037C4">
            <w:pPr>
              <w:pStyle w:val="Tabletext"/>
              <w:rPr>
                <w:b/>
                <w:bCs/>
                <w:lang w:val="es-ES"/>
              </w:rPr>
            </w:pPr>
            <w:r w:rsidRPr="00A037C4">
              <w:rPr>
                <w:b/>
                <w:bCs/>
                <w:lang w:val="es-ES"/>
              </w:rPr>
              <w:t>14-16 de mayo de 2013</w:t>
            </w:r>
            <w:r w:rsidRPr="00A037C4">
              <w:rPr>
                <w:b/>
                <w:bCs/>
                <w:lang w:val="es-ES"/>
              </w:rPr>
              <w:br/>
              <w:t>(en paralelo con el Foro 2013 de la CMSI)</w:t>
            </w:r>
          </w:p>
        </w:tc>
        <w:tc>
          <w:tcPr>
            <w:tcW w:w="6695"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9554F1" w:rsidRPr="00862632" w:rsidRDefault="009554F1" w:rsidP="00A037C4">
            <w:pPr>
              <w:pStyle w:val="Tabletext"/>
              <w:rPr>
                <w:lang w:val="es-ES"/>
              </w:rPr>
            </w:pPr>
            <w:r w:rsidRPr="00862632">
              <w:rPr>
                <w:lang w:val="es-ES"/>
              </w:rPr>
              <w:t>5º FMPT sobre cuestiones de política pública relacionadas con Internet.</w:t>
            </w:r>
          </w:p>
        </w:tc>
      </w:tr>
    </w:tbl>
    <w:p w:rsidR="00344D10" w:rsidRPr="009723BC" w:rsidRDefault="009554F1" w:rsidP="009723BC">
      <w:pPr>
        <w:pStyle w:val="Heading1"/>
      </w:pPr>
      <w:r w:rsidRPr="009723BC">
        <w:t>2</w:t>
      </w:r>
      <w:r w:rsidRPr="009723BC">
        <w:tab/>
        <w:t>Temas del FMPT-2013</w:t>
      </w:r>
    </w:p>
    <w:p w:rsidR="00344D10" w:rsidRPr="00862632" w:rsidRDefault="009554F1" w:rsidP="0018010C">
      <w:pPr>
        <w:rPr>
          <w:lang w:val="es-ES"/>
        </w:rPr>
      </w:pPr>
      <w:r w:rsidRPr="00862632">
        <w:rPr>
          <w:b/>
          <w:bCs/>
          <w:lang w:val="es-ES"/>
        </w:rPr>
        <w:t>2.1</w:t>
      </w:r>
      <w:r w:rsidRPr="00862632">
        <w:rPr>
          <w:lang w:val="es-ES"/>
        </w:rPr>
        <w:tab/>
        <w:t>En su Acuerdo 562, conforme a la Decisión 2 (Rev. Guadalajara, 2012), la reunión de 2011 del Consejo determinó que el quinto FMPT examinaría todos los temas planteados en la Resolución 101 (Rev.</w:t>
      </w:r>
      <w:r w:rsidR="0018010C">
        <w:rPr>
          <w:lang w:val="es-ES"/>
        </w:rPr>
        <w:t> </w:t>
      </w:r>
      <w:r w:rsidRPr="00862632">
        <w:rPr>
          <w:lang w:val="es-ES"/>
        </w:rPr>
        <w:t>Guadalajara, 2010), la Resolución 102 (Rev. Guadalajara, 2010) y la Resolución 133 (Rev.</w:t>
      </w:r>
      <w:r w:rsidR="00D35816" w:rsidRPr="00862632">
        <w:rPr>
          <w:lang w:val="es-ES"/>
        </w:rPr>
        <w:t> </w:t>
      </w:r>
      <w:r w:rsidRPr="00862632">
        <w:rPr>
          <w:lang w:val="es-ES"/>
        </w:rPr>
        <w:t>Guadalajara,</w:t>
      </w:r>
      <w:r w:rsidR="00FE7679" w:rsidRPr="00862632">
        <w:rPr>
          <w:lang w:val="es-ES"/>
        </w:rPr>
        <w:t xml:space="preserve"> </w:t>
      </w:r>
      <w:r w:rsidRPr="00862632">
        <w:rPr>
          <w:lang w:val="es-ES"/>
        </w:rPr>
        <w:t>2010). Las Resoluciones 101 (Rev. Guadalajara, 2010) y 102 (Rev. Guadalajara, 2010) fueron adoptadas en</w:t>
      </w:r>
      <w:r w:rsidR="0018010C">
        <w:rPr>
          <w:lang w:val="es-ES"/>
        </w:rPr>
        <w:t> </w:t>
      </w:r>
      <w:r w:rsidRPr="00862632">
        <w:rPr>
          <w:lang w:val="es-ES"/>
        </w:rPr>
        <w:t>1998 y su enmienda más reciente se remonta a la PP-10. La Resolución 133 (Rev.</w:t>
      </w:r>
      <w:r w:rsidR="00D35816" w:rsidRPr="00862632">
        <w:rPr>
          <w:lang w:val="es-ES"/>
        </w:rPr>
        <w:t> </w:t>
      </w:r>
      <w:r w:rsidRPr="00862632">
        <w:rPr>
          <w:lang w:val="es-ES"/>
        </w:rPr>
        <w:t xml:space="preserve">Guadalajara, 2010) fue adoptada en 2002 y enmendada </w:t>
      </w:r>
      <w:r w:rsidR="00EC650D" w:rsidRPr="00862632">
        <w:rPr>
          <w:lang w:val="es-ES"/>
        </w:rPr>
        <w:t>por última vez</w:t>
      </w:r>
      <w:r w:rsidRPr="00862632">
        <w:rPr>
          <w:lang w:val="es-ES"/>
        </w:rPr>
        <w:t xml:space="preserve"> en la PP-10. </w:t>
      </w:r>
    </w:p>
    <w:p w:rsidR="009554F1" w:rsidRPr="00862632" w:rsidRDefault="009554F1" w:rsidP="00A037C4">
      <w:pPr>
        <w:rPr>
          <w:lang w:val="es-ES"/>
        </w:rPr>
      </w:pPr>
      <w:r w:rsidRPr="00862632">
        <w:rPr>
          <w:b/>
          <w:bCs/>
          <w:lang w:val="es-ES"/>
        </w:rPr>
        <w:t>2.2</w:t>
      </w:r>
      <w:r w:rsidRPr="00862632">
        <w:rPr>
          <w:lang w:val="es-ES"/>
        </w:rPr>
        <w:tab/>
      </w:r>
      <w:r w:rsidR="00EC650D" w:rsidRPr="00862632">
        <w:rPr>
          <w:lang w:val="es-ES"/>
        </w:rPr>
        <w:t>D</w:t>
      </w:r>
      <w:r w:rsidRPr="00862632">
        <w:rPr>
          <w:lang w:val="es-ES"/>
        </w:rPr>
        <w:t>e conformidad con el Acuerdo 562 de la reunión de 2011 del Consejo, el FMPT examinará todos los temas planteados en las Resoluciones 101, 102 y 133 (Rev. Guadalajara, 2010)</w:t>
      </w:r>
      <w:r w:rsidR="00EC650D" w:rsidRPr="00862632">
        <w:rPr>
          <w:lang w:val="es-ES"/>
        </w:rPr>
        <w:t>. A</w:t>
      </w:r>
      <w:r w:rsidRPr="00862632">
        <w:rPr>
          <w:lang w:val="es-ES"/>
        </w:rPr>
        <w:t xml:space="preserve"> continuación se indican los temas generales propuestos en la</w:t>
      </w:r>
      <w:r w:rsidR="00EC650D" w:rsidRPr="00862632">
        <w:rPr>
          <w:lang w:val="es-ES"/>
        </w:rPr>
        <w:t>s</w:t>
      </w:r>
      <w:r w:rsidRPr="00862632">
        <w:rPr>
          <w:lang w:val="es-ES"/>
        </w:rPr>
        <w:t xml:space="preserve"> reuni</w:t>
      </w:r>
      <w:r w:rsidR="00EC650D" w:rsidRPr="00862632">
        <w:rPr>
          <w:lang w:val="es-ES"/>
        </w:rPr>
        <w:t>ones</w:t>
      </w:r>
      <w:r w:rsidRPr="00862632">
        <w:rPr>
          <w:lang w:val="es-ES"/>
        </w:rPr>
        <w:t xml:space="preserve"> del Grupo de Expertos</w:t>
      </w:r>
      <w:r w:rsidRPr="00862632">
        <w:rPr>
          <w:szCs w:val="22"/>
          <w:vertAlign w:val="superscript"/>
          <w:lang w:val="es-ES"/>
        </w:rPr>
        <w:footnoteReference w:id="7"/>
      </w:r>
      <w:r w:rsidRPr="00862632">
        <w:rPr>
          <w:lang w:val="es-ES"/>
        </w:rPr>
        <w:t xml:space="preserve"> en cuyo marco podrían examinarse estas cuestiones:</w:t>
      </w:r>
    </w:p>
    <w:p w:rsidR="009554F1" w:rsidRPr="00862632" w:rsidRDefault="00A037C4" w:rsidP="00A037C4">
      <w:pPr>
        <w:pStyle w:val="enumlev1"/>
        <w:rPr>
          <w:lang w:val="es-ES"/>
        </w:rPr>
      </w:pPr>
      <w:r w:rsidRPr="00A037C4">
        <w:rPr>
          <w:lang w:val="es-ES"/>
        </w:rPr>
        <w:t>•</w:t>
      </w:r>
      <w:r>
        <w:rPr>
          <w:lang w:val="es-ES"/>
        </w:rPr>
        <w:tab/>
      </w:r>
      <w:r w:rsidR="009554F1" w:rsidRPr="00862632">
        <w:rPr>
          <w:lang w:val="es-ES"/>
        </w:rPr>
        <w:t xml:space="preserve">El modelo </w:t>
      </w:r>
      <w:r w:rsidR="00EC650D" w:rsidRPr="00862632">
        <w:rPr>
          <w:lang w:val="es-ES"/>
        </w:rPr>
        <w:t xml:space="preserve">multipartito de gobernanza </w:t>
      </w:r>
      <w:r w:rsidR="009554F1" w:rsidRPr="00862632">
        <w:rPr>
          <w:lang w:val="es-ES"/>
        </w:rPr>
        <w:t>de Internet</w:t>
      </w:r>
      <w:r w:rsidR="0018010C">
        <w:rPr>
          <w:lang w:val="es-ES"/>
        </w:rPr>
        <w:t>.</w:t>
      </w:r>
    </w:p>
    <w:p w:rsidR="009554F1" w:rsidRPr="00862632" w:rsidRDefault="00A037C4" w:rsidP="00A037C4">
      <w:pPr>
        <w:pStyle w:val="enumlev1"/>
        <w:rPr>
          <w:rFonts w:cstheme="minorHAnsi"/>
          <w:szCs w:val="22"/>
          <w:lang w:val="es-ES"/>
        </w:rPr>
      </w:pPr>
      <w:r w:rsidRPr="00A037C4">
        <w:rPr>
          <w:lang w:val="es-ES"/>
        </w:rPr>
        <w:t>•</w:t>
      </w:r>
      <w:r>
        <w:rPr>
          <w:lang w:val="es-ES"/>
        </w:rPr>
        <w:tab/>
      </w:r>
      <w:r w:rsidR="009554F1" w:rsidRPr="00862632">
        <w:rPr>
          <w:rFonts w:cstheme="minorHAnsi"/>
          <w:szCs w:val="22"/>
          <w:lang w:val="es-ES"/>
        </w:rPr>
        <w:t>Principios mundiales de gobernanza y utilización de Internet</w:t>
      </w:r>
      <w:r w:rsidR="0018010C">
        <w:rPr>
          <w:rFonts w:cstheme="minorHAnsi"/>
          <w:szCs w:val="22"/>
          <w:lang w:val="es-ES"/>
        </w:rPr>
        <w:t>.</w:t>
      </w:r>
    </w:p>
    <w:p w:rsidR="009554F1" w:rsidRPr="00862632" w:rsidRDefault="00A037C4" w:rsidP="00A037C4">
      <w:pPr>
        <w:pStyle w:val="enumlev1"/>
        <w:rPr>
          <w:rFonts w:cstheme="minorHAnsi"/>
          <w:szCs w:val="22"/>
          <w:lang w:val="es-ES"/>
        </w:rPr>
      </w:pPr>
      <w:r w:rsidRPr="00A037C4">
        <w:rPr>
          <w:lang w:val="es-ES"/>
        </w:rPr>
        <w:t>•</w:t>
      </w:r>
      <w:r>
        <w:rPr>
          <w:lang w:val="es-ES"/>
        </w:rPr>
        <w:tab/>
      </w:r>
      <w:r w:rsidR="009554F1" w:rsidRPr="00862632">
        <w:rPr>
          <w:rFonts w:cstheme="minorHAnsi"/>
          <w:szCs w:val="22"/>
          <w:lang w:val="es-ES"/>
        </w:rPr>
        <w:t xml:space="preserve">Desarrollo y difusión de las TIC </w:t>
      </w:r>
      <w:r w:rsidR="00EC650D" w:rsidRPr="00862632">
        <w:rPr>
          <w:rFonts w:cstheme="minorHAnsi"/>
          <w:szCs w:val="22"/>
          <w:lang w:val="es-ES"/>
        </w:rPr>
        <w:t xml:space="preserve">y estrategias para desarrollar la conectividad a Internet </w:t>
      </w:r>
      <w:r w:rsidR="009554F1" w:rsidRPr="00862632">
        <w:rPr>
          <w:rFonts w:cstheme="minorHAnsi"/>
          <w:szCs w:val="22"/>
          <w:lang w:val="es-ES"/>
        </w:rPr>
        <w:t>en todo el mundo</w:t>
      </w:r>
      <w:r w:rsidR="0018010C">
        <w:rPr>
          <w:rFonts w:cstheme="minorHAnsi"/>
          <w:szCs w:val="22"/>
          <w:lang w:val="es-ES"/>
        </w:rPr>
        <w:t>.</w:t>
      </w:r>
    </w:p>
    <w:p w:rsidR="009554F1" w:rsidRPr="00862632" w:rsidRDefault="00A037C4" w:rsidP="00A037C4">
      <w:pPr>
        <w:pStyle w:val="enumlev1"/>
        <w:rPr>
          <w:rFonts w:cstheme="minorHAnsi"/>
          <w:szCs w:val="22"/>
          <w:lang w:val="es-ES"/>
        </w:rPr>
      </w:pPr>
      <w:r w:rsidRPr="00A037C4">
        <w:rPr>
          <w:lang w:val="es-ES"/>
        </w:rPr>
        <w:t>•</w:t>
      </w:r>
      <w:r>
        <w:rPr>
          <w:lang w:val="es-ES"/>
        </w:rPr>
        <w:tab/>
      </w:r>
      <w:r w:rsidR="009554F1" w:rsidRPr="00862632">
        <w:rPr>
          <w:rFonts w:cstheme="minorHAnsi"/>
          <w:szCs w:val="22"/>
          <w:lang w:val="es-ES"/>
        </w:rPr>
        <w:t>Cómo desarrollar un entorno propicio para fomentar el crecimiento</w:t>
      </w:r>
      <w:r w:rsidR="00EC650D" w:rsidRPr="00862632">
        <w:rPr>
          <w:rFonts w:cstheme="minorHAnsi"/>
          <w:szCs w:val="22"/>
          <w:lang w:val="es-ES"/>
        </w:rPr>
        <w:t>, la compatibilidad</w:t>
      </w:r>
      <w:r w:rsidR="009554F1" w:rsidRPr="00862632">
        <w:rPr>
          <w:rFonts w:cstheme="minorHAnsi"/>
          <w:szCs w:val="22"/>
          <w:lang w:val="es-ES"/>
        </w:rPr>
        <w:t xml:space="preserve"> y el desarrollo de Internet</w:t>
      </w:r>
      <w:r w:rsidR="0018010C">
        <w:rPr>
          <w:rFonts w:cstheme="minorHAnsi"/>
          <w:szCs w:val="22"/>
          <w:lang w:val="es-ES"/>
        </w:rPr>
        <w:t>.</w:t>
      </w:r>
    </w:p>
    <w:p w:rsidR="009554F1" w:rsidRPr="00862632" w:rsidRDefault="00A037C4" w:rsidP="00A037C4">
      <w:pPr>
        <w:pStyle w:val="enumlev1"/>
        <w:rPr>
          <w:rFonts w:cstheme="minorHAnsi"/>
          <w:szCs w:val="22"/>
          <w:lang w:val="es-ES"/>
        </w:rPr>
      </w:pPr>
      <w:r w:rsidRPr="00A037C4">
        <w:rPr>
          <w:lang w:val="es-ES"/>
        </w:rPr>
        <w:t>•</w:t>
      </w:r>
      <w:r>
        <w:rPr>
          <w:lang w:val="es-ES"/>
        </w:rPr>
        <w:tab/>
      </w:r>
      <w:r w:rsidR="009554F1" w:rsidRPr="00862632">
        <w:rPr>
          <w:rFonts w:cstheme="minorHAnsi"/>
          <w:szCs w:val="22"/>
          <w:lang w:val="es-ES"/>
        </w:rPr>
        <w:t>Cómo puede contribuir Internet al desarrollo del entorno propicio para fomentar el crecimiento [</w:t>
      </w:r>
      <w:r w:rsidR="007C1231">
        <w:rPr>
          <w:rFonts w:cstheme="minorHAnsi"/>
          <w:szCs w:val="22"/>
          <w:lang w:val="es-ES"/>
        </w:rPr>
        <w:t>origen</w:t>
      </w:r>
      <w:r w:rsidR="009554F1" w:rsidRPr="00862632">
        <w:rPr>
          <w:rFonts w:cstheme="minorHAnsi"/>
          <w:szCs w:val="22"/>
          <w:lang w:val="es-ES"/>
        </w:rPr>
        <w:t xml:space="preserve">: </w:t>
      </w:r>
      <w:hyperlink r:id="rId12" w:history="1">
        <w:r w:rsidR="00F1221C">
          <w:rPr>
            <w:rStyle w:val="Hyperlink"/>
            <w:rFonts w:eastAsiaTheme="minorEastAsia" w:cstheme="minorHAnsi"/>
            <w:szCs w:val="24"/>
            <w:lang w:val="es-ES" w:eastAsia="zh-CN"/>
          </w:rPr>
          <w:t>Reino Unido</w:t>
        </w:r>
      </w:hyperlink>
      <w:r w:rsidR="009554F1" w:rsidRPr="00862632">
        <w:rPr>
          <w:rStyle w:val="FootnoteReference"/>
          <w:lang w:val="es-ES"/>
        </w:rPr>
        <w:footnoteReference w:id="8"/>
      </w:r>
      <w:r w:rsidR="009554F1" w:rsidRPr="00862632">
        <w:rPr>
          <w:rFonts w:cstheme="minorHAnsi"/>
          <w:szCs w:val="22"/>
          <w:lang w:val="es-ES"/>
        </w:rPr>
        <w:t>]</w:t>
      </w:r>
      <w:r w:rsidR="0018010C">
        <w:rPr>
          <w:rFonts w:cstheme="minorHAnsi"/>
          <w:szCs w:val="22"/>
          <w:lang w:val="es-ES"/>
        </w:rPr>
        <w:t>.</w:t>
      </w:r>
    </w:p>
    <w:p w:rsidR="00344D10" w:rsidRPr="00862632" w:rsidRDefault="00A037C4" w:rsidP="00A26E96">
      <w:pPr>
        <w:pStyle w:val="enumlev1"/>
        <w:rPr>
          <w:rFonts w:cstheme="minorHAnsi"/>
          <w:szCs w:val="22"/>
          <w:lang w:val="es-ES"/>
        </w:rPr>
      </w:pPr>
      <w:r w:rsidRPr="00A037C4">
        <w:rPr>
          <w:lang w:val="es-ES"/>
        </w:rPr>
        <w:t>•</w:t>
      </w:r>
      <w:r>
        <w:rPr>
          <w:lang w:val="es-ES"/>
        </w:rPr>
        <w:tab/>
      </w:r>
      <w:r w:rsidR="009554F1" w:rsidRPr="00862632">
        <w:rPr>
          <w:rFonts w:cstheme="minorHAnsi"/>
          <w:szCs w:val="22"/>
          <w:lang w:val="es-ES"/>
        </w:rPr>
        <w:t xml:space="preserve">Estrategias para aumentar </w:t>
      </w:r>
      <w:r w:rsidR="00EC650D" w:rsidRPr="00862632">
        <w:rPr>
          <w:rFonts w:cstheme="minorHAnsi"/>
          <w:szCs w:val="22"/>
          <w:lang w:val="es-ES"/>
        </w:rPr>
        <w:t>la</w:t>
      </w:r>
      <w:r w:rsidR="009554F1" w:rsidRPr="00862632">
        <w:rPr>
          <w:rFonts w:cstheme="minorHAnsi"/>
          <w:szCs w:val="22"/>
          <w:lang w:val="es-ES"/>
        </w:rPr>
        <w:t xml:space="preserve"> conectividad global asequible: la función esencial de los IXP [</w:t>
      </w:r>
      <w:r w:rsidR="007C1231">
        <w:rPr>
          <w:rFonts w:cstheme="minorHAnsi"/>
          <w:szCs w:val="22"/>
          <w:lang w:val="es-ES"/>
        </w:rPr>
        <w:t>origen</w:t>
      </w:r>
      <w:r w:rsidR="009554F1" w:rsidRPr="00862632">
        <w:rPr>
          <w:rFonts w:cstheme="minorHAnsi"/>
          <w:szCs w:val="22"/>
          <w:lang w:val="es-ES"/>
        </w:rPr>
        <w:t>:</w:t>
      </w:r>
      <w:r w:rsidR="00A26E96">
        <w:rPr>
          <w:rFonts w:cstheme="minorHAnsi"/>
          <w:szCs w:val="22"/>
          <w:lang w:val="es-ES"/>
        </w:rPr>
        <w:t> </w:t>
      </w:r>
      <w:hyperlink r:id="rId13" w:history="1">
        <w:r w:rsidR="009554F1" w:rsidRPr="00862632">
          <w:rPr>
            <w:rStyle w:val="Hyperlink"/>
            <w:rFonts w:eastAsiaTheme="minorEastAsia" w:cstheme="minorHAnsi"/>
            <w:szCs w:val="24"/>
            <w:lang w:val="es-ES" w:eastAsia="zh-CN"/>
          </w:rPr>
          <w:t>ISOC</w:t>
        </w:r>
      </w:hyperlink>
      <w:r w:rsidR="009554F1" w:rsidRPr="00862632">
        <w:rPr>
          <w:rStyle w:val="FootnoteReference"/>
          <w:lang w:val="es-ES"/>
        </w:rPr>
        <w:footnoteReference w:id="9"/>
      </w:r>
      <w:r w:rsidR="009554F1" w:rsidRPr="00862632">
        <w:rPr>
          <w:rFonts w:cstheme="minorHAnsi"/>
          <w:szCs w:val="22"/>
          <w:lang w:val="es-ES"/>
        </w:rPr>
        <w:t>]</w:t>
      </w:r>
      <w:r w:rsidR="0018010C">
        <w:rPr>
          <w:rFonts w:cstheme="minorHAnsi"/>
          <w:szCs w:val="22"/>
          <w:lang w:val="es-ES"/>
        </w:rPr>
        <w:t>.</w:t>
      </w:r>
    </w:p>
    <w:p w:rsidR="00EC650D" w:rsidRPr="00862632" w:rsidRDefault="00A037C4" w:rsidP="00843B6D">
      <w:pPr>
        <w:pStyle w:val="enumlev1"/>
        <w:rPr>
          <w:rFonts w:cstheme="minorHAnsi"/>
          <w:szCs w:val="22"/>
          <w:lang w:val="es-ES"/>
        </w:rPr>
      </w:pPr>
      <w:r w:rsidRPr="00A037C4">
        <w:rPr>
          <w:lang w:val="es-ES"/>
        </w:rPr>
        <w:t>•</w:t>
      </w:r>
      <w:r>
        <w:rPr>
          <w:lang w:val="es-ES"/>
        </w:rPr>
        <w:tab/>
      </w:r>
      <w:r w:rsidR="00EC650D" w:rsidRPr="00862632">
        <w:rPr>
          <w:rFonts w:cstheme="minorHAnsi"/>
          <w:szCs w:val="22"/>
          <w:lang w:val="es-ES"/>
        </w:rPr>
        <w:t xml:space="preserve">Sobre la base de la reciprocidad, explorar medios y maneras de aumentar la colaboración y la coordinación entre la UIT y las organizaciones pertinentes </w:t>
      </w:r>
      <w:r w:rsidR="00843B6D">
        <w:rPr>
          <w:rFonts w:cstheme="minorHAnsi"/>
          <w:szCs w:val="22"/>
          <w:lang w:val="es-ES"/>
        </w:rPr>
        <w:t>–</w:t>
      </w:r>
      <w:r w:rsidR="00EC650D" w:rsidRPr="00862632">
        <w:rPr>
          <w:rFonts w:cstheme="minorHAnsi"/>
          <w:szCs w:val="22"/>
          <w:lang w:val="es-ES"/>
        </w:rPr>
        <w:t xml:space="preserve">entre las que se cuentan, aunque no exclusivamente, </w:t>
      </w:r>
      <w:r w:rsidR="00EC650D" w:rsidRPr="00862632">
        <w:rPr>
          <w:rFonts w:cstheme="minorHAnsi"/>
          <w:lang w:val="es-ES"/>
        </w:rPr>
        <w:t xml:space="preserve">la Corporación de Internet para la Asignación de Nombres y de Números (ICANN), los Registros Regionales de Internet (RIR), </w:t>
      </w:r>
      <w:r w:rsidR="00EC650D" w:rsidRPr="004366E5">
        <w:rPr>
          <w:rFonts w:eastAsiaTheme="minorEastAsia"/>
        </w:rPr>
        <w:t>el Grupo Especial sobre Ingeniería de Internet (IETF), la Sociedad de Internet (ISOC) y el Cons</w:t>
      </w:r>
      <w:r w:rsidR="00843B6D">
        <w:rPr>
          <w:rFonts w:eastAsiaTheme="minorEastAsia"/>
        </w:rPr>
        <w:t>orcio WWW (W3C)</w:t>
      </w:r>
      <w:r w:rsidR="00EC650D" w:rsidRPr="004366E5">
        <w:rPr>
          <w:rFonts w:eastAsiaTheme="minorEastAsia"/>
        </w:rPr>
        <w:t xml:space="preserve">– que participan en el desarrollo de redes IP y de la Internet del futuro, mediante acuerdos de cooperación, según proceda, a fin de incrementar el papel de la UIT en la gobernanza de Internet a fin de garantizar el máximo beneficio para la comunidad mundial. </w:t>
      </w:r>
    </w:p>
    <w:p w:rsidR="00344D10" w:rsidRPr="00862632" w:rsidRDefault="009554F1" w:rsidP="00843B6D">
      <w:pPr>
        <w:rPr>
          <w:lang w:val="es-ES"/>
        </w:rPr>
      </w:pPr>
      <w:r w:rsidRPr="00862632">
        <w:rPr>
          <w:b/>
          <w:bCs/>
          <w:color w:val="000000"/>
          <w:spacing w:val="15"/>
          <w:lang w:val="es-ES"/>
        </w:rPr>
        <w:t>2.3</w:t>
      </w:r>
      <w:r w:rsidRPr="00862632">
        <w:rPr>
          <w:color w:val="000000"/>
          <w:spacing w:val="15"/>
          <w:lang w:val="es-ES"/>
        </w:rPr>
        <w:tab/>
      </w:r>
      <w:r w:rsidRPr="00862632">
        <w:rPr>
          <w:lang w:val="es-ES"/>
        </w:rPr>
        <w:t xml:space="preserve">A efectos del presente </w:t>
      </w:r>
      <w:r w:rsidR="00897365" w:rsidRPr="00862632">
        <w:rPr>
          <w:lang w:val="es-ES"/>
        </w:rPr>
        <w:t>I</w:t>
      </w:r>
      <w:r w:rsidRPr="00862632">
        <w:rPr>
          <w:lang w:val="es-ES"/>
        </w:rPr>
        <w:t>nforme, las cuestiones planteadas en las Resoluciones 101, 102 y 133 de la Conferencia de Plenipotenciarios (teniendo presente el punto 1.1.5) se enumeran en las secciones siguientes.</w:t>
      </w:r>
    </w:p>
    <w:p w:rsidR="00344D10" w:rsidRPr="00862632" w:rsidRDefault="009554F1" w:rsidP="00344D10">
      <w:pPr>
        <w:rPr>
          <w:rFonts w:asciiTheme="minorHAnsi" w:hAnsiTheme="minorHAnsi" w:cstheme="minorHAnsi"/>
          <w:b/>
          <w:bCs/>
          <w:szCs w:val="24"/>
          <w:lang w:val="es-ES"/>
        </w:rPr>
      </w:pPr>
      <w:r w:rsidRPr="00862632">
        <w:rPr>
          <w:rFonts w:asciiTheme="minorHAnsi" w:hAnsiTheme="minorHAnsi" w:cstheme="minorHAnsi"/>
          <w:b/>
          <w:bCs/>
          <w:szCs w:val="24"/>
          <w:lang w:val="es-ES"/>
        </w:rPr>
        <w:t>2.3.1</w:t>
      </w:r>
      <w:r w:rsidRPr="00862632">
        <w:rPr>
          <w:rFonts w:asciiTheme="minorHAnsi" w:hAnsiTheme="minorHAnsi" w:cstheme="minorHAnsi"/>
          <w:b/>
          <w:bCs/>
          <w:szCs w:val="24"/>
          <w:lang w:val="es-ES"/>
        </w:rPr>
        <w:tab/>
        <w:t>Desarrollo y difusión de las TIC en todo el mundo</w:t>
      </w:r>
    </w:p>
    <w:p w:rsidR="009554F1" w:rsidRPr="00862632" w:rsidRDefault="00D35816" w:rsidP="007D1436">
      <w:pPr>
        <w:pStyle w:val="enumlev1"/>
        <w:rPr>
          <w:lang w:val="es-ES"/>
        </w:rPr>
      </w:pPr>
      <w:r w:rsidRPr="00862632">
        <w:rPr>
          <w:lang w:val="es-ES"/>
        </w:rPr>
        <w:t>a)</w:t>
      </w:r>
      <w:r w:rsidRPr="00862632">
        <w:rPr>
          <w:lang w:val="es-ES"/>
        </w:rPr>
        <w:tab/>
      </w:r>
      <w:r w:rsidR="009554F1" w:rsidRPr="00862632">
        <w:rPr>
          <w:lang w:val="es-ES"/>
        </w:rPr>
        <w:t>Los orígenes</w:t>
      </w:r>
      <w:r w:rsidR="009554F1" w:rsidRPr="00862632">
        <w:rPr>
          <w:rStyle w:val="FootnoteReference"/>
          <w:lang w:val="es-ES"/>
        </w:rPr>
        <w:footnoteReference w:id="10"/>
      </w:r>
      <w:r w:rsidR="009554F1" w:rsidRPr="00862632">
        <w:rPr>
          <w:lang w:val="es-ES"/>
        </w:rPr>
        <w:t xml:space="preserve"> de Internet que se remontan a conceptos desarrollados en Estados Unidos </w:t>
      </w:r>
      <w:r w:rsidR="00A05B43" w:rsidRPr="00862632">
        <w:rPr>
          <w:lang w:val="es-ES"/>
        </w:rPr>
        <w:t xml:space="preserve">de América </w:t>
      </w:r>
      <w:r w:rsidR="009554F1" w:rsidRPr="00862632">
        <w:rPr>
          <w:lang w:val="es-ES"/>
        </w:rPr>
        <w:t xml:space="preserve">hace más de 40 años con inversiones financieras, intelectuales y humanas significativas en el </w:t>
      </w:r>
      <w:r w:rsidR="009554F1" w:rsidRPr="00843B6D">
        <w:t>desarrollo</w:t>
      </w:r>
      <w:r w:rsidR="009554F1" w:rsidRPr="00862632">
        <w:rPr>
          <w:lang w:val="es-ES"/>
        </w:rPr>
        <w:t xml:space="preserve"> de las versiones iniciales y posteriores de Internet. Varias tecnologías sustentan Internet (tales como informática, comunicaciones digitales y semiconductores). Por ejemplo, en</w:t>
      </w:r>
      <w:r w:rsidR="007D1436">
        <w:rPr>
          <w:lang w:val="es-ES"/>
        </w:rPr>
        <w:t> </w:t>
      </w:r>
      <w:r w:rsidR="009554F1" w:rsidRPr="00862632">
        <w:rPr>
          <w:lang w:val="es-ES"/>
        </w:rPr>
        <w:t>1973 se propuso por primera vez el TCP/IP, que se desplegó experimentalmente pocos años después para conectar redes de paquetes. Así nació el conjunto de redes interconectadas, ordenadores y sus aplicaciones que conocemos como Internet. En 1983 se introdujo el sistema de nombres de dominio (DNS) a fin de permitir la utilización de nombres semánticos para ordenadores centrales, que podían resolverse en direcciones IP y simplificar así la utilización de Internet [</w:t>
      </w:r>
      <w:r w:rsidR="007C1231">
        <w:rPr>
          <w:lang w:val="es-ES"/>
        </w:rPr>
        <w:t>origen</w:t>
      </w:r>
      <w:r w:rsidR="009554F1" w:rsidRPr="00862632">
        <w:rPr>
          <w:lang w:val="es-ES"/>
        </w:rPr>
        <w:t xml:space="preserve">: </w:t>
      </w:r>
      <w:hyperlink r:id="rId14" w:history="1">
        <w:r w:rsidR="009554F1" w:rsidRPr="00862632">
          <w:rPr>
            <w:rStyle w:val="Hyperlink"/>
            <w:rFonts w:cstheme="minorHAnsi"/>
            <w:szCs w:val="22"/>
            <w:lang w:val="es-ES"/>
          </w:rPr>
          <w:t>EE.UU./CNRI</w:t>
        </w:r>
      </w:hyperlink>
      <w:r w:rsidR="009554F1" w:rsidRPr="00862632">
        <w:rPr>
          <w:rStyle w:val="FootnoteReference"/>
          <w:lang w:val="es-ES"/>
        </w:rPr>
        <w:footnoteReference w:id="11"/>
      </w:r>
      <w:r w:rsidR="009554F1" w:rsidRPr="00862632">
        <w:rPr>
          <w:lang w:val="es-ES"/>
        </w:rPr>
        <w:t xml:space="preserve">]. De hecho, algunas de las características fundamentales de Internet reflejan hoy </w:t>
      </w:r>
      <w:r w:rsidR="00A05B43" w:rsidRPr="00862632">
        <w:rPr>
          <w:lang w:val="es-ES"/>
        </w:rPr>
        <w:t xml:space="preserve">las </w:t>
      </w:r>
      <w:r w:rsidR="009554F1" w:rsidRPr="00862632">
        <w:rPr>
          <w:lang w:val="es-ES"/>
        </w:rPr>
        <w:t>prioridades y decisiones históricas adoptadas durante su desarrollo (p</w:t>
      </w:r>
      <w:r w:rsidR="00897365" w:rsidRPr="00862632">
        <w:rPr>
          <w:lang w:val="es-ES"/>
        </w:rPr>
        <w:t xml:space="preserve">or </w:t>
      </w:r>
      <w:r w:rsidR="009554F1" w:rsidRPr="00862632">
        <w:rPr>
          <w:lang w:val="es-ES"/>
        </w:rPr>
        <w:t>ej</w:t>
      </w:r>
      <w:r w:rsidR="00897365" w:rsidRPr="00862632">
        <w:rPr>
          <w:lang w:val="es-ES"/>
        </w:rPr>
        <w:t>emplo</w:t>
      </w:r>
      <w:r w:rsidR="009554F1" w:rsidRPr="00862632">
        <w:rPr>
          <w:lang w:val="es-ES"/>
        </w:rPr>
        <w:t>, su arquitectura, la prioridad concedida a la divulgación y el intercambio de información, y la posibilidad de anonimato).</w:t>
      </w:r>
    </w:p>
    <w:p w:rsidR="009554F1" w:rsidRPr="00862632" w:rsidRDefault="00843B6D" w:rsidP="00843B6D">
      <w:pPr>
        <w:pStyle w:val="enumlev1"/>
        <w:rPr>
          <w:lang w:val="es-ES"/>
        </w:rPr>
      </w:pPr>
      <w:r>
        <w:rPr>
          <w:lang w:val="es-ES"/>
        </w:rPr>
        <w:t>b)</w:t>
      </w:r>
      <w:r>
        <w:rPr>
          <w:lang w:val="es-ES"/>
        </w:rPr>
        <w:tab/>
      </w:r>
      <w:r w:rsidR="009554F1" w:rsidRPr="00862632">
        <w:rPr>
          <w:lang w:val="es-ES"/>
        </w:rPr>
        <w:t xml:space="preserve">Internet ha evolucionado mucho más de lo que se había previsto inicialmente en la </w:t>
      </w:r>
      <w:r w:rsidR="009554F1" w:rsidRPr="00843B6D">
        <w:t>experimentación</w:t>
      </w:r>
      <w:r w:rsidR="009554F1" w:rsidRPr="00862632">
        <w:rPr>
          <w:lang w:val="es-ES"/>
        </w:rPr>
        <w:t>. La infraestructura mundial actual de la información engloba incontables redes públicas, privadas basadas en IP y de otro tipo</w:t>
      </w:r>
      <w:r w:rsidR="00A05B43" w:rsidRPr="00862632">
        <w:rPr>
          <w:lang w:val="es-ES"/>
        </w:rPr>
        <w:t xml:space="preserve"> que pueden llegar a todo el mundo. Se ha estimado que en Internet hay más de 5 000 redes interconectadas </w:t>
      </w:r>
      <w:r w:rsidR="00903174" w:rsidRPr="00862632">
        <w:rPr>
          <w:lang w:val="es-ES"/>
        </w:rPr>
        <w:t xml:space="preserve">[origen: </w:t>
      </w:r>
      <w:hyperlink r:id="rId15" w:history="1">
        <w:r w:rsidR="00903174" w:rsidRPr="00A26E96">
          <w:rPr>
            <w:rStyle w:val="Hyperlink"/>
            <w:lang w:val="es-ES"/>
          </w:rPr>
          <w:t>EE.UU.</w:t>
        </w:r>
      </w:hyperlink>
      <w:r w:rsidR="00903174" w:rsidRPr="00862632">
        <w:rPr>
          <w:rStyle w:val="FootnoteReference"/>
          <w:lang w:val="es-ES"/>
        </w:rPr>
        <w:footnoteReference w:id="12"/>
      </w:r>
      <w:r w:rsidR="00903174" w:rsidRPr="00862632">
        <w:rPr>
          <w:lang w:val="es-ES"/>
        </w:rPr>
        <w:t>]</w:t>
      </w:r>
      <w:r w:rsidR="009554F1" w:rsidRPr="00862632">
        <w:rPr>
          <w:lang w:val="es-ES"/>
        </w:rPr>
        <w:t>.</w:t>
      </w:r>
    </w:p>
    <w:p w:rsidR="00903174" w:rsidRPr="00862632" w:rsidRDefault="00D35816" w:rsidP="00A26E96">
      <w:pPr>
        <w:pStyle w:val="enumlev1"/>
        <w:rPr>
          <w:lang w:val="es-ES"/>
        </w:rPr>
      </w:pPr>
      <w:r w:rsidRPr="00862632">
        <w:rPr>
          <w:lang w:val="es-ES"/>
        </w:rPr>
        <w:t>c)</w:t>
      </w:r>
      <w:r w:rsidRPr="00862632">
        <w:rPr>
          <w:lang w:val="es-ES"/>
        </w:rPr>
        <w:tab/>
      </w:r>
      <w:r w:rsidR="00903174" w:rsidRPr="00862632">
        <w:rPr>
          <w:lang w:val="es-ES"/>
        </w:rPr>
        <w:t>La importancia</w:t>
      </w:r>
      <w:r w:rsidR="009554F1" w:rsidRPr="00862632">
        <w:rPr>
          <w:lang w:val="es-ES"/>
        </w:rPr>
        <w:t xml:space="preserve"> de Internet puede medirse con diversas escalas cuantitativas y cualitativas. Las </w:t>
      </w:r>
      <w:r w:rsidR="009554F1" w:rsidRPr="00843B6D">
        <w:t>escalas</w:t>
      </w:r>
      <w:r w:rsidR="009554F1" w:rsidRPr="00862632">
        <w:rPr>
          <w:lang w:val="es-ES"/>
        </w:rPr>
        <w:t xml:space="preserve"> cuantitativas que permiten evaluar la dimensión y el crecimiento de Internet son, entre otras, </w:t>
      </w:r>
      <w:r w:rsidR="00903174" w:rsidRPr="00862632">
        <w:rPr>
          <w:lang w:val="es-ES"/>
        </w:rPr>
        <w:t>su contribución al PIB</w:t>
      </w:r>
      <w:r w:rsidR="00903174" w:rsidRPr="00862632">
        <w:rPr>
          <w:rStyle w:val="FootnoteReference"/>
          <w:lang w:val="es-ES"/>
        </w:rPr>
        <w:footnoteReference w:id="13"/>
      </w:r>
      <w:r w:rsidR="00903174" w:rsidRPr="00862632">
        <w:rPr>
          <w:lang w:val="es-ES"/>
        </w:rPr>
        <w:t xml:space="preserve"> [origen: </w:t>
      </w:r>
      <w:hyperlink r:id="rId16" w:history="1">
        <w:r w:rsidR="00A26E96" w:rsidRPr="00A26E96">
          <w:rPr>
            <w:rStyle w:val="Hyperlink"/>
            <w:lang w:val="es-ES"/>
          </w:rPr>
          <w:t>EE.UU.</w:t>
        </w:r>
      </w:hyperlink>
      <w:r w:rsidR="00903174" w:rsidRPr="00862632">
        <w:rPr>
          <w:rStyle w:val="FootnoteReference"/>
          <w:lang w:val="es-ES"/>
        </w:rPr>
        <w:footnoteReference w:id="14"/>
      </w:r>
      <w:r w:rsidR="00903174" w:rsidRPr="00862632">
        <w:rPr>
          <w:lang w:val="es-ES"/>
        </w:rPr>
        <w:t>]</w:t>
      </w:r>
      <w:r w:rsidR="00C968E8">
        <w:rPr>
          <w:lang w:val="es-ES"/>
        </w:rPr>
        <w:t>,</w:t>
      </w:r>
      <w:r w:rsidR="007D1436">
        <w:rPr>
          <w:lang w:val="es-ES"/>
        </w:rPr>
        <w:t xml:space="preserve"> </w:t>
      </w:r>
      <w:r w:rsidR="009554F1" w:rsidRPr="00862632">
        <w:rPr>
          <w:lang w:val="es-ES"/>
        </w:rPr>
        <w:t>el crecimiento del despliegue de infraestructuras</w:t>
      </w:r>
      <w:r w:rsidR="009554F1" w:rsidRPr="00862632">
        <w:rPr>
          <w:rStyle w:val="FootnoteReference"/>
          <w:lang w:val="es-ES"/>
        </w:rPr>
        <w:footnoteReference w:id="15"/>
      </w:r>
      <w:r w:rsidR="009554F1" w:rsidRPr="00862632">
        <w:rPr>
          <w:rStyle w:val="FootnoteReference"/>
          <w:lang w:val="es-ES"/>
        </w:rPr>
        <w:t xml:space="preserve"> </w:t>
      </w:r>
      <w:r w:rsidR="009554F1" w:rsidRPr="00862632">
        <w:rPr>
          <w:lang w:val="es-ES"/>
        </w:rPr>
        <w:t>(</w:t>
      </w:r>
      <w:r w:rsidR="00897365" w:rsidRPr="00862632">
        <w:rPr>
          <w:lang w:val="es-ES"/>
        </w:rPr>
        <w:t>por ejemplo</w:t>
      </w:r>
      <w:r w:rsidR="009554F1" w:rsidRPr="00862632">
        <w:rPr>
          <w:lang w:val="es-ES"/>
        </w:rPr>
        <w:t>, anchura de banda Internet internacional, longitud de fibra desplegada, número de servidores Internet), el contenido (</w:t>
      </w:r>
      <w:r w:rsidR="00897365" w:rsidRPr="00862632">
        <w:rPr>
          <w:lang w:val="es-ES"/>
        </w:rPr>
        <w:t>por ejemplo</w:t>
      </w:r>
      <w:r w:rsidR="009554F1" w:rsidRPr="00862632">
        <w:rPr>
          <w:lang w:val="es-ES"/>
        </w:rPr>
        <w:t>, número de sitios web, volumen de tráfico de datos transmitido o almacenado</w:t>
      </w:r>
      <w:r w:rsidR="009554F1" w:rsidRPr="00862632">
        <w:rPr>
          <w:rStyle w:val="FootnoteReference"/>
          <w:lang w:val="es-ES"/>
        </w:rPr>
        <w:footnoteReference w:id="16"/>
      </w:r>
      <w:r w:rsidR="009554F1" w:rsidRPr="00862632">
        <w:rPr>
          <w:lang w:val="es-ES"/>
        </w:rPr>
        <w:t xml:space="preserve">) y adopción de </w:t>
      </w:r>
      <w:r w:rsidR="00903174" w:rsidRPr="00862632">
        <w:rPr>
          <w:lang w:val="es-ES"/>
        </w:rPr>
        <w:t>Internet</w:t>
      </w:r>
      <w:r w:rsidR="009554F1" w:rsidRPr="00862632">
        <w:rPr>
          <w:lang w:val="es-ES"/>
        </w:rPr>
        <w:t xml:space="preserve"> (</w:t>
      </w:r>
      <w:r w:rsidR="00897365" w:rsidRPr="00862632">
        <w:rPr>
          <w:lang w:val="es-ES"/>
        </w:rPr>
        <w:t>por ejemplo</w:t>
      </w:r>
      <w:r w:rsidR="009554F1" w:rsidRPr="00862632">
        <w:rPr>
          <w:lang w:val="es-ES"/>
        </w:rPr>
        <w:t>, número de suscripciones Internet, número de suscripciones a la banda ancha fija e inalámbrica, número de usuarios de Internet</w:t>
      </w:r>
      <w:r w:rsidR="009554F1" w:rsidRPr="00862632">
        <w:rPr>
          <w:rStyle w:val="FootnoteReference"/>
          <w:lang w:val="es-ES"/>
        </w:rPr>
        <w:footnoteReference w:id="17"/>
      </w:r>
      <w:r w:rsidR="009554F1" w:rsidRPr="00862632">
        <w:rPr>
          <w:lang w:val="es-ES"/>
        </w:rPr>
        <w:t>) y diversas actividades llevadas a cabo a través de Internet (</w:t>
      </w:r>
      <w:r w:rsidR="00897365" w:rsidRPr="00862632">
        <w:rPr>
          <w:lang w:val="es-ES"/>
        </w:rPr>
        <w:t>por ejemplo,</w:t>
      </w:r>
      <w:r w:rsidR="009554F1" w:rsidRPr="00862632">
        <w:rPr>
          <w:lang w:val="es-ES"/>
        </w:rPr>
        <w:t xml:space="preserve"> integración de Internet en procesos comerciales o personales). Las escalas cualitativas son, entre otras, la medición del impacto de Internet en la transformación o invención de nuevos procesos comerciales y personales. </w:t>
      </w:r>
      <w:r w:rsidR="00903174" w:rsidRPr="00862632">
        <w:rPr>
          <w:lang w:val="es-ES"/>
        </w:rPr>
        <w:t>Diversos estudios sugieren que Internet está transformando la economía tanto a escala mundial como local. Internet contribuye a la economía mundial y crea oportunidades para comuni</w:t>
      </w:r>
      <w:r w:rsidR="00CE7D59" w:rsidRPr="00862632">
        <w:rPr>
          <w:lang w:val="es-ES"/>
        </w:rPr>
        <w:t>d</w:t>
      </w:r>
      <w:r w:rsidR="00903174" w:rsidRPr="00862632">
        <w:rPr>
          <w:lang w:val="es-ES"/>
        </w:rPr>
        <w:t>ades del mundo entero.</w:t>
      </w:r>
    </w:p>
    <w:p w:rsidR="009554F1" w:rsidRPr="00862632" w:rsidRDefault="00903174" w:rsidP="00A26E96">
      <w:pPr>
        <w:pStyle w:val="enumlev1"/>
        <w:rPr>
          <w:lang w:val="es-ES"/>
        </w:rPr>
      </w:pPr>
      <w:r w:rsidRPr="00862632">
        <w:rPr>
          <w:lang w:val="es-ES"/>
        </w:rPr>
        <w:t>d)</w:t>
      </w:r>
      <w:r w:rsidRPr="00862632">
        <w:rPr>
          <w:lang w:val="es-ES"/>
        </w:rPr>
        <w:tab/>
      </w:r>
      <w:r w:rsidR="009554F1" w:rsidRPr="00862632">
        <w:rPr>
          <w:lang w:val="es-ES"/>
        </w:rPr>
        <w:t>Internet se ha convertido también en vehículo de correos indeseados</w:t>
      </w:r>
      <w:r w:rsidRPr="00862632">
        <w:rPr>
          <w:lang w:val="es-ES"/>
        </w:rPr>
        <w:t xml:space="preserve"> (spam)</w:t>
      </w:r>
      <w:r w:rsidR="009554F1" w:rsidRPr="00862632">
        <w:rPr>
          <w:rStyle w:val="FootnoteReference"/>
          <w:lang w:val="es-ES"/>
        </w:rPr>
        <w:footnoteReference w:id="18"/>
      </w:r>
      <w:r w:rsidR="007D1436">
        <w:t xml:space="preserve">, </w:t>
      </w:r>
      <w:r w:rsidR="009554F1" w:rsidRPr="00862632">
        <w:rPr>
          <w:lang w:val="es-ES"/>
        </w:rPr>
        <w:t>pornografía infantil en línea y otros abusos contra los niños</w:t>
      </w:r>
      <w:r w:rsidR="009554F1" w:rsidRPr="00862632">
        <w:rPr>
          <w:rStyle w:val="FootnoteReference"/>
          <w:lang w:val="es-ES"/>
        </w:rPr>
        <w:footnoteReference w:id="19"/>
      </w:r>
      <w:r w:rsidR="009554F1" w:rsidRPr="00862632">
        <w:rPr>
          <w:lang w:val="es-ES"/>
        </w:rPr>
        <w:t>, robos de identidad y ciberdelincuencia</w:t>
      </w:r>
      <w:r w:rsidR="009554F1" w:rsidRPr="00862632">
        <w:rPr>
          <w:rStyle w:val="FootnoteReference"/>
          <w:lang w:val="es-ES"/>
        </w:rPr>
        <w:footnoteReference w:id="20"/>
      </w:r>
      <w:r w:rsidR="00843B6D" w:rsidRPr="00084229">
        <w:rPr>
          <w:rStyle w:val="FootnoteReference"/>
        </w:rPr>
        <w:t>,</w:t>
      </w:r>
      <w:r w:rsidRPr="00862632">
        <w:rPr>
          <w:rStyle w:val="FootnoteReference"/>
          <w:lang w:val="es-ES"/>
        </w:rPr>
        <w:footnoteReference w:id="21"/>
      </w:r>
      <w:r w:rsidR="00CE7D59" w:rsidRPr="00862632">
        <w:rPr>
          <w:lang w:val="es-ES"/>
        </w:rPr>
        <w:t>, ciberterrorismo</w:t>
      </w:r>
      <w:r w:rsidR="00DA7A1C" w:rsidRPr="00862632">
        <w:rPr>
          <w:lang w:val="es-ES"/>
        </w:rPr>
        <w:t xml:space="preserve">, así como la utilización de los recursos de Internet para fines incompatibles con la paz, la </w:t>
      </w:r>
      <w:r w:rsidR="00DA7A1C" w:rsidRPr="00843B6D">
        <w:t>estabilidad</w:t>
      </w:r>
      <w:r w:rsidR="00DA7A1C" w:rsidRPr="00862632">
        <w:rPr>
          <w:lang w:val="es-ES"/>
        </w:rPr>
        <w:t xml:space="preserve"> y la seguridad internacionales [origen: </w:t>
      </w:r>
      <w:hyperlink r:id="rId17" w:history="1">
        <w:r w:rsidR="00DA7A1C" w:rsidRPr="00B64CDB">
          <w:rPr>
            <w:rStyle w:val="Hyperlink"/>
            <w:lang w:val="es-ES"/>
          </w:rPr>
          <w:t>Federación de Rusia</w:t>
        </w:r>
      </w:hyperlink>
      <w:r w:rsidR="00DA7A1C" w:rsidRPr="00862632">
        <w:rPr>
          <w:rStyle w:val="FootnoteReference"/>
          <w:lang w:val="es-ES"/>
        </w:rPr>
        <w:footnoteReference w:id="22"/>
      </w:r>
      <w:r w:rsidR="00DA7A1C" w:rsidRPr="00862632">
        <w:rPr>
          <w:lang w:val="es-ES"/>
        </w:rPr>
        <w:t>].</w:t>
      </w:r>
      <w:r w:rsidR="00BA1F3F">
        <w:rPr>
          <w:lang w:val="es-ES"/>
        </w:rPr>
        <w:t xml:space="preserve"> </w:t>
      </w:r>
      <w:r w:rsidR="009554F1" w:rsidRPr="00862632">
        <w:rPr>
          <w:lang w:val="es-ES"/>
        </w:rPr>
        <w:t xml:space="preserve">De hecho, la falta de seguridad puede limitar la adopción generalizada de Internet y su utilización en beneficio de todos. Además, </w:t>
      </w:r>
      <w:r w:rsidR="00DA7A1C" w:rsidRPr="00862632">
        <w:rPr>
          <w:lang w:val="es-ES"/>
        </w:rPr>
        <w:t>el contenido en idiomas locales está muy asociado a un mayor uso de Internet en muchas partes del mundo</w:t>
      </w:r>
      <w:r w:rsidR="00DA7A1C" w:rsidRPr="00862632">
        <w:rPr>
          <w:rStyle w:val="FootnoteReference"/>
          <w:lang w:val="es-ES"/>
        </w:rPr>
        <w:footnoteReference w:id="23"/>
      </w:r>
      <w:r w:rsidR="00DA7A1C" w:rsidRPr="00862632">
        <w:rPr>
          <w:lang w:val="es-ES"/>
        </w:rPr>
        <w:t>, por lo que</w:t>
      </w:r>
      <w:r w:rsidR="009554F1" w:rsidRPr="00862632">
        <w:rPr>
          <w:lang w:val="es-ES"/>
        </w:rPr>
        <w:t xml:space="preserve"> la ausencia de contenido en idiomas locales también podría limitar </w:t>
      </w:r>
      <w:r w:rsidR="00DA7A1C" w:rsidRPr="00862632">
        <w:rPr>
          <w:lang w:val="es-ES"/>
        </w:rPr>
        <w:t>la demanda</w:t>
      </w:r>
      <w:r w:rsidR="009554F1" w:rsidRPr="00862632">
        <w:rPr>
          <w:lang w:val="es-ES"/>
        </w:rPr>
        <w:t xml:space="preserve"> [</w:t>
      </w:r>
      <w:r w:rsidR="007C1231">
        <w:rPr>
          <w:lang w:val="es-ES"/>
        </w:rPr>
        <w:t>origen</w:t>
      </w:r>
      <w:r w:rsidR="009554F1" w:rsidRPr="00862632">
        <w:rPr>
          <w:lang w:val="es-ES"/>
        </w:rPr>
        <w:t xml:space="preserve">: </w:t>
      </w:r>
      <w:hyperlink r:id="rId18" w:history="1">
        <w:r w:rsidR="009554F1" w:rsidRPr="00862632">
          <w:rPr>
            <w:rStyle w:val="Hyperlink"/>
            <w:rFonts w:cstheme="minorHAnsi"/>
            <w:szCs w:val="22"/>
            <w:lang w:val="es-ES"/>
          </w:rPr>
          <w:t>Arabia Saudita y Sudán</w:t>
        </w:r>
      </w:hyperlink>
      <w:r w:rsidR="009554F1" w:rsidRPr="00862632">
        <w:rPr>
          <w:rStyle w:val="FootnoteReference"/>
          <w:lang w:val="es-ES"/>
        </w:rPr>
        <w:footnoteReference w:id="24"/>
      </w:r>
      <w:r w:rsidR="009554F1" w:rsidRPr="00862632">
        <w:rPr>
          <w:lang w:val="es-ES"/>
        </w:rPr>
        <w:t>].</w:t>
      </w:r>
      <w:r w:rsidR="00DA7A1C" w:rsidRPr="00862632">
        <w:rPr>
          <w:lang w:val="es-ES"/>
        </w:rPr>
        <w:t xml:space="preserve"> </w:t>
      </w:r>
      <w:r w:rsidR="00177644" w:rsidRPr="00862632">
        <w:rPr>
          <w:lang w:val="es-ES"/>
        </w:rPr>
        <w:t>Se han invertido considerables esfuerzos en solucionar estos problemas en la UIT (por ejemplo, en diversas Comisiones de Estudio de la UIT, UIT-IMPACT) y</w:t>
      </w:r>
      <w:r w:rsidR="00BA1F3F">
        <w:rPr>
          <w:lang w:val="es-ES"/>
        </w:rPr>
        <w:t xml:space="preserve"> </w:t>
      </w:r>
      <w:r w:rsidR="00177644" w:rsidRPr="00862632">
        <w:rPr>
          <w:lang w:val="es-ES"/>
        </w:rPr>
        <w:t>en muchos otros foros, incluidos, por ejemplo, el Consejo de Europa, la Organización para la Cooperación y el Desarrollo Económico (OCDE), el Foro de Cooperación Económica Asia-Pacífico (APEC), el Foro de los equipos de respuesta en caso de incidentes de seguridad (FIRST), el Grupo de Trabajo contra los abusos en la mensajería (MAA</w:t>
      </w:r>
      <w:r w:rsidR="00E36D69" w:rsidRPr="00862632">
        <w:rPr>
          <w:lang w:val="es-ES"/>
        </w:rPr>
        <w:t>WG</w:t>
      </w:r>
      <w:r w:rsidR="00177644" w:rsidRPr="00862632">
        <w:rPr>
          <w:lang w:val="es-ES"/>
        </w:rPr>
        <w:t>), el Grupo de Trabajo contra la suplantación de identidad y el Grupo</w:t>
      </w:r>
      <w:r w:rsidR="00A536FC" w:rsidRPr="00862632">
        <w:rPr>
          <w:lang w:val="es-ES"/>
        </w:rPr>
        <w:t xml:space="preserve"> de Expertos Gubernamentales (GGE) del Comité 1 de la Asamblea General de las Naciones Unidas, que tratan temas relacionados con los ciberdelitos, el fraude y la pornografía infantil. Hay una estrecha relación entre el desarrollo de la infraestructura de red local y el crecimiento del contenido local. Como resultado de las inversiones efectuadas en todo el mundo, el contenido local está creciendo en volumen. Además, su composición está cambiando, hoy en día, el contenido ya no está dominado por los países desarrollados, sino que es más representativo de la diversidad de las muchas culturas, idiomas y comunidades que existen en el planeta</w:t>
      </w:r>
      <w:r w:rsidR="00A536FC" w:rsidRPr="00862632">
        <w:rPr>
          <w:rStyle w:val="FootnoteReference"/>
          <w:lang w:val="es-ES"/>
        </w:rPr>
        <w:footnoteReference w:id="25"/>
      </w:r>
      <w:r w:rsidR="00A536FC" w:rsidRPr="00862632">
        <w:rPr>
          <w:lang w:val="es-ES"/>
        </w:rPr>
        <w:t xml:space="preserve"> [origen: </w:t>
      </w:r>
      <w:hyperlink r:id="rId19" w:history="1">
        <w:r w:rsidR="00A26E96" w:rsidRPr="00A26E96">
          <w:rPr>
            <w:rStyle w:val="Hyperlink"/>
            <w:lang w:val="es-ES"/>
          </w:rPr>
          <w:t>EE.UU.</w:t>
        </w:r>
      </w:hyperlink>
      <w:r w:rsidR="00A536FC" w:rsidRPr="00862632">
        <w:rPr>
          <w:rStyle w:val="FootnoteReference"/>
          <w:lang w:val="es-ES"/>
        </w:rPr>
        <w:footnoteReference w:id="26"/>
      </w:r>
      <w:r w:rsidR="00A536FC" w:rsidRPr="00862632">
        <w:rPr>
          <w:lang w:val="es-ES"/>
        </w:rPr>
        <w:t>]</w:t>
      </w:r>
      <w:r w:rsidR="00C968E8">
        <w:rPr>
          <w:lang w:val="es-ES"/>
        </w:rPr>
        <w:t>.</w:t>
      </w:r>
    </w:p>
    <w:p w:rsidR="009554F1" w:rsidRPr="00862632" w:rsidRDefault="00A536FC" w:rsidP="00843B6D">
      <w:pPr>
        <w:pStyle w:val="enumlev1"/>
        <w:rPr>
          <w:lang w:val="es-ES"/>
        </w:rPr>
      </w:pPr>
      <w:r w:rsidRPr="00862632">
        <w:rPr>
          <w:lang w:val="es-ES"/>
        </w:rPr>
        <w:t>e</w:t>
      </w:r>
      <w:r w:rsidR="00056910" w:rsidRPr="00862632">
        <w:rPr>
          <w:lang w:val="es-ES"/>
        </w:rPr>
        <w:t>)</w:t>
      </w:r>
      <w:r w:rsidR="00056910" w:rsidRPr="00862632">
        <w:rPr>
          <w:lang w:val="es-ES"/>
        </w:rPr>
        <w:tab/>
      </w:r>
      <w:r w:rsidR="00E42C4E" w:rsidRPr="00862632">
        <w:rPr>
          <w:lang w:val="es-ES"/>
        </w:rPr>
        <w:t xml:space="preserve">De </w:t>
      </w:r>
      <w:r w:rsidR="00E42C4E" w:rsidRPr="00843B6D">
        <w:t>hecho</w:t>
      </w:r>
      <w:r w:rsidR="00E42C4E" w:rsidRPr="00862632">
        <w:rPr>
          <w:lang w:val="es-ES"/>
        </w:rPr>
        <w:t xml:space="preserve">, </w:t>
      </w:r>
      <w:r w:rsidR="009554F1" w:rsidRPr="00862632">
        <w:rPr>
          <w:lang w:val="es-ES"/>
        </w:rPr>
        <w:t xml:space="preserve">Internet </w:t>
      </w:r>
      <w:r w:rsidR="00E42C4E" w:rsidRPr="00862632">
        <w:rPr>
          <w:lang w:val="es-ES"/>
        </w:rPr>
        <w:t>está hoy disponible en casi todos los países</w:t>
      </w:r>
      <w:r w:rsidR="009554F1" w:rsidRPr="00862632">
        <w:rPr>
          <w:lang w:val="es-ES"/>
        </w:rPr>
        <w:t xml:space="preserve"> y soporta aplicaciones que afectan a prácticamente todos los aspectos de la sociedad. Se ha convertido en una parte vital de la infraestructura </w:t>
      </w:r>
      <w:r w:rsidR="00E42C4E" w:rsidRPr="00862632">
        <w:rPr>
          <w:lang w:val="es-ES"/>
        </w:rPr>
        <w:t xml:space="preserve">esencial de la información </w:t>
      </w:r>
      <w:r w:rsidR="009554F1" w:rsidRPr="00862632">
        <w:rPr>
          <w:lang w:val="es-ES"/>
        </w:rPr>
        <w:t xml:space="preserve">nacional y uno de los </w:t>
      </w:r>
      <w:r w:rsidR="00E42C4E" w:rsidRPr="00862632">
        <w:rPr>
          <w:lang w:val="es-ES"/>
        </w:rPr>
        <w:t xml:space="preserve">principales </w:t>
      </w:r>
      <w:r w:rsidR="009554F1" w:rsidRPr="00862632">
        <w:rPr>
          <w:lang w:val="es-ES"/>
        </w:rPr>
        <w:t>motores del crecimiento y el desarrollo socioeconómicos. Se ha estimado que un aumento de 10% de la penetración de la banda ancha genera un aumento medio de entre 1,21</w:t>
      </w:r>
      <w:r w:rsidR="00084229">
        <w:rPr>
          <w:lang w:val="es-ES"/>
        </w:rPr>
        <w:t>%</w:t>
      </w:r>
      <w:r w:rsidR="009554F1" w:rsidRPr="00862632">
        <w:rPr>
          <w:lang w:val="es-ES"/>
        </w:rPr>
        <w:t xml:space="preserve"> y 1,38% del producto nacional bruto (PNB) respectivamente en los países de ingresos elevados y bajos/medios (Banco Mundial, 2009). En los estudios de casos de países </w:t>
      </w:r>
      <w:r w:rsidR="00084229">
        <w:rPr>
          <w:lang w:val="es-ES"/>
        </w:rPr>
        <w:t xml:space="preserve">se </w:t>
      </w:r>
      <w:r w:rsidR="009554F1" w:rsidRPr="00862632">
        <w:rPr>
          <w:lang w:val="es-ES"/>
        </w:rPr>
        <w:t>arrojan estimaciones similares en determinados países (</w:t>
      </w:r>
      <w:r w:rsidR="00897365" w:rsidRPr="00862632">
        <w:rPr>
          <w:lang w:val="es-ES"/>
        </w:rPr>
        <w:t>por ejemplo</w:t>
      </w:r>
      <w:r w:rsidR="009554F1" w:rsidRPr="00862632">
        <w:rPr>
          <w:lang w:val="es-ES"/>
        </w:rPr>
        <w:t>, Panamá, Filipinas y Turquía</w:t>
      </w:r>
      <w:r w:rsidR="009554F1" w:rsidRPr="00862632">
        <w:rPr>
          <w:rStyle w:val="FootnoteReference"/>
          <w:lang w:val="es-ES"/>
        </w:rPr>
        <w:footnoteReference w:id="27"/>
      </w:r>
      <w:r w:rsidR="009554F1" w:rsidRPr="00862632">
        <w:rPr>
          <w:lang w:val="es-ES"/>
        </w:rPr>
        <w:t>).</w:t>
      </w:r>
    </w:p>
    <w:p w:rsidR="009554F1" w:rsidRPr="00862632" w:rsidRDefault="00E42C4E" w:rsidP="00084229">
      <w:pPr>
        <w:pStyle w:val="enumlev1"/>
        <w:rPr>
          <w:lang w:val="es-ES"/>
        </w:rPr>
      </w:pPr>
      <w:r w:rsidRPr="00862632">
        <w:rPr>
          <w:lang w:val="es-ES"/>
        </w:rPr>
        <w:t>f</w:t>
      </w:r>
      <w:r w:rsidR="00056910" w:rsidRPr="00862632">
        <w:rPr>
          <w:lang w:val="es-ES"/>
        </w:rPr>
        <w:t>)</w:t>
      </w:r>
      <w:r w:rsidR="00056910" w:rsidRPr="00862632">
        <w:rPr>
          <w:lang w:val="es-ES"/>
        </w:rPr>
        <w:tab/>
      </w:r>
      <w:r w:rsidR="009554F1" w:rsidRPr="00862632">
        <w:rPr>
          <w:lang w:val="es-ES"/>
        </w:rPr>
        <w:t xml:space="preserve">El número total de usuarios de Internet ascendía a unos 2 300 millones </w:t>
      </w:r>
      <w:r w:rsidRPr="00862632">
        <w:rPr>
          <w:lang w:val="es-ES"/>
        </w:rPr>
        <w:t xml:space="preserve">en todo el mundo </w:t>
      </w:r>
      <w:r w:rsidR="009554F1" w:rsidRPr="00862632">
        <w:rPr>
          <w:lang w:val="es-ES"/>
        </w:rPr>
        <w:t>a finales de 2011 (Figura 1, iz</w:t>
      </w:r>
      <w:r w:rsidR="00897365" w:rsidRPr="00862632">
        <w:rPr>
          <w:lang w:val="es-ES"/>
        </w:rPr>
        <w:t>quier</w:t>
      </w:r>
      <w:r w:rsidR="009554F1" w:rsidRPr="00862632">
        <w:rPr>
          <w:lang w:val="es-ES"/>
        </w:rPr>
        <w:t>da). El número total de suscripciones a la banda ancha móvil ascendía a</w:t>
      </w:r>
      <w:r w:rsidR="00084229">
        <w:rPr>
          <w:lang w:val="es-ES"/>
        </w:rPr>
        <w:t> </w:t>
      </w:r>
      <w:r w:rsidR="009554F1" w:rsidRPr="00862632">
        <w:rPr>
          <w:lang w:val="es-ES"/>
        </w:rPr>
        <w:t>1 19</w:t>
      </w:r>
      <w:r w:rsidRPr="00862632">
        <w:rPr>
          <w:lang w:val="es-ES"/>
        </w:rPr>
        <w:t>0</w:t>
      </w:r>
      <w:r w:rsidR="009554F1" w:rsidRPr="00862632">
        <w:rPr>
          <w:lang w:val="es-ES"/>
        </w:rPr>
        <w:t> millones. El inglés y el chino son los idiomas más utilizados en Internet. En mayo de 2011 (Figura 1, d</w:t>
      </w:r>
      <w:r w:rsidR="00897365" w:rsidRPr="00862632">
        <w:rPr>
          <w:lang w:val="es-ES"/>
        </w:rPr>
        <w:t>ere</w:t>
      </w:r>
      <w:r w:rsidR="009554F1" w:rsidRPr="00862632">
        <w:rPr>
          <w:lang w:val="es-ES"/>
        </w:rPr>
        <w:t>cha) representaban respectivamente unos 565 millones y 510 millones, o 27% y</w:t>
      </w:r>
      <w:r w:rsidR="00084229">
        <w:rPr>
          <w:lang w:val="es-ES"/>
        </w:rPr>
        <w:t> </w:t>
      </w:r>
      <w:r w:rsidR="009554F1" w:rsidRPr="00862632">
        <w:rPr>
          <w:lang w:val="es-ES"/>
        </w:rPr>
        <w:t xml:space="preserve">24%, del número total de usuarios de </w:t>
      </w:r>
      <w:r w:rsidR="009554F1" w:rsidRPr="00843B6D">
        <w:t>Internet</w:t>
      </w:r>
      <w:r w:rsidR="009554F1" w:rsidRPr="00862632">
        <w:rPr>
          <w:lang w:val="es-ES"/>
        </w:rPr>
        <w:t>, y el español ocupaba el tercer puesto a bastante distancia. Si se mantiene la tasa de crecimiento actual</w:t>
      </w:r>
      <w:r w:rsidR="009554F1" w:rsidRPr="00862632">
        <w:rPr>
          <w:rStyle w:val="FootnoteReference"/>
          <w:lang w:val="es-ES"/>
        </w:rPr>
        <w:footnoteReference w:id="28"/>
      </w:r>
      <w:r w:rsidR="009554F1" w:rsidRPr="00862632">
        <w:rPr>
          <w:lang w:val="es-ES"/>
        </w:rPr>
        <w:t>, el número de usuarios de Internet que lo utilizan principalmente en chino rebasará en 2015 el de usuarios que lo utilizan principalmente en inglés.</w:t>
      </w:r>
    </w:p>
    <w:p w:rsidR="009554F1" w:rsidRPr="00862632" w:rsidRDefault="00E42C4E" w:rsidP="00843B6D">
      <w:pPr>
        <w:pStyle w:val="enumlev1"/>
        <w:rPr>
          <w:lang w:val="es-ES"/>
        </w:rPr>
      </w:pPr>
      <w:r w:rsidRPr="00862632">
        <w:rPr>
          <w:lang w:val="es-ES"/>
        </w:rPr>
        <w:t>g</w:t>
      </w:r>
      <w:r w:rsidR="00056910" w:rsidRPr="00862632">
        <w:rPr>
          <w:lang w:val="es-ES"/>
        </w:rPr>
        <w:t>)</w:t>
      </w:r>
      <w:r w:rsidR="00056910" w:rsidRPr="00862632">
        <w:rPr>
          <w:lang w:val="es-ES"/>
        </w:rPr>
        <w:tab/>
      </w:r>
      <w:r w:rsidR="001758C7" w:rsidRPr="00862632">
        <w:rPr>
          <w:lang w:val="es-ES"/>
        </w:rPr>
        <w:t>E</w:t>
      </w:r>
      <w:r w:rsidR="009554F1" w:rsidRPr="00862632">
        <w:rPr>
          <w:lang w:val="es-ES"/>
        </w:rPr>
        <w:t>l fuerte y constante crecimiento de Internet se debe</w:t>
      </w:r>
      <w:r w:rsidR="001758C7" w:rsidRPr="00862632">
        <w:rPr>
          <w:lang w:val="es-ES"/>
        </w:rPr>
        <w:t xml:space="preserve"> al trabajo de varias generaciones de ingenieros, empresarios, innovadores e inversores de muchas partes del mundo. El camino del éxito de sus </w:t>
      </w:r>
      <w:r w:rsidR="001758C7" w:rsidRPr="00843B6D">
        <w:t>innovaciones</w:t>
      </w:r>
      <w:r w:rsidR="001758C7" w:rsidRPr="00862632">
        <w:rPr>
          <w:lang w:val="es-ES"/>
        </w:rPr>
        <w:t xml:space="preserve"> y del crecimiento de Internet se ha allanado recientemente gracias a</w:t>
      </w:r>
      <w:r w:rsidR="009554F1" w:rsidRPr="00862632">
        <w:rPr>
          <w:lang w:val="es-ES"/>
        </w:rPr>
        <w:t xml:space="preserve"> las reformas introducidas en el mercado </w:t>
      </w:r>
      <w:r w:rsidR="001758C7" w:rsidRPr="00862632">
        <w:rPr>
          <w:lang w:val="es-ES"/>
        </w:rPr>
        <w:t>en las décadas de 1980 y 1990, que contribuyeron a sustituir a los operadores en régimen de monopolio estatal por mercados competitivos y liberalizados y la participación del sector privado. Esas reformas incluyen</w:t>
      </w:r>
      <w:r w:rsidR="009554F1" w:rsidRPr="00862632">
        <w:rPr>
          <w:lang w:val="es-ES"/>
        </w:rPr>
        <w:t xml:space="preserve"> la apertura del mercado </w:t>
      </w:r>
      <w:r w:rsidR="001758C7" w:rsidRPr="00862632">
        <w:rPr>
          <w:lang w:val="es-ES"/>
        </w:rPr>
        <w:t>y la</w:t>
      </w:r>
      <w:r w:rsidR="009554F1" w:rsidRPr="00862632">
        <w:rPr>
          <w:lang w:val="es-ES"/>
        </w:rPr>
        <w:t xml:space="preserve"> introducción de la competencia</w:t>
      </w:r>
      <w:r w:rsidR="009554F1" w:rsidRPr="00862632">
        <w:rPr>
          <w:rStyle w:val="FootnoteReference"/>
          <w:lang w:val="es-ES"/>
        </w:rPr>
        <w:footnoteReference w:id="29"/>
      </w:r>
      <w:r w:rsidR="000D6684" w:rsidRPr="00862632">
        <w:rPr>
          <w:lang w:val="es-ES"/>
        </w:rPr>
        <w:t>,</w:t>
      </w:r>
      <w:r w:rsidR="009554F1" w:rsidRPr="00862632">
        <w:rPr>
          <w:lang w:val="es-ES"/>
        </w:rPr>
        <w:t xml:space="preserve"> los acuerdos de facturación para la transferencia de tráfico de telecomunicaciones internacional, </w:t>
      </w:r>
      <w:r w:rsidR="001758C7" w:rsidRPr="00862632">
        <w:rPr>
          <w:lang w:val="es-ES"/>
        </w:rPr>
        <w:t xml:space="preserve">la </w:t>
      </w:r>
      <w:r w:rsidR="009554F1" w:rsidRPr="00862632">
        <w:rPr>
          <w:lang w:val="es-ES"/>
        </w:rPr>
        <w:t xml:space="preserve">liberalización del mercado, </w:t>
      </w:r>
      <w:r w:rsidR="001758C7" w:rsidRPr="00862632">
        <w:rPr>
          <w:lang w:val="es-ES"/>
        </w:rPr>
        <w:t xml:space="preserve">la </w:t>
      </w:r>
      <w:r w:rsidR="009554F1" w:rsidRPr="00862632">
        <w:rPr>
          <w:lang w:val="es-ES"/>
        </w:rPr>
        <w:t xml:space="preserve">participación del sector privado en los mercados de telecomunicaciones, e incluso </w:t>
      </w:r>
      <w:r w:rsidR="001758C7" w:rsidRPr="00862632">
        <w:rPr>
          <w:lang w:val="es-ES"/>
        </w:rPr>
        <w:t xml:space="preserve">la </w:t>
      </w:r>
      <w:r w:rsidR="009554F1" w:rsidRPr="00862632">
        <w:rPr>
          <w:lang w:val="es-ES"/>
        </w:rPr>
        <w:t>privatización de los mismos</w:t>
      </w:r>
      <w:r w:rsidR="009554F1" w:rsidRPr="00862632">
        <w:rPr>
          <w:vertAlign w:val="superscript"/>
          <w:lang w:val="es-ES"/>
        </w:rPr>
        <w:footnoteReference w:id="30"/>
      </w:r>
      <w:r w:rsidR="009554F1" w:rsidRPr="00862632">
        <w:rPr>
          <w:lang w:val="es-ES"/>
        </w:rPr>
        <w:t xml:space="preserve">. En efecto, </w:t>
      </w:r>
      <w:r w:rsidR="001758C7" w:rsidRPr="00862632">
        <w:rPr>
          <w:lang w:val="es-ES"/>
        </w:rPr>
        <w:t xml:space="preserve">en todo el mundo </w:t>
      </w:r>
      <w:r w:rsidR="009554F1" w:rsidRPr="00862632">
        <w:rPr>
          <w:lang w:val="es-ES"/>
        </w:rPr>
        <w:t xml:space="preserve">los mercados móviles han contado con una mayor </w:t>
      </w:r>
      <w:r w:rsidR="001758C7" w:rsidRPr="00862632">
        <w:rPr>
          <w:lang w:val="es-ES"/>
        </w:rPr>
        <w:t>competencia</w:t>
      </w:r>
      <w:r w:rsidR="009554F1" w:rsidRPr="00862632">
        <w:rPr>
          <w:lang w:val="es-ES"/>
        </w:rPr>
        <w:t xml:space="preserve"> (en comparación, por ejemplo, con los mercados de líneas fijas) y han experimentado las tasas de crecimiento más elevadas y sostenidas de todos los sectores de las TIC</w:t>
      </w:r>
      <w:r w:rsidR="009554F1" w:rsidRPr="00862632">
        <w:rPr>
          <w:rStyle w:val="FootnoteReference"/>
          <w:lang w:val="es-ES"/>
        </w:rPr>
        <w:footnoteReference w:id="31"/>
      </w:r>
      <w:r w:rsidR="009554F1" w:rsidRPr="00862632">
        <w:rPr>
          <w:lang w:val="es-ES"/>
        </w:rPr>
        <w:t>.</w:t>
      </w:r>
    </w:p>
    <w:p w:rsidR="001758C7" w:rsidRPr="00862632" w:rsidRDefault="001758C7" w:rsidP="00A26E96">
      <w:pPr>
        <w:pStyle w:val="enumlev1"/>
        <w:rPr>
          <w:lang w:val="es-ES"/>
        </w:rPr>
      </w:pPr>
      <w:r w:rsidRPr="00862632">
        <w:rPr>
          <w:lang w:val="es-ES"/>
        </w:rPr>
        <w:t>h)</w:t>
      </w:r>
      <w:r w:rsidRPr="00862632">
        <w:rPr>
          <w:lang w:val="es-ES"/>
        </w:rPr>
        <w:tab/>
        <w:t>Se ha podido ampliar la infraestructura en gran parte gracias a las inversiones realizadas por gobiernos, inversores y, sobretodo, los operadores de red, que construyen y mantienen la infraestructura mundial de la información. Estudios recientes muestran que, si bien el tráfico de Internet está aumentando, el costo de utilización por abonado de la red fija se mantiene a un nivel bastante constante</w:t>
      </w:r>
      <w:r w:rsidRPr="00862632">
        <w:rPr>
          <w:rStyle w:val="FootnoteReference"/>
          <w:lang w:val="es-ES"/>
        </w:rPr>
        <w:footnoteReference w:id="32"/>
      </w:r>
      <w:r w:rsidR="00C968E8">
        <w:rPr>
          <w:lang w:val="es-ES"/>
        </w:rPr>
        <w:t xml:space="preserve"> </w:t>
      </w:r>
      <w:r w:rsidR="008534F5" w:rsidRPr="00862632">
        <w:rPr>
          <w:lang w:val="es-ES"/>
        </w:rPr>
        <w:t xml:space="preserve">[origen: </w:t>
      </w:r>
      <w:hyperlink r:id="rId20" w:history="1">
        <w:r w:rsidR="00A26E96" w:rsidRPr="00A26E96">
          <w:rPr>
            <w:rStyle w:val="Hyperlink"/>
            <w:lang w:val="es-ES"/>
          </w:rPr>
          <w:t>EE.UU.</w:t>
        </w:r>
      </w:hyperlink>
      <w:r w:rsidR="008534F5" w:rsidRPr="00862632">
        <w:rPr>
          <w:rStyle w:val="FootnoteReference"/>
          <w:lang w:val="es-ES"/>
        </w:rPr>
        <w:footnoteReference w:id="33"/>
      </w:r>
      <w:r w:rsidR="008534F5" w:rsidRPr="00862632">
        <w:rPr>
          <w:lang w:val="es-ES"/>
        </w:rPr>
        <w:t>].</w:t>
      </w:r>
    </w:p>
    <w:p w:rsidR="009554F1" w:rsidRPr="00862632" w:rsidRDefault="008534F5" w:rsidP="00843B6D">
      <w:pPr>
        <w:pStyle w:val="enumlev1"/>
        <w:rPr>
          <w:lang w:val="es-ES"/>
        </w:rPr>
      </w:pPr>
      <w:r w:rsidRPr="00862632">
        <w:rPr>
          <w:lang w:val="es-ES"/>
        </w:rPr>
        <w:t>i</w:t>
      </w:r>
      <w:r w:rsidR="00056910" w:rsidRPr="00862632">
        <w:rPr>
          <w:lang w:val="es-ES"/>
        </w:rPr>
        <w:t>)</w:t>
      </w:r>
      <w:r w:rsidR="00056910" w:rsidRPr="00862632">
        <w:rPr>
          <w:lang w:val="es-ES"/>
        </w:rPr>
        <w:tab/>
      </w:r>
      <w:r w:rsidR="009554F1" w:rsidRPr="00862632">
        <w:rPr>
          <w:lang w:val="es-ES"/>
        </w:rPr>
        <w:t xml:space="preserve">En el punto 50 de la </w:t>
      </w:r>
      <w:r w:rsidR="009554F1" w:rsidRPr="00862632">
        <w:rPr>
          <w:i/>
          <w:iCs/>
          <w:lang w:val="es-ES"/>
        </w:rPr>
        <w:t>Agenda de Túnez</w:t>
      </w:r>
      <w:r w:rsidR="009554F1" w:rsidRPr="00862632">
        <w:rPr>
          <w:lang w:val="es-ES"/>
        </w:rPr>
        <w:t xml:space="preserve"> se reconoce el importante papel que desempeñan las centrales Internet (IXP), y son cada vez más evidentes las disminuciones de costes y los aumentos de rendimiento significativos generados por el desarrollo de IXP en algunos mercados emergentes (por ejemplo, Kenya y Nigeria, donde se ha observado que la reducción de los costes del tráfico de telecomunicaciones, la disminución de la latencia del tráfico local, el aumento del volumen del contenido local y la mayor utilización de Internet coinciden con el establecimiento y las actividades de IXP en esos países</w:t>
      </w:r>
      <w:r w:rsidR="009554F1" w:rsidRPr="00862632">
        <w:rPr>
          <w:rStyle w:val="FootnoteReference"/>
          <w:lang w:val="es-ES"/>
        </w:rPr>
        <w:footnoteReference w:id="34"/>
      </w:r>
      <w:r w:rsidR="009554F1" w:rsidRPr="00862632">
        <w:rPr>
          <w:lang w:val="es-ES"/>
        </w:rPr>
        <w:t>).</w:t>
      </w:r>
    </w:p>
    <w:p w:rsidR="00344D10" w:rsidRPr="00862632" w:rsidRDefault="008534F5" w:rsidP="00843B6D">
      <w:pPr>
        <w:pStyle w:val="enumlev1"/>
        <w:rPr>
          <w:lang w:val="es-ES"/>
        </w:rPr>
      </w:pPr>
      <w:r w:rsidRPr="00862632">
        <w:rPr>
          <w:lang w:val="es-ES"/>
        </w:rPr>
        <w:t>j</w:t>
      </w:r>
      <w:r w:rsidR="00056910" w:rsidRPr="00862632">
        <w:rPr>
          <w:lang w:val="es-ES"/>
        </w:rPr>
        <w:t>)</w:t>
      </w:r>
      <w:r w:rsidR="00056910" w:rsidRPr="00862632">
        <w:rPr>
          <w:lang w:val="es-ES"/>
        </w:rPr>
        <w:tab/>
      </w:r>
      <w:r w:rsidR="009554F1" w:rsidRPr="00862632">
        <w:rPr>
          <w:lang w:val="es-ES"/>
        </w:rPr>
        <w:t xml:space="preserve">El aumento de la utilización de Internet </w:t>
      </w:r>
      <w:r w:rsidRPr="00862632">
        <w:rPr>
          <w:lang w:val="es-ES"/>
        </w:rPr>
        <w:t xml:space="preserve">aumenta el valor de la red como resultado del </w:t>
      </w:r>
      <w:r w:rsidR="00BC5045">
        <w:rPr>
          <w:lang w:val="es-ES"/>
        </w:rPr>
        <w:t>"</w:t>
      </w:r>
      <w:r w:rsidRPr="00862632">
        <w:rPr>
          <w:lang w:val="es-ES"/>
        </w:rPr>
        <w:t>efecto de red</w:t>
      </w:r>
      <w:r w:rsidR="00BC5045">
        <w:rPr>
          <w:lang w:val="es-ES"/>
        </w:rPr>
        <w:t>"</w:t>
      </w:r>
      <w:r w:rsidRPr="00862632">
        <w:rPr>
          <w:rStyle w:val="FootnoteReference"/>
          <w:lang w:val="es-ES"/>
        </w:rPr>
        <w:footnoteReference w:id="35"/>
      </w:r>
      <w:r w:rsidRPr="00862632">
        <w:rPr>
          <w:lang w:val="es-ES"/>
        </w:rPr>
        <w:t xml:space="preserve"> y de la Ley de Metcalfe</w:t>
      </w:r>
      <w:r w:rsidRPr="00862632">
        <w:rPr>
          <w:rStyle w:val="FootnoteReference"/>
          <w:lang w:val="es-ES"/>
        </w:rPr>
        <w:footnoteReference w:id="36"/>
      </w:r>
      <w:r w:rsidRPr="00862632">
        <w:rPr>
          <w:lang w:val="es-ES"/>
        </w:rPr>
        <w:t>. Este valor creciente fomenta el desarrollo de</w:t>
      </w:r>
      <w:r w:rsidR="009554F1" w:rsidRPr="00862632">
        <w:rPr>
          <w:lang w:val="es-ES"/>
        </w:rPr>
        <w:t xml:space="preserve"> aplicaciones y servicios </w:t>
      </w:r>
      <w:r w:rsidR="009554F1" w:rsidRPr="00843B6D">
        <w:t>adicionales</w:t>
      </w:r>
      <w:r w:rsidR="009554F1" w:rsidRPr="00862632">
        <w:rPr>
          <w:lang w:val="es-ES"/>
        </w:rPr>
        <w:t xml:space="preserve"> basados en su arquitectura y el p</w:t>
      </w:r>
      <w:r w:rsidRPr="00862632">
        <w:rPr>
          <w:lang w:val="es-ES"/>
        </w:rPr>
        <w:t xml:space="preserve">rincipio de </w:t>
      </w:r>
      <w:r w:rsidR="00BC5045">
        <w:rPr>
          <w:lang w:val="es-ES"/>
        </w:rPr>
        <w:t>"</w:t>
      </w:r>
      <w:r w:rsidRPr="00862632">
        <w:rPr>
          <w:lang w:val="es-ES"/>
        </w:rPr>
        <w:t>extremo a extremo</w:t>
      </w:r>
      <w:r w:rsidR="00BC5045">
        <w:rPr>
          <w:lang w:val="es-ES"/>
        </w:rPr>
        <w:t>"</w:t>
      </w:r>
      <w:r w:rsidR="009554F1" w:rsidRPr="00862632">
        <w:rPr>
          <w:lang w:val="es-ES"/>
        </w:rPr>
        <w:t xml:space="preserve">, como por ejemplo la utilización del correo electrónico y mensajería de texto, voz por IP (VoIP), vídeo en flujo continuo y en tiempo real, TV por Internet (IPTV), redes sociales, capacidades de búsqueda, libros electrónicos, cibergobierno, ciberenseñanza, cibersalud, etc. </w:t>
      </w:r>
      <w:r w:rsidR="00084229" w:rsidRPr="00862632">
        <w:rPr>
          <w:lang w:val="es-ES"/>
        </w:rPr>
        <w:t xml:space="preserve">En </w:t>
      </w:r>
      <w:r w:rsidR="009554F1" w:rsidRPr="00862632">
        <w:rPr>
          <w:lang w:val="es-ES"/>
        </w:rPr>
        <w:t>2011 había 135,4 millones de abonados a la VoIP y 60 millones de abonados a la IPTV en todo el mundo</w:t>
      </w:r>
      <w:r w:rsidR="009554F1" w:rsidRPr="00862632">
        <w:rPr>
          <w:rStyle w:val="FootnoteReference"/>
          <w:lang w:val="es-ES"/>
        </w:rPr>
        <w:footnoteReference w:id="37"/>
      </w:r>
      <w:r w:rsidR="009554F1" w:rsidRPr="00862632">
        <w:rPr>
          <w:lang w:val="es-ES"/>
        </w:rPr>
        <w:t>.</w:t>
      </w:r>
    </w:p>
    <w:p w:rsidR="00344D10" w:rsidRPr="00862632" w:rsidRDefault="009554F1" w:rsidP="00633AD5">
      <w:pPr>
        <w:pStyle w:val="FigureNotitle"/>
        <w:keepNext/>
        <w:spacing w:before="180"/>
        <w:rPr>
          <w:rFonts w:asciiTheme="minorHAnsi" w:hAnsiTheme="minorHAnsi" w:cstheme="minorHAnsi"/>
          <w:szCs w:val="22"/>
          <w:lang w:val="es-ES" w:eastAsia="zh-CN"/>
        </w:rPr>
      </w:pPr>
      <w:r w:rsidRPr="00862632">
        <w:rPr>
          <w:rFonts w:asciiTheme="minorHAnsi" w:hAnsiTheme="minorHAnsi" w:cstheme="minorHAnsi"/>
          <w:szCs w:val="22"/>
          <w:lang w:val="es-ES" w:eastAsia="zh-CN"/>
        </w:rPr>
        <w:t>Figura 1</w:t>
      </w:r>
      <w:r w:rsidR="00056910" w:rsidRPr="00862632">
        <w:rPr>
          <w:rFonts w:asciiTheme="minorHAnsi" w:hAnsiTheme="minorHAnsi" w:cstheme="minorHAnsi"/>
          <w:szCs w:val="22"/>
          <w:lang w:val="es-ES" w:eastAsia="zh-CN"/>
        </w:rPr>
        <w:t xml:space="preserve"> –</w:t>
      </w:r>
      <w:r w:rsidRPr="00862632">
        <w:rPr>
          <w:rFonts w:asciiTheme="minorHAnsi" w:hAnsiTheme="minorHAnsi" w:cstheme="minorHAnsi"/>
          <w:szCs w:val="22"/>
          <w:lang w:val="es-ES" w:eastAsia="zh-CN"/>
        </w:rPr>
        <w:t xml:space="preserve"> Número total de usuarios de Internet por región geográfica y por idioma, 2011</w:t>
      </w:r>
    </w:p>
    <w:p w:rsidR="009554F1" w:rsidRPr="00862632" w:rsidRDefault="009554F1" w:rsidP="00344D10">
      <w:pPr>
        <w:pStyle w:val="Default"/>
        <w:ind w:left="426"/>
        <w:jc w:val="center"/>
        <w:rPr>
          <w:rFonts w:asciiTheme="minorHAnsi" w:hAnsiTheme="minorHAnsi" w:cstheme="minorHAnsi"/>
          <w:color w:val="auto"/>
          <w:sz w:val="22"/>
          <w:lang w:val="es-ES" w:eastAsia="zh-CN"/>
        </w:rPr>
      </w:pPr>
      <w:r w:rsidRPr="00862632">
        <w:rPr>
          <w:rFonts w:asciiTheme="minorHAnsi" w:hAnsiTheme="minorHAnsi" w:cstheme="minorHAnsi"/>
          <w:noProof/>
          <w:color w:val="auto"/>
          <w:sz w:val="22"/>
          <w:lang w:eastAsia="zh-CN"/>
        </w:rPr>
        <w:drawing>
          <wp:inline distT="0" distB="0" distL="0" distR="0" wp14:anchorId="2C8776CB" wp14:editId="63E5272E">
            <wp:extent cx="3130658" cy="2098205"/>
            <wp:effectExtent l="19050" t="0" r="0" b="0"/>
            <wp:docPr id="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1" cstate="print"/>
                    <a:srcRect/>
                    <a:stretch>
                      <a:fillRect/>
                    </a:stretch>
                  </pic:blipFill>
                  <pic:spPr bwMode="auto">
                    <a:xfrm>
                      <a:off x="0" y="0"/>
                      <a:ext cx="3130658" cy="2098205"/>
                    </a:xfrm>
                    <a:prstGeom prst="rect">
                      <a:avLst/>
                    </a:prstGeom>
                    <a:noFill/>
                    <a:ln w="9525">
                      <a:noFill/>
                      <a:miter lim="800000"/>
                      <a:headEnd/>
                      <a:tailEnd/>
                    </a:ln>
                  </pic:spPr>
                </pic:pic>
              </a:graphicData>
            </a:graphic>
          </wp:inline>
        </w:drawing>
      </w:r>
      <w:r w:rsidRPr="00862632">
        <w:rPr>
          <w:rFonts w:asciiTheme="minorHAnsi" w:hAnsiTheme="minorHAnsi" w:cstheme="minorHAnsi"/>
          <w:color w:val="auto"/>
          <w:sz w:val="22"/>
          <w:lang w:val="es-ES" w:eastAsia="zh-CN"/>
        </w:rPr>
        <w:t xml:space="preserve"> </w:t>
      </w:r>
      <w:r w:rsidRPr="00862632">
        <w:rPr>
          <w:rFonts w:asciiTheme="minorHAnsi" w:hAnsiTheme="minorHAnsi" w:cstheme="minorHAnsi"/>
          <w:noProof/>
          <w:color w:val="auto"/>
          <w:sz w:val="22"/>
          <w:lang w:eastAsia="zh-CN"/>
        </w:rPr>
        <w:drawing>
          <wp:inline distT="0" distB="0" distL="0" distR="0" wp14:anchorId="691CFCF4" wp14:editId="18211667">
            <wp:extent cx="2595966" cy="2192672"/>
            <wp:effectExtent l="19050" t="0" r="0" b="0"/>
            <wp:docPr id="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2" cstate="print"/>
                    <a:srcRect/>
                    <a:stretch>
                      <a:fillRect/>
                    </a:stretch>
                  </pic:blipFill>
                  <pic:spPr bwMode="auto">
                    <a:xfrm>
                      <a:off x="0" y="0"/>
                      <a:ext cx="2598583" cy="2194882"/>
                    </a:xfrm>
                    <a:prstGeom prst="rect">
                      <a:avLst/>
                    </a:prstGeom>
                    <a:noFill/>
                    <a:ln w="9525">
                      <a:noFill/>
                      <a:miter lim="800000"/>
                      <a:headEnd/>
                      <a:tailEnd/>
                    </a:ln>
                  </pic:spPr>
                </pic:pic>
              </a:graphicData>
            </a:graphic>
          </wp:inline>
        </w:drawing>
      </w:r>
    </w:p>
    <w:p w:rsidR="00344D10" w:rsidRPr="00862632" w:rsidRDefault="009554F1" w:rsidP="00344D10">
      <w:pPr>
        <w:pStyle w:val="Default"/>
        <w:ind w:left="426"/>
        <w:rPr>
          <w:rFonts w:asciiTheme="minorHAnsi" w:hAnsiTheme="minorHAnsi" w:cstheme="minorHAnsi"/>
          <w:color w:val="auto"/>
          <w:sz w:val="20"/>
          <w:szCs w:val="20"/>
          <w:lang w:val="es-ES" w:eastAsia="zh-CN"/>
        </w:rPr>
      </w:pPr>
      <w:r w:rsidRPr="00862632">
        <w:rPr>
          <w:rFonts w:asciiTheme="minorHAnsi" w:hAnsiTheme="minorHAnsi" w:cstheme="minorHAnsi"/>
          <w:color w:val="auto"/>
          <w:sz w:val="20"/>
          <w:szCs w:val="20"/>
          <w:lang w:val="es-ES" w:eastAsia="zh-CN"/>
        </w:rPr>
        <w:t xml:space="preserve">Origen: UIT, de </w:t>
      </w:r>
      <w:hyperlink r:id="rId23" w:history="1">
        <w:r w:rsidRPr="00862632">
          <w:rPr>
            <w:rStyle w:val="Hyperlink"/>
            <w:rFonts w:asciiTheme="minorHAnsi" w:hAnsiTheme="minorHAnsi" w:cstheme="minorHAnsi"/>
            <w:sz w:val="20"/>
            <w:szCs w:val="20"/>
            <w:lang w:val="es-ES" w:eastAsia="zh-CN"/>
          </w:rPr>
          <w:t>http://www.itu.int/ITU-D/ict/statistics/at_glance/KeyTelecom.html</w:t>
        </w:r>
      </w:hyperlink>
      <w:r w:rsidRPr="00862632">
        <w:rPr>
          <w:rFonts w:asciiTheme="minorHAnsi" w:hAnsiTheme="minorHAnsi" w:cstheme="minorHAnsi"/>
          <w:color w:val="auto"/>
          <w:sz w:val="20"/>
          <w:szCs w:val="20"/>
          <w:lang w:val="es-ES" w:eastAsia="zh-CN"/>
        </w:rPr>
        <w:t xml:space="preserve"> (izda.); Internet World Statistics, de </w:t>
      </w:r>
      <w:hyperlink r:id="rId24" w:history="1">
        <w:r w:rsidRPr="00862632">
          <w:rPr>
            <w:rStyle w:val="Hyperlink"/>
            <w:rFonts w:asciiTheme="minorHAnsi" w:hAnsiTheme="minorHAnsi" w:cstheme="minorHAnsi"/>
            <w:sz w:val="20"/>
            <w:szCs w:val="20"/>
            <w:lang w:val="es-ES" w:eastAsia="zh-CN"/>
          </w:rPr>
          <w:t>http://www.internetworldstats.com/stats7.htm</w:t>
        </w:r>
      </w:hyperlink>
      <w:r w:rsidRPr="00862632">
        <w:rPr>
          <w:rFonts w:asciiTheme="minorHAnsi" w:hAnsiTheme="minorHAnsi" w:cstheme="minorHAnsi"/>
          <w:color w:val="auto"/>
          <w:sz w:val="20"/>
          <w:szCs w:val="20"/>
          <w:lang w:val="es-ES" w:eastAsia="zh-CN"/>
        </w:rPr>
        <w:t xml:space="preserve"> (dcha.).</w:t>
      </w:r>
    </w:p>
    <w:p w:rsidR="00056910" w:rsidRPr="00862632" w:rsidRDefault="00056910" w:rsidP="00056910">
      <w:pPr>
        <w:pStyle w:val="Default"/>
        <w:spacing w:before="120"/>
        <w:ind w:left="425"/>
        <w:rPr>
          <w:rFonts w:asciiTheme="minorHAnsi" w:hAnsiTheme="minorHAnsi" w:cstheme="minorHAnsi"/>
          <w:color w:val="auto"/>
          <w:sz w:val="20"/>
          <w:szCs w:val="20"/>
          <w:lang w:val="es-ES" w:eastAsia="zh-CN"/>
        </w:rPr>
      </w:pPr>
      <w:r w:rsidRPr="00862632">
        <w:rPr>
          <w:rFonts w:asciiTheme="minorHAnsi" w:hAnsiTheme="minorHAnsi" w:cstheme="minorHAnsi"/>
          <w:color w:val="auto"/>
          <w:sz w:val="20"/>
          <w:szCs w:val="20"/>
          <w:lang w:val="es-ES" w:eastAsia="zh-CN"/>
        </w:rPr>
        <w:t>Leyendas de la figura:</w:t>
      </w:r>
    </w:p>
    <w:p w:rsidR="009554F1" w:rsidRPr="00862632" w:rsidRDefault="009554F1" w:rsidP="00344D10">
      <w:pPr>
        <w:pStyle w:val="Default"/>
        <w:ind w:left="426"/>
        <w:rPr>
          <w:rFonts w:asciiTheme="minorHAnsi" w:eastAsiaTheme="minorEastAsia" w:hAnsiTheme="minorHAnsi" w:cstheme="minorHAnsi"/>
          <w:color w:val="auto"/>
          <w:sz w:val="18"/>
          <w:szCs w:val="18"/>
          <w:lang w:val="es-ES" w:eastAsia="zh-CN"/>
        </w:rPr>
      </w:pPr>
      <w:r w:rsidRPr="00862632">
        <w:rPr>
          <w:rFonts w:asciiTheme="minorHAnsi" w:eastAsiaTheme="minorEastAsia" w:hAnsiTheme="minorHAnsi" w:cstheme="minorHAnsi"/>
          <w:color w:val="auto"/>
          <w:sz w:val="18"/>
          <w:szCs w:val="18"/>
          <w:lang w:val="es-ES" w:eastAsia="zh-CN"/>
        </w:rPr>
        <w:t>1</w:t>
      </w:r>
      <w:r w:rsidRPr="00862632">
        <w:rPr>
          <w:rFonts w:asciiTheme="minorHAnsi" w:eastAsiaTheme="minorEastAsia" w:hAnsiTheme="minorHAnsi" w:cstheme="minorHAnsi"/>
          <w:color w:val="auto"/>
          <w:sz w:val="18"/>
          <w:szCs w:val="18"/>
          <w:lang w:val="es-ES" w:eastAsia="zh-CN"/>
        </w:rPr>
        <w:tab/>
        <w:t>Usuarios de Internet en el mundo, por región geográfica, finales de 2011 (en millones)</w:t>
      </w:r>
    </w:p>
    <w:p w:rsidR="009554F1" w:rsidRPr="00862632" w:rsidRDefault="009554F1" w:rsidP="00344D10">
      <w:pPr>
        <w:pStyle w:val="Default"/>
        <w:ind w:left="426"/>
        <w:rPr>
          <w:rFonts w:asciiTheme="minorHAnsi" w:eastAsiaTheme="minorEastAsia" w:hAnsiTheme="minorHAnsi" w:cstheme="minorHAnsi"/>
          <w:color w:val="auto"/>
          <w:sz w:val="18"/>
          <w:szCs w:val="18"/>
          <w:lang w:val="es-ES" w:eastAsia="zh-CN"/>
        </w:rPr>
      </w:pPr>
      <w:r w:rsidRPr="00862632">
        <w:rPr>
          <w:rFonts w:asciiTheme="minorHAnsi" w:eastAsiaTheme="minorEastAsia" w:hAnsiTheme="minorHAnsi" w:cstheme="minorHAnsi"/>
          <w:color w:val="auto"/>
          <w:sz w:val="18"/>
          <w:szCs w:val="18"/>
          <w:lang w:val="es-ES" w:eastAsia="zh-CN"/>
        </w:rPr>
        <w:t>2</w:t>
      </w:r>
      <w:r w:rsidRPr="00862632">
        <w:rPr>
          <w:rFonts w:asciiTheme="minorHAnsi" w:eastAsiaTheme="minorEastAsia" w:hAnsiTheme="minorHAnsi" w:cstheme="minorHAnsi"/>
          <w:color w:val="auto"/>
          <w:sz w:val="18"/>
          <w:szCs w:val="18"/>
          <w:lang w:val="es-ES" w:eastAsia="zh-CN"/>
        </w:rPr>
        <w:tab/>
        <w:t>Diez idiomas principales en Internet, mayo de 2011</w:t>
      </w:r>
    </w:p>
    <w:p w:rsidR="009554F1" w:rsidRPr="00862632" w:rsidRDefault="009554F1" w:rsidP="00056910">
      <w:pPr>
        <w:pStyle w:val="Default"/>
        <w:ind w:left="426"/>
        <w:rPr>
          <w:rFonts w:asciiTheme="minorHAnsi" w:eastAsiaTheme="minorEastAsia" w:hAnsiTheme="minorHAnsi" w:cstheme="minorHAnsi"/>
          <w:color w:val="auto"/>
          <w:sz w:val="18"/>
          <w:szCs w:val="18"/>
          <w:lang w:val="es-ES" w:eastAsia="zh-CN"/>
        </w:rPr>
      </w:pPr>
      <w:r w:rsidRPr="00862632">
        <w:rPr>
          <w:rFonts w:asciiTheme="minorHAnsi" w:eastAsiaTheme="minorEastAsia" w:hAnsiTheme="minorHAnsi" w:cstheme="minorHAnsi"/>
          <w:color w:val="auto"/>
          <w:sz w:val="18"/>
          <w:szCs w:val="18"/>
          <w:lang w:val="es-ES" w:eastAsia="zh-CN"/>
        </w:rPr>
        <w:t>3</w:t>
      </w:r>
      <w:r w:rsidRPr="00862632">
        <w:rPr>
          <w:rFonts w:asciiTheme="minorHAnsi" w:eastAsiaTheme="minorEastAsia" w:hAnsiTheme="minorHAnsi" w:cstheme="minorHAnsi"/>
          <w:color w:val="auto"/>
          <w:sz w:val="18"/>
          <w:szCs w:val="18"/>
          <w:lang w:val="es-ES" w:eastAsia="zh-CN"/>
        </w:rPr>
        <w:tab/>
        <w:t>Asia y el Pacífico</w:t>
      </w:r>
      <w:r w:rsidR="00056910" w:rsidRPr="00862632">
        <w:rPr>
          <w:rFonts w:asciiTheme="minorHAnsi" w:eastAsiaTheme="minorEastAsia" w:hAnsiTheme="minorHAnsi" w:cstheme="minorHAnsi"/>
          <w:color w:val="auto"/>
          <w:sz w:val="18"/>
          <w:szCs w:val="18"/>
          <w:lang w:val="es-ES" w:eastAsia="zh-CN"/>
        </w:rPr>
        <w:t xml:space="preserve">, </w:t>
      </w:r>
      <w:r w:rsidRPr="00862632">
        <w:rPr>
          <w:rFonts w:asciiTheme="minorHAnsi" w:eastAsiaTheme="minorEastAsia" w:hAnsiTheme="minorHAnsi" w:cstheme="minorHAnsi"/>
          <w:color w:val="auto"/>
          <w:sz w:val="18"/>
          <w:szCs w:val="18"/>
          <w:lang w:val="es-ES" w:eastAsia="zh-CN"/>
        </w:rPr>
        <w:t>América</w:t>
      </w:r>
      <w:r w:rsidR="00056910" w:rsidRPr="00862632">
        <w:rPr>
          <w:rFonts w:asciiTheme="minorHAnsi" w:eastAsiaTheme="minorEastAsia" w:hAnsiTheme="minorHAnsi" w:cstheme="minorHAnsi"/>
          <w:color w:val="auto"/>
          <w:sz w:val="18"/>
          <w:szCs w:val="18"/>
          <w:lang w:val="es-ES" w:eastAsia="zh-CN"/>
        </w:rPr>
        <w:t xml:space="preserve">, </w:t>
      </w:r>
      <w:r w:rsidRPr="00862632">
        <w:rPr>
          <w:rFonts w:asciiTheme="minorHAnsi" w:eastAsiaTheme="minorEastAsia" w:hAnsiTheme="minorHAnsi" w:cstheme="minorHAnsi"/>
          <w:color w:val="auto"/>
          <w:sz w:val="18"/>
          <w:szCs w:val="18"/>
          <w:lang w:val="es-ES" w:eastAsia="zh-CN"/>
        </w:rPr>
        <w:t>Europa</w:t>
      </w:r>
      <w:r w:rsidR="00056910" w:rsidRPr="00862632">
        <w:rPr>
          <w:rFonts w:asciiTheme="minorHAnsi" w:eastAsiaTheme="minorEastAsia" w:hAnsiTheme="minorHAnsi" w:cstheme="minorHAnsi"/>
          <w:color w:val="auto"/>
          <w:sz w:val="18"/>
          <w:szCs w:val="18"/>
          <w:lang w:val="es-ES" w:eastAsia="zh-CN"/>
        </w:rPr>
        <w:t xml:space="preserve">, </w:t>
      </w:r>
      <w:r w:rsidRPr="00862632">
        <w:rPr>
          <w:rFonts w:asciiTheme="minorHAnsi" w:eastAsiaTheme="minorEastAsia" w:hAnsiTheme="minorHAnsi" w:cstheme="minorHAnsi"/>
          <w:color w:val="auto"/>
          <w:sz w:val="18"/>
          <w:szCs w:val="18"/>
          <w:lang w:val="es-ES" w:eastAsia="zh-CN"/>
        </w:rPr>
        <w:t>CEI</w:t>
      </w:r>
      <w:r w:rsidR="00056910" w:rsidRPr="00862632">
        <w:rPr>
          <w:rFonts w:asciiTheme="minorHAnsi" w:eastAsiaTheme="minorEastAsia" w:hAnsiTheme="minorHAnsi" w:cstheme="minorHAnsi"/>
          <w:color w:val="auto"/>
          <w:sz w:val="18"/>
          <w:szCs w:val="18"/>
          <w:lang w:val="es-ES" w:eastAsia="zh-CN"/>
        </w:rPr>
        <w:t xml:space="preserve">, </w:t>
      </w:r>
      <w:r w:rsidRPr="00862632">
        <w:rPr>
          <w:rFonts w:asciiTheme="minorHAnsi" w:eastAsiaTheme="minorEastAsia" w:hAnsiTheme="minorHAnsi" w:cstheme="minorHAnsi"/>
          <w:color w:val="auto"/>
          <w:sz w:val="18"/>
          <w:szCs w:val="18"/>
          <w:lang w:val="es-ES" w:eastAsia="zh-CN"/>
        </w:rPr>
        <w:t>Estados Árabes</w:t>
      </w:r>
      <w:r w:rsidR="00056910" w:rsidRPr="00862632">
        <w:rPr>
          <w:rFonts w:asciiTheme="minorHAnsi" w:eastAsiaTheme="minorEastAsia" w:hAnsiTheme="minorHAnsi" w:cstheme="minorHAnsi"/>
          <w:color w:val="auto"/>
          <w:sz w:val="18"/>
          <w:szCs w:val="18"/>
          <w:lang w:val="es-ES" w:eastAsia="zh-CN"/>
        </w:rPr>
        <w:t xml:space="preserve">, </w:t>
      </w:r>
      <w:r w:rsidRPr="00862632">
        <w:rPr>
          <w:rFonts w:asciiTheme="minorHAnsi" w:eastAsiaTheme="minorEastAsia" w:hAnsiTheme="minorHAnsi" w:cstheme="minorHAnsi"/>
          <w:color w:val="auto"/>
          <w:sz w:val="18"/>
          <w:szCs w:val="18"/>
          <w:lang w:val="es-ES" w:eastAsia="zh-CN"/>
        </w:rPr>
        <w:t>África</w:t>
      </w:r>
    </w:p>
    <w:p w:rsidR="009554F1" w:rsidRPr="00862632" w:rsidRDefault="009554F1" w:rsidP="00056910">
      <w:pPr>
        <w:pStyle w:val="Default"/>
        <w:ind w:left="426"/>
        <w:rPr>
          <w:rFonts w:asciiTheme="minorHAnsi" w:eastAsiaTheme="minorEastAsia" w:hAnsiTheme="minorHAnsi" w:cstheme="minorHAnsi"/>
          <w:color w:val="auto"/>
          <w:sz w:val="18"/>
          <w:szCs w:val="18"/>
          <w:lang w:val="es-ES" w:eastAsia="zh-CN"/>
        </w:rPr>
      </w:pPr>
      <w:r w:rsidRPr="00862632">
        <w:rPr>
          <w:rFonts w:asciiTheme="minorHAnsi" w:eastAsiaTheme="minorEastAsia" w:hAnsiTheme="minorHAnsi" w:cstheme="minorHAnsi"/>
          <w:color w:val="auto"/>
          <w:sz w:val="18"/>
          <w:szCs w:val="18"/>
          <w:lang w:val="es-ES" w:eastAsia="zh-CN"/>
        </w:rPr>
        <w:t>4</w:t>
      </w:r>
      <w:r w:rsidRPr="00862632">
        <w:rPr>
          <w:rFonts w:asciiTheme="minorHAnsi" w:eastAsiaTheme="minorEastAsia" w:hAnsiTheme="minorHAnsi" w:cstheme="minorHAnsi"/>
          <w:color w:val="auto"/>
          <w:sz w:val="18"/>
          <w:szCs w:val="18"/>
          <w:lang w:val="es-ES" w:eastAsia="zh-CN"/>
        </w:rPr>
        <w:tab/>
        <w:t>Inglés</w:t>
      </w:r>
      <w:r w:rsidR="00056910" w:rsidRPr="00862632">
        <w:rPr>
          <w:rFonts w:asciiTheme="minorHAnsi" w:eastAsiaTheme="minorEastAsia" w:hAnsiTheme="minorHAnsi" w:cstheme="minorHAnsi"/>
          <w:color w:val="auto"/>
          <w:sz w:val="18"/>
          <w:szCs w:val="18"/>
          <w:lang w:val="es-ES" w:eastAsia="zh-CN"/>
        </w:rPr>
        <w:t xml:space="preserve">, </w:t>
      </w:r>
      <w:r w:rsidRPr="00862632">
        <w:rPr>
          <w:rFonts w:asciiTheme="minorHAnsi" w:eastAsiaTheme="minorEastAsia" w:hAnsiTheme="minorHAnsi" w:cstheme="minorHAnsi"/>
          <w:color w:val="auto"/>
          <w:sz w:val="18"/>
          <w:szCs w:val="18"/>
          <w:lang w:val="es-ES" w:eastAsia="zh-CN"/>
        </w:rPr>
        <w:t>Chino</w:t>
      </w:r>
      <w:r w:rsidR="00056910" w:rsidRPr="00862632">
        <w:rPr>
          <w:rFonts w:asciiTheme="minorHAnsi" w:eastAsiaTheme="minorEastAsia" w:hAnsiTheme="minorHAnsi" w:cstheme="minorHAnsi"/>
          <w:color w:val="auto"/>
          <w:sz w:val="18"/>
          <w:szCs w:val="18"/>
          <w:lang w:val="es-ES" w:eastAsia="zh-CN"/>
        </w:rPr>
        <w:t xml:space="preserve">, </w:t>
      </w:r>
      <w:r w:rsidRPr="00862632">
        <w:rPr>
          <w:rFonts w:asciiTheme="minorHAnsi" w:eastAsiaTheme="minorEastAsia" w:hAnsiTheme="minorHAnsi" w:cstheme="minorHAnsi"/>
          <w:color w:val="auto"/>
          <w:sz w:val="18"/>
          <w:szCs w:val="18"/>
          <w:lang w:val="es-ES" w:eastAsia="zh-CN"/>
        </w:rPr>
        <w:t>Español</w:t>
      </w:r>
      <w:r w:rsidR="00056910" w:rsidRPr="00862632">
        <w:rPr>
          <w:rFonts w:asciiTheme="minorHAnsi" w:eastAsiaTheme="minorEastAsia" w:hAnsiTheme="minorHAnsi" w:cstheme="minorHAnsi"/>
          <w:color w:val="auto"/>
          <w:sz w:val="18"/>
          <w:szCs w:val="18"/>
          <w:lang w:val="es-ES" w:eastAsia="zh-CN"/>
        </w:rPr>
        <w:t xml:space="preserve">, </w:t>
      </w:r>
      <w:r w:rsidRPr="00862632">
        <w:rPr>
          <w:rFonts w:asciiTheme="minorHAnsi" w:eastAsiaTheme="minorEastAsia" w:hAnsiTheme="minorHAnsi" w:cstheme="minorHAnsi"/>
          <w:color w:val="auto"/>
          <w:sz w:val="18"/>
          <w:szCs w:val="18"/>
          <w:lang w:val="es-ES" w:eastAsia="zh-CN"/>
        </w:rPr>
        <w:t>Japonés</w:t>
      </w:r>
      <w:r w:rsidR="00056910" w:rsidRPr="00862632">
        <w:rPr>
          <w:rFonts w:asciiTheme="minorHAnsi" w:eastAsiaTheme="minorEastAsia" w:hAnsiTheme="minorHAnsi" w:cstheme="minorHAnsi"/>
          <w:color w:val="auto"/>
          <w:sz w:val="18"/>
          <w:szCs w:val="18"/>
          <w:lang w:val="es-ES" w:eastAsia="zh-CN"/>
        </w:rPr>
        <w:t xml:space="preserve">, </w:t>
      </w:r>
      <w:r w:rsidRPr="00862632">
        <w:rPr>
          <w:rFonts w:asciiTheme="minorHAnsi" w:eastAsiaTheme="minorEastAsia" w:hAnsiTheme="minorHAnsi" w:cstheme="minorHAnsi"/>
          <w:color w:val="auto"/>
          <w:sz w:val="18"/>
          <w:szCs w:val="18"/>
          <w:lang w:val="es-ES" w:eastAsia="zh-CN"/>
        </w:rPr>
        <w:t>Portugués</w:t>
      </w:r>
      <w:r w:rsidR="00056910" w:rsidRPr="00862632">
        <w:rPr>
          <w:rFonts w:asciiTheme="minorHAnsi" w:eastAsiaTheme="minorEastAsia" w:hAnsiTheme="minorHAnsi" w:cstheme="minorHAnsi"/>
          <w:color w:val="auto"/>
          <w:sz w:val="18"/>
          <w:szCs w:val="18"/>
          <w:lang w:val="es-ES" w:eastAsia="zh-CN"/>
        </w:rPr>
        <w:t xml:space="preserve">, </w:t>
      </w:r>
      <w:r w:rsidRPr="00862632">
        <w:rPr>
          <w:rFonts w:asciiTheme="minorHAnsi" w:eastAsiaTheme="minorEastAsia" w:hAnsiTheme="minorHAnsi" w:cstheme="minorHAnsi"/>
          <w:color w:val="auto"/>
          <w:sz w:val="18"/>
          <w:szCs w:val="18"/>
          <w:lang w:val="es-ES" w:eastAsia="zh-CN"/>
        </w:rPr>
        <w:t>Alemán</w:t>
      </w:r>
      <w:r w:rsidR="00056910" w:rsidRPr="00862632">
        <w:rPr>
          <w:rFonts w:asciiTheme="minorHAnsi" w:eastAsiaTheme="minorEastAsia" w:hAnsiTheme="minorHAnsi" w:cstheme="minorHAnsi"/>
          <w:color w:val="auto"/>
          <w:sz w:val="18"/>
          <w:szCs w:val="18"/>
          <w:lang w:val="es-ES" w:eastAsia="zh-CN"/>
        </w:rPr>
        <w:t xml:space="preserve">, </w:t>
      </w:r>
      <w:r w:rsidR="00897365" w:rsidRPr="00862632">
        <w:rPr>
          <w:rFonts w:asciiTheme="minorHAnsi" w:eastAsiaTheme="minorEastAsia" w:hAnsiTheme="minorHAnsi" w:cstheme="minorHAnsi"/>
          <w:color w:val="auto"/>
          <w:sz w:val="18"/>
          <w:szCs w:val="18"/>
          <w:lang w:val="es-ES" w:eastAsia="zh-CN"/>
        </w:rPr>
        <w:t xml:space="preserve">Árabe, </w:t>
      </w:r>
      <w:r w:rsidRPr="00862632">
        <w:rPr>
          <w:rFonts w:asciiTheme="minorHAnsi" w:eastAsiaTheme="minorEastAsia" w:hAnsiTheme="minorHAnsi" w:cstheme="minorHAnsi"/>
          <w:color w:val="auto"/>
          <w:sz w:val="18"/>
          <w:szCs w:val="18"/>
          <w:lang w:val="es-ES" w:eastAsia="zh-CN"/>
        </w:rPr>
        <w:t>Francés</w:t>
      </w:r>
      <w:r w:rsidR="00056910" w:rsidRPr="00862632">
        <w:rPr>
          <w:rFonts w:asciiTheme="minorHAnsi" w:eastAsiaTheme="minorEastAsia" w:hAnsiTheme="minorHAnsi" w:cstheme="minorHAnsi"/>
          <w:color w:val="auto"/>
          <w:sz w:val="18"/>
          <w:szCs w:val="18"/>
          <w:lang w:val="es-ES" w:eastAsia="zh-CN"/>
        </w:rPr>
        <w:t xml:space="preserve">, </w:t>
      </w:r>
      <w:r w:rsidRPr="00862632">
        <w:rPr>
          <w:rFonts w:asciiTheme="minorHAnsi" w:eastAsiaTheme="minorEastAsia" w:hAnsiTheme="minorHAnsi" w:cstheme="minorHAnsi"/>
          <w:color w:val="auto"/>
          <w:sz w:val="18"/>
          <w:szCs w:val="18"/>
          <w:lang w:val="es-ES" w:eastAsia="zh-CN"/>
        </w:rPr>
        <w:t>Ruso</w:t>
      </w:r>
      <w:r w:rsidR="00056910" w:rsidRPr="00862632">
        <w:rPr>
          <w:rFonts w:asciiTheme="minorHAnsi" w:eastAsiaTheme="minorEastAsia" w:hAnsiTheme="minorHAnsi" w:cstheme="minorHAnsi"/>
          <w:color w:val="auto"/>
          <w:sz w:val="18"/>
          <w:szCs w:val="18"/>
          <w:lang w:val="es-ES" w:eastAsia="zh-CN"/>
        </w:rPr>
        <w:t xml:space="preserve">, </w:t>
      </w:r>
      <w:r w:rsidRPr="00862632">
        <w:rPr>
          <w:rFonts w:asciiTheme="minorHAnsi" w:eastAsiaTheme="minorEastAsia" w:hAnsiTheme="minorHAnsi" w:cstheme="minorHAnsi"/>
          <w:color w:val="auto"/>
          <w:sz w:val="18"/>
          <w:szCs w:val="18"/>
          <w:lang w:val="es-ES" w:eastAsia="zh-CN"/>
        </w:rPr>
        <w:t>Coreano</w:t>
      </w:r>
      <w:r w:rsidR="00056910" w:rsidRPr="00862632">
        <w:rPr>
          <w:rFonts w:asciiTheme="minorHAnsi" w:eastAsiaTheme="minorEastAsia" w:hAnsiTheme="minorHAnsi" w:cstheme="minorHAnsi"/>
          <w:color w:val="auto"/>
          <w:sz w:val="18"/>
          <w:szCs w:val="18"/>
          <w:lang w:val="es-ES" w:eastAsia="zh-CN"/>
        </w:rPr>
        <w:t xml:space="preserve">, </w:t>
      </w:r>
      <w:r w:rsidRPr="00862632">
        <w:rPr>
          <w:rFonts w:asciiTheme="minorHAnsi" w:eastAsiaTheme="minorEastAsia" w:hAnsiTheme="minorHAnsi" w:cstheme="minorHAnsi"/>
          <w:color w:val="auto"/>
          <w:sz w:val="18"/>
          <w:szCs w:val="18"/>
          <w:lang w:val="es-ES" w:eastAsia="zh-CN"/>
        </w:rPr>
        <w:t>Resto</w:t>
      </w:r>
    </w:p>
    <w:p w:rsidR="009554F1" w:rsidRPr="00862632" w:rsidRDefault="009554F1" w:rsidP="00344D10">
      <w:pPr>
        <w:pStyle w:val="Default"/>
        <w:ind w:left="426"/>
        <w:rPr>
          <w:rFonts w:asciiTheme="minorHAnsi" w:eastAsiaTheme="minorEastAsia" w:hAnsiTheme="minorHAnsi" w:cstheme="minorHAnsi"/>
          <w:color w:val="auto"/>
          <w:sz w:val="18"/>
          <w:szCs w:val="18"/>
          <w:lang w:val="es-ES" w:eastAsia="zh-CN"/>
        </w:rPr>
      </w:pPr>
      <w:r w:rsidRPr="00862632">
        <w:rPr>
          <w:rFonts w:asciiTheme="minorHAnsi" w:eastAsiaTheme="minorEastAsia" w:hAnsiTheme="minorHAnsi" w:cstheme="minorHAnsi"/>
          <w:color w:val="auto"/>
          <w:sz w:val="18"/>
          <w:szCs w:val="18"/>
          <w:lang w:val="es-ES" w:eastAsia="zh-CN"/>
        </w:rPr>
        <w:t>5</w:t>
      </w:r>
      <w:r w:rsidRPr="00862632">
        <w:rPr>
          <w:rFonts w:asciiTheme="minorHAnsi" w:eastAsiaTheme="minorEastAsia" w:hAnsiTheme="minorHAnsi" w:cstheme="minorHAnsi"/>
          <w:color w:val="auto"/>
          <w:sz w:val="18"/>
          <w:szCs w:val="18"/>
          <w:lang w:val="es-ES" w:eastAsia="zh-CN"/>
        </w:rPr>
        <w:tab/>
        <w:t>En millones</w:t>
      </w:r>
    </w:p>
    <w:p w:rsidR="00344D10" w:rsidRPr="00862632" w:rsidRDefault="009554F1" w:rsidP="00344D10">
      <w:pPr>
        <w:pStyle w:val="Default"/>
        <w:ind w:left="426"/>
        <w:rPr>
          <w:rFonts w:asciiTheme="minorHAnsi" w:eastAsiaTheme="minorEastAsia" w:hAnsiTheme="minorHAnsi" w:cstheme="minorHAnsi"/>
          <w:color w:val="auto"/>
          <w:sz w:val="20"/>
          <w:szCs w:val="20"/>
          <w:lang w:val="es-ES" w:eastAsia="zh-CN"/>
        </w:rPr>
      </w:pPr>
      <w:r w:rsidRPr="00862632">
        <w:rPr>
          <w:rFonts w:asciiTheme="minorHAnsi" w:eastAsiaTheme="minorEastAsia" w:hAnsiTheme="minorHAnsi" w:cstheme="minorHAnsi"/>
          <w:color w:val="auto"/>
          <w:sz w:val="18"/>
          <w:szCs w:val="18"/>
          <w:lang w:val="es-ES" w:eastAsia="zh-CN"/>
        </w:rPr>
        <w:t>6</w:t>
      </w:r>
      <w:r w:rsidRPr="00862632">
        <w:rPr>
          <w:rFonts w:asciiTheme="minorHAnsi" w:eastAsiaTheme="minorEastAsia" w:hAnsiTheme="minorHAnsi" w:cstheme="minorHAnsi"/>
          <w:color w:val="auto"/>
          <w:sz w:val="18"/>
          <w:szCs w:val="18"/>
          <w:lang w:val="es-ES" w:eastAsia="zh-CN"/>
        </w:rPr>
        <w:tab/>
        <w:t>Origen: UIT</w:t>
      </w:r>
    </w:p>
    <w:p w:rsidR="009554F1" w:rsidRPr="00862632" w:rsidRDefault="00084229" w:rsidP="00976F97">
      <w:pPr>
        <w:pStyle w:val="enumlev1"/>
        <w:rPr>
          <w:lang w:val="es-ES"/>
        </w:rPr>
      </w:pPr>
      <w:r>
        <w:rPr>
          <w:lang w:val="es-ES"/>
        </w:rPr>
        <w:t>k</w:t>
      </w:r>
      <w:r w:rsidR="000A35E5" w:rsidRPr="00862632">
        <w:rPr>
          <w:lang w:val="es-ES"/>
        </w:rPr>
        <w:t>)</w:t>
      </w:r>
      <w:r w:rsidR="000A35E5" w:rsidRPr="00862632">
        <w:rPr>
          <w:lang w:val="es-ES"/>
        </w:rPr>
        <w:tab/>
      </w:r>
      <w:r w:rsidR="009554F1" w:rsidRPr="00862632">
        <w:rPr>
          <w:lang w:val="es-ES"/>
        </w:rPr>
        <w:t xml:space="preserve">Se </w:t>
      </w:r>
      <w:r w:rsidR="00053322" w:rsidRPr="00862632">
        <w:rPr>
          <w:lang w:val="es-ES"/>
        </w:rPr>
        <w:t xml:space="preserve">puede </w:t>
      </w:r>
      <w:r w:rsidR="009554F1" w:rsidRPr="00862632">
        <w:rPr>
          <w:lang w:val="es-ES"/>
        </w:rPr>
        <w:t>observa</w:t>
      </w:r>
      <w:r w:rsidR="00053322" w:rsidRPr="00862632">
        <w:rPr>
          <w:lang w:val="es-ES"/>
        </w:rPr>
        <w:t>r</w:t>
      </w:r>
      <w:r w:rsidR="009554F1" w:rsidRPr="00862632">
        <w:rPr>
          <w:lang w:val="es-ES"/>
        </w:rPr>
        <w:t xml:space="preserve"> lo siguiente</w:t>
      </w:r>
      <w:r w:rsidR="009554F1" w:rsidRPr="00862632">
        <w:rPr>
          <w:rStyle w:val="FootnoteReference"/>
          <w:lang w:val="es-ES"/>
        </w:rPr>
        <w:footnoteReference w:id="38"/>
      </w:r>
      <w:r w:rsidR="009554F1" w:rsidRPr="00862632">
        <w:rPr>
          <w:lang w:val="es-ES"/>
        </w:rPr>
        <w:t>:</w:t>
      </w:r>
    </w:p>
    <w:p w:rsidR="009554F1" w:rsidRPr="00862632" w:rsidRDefault="009554F1" w:rsidP="00976F97">
      <w:pPr>
        <w:pStyle w:val="enumlev2"/>
        <w:rPr>
          <w:lang w:val="es-ES"/>
        </w:rPr>
      </w:pPr>
      <w:r w:rsidRPr="00862632">
        <w:rPr>
          <w:lang w:val="es-ES"/>
        </w:rPr>
        <w:t>i</w:t>
      </w:r>
      <w:r w:rsidR="000A35E5" w:rsidRPr="00862632">
        <w:rPr>
          <w:lang w:val="es-ES"/>
        </w:rPr>
        <w:t>)</w:t>
      </w:r>
      <w:r w:rsidRPr="00862632">
        <w:rPr>
          <w:lang w:val="es-ES"/>
        </w:rPr>
        <w:tab/>
      </w:r>
      <w:r w:rsidRPr="00976F97">
        <w:t>Las</w:t>
      </w:r>
      <w:r w:rsidRPr="00862632">
        <w:rPr>
          <w:lang w:val="es-ES"/>
        </w:rPr>
        <w:t xml:space="preserve"> tasas de penetración de la banda ancha y de Internet son notablemente más elevadas en los países desarrollados que en los países en desarrollo, mientras que las diferencias entre las tasas de penetración móvil celular son más reducidas.</w:t>
      </w:r>
    </w:p>
    <w:p w:rsidR="009554F1" w:rsidRPr="00862632" w:rsidRDefault="009554F1" w:rsidP="00976F97">
      <w:pPr>
        <w:pStyle w:val="enumlev2"/>
        <w:rPr>
          <w:lang w:val="es-ES"/>
        </w:rPr>
      </w:pPr>
      <w:r w:rsidRPr="00862632">
        <w:rPr>
          <w:lang w:val="es-ES"/>
        </w:rPr>
        <w:t>ii</w:t>
      </w:r>
      <w:r w:rsidR="000A35E5" w:rsidRPr="00862632">
        <w:rPr>
          <w:lang w:val="es-ES"/>
        </w:rPr>
        <w:t>)</w:t>
      </w:r>
      <w:r w:rsidRPr="00862632">
        <w:rPr>
          <w:lang w:val="es-ES"/>
        </w:rPr>
        <w:tab/>
        <w:t xml:space="preserve">El crecimiento de </w:t>
      </w:r>
      <w:r w:rsidR="00862632" w:rsidRPr="00862632">
        <w:rPr>
          <w:lang w:val="es-ES"/>
        </w:rPr>
        <w:t>las suscripciones</w:t>
      </w:r>
      <w:r w:rsidRPr="00862632">
        <w:rPr>
          <w:lang w:val="es-ES"/>
        </w:rPr>
        <w:t xml:space="preserve"> a la banda ancha fija (alámbrica), del número de usuarios de Internet y de las suscripciones celulares móviles entre 2005 y 2011 se </w:t>
      </w:r>
      <w:r w:rsidR="00897365" w:rsidRPr="00862632">
        <w:rPr>
          <w:lang w:val="es-ES"/>
        </w:rPr>
        <w:t xml:space="preserve">han </w:t>
      </w:r>
      <w:r w:rsidRPr="00862632">
        <w:rPr>
          <w:lang w:val="es-ES"/>
        </w:rPr>
        <w:t>reutilizado principalmente en los países desarrollados, ya que sus mercados han llegado al punto de saturación. En los países en desarrollo, el crecimiento sigue siendo de dos cifras.</w:t>
      </w:r>
    </w:p>
    <w:p w:rsidR="009554F1" w:rsidRPr="00862632" w:rsidRDefault="009554F1" w:rsidP="00976F97">
      <w:pPr>
        <w:pStyle w:val="enumlev2"/>
        <w:rPr>
          <w:lang w:val="es-ES"/>
        </w:rPr>
      </w:pPr>
      <w:r w:rsidRPr="00862632">
        <w:rPr>
          <w:lang w:val="es-ES"/>
        </w:rPr>
        <w:t>iii</w:t>
      </w:r>
      <w:r w:rsidR="000A35E5" w:rsidRPr="00862632">
        <w:rPr>
          <w:lang w:val="es-ES"/>
        </w:rPr>
        <w:t>)</w:t>
      </w:r>
      <w:r w:rsidRPr="00862632">
        <w:rPr>
          <w:lang w:val="es-ES"/>
        </w:rPr>
        <w:tab/>
        <w:t>En la mayoría de los países en desarrollo, la telefonía móvil 2</w:t>
      </w:r>
      <w:r w:rsidR="00897365" w:rsidRPr="00862632">
        <w:rPr>
          <w:lang w:val="es-ES"/>
        </w:rPr>
        <w:t>,</w:t>
      </w:r>
      <w:r w:rsidRPr="00862632">
        <w:rPr>
          <w:lang w:val="es-ES"/>
        </w:rPr>
        <w:t xml:space="preserve">5G y 3G ha crecido mucho más deprisa que Internet fijo. La banda ancha móvil sigue siendo el servicio TIC que experimenta las mayores </w:t>
      </w:r>
      <w:r w:rsidRPr="00976F97">
        <w:t>tasas</w:t>
      </w:r>
      <w:r w:rsidRPr="00862632">
        <w:rPr>
          <w:lang w:val="es-ES"/>
        </w:rPr>
        <w:t xml:space="preserve"> de crecimiento. Entre 2010 y 2011, el crecimiento se mantuvo a un nivel de 40% en todo el mundo, 23% en los países desarrollados y 78% en los países en desarrollo. A finales de 2011 había aproximadamente 1 1</w:t>
      </w:r>
      <w:r w:rsidR="00053322" w:rsidRPr="00862632">
        <w:rPr>
          <w:lang w:val="es-ES"/>
        </w:rPr>
        <w:t>9</w:t>
      </w:r>
      <w:r w:rsidRPr="00862632">
        <w:rPr>
          <w:lang w:val="es-ES"/>
        </w:rPr>
        <w:t>0 millones de suscripciones de banda ancha móvil activas, con respecto a 770 millones el año anterior. A diferencia de la penetración móvil celular, la de la banda ancha móvil todavía no ha llegado al punto de saturación, y se espera que se mantenga un crecimiento de dos cifras durante los próximos años.</w:t>
      </w:r>
    </w:p>
    <w:p w:rsidR="009554F1" w:rsidRPr="00862632" w:rsidRDefault="00053322" w:rsidP="00976F97">
      <w:pPr>
        <w:pStyle w:val="enumlev1"/>
        <w:rPr>
          <w:lang w:val="es-ES"/>
        </w:rPr>
      </w:pPr>
      <w:r w:rsidRPr="00862632">
        <w:rPr>
          <w:lang w:val="es-ES"/>
        </w:rPr>
        <w:t>l</w:t>
      </w:r>
      <w:r w:rsidR="000A35E5" w:rsidRPr="00862632">
        <w:rPr>
          <w:lang w:val="es-ES"/>
        </w:rPr>
        <w:t>)</w:t>
      </w:r>
      <w:r w:rsidR="000A35E5" w:rsidRPr="00862632">
        <w:rPr>
          <w:lang w:val="es-ES"/>
        </w:rPr>
        <w:tab/>
      </w:r>
      <w:r w:rsidR="009554F1" w:rsidRPr="00862632">
        <w:rPr>
          <w:lang w:val="es-ES"/>
        </w:rPr>
        <w:t xml:space="preserve">Internet tiene una importancia fundamental como plataforma de </w:t>
      </w:r>
      <w:r w:rsidRPr="00862632">
        <w:rPr>
          <w:lang w:val="es-ES"/>
        </w:rPr>
        <w:t xml:space="preserve">negocios, </w:t>
      </w:r>
      <w:r w:rsidR="009554F1" w:rsidRPr="00862632">
        <w:rPr>
          <w:lang w:val="es-ES"/>
        </w:rPr>
        <w:t xml:space="preserve">innovación, expresión democrática, acceso a la información y progreso científico. En la creciente economía digital, </w:t>
      </w:r>
      <w:r w:rsidR="009554F1" w:rsidRPr="00976F97">
        <w:t>Internet</w:t>
      </w:r>
      <w:r w:rsidR="009554F1" w:rsidRPr="00862632">
        <w:rPr>
          <w:lang w:val="es-ES"/>
        </w:rPr>
        <w:t xml:space="preserve"> representa un acceso al conocimiento, la enseñanza y el esparcimiento que está cada vez más al alcance de la población mundial, especialmente si el crecimiento de la utilización de la banda ancha móvil refleja el reciente crecimiento global de las comunicaciones móviles.</w:t>
      </w:r>
    </w:p>
    <w:p w:rsidR="009554F1" w:rsidRPr="00862632" w:rsidRDefault="00053322" w:rsidP="00A26E96">
      <w:pPr>
        <w:pStyle w:val="enumlev1"/>
        <w:rPr>
          <w:lang w:val="es-ES"/>
        </w:rPr>
      </w:pPr>
      <w:r w:rsidRPr="00862632">
        <w:rPr>
          <w:lang w:val="es-ES"/>
        </w:rPr>
        <w:t>m</w:t>
      </w:r>
      <w:r w:rsidR="000A35E5" w:rsidRPr="00862632">
        <w:rPr>
          <w:lang w:val="es-ES"/>
        </w:rPr>
        <w:t>)</w:t>
      </w:r>
      <w:r w:rsidR="000A35E5" w:rsidRPr="00862632">
        <w:rPr>
          <w:lang w:val="es-ES"/>
        </w:rPr>
        <w:tab/>
      </w:r>
      <w:r w:rsidR="009554F1" w:rsidRPr="00862632">
        <w:rPr>
          <w:lang w:val="es-ES"/>
        </w:rPr>
        <w:t xml:space="preserve">Actualmente, </w:t>
      </w:r>
      <w:r w:rsidR="00E64459" w:rsidRPr="00862632">
        <w:rPr>
          <w:lang w:val="es-ES"/>
        </w:rPr>
        <w:t xml:space="preserve">Internet se está convirtiendo en un </w:t>
      </w:r>
      <w:r w:rsidR="00BC5045">
        <w:rPr>
          <w:lang w:val="es-ES"/>
        </w:rPr>
        <w:t>"</w:t>
      </w:r>
      <w:r w:rsidR="00E64459" w:rsidRPr="00862632">
        <w:rPr>
          <w:lang w:val="es-ES"/>
        </w:rPr>
        <w:t>producto básico</w:t>
      </w:r>
      <w:r w:rsidR="00BC5045">
        <w:rPr>
          <w:lang w:val="es-ES"/>
        </w:rPr>
        <w:t>"</w:t>
      </w:r>
      <w:r w:rsidR="00E64459" w:rsidRPr="00862632">
        <w:rPr>
          <w:lang w:val="es-ES"/>
        </w:rPr>
        <w:t xml:space="preserve"> y en diversos estudios se considera que </w:t>
      </w:r>
      <w:r w:rsidR="009554F1" w:rsidRPr="00862632">
        <w:rPr>
          <w:lang w:val="es-ES"/>
        </w:rPr>
        <w:t xml:space="preserve">la </w:t>
      </w:r>
      <w:r w:rsidR="009554F1" w:rsidRPr="00976F97">
        <w:t>información</w:t>
      </w:r>
      <w:r w:rsidR="009554F1" w:rsidRPr="00862632">
        <w:rPr>
          <w:lang w:val="es-ES"/>
        </w:rPr>
        <w:t xml:space="preserve"> y los conocimientos proporcionados por Internet son ejemplos de bienes públicos mundiales</w:t>
      </w:r>
      <w:r w:rsidR="009554F1" w:rsidRPr="00862632">
        <w:rPr>
          <w:rStyle w:val="FootnoteReference"/>
          <w:lang w:val="es-ES"/>
        </w:rPr>
        <w:footnoteReference w:id="39"/>
      </w:r>
      <w:r w:rsidR="009554F1" w:rsidRPr="00862632">
        <w:rPr>
          <w:lang w:val="es-ES"/>
        </w:rPr>
        <w:t xml:space="preserve">. </w:t>
      </w:r>
      <w:r w:rsidR="00E64459" w:rsidRPr="00862632">
        <w:rPr>
          <w:lang w:val="es-ES"/>
        </w:rPr>
        <w:t xml:space="preserve">Internet está formada por muchas redes individuales, aunque algunas de ellas (pero no siempre su contenido) pueden ser propiedad de grupos, empresas o personas determinados [origen: </w:t>
      </w:r>
      <w:hyperlink r:id="rId25" w:history="1">
        <w:r w:rsidR="00A26E96" w:rsidRPr="00A26E96">
          <w:rPr>
            <w:rStyle w:val="Hyperlink"/>
            <w:lang w:val="es-ES"/>
          </w:rPr>
          <w:t>EE.UU.</w:t>
        </w:r>
      </w:hyperlink>
      <w:r w:rsidR="00E64459" w:rsidRPr="00862632">
        <w:rPr>
          <w:rStyle w:val="FootnoteReference"/>
          <w:lang w:val="es-ES"/>
        </w:rPr>
        <w:footnoteReference w:id="40"/>
      </w:r>
      <w:r w:rsidR="00E64459" w:rsidRPr="00862632">
        <w:rPr>
          <w:lang w:val="es-ES"/>
        </w:rPr>
        <w:t xml:space="preserve">]. </w:t>
      </w:r>
      <w:r w:rsidR="009554F1" w:rsidRPr="00862632">
        <w:rPr>
          <w:lang w:val="es-ES"/>
        </w:rPr>
        <w:t xml:space="preserve">Aplicaciones como la World Wide Web, el correo electrónico y la mensajería instantánea han cambiado la vida de personas normales en algunas partes del mundo. Se reconoce por lo general que la utilidad y el valor de la red aumenta </w:t>
      </w:r>
      <w:r w:rsidR="00E64459" w:rsidRPr="00862632">
        <w:rPr>
          <w:lang w:val="es-ES"/>
        </w:rPr>
        <w:t>proporcionalmente al cuadrado d</w:t>
      </w:r>
      <w:r w:rsidR="009554F1" w:rsidRPr="00862632">
        <w:rPr>
          <w:lang w:val="es-ES"/>
        </w:rPr>
        <w:t>el crecimiento del número de nodos y de usuarios de esa red.</w:t>
      </w:r>
    </w:p>
    <w:p w:rsidR="009554F1" w:rsidRPr="00862632" w:rsidRDefault="00E64459" w:rsidP="0016466E">
      <w:pPr>
        <w:pStyle w:val="enumlev1"/>
        <w:rPr>
          <w:lang w:val="es-ES"/>
        </w:rPr>
      </w:pPr>
      <w:r w:rsidRPr="00862632">
        <w:rPr>
          <w:lang w:val="es-ES"/>
        </w:rPr>
        <w:t>n</w:t>
      </w:r>
      <w:r w:rsidR="000A35E5" w:rsidRPr="00862632">
        <w:rPr>
          <w:lang w:val="es-ES"/>
        </w:rPr>
        <w:t>)</w:t>
      </w:r>
      <w:r w:rsidR="000A35E5" w:rsidRPr="00862632">
        <w:rPr>
          <w:lang w:val="es-ES"/>
        </w:rPr>
        <w:tab/>
      </w:r>
      <w:r w:rsidRPr="00862632">
        <w:rPr>
          <w:lang w:val="es-ES"/>
        </w:rPr>
        <w:t>En un mundo ideal,</w:t>
      </w:r>
      <w:r w:rsidR="009554F1" w:rsidRPr="00862632">
        <w:rPr>
          <w:lang w:val="es-ES"/>
        </w:rPr>
        <w:t xml:space="preserve"> Internet, al ser un sistema descentralizado y abierto, debe poder permitir que todos los </w:t>
      </w:r>
      <w:r w:rsidR="009554F1" w:rsidRPr="0016466E">
        <w:t>ciudadanos</w:t>
      </w:r>
      <w:r w:rsidR="009554F1" w:rsidRPr="00862632">
        <w:rPr>
          <w:lang w:val="es-ES"/>
        </w:rPr>
        <w:t xml:space="preserve"> del mundo se conecten libremente y se expresen conforme a principios fundamentales de libertad de expresión, </w:t>
      </w:r>
      <w:r w:rsidRPr="00862632">
        <w:rPr>
          <w:lang w:val="es-ES"/>
        </w:rPr>
        <w:t xml:space="preserve">como se indica en el Artículo 19 de la Declaración Universal de los Derechos Humanos y recientemente recalcó el Consejo de Derechos Humanos de las Naciones Unidas, </w:t>
      </w:r>
      <w:r w:rsidR="009554F1" w:rsidRPr="00862632">
        <w:rPr>
          <w:lang w:val="es-ES"/>
        </w:rPr>
        <w:t>teniendo siempre en cuenta la seguridad nacional y el orden público, así como la salud pública y la moral</w:t>
      </w:r>
      <w:r w:rsidR="009554F1" w:rsidRPr="00862632">
        <w:rPr>
          <w:rStyle w:val="FootnoteReference"/>
          <w:lang w:val="es-ES"/>
        </w:rPr>
        <w:footnoteReference w:id="41"/>
      </w:r>
      <w:r w:rsidR="009554F1" w:rsidRPr="00862632">
        <w:rPr>
          <w:lang w:val="es-ES"/>
        </w:rPr>
        <w:t>. Con arreglo a la naturaleza del conocimiento, la información y las formas de expresión proporcionados por Internet como bienes públicos mundiales, se somete a la consideración de los Estados Miembros de la UIT la conveniencia de contemplar medidas de política para aumentar y promover el crecimiento constante de Internet y de los mercados y economías que se basan en ella.</w:t>
      </w:r>
    </w:p>
    <w:p w:rsidR="009554F1" w:rsidRPr="00862632" w:rsidRDefault="00E64459" w:rsidP="0016466E">
      <w:pPr>
        <w:pStyle w:val="enumlev1"/>
        <w:rPr>
          <w:lang w:val="es-ES"/>
        </w:rPr>
      </w:pPr>
      <w:r w:rsidRPr="00862632">
        <w:rPr>
          <w:lang w:val="es-ES"/>
        </w:rPr>
        <w:t>o</w:t>
      </w:r>
      <w:r w:rsidR="000A35E5" w:rsidRPr="00862632">
        <w:rPr>
          <w:lang w:val="es-ES"/>
        </w:rPr>
        <w:t>)</w:t>
      </w:r>
      <w:r w:rsidR="000A35E5" w:rsidRPr="00862632">
        <w:rPr>
          <w:lang w:val="es-ES"/>
        </w:rPr>
        <w:tab/>
      </w:r>
      <w:r w:rsidR="009554F1" w:rsidRPr="00862632">
        <w:rPr>
          <w:lang w:val="es-ES"/>
        </w:rPr>
        <w:t xml:space="preserve">En la Cumbre Mundial sobre la Sociedad de la Información (CMSI), líderes mundiales y Jefes de Estado adoptaron principios generales en un modelo de gobernanza multipartito que ofrece un precio fundamental en el que se pueden basar esas medidas de política. Se han adoptado diversas iniciativas nacionales encaminadas a enunciar principios rectores de alto nivel </w:t>
      </w:r>
      <w:r w:rsidR="00897365" w:rsidRPr="00862632">
        <w:rPr>
          <w:lang w:val="es-ES"/>
        </w:rPr>
        <w:t xml:space="preserve">para </w:t>
      </w:r>
      <w:r w:rsidR="009554F1" w:rsidRPr="00862632">
        <w:rPr>
          <w:lang w:val="es-ES"/>
        </w:rPr>
        <w:t xml:space="preserve">el ciberespacio tales como, entre otros, la </w:t>
      </w:r>
      <w:hyperlink r:id="rId26" w:history="1">
        <w:r w:rsidR="009554F1" w:rsidRPr="00862632">
          <w:rPr>
            <w:rStyle w:val="Hyperlink"/>
            <w:rFonts w:cstheme="minorHAnsi"/>
            <w:szCs w:val="22"/>
            <w:lang w:val="es-ES"/>
          </w:rPr>
          <w:t>Estrategia internacional para el ciberespacio</w:t>
        </w:r>
      </w:hyperlink>
      <w:r w:rsidR="009554F1" w:rsidRPr="00862632">
        <w:rPr>
          <w:lang w:val="es-ES"/>
        </w:rPr>
        <w:t xml:space="preserve"> en Estados Unidos y diez </w:t>
      </w:r>
      <w:r w:rsidR="00BC5045">
        <w:rPr>
          <w:lang w:val="es-ES"/>
        </w:rPr>
        <w:t>"</w:t>
      </w:r>
      <w:hyperlink r:id="rId27" w:history="1">
        <w:r w:rsidR="009554F1" w:rsidRPr="00862632">
          <w:rPr>
            <w:rStyle w:val="Hyperlink"/>
            <w:rFonts w:cstheme="minorHAnsi"/>
            <w:szCs w:val="22"/>
            <w:lang w:val="es-ES"/>
          </w:rPr>
          <w:t>Principios para la gobernanza y utilización de Internet</w:t>
        </w:r>
      </w:hyperlink>
      <w:r w:rsidR="00BC5045">
        <w:rPr>
          <w:lang w:val="es-ES"/>
        </w:rPr>
        <w:t>"</w:t>
      </w:r>
      <w:r w:rsidR="00897365" w:rsidRPr="00862632">
        <w:rPr>
          <w:lang w:val="es-ES"/>
        </w:rPr>
        <w:t xml:space="preserve"> </w:t>
      </w:r>
      <w:r w:rsidR="009554F1" w:rsidRPr="00862632">
        <w:rPr>
          <w:lang w:val="es-ES"/>
        </w:rPr>
        <w:t>en Brasil</w:t>
      </w:r>
      <w:r w:rsidRPr="00862632">
        <w:rPr>
          <w:lang w:val="es-ES"/>
        </w:rPr>
        <w:t xml:space="preserve"> y el concepto del Convenio sobre Seguridad de la Información Internacional de la Federación de Rusia</w:t>
      </w:r>
      <w:r w:rsidR="009554F1" w:rsidRPr="00862632">
        <w:rPr>
          <w:lang w:val="es-ES"/>
        </w:rPr>
        <w:t xml:space="preserve">, y a escala internacional </w:t>
      </w:r>
      <w:r w:rsidRPr="00862632">
        <w:rPr>
          <w:lang w:val="es-ES"/>
        </w:rPr>
        <w:t xml:space="preserve">el Informe del Grupo de Expertos Gubernamentales sobre los avances en la información y las telecomunicaciones en el contexto de la seguridad internacional 65/201, el </w:t>
      </w:r>
      <w:r w:rsidRPr="00862632">
        <w:rPr>
          <w:sz w:val="20"/>
          <w:lang w:val="es-ES" w:eastAsia="zh-CN"/>
        </w:rPr>
        <w:t>código internacional de conducta para la seguridad de la información A/66/359 y</w:t>
      </w:r>
      <w:r w:rsidR="009554F1" w:rsidRPr="00862632">
        <w:rPr>
          <w:lang w:val="es-ES"/>
        </w:rPr>
        <w:t xml:space="preserve"> la recomendación del Consejo de la OCDE sobre principios de elaboración de políticas sobre Internet</w:t>
      </w:r>
      <w:r w:rsidR="009554F1" w:rsidRPr="00862632">
        <w:rPr>
          <w:vertAlign w:val="superscript"/>
          <w:lang w:val="es-ES"/>
        </w:rPr>
        <w:footnoteReference w:id="42"/>
      </w:r>
      <w:r w:rsidR="009554F1" w:rsidRPr="00862632">
        <w:rPr>
          <w:color w:val="1F497D"/>
          <w:lang w:val="es-ES"/>
        </w:rPr>
        <w:t>.</w:t>
      </w:r>
    </w:p>
    <w:p w:rsidR="009554F1" w:rsidRPr="00862632" w:rsidRDefault="004F44D7" w:rsidP="0016466E">
      <w:pPr>
        <w:pStyle w:val="enumlev1"/>
        <w:rPr>
          <w:lang w:val="es-ES"/>
        </w:rPr>
      </w:pPr>
      <w:r w:rsidRPr="00862632">
        <w:rPr>
          <w:lang w:val="es-ES"/>
        </w:rPr>
        <w:t>p</w:t>
      </w:r>
      <w:r w:rsidR="000A35E5" w:rsidRPr="00862632">
        <w:rPr>
          <w:lang w:val="es-ES"/>
        </w:rPr>
        <w:t>)</w:t>
      </w:r>
      <w:r w:rsidR="000A35E5" w:rsidRPr="00862632">
        <w:rPr>
          <w:lang w:val="es-ES"/>
        </w:rPr>
        <w:tab/>
      </w:r>
      <w:r w:rsidR="009554F1" w:rsidRPr="00862632">
        <w:rPr>
          <w:lang w:val="es-ES"/>
        </w:rPr>
        <w:t>Los avances de la infraestructura de la información, incluido el desarrollo de redes basadas en el IP y de Internet, teniendo en cuenta los requisitos, las características y el interfuncionamiento de las redes de la próxima generación (NGN) y las futuras redes, son importantísimos para impulsar el crecimiento de la economía mundial en el siglo XXI.</w:t>
      </w:r>
    </w:p>
    <w:p w:rsidR="00344D10" w:rsidRPr="00862632" w:rsidRDefault="004F44D7" w:rsidP="005C44EC">
      <w:pPr>
        <w:pStyle w:val="enumlev1"/>
        <w:rPr>
          <w:lang w:val="es-ES"/>
        </w:rPr>
      </w:pPr>
      <w:r w:rsidRPr="00862632">
        <w:rPr>
          <w:lang w:val="es-ES"/>
        </w:rPr>
        <w:t>q</w:t>
      </w:r>
      <w:r w:rsidR="000A35E5" w:rsidRPr="00862632">
        <w:rPr>
          <w:lang w:val="es-ES"/>
        </w:rPr>
        <w:t>)</w:t>
      </w:r>
      <w:r w:rsidR="000A35E5" w:rsidRPr="00862632">
        <w:rPr>
          <w:lang w:val="es-ES"/>
        </w:rPr>
        <w:tab/>
      </w:r>
      <w:r w:rsidR="009554F1" w:rsidRPr="00862632">
        <w:rPr>
          <w:lang w:val="es-ES"/>
        </w:rPr>
        <w:t>La gestión de la información digital se ha convertido en los últimos años en un aspecto importante del avance de Internet, y redundará en beneficio de numerosas nuevas actividades como la</w:t>
      </w:r>
      <w:r w:rsidRPr="00862632">
        <w:rPr>
          <w:lang w:val="es-ES"/>
        </w:rPr>
        <w:t>s centradas en las arquitecturas existentes (</w:t>
      </w:r>
      <w:r w:rsidR="009554F1" w:rsidRPr="00862632">
        <w:rPr>
          <w:lang w:val="es-ES"/>
        </w:rPr>
        <w:t xml:space="preserve">computación en nube, </w:t>
      </w:r>
      <w:r w:rsidR="009554F1" w:rsidRPr="00862632">
        <w:rPr>
          <w:i/>
          <w:iCs/>
          <w:lang w:val="es-ES"/>
        </w:rPr>
        <w:t>Big Data</w:t>
      </w:r>
      <w:r w:rsidR="009554F1" w:rsidRPr="00862632">
        <w:rPr>
          <w:lang w:val="es-ES"/>
        </w:rPr>
        <w:t xml:space="preserve"> </w:t>
      </w:r>
      <w:r w:rsidRPr="00862632">
        <w:rPr>
          <w:lang w:val="es-ES"/>
        </w:rPr>
        <w:t>e</w:t>
      </w:r>
      <w:r w:rsidR="009554F1" w:rsidRPr="00862632">
        <w:rPr>
          <w:lang w:val="es-ES"/>
        </w:rPr>
        <w:t xml:space="preserve"> Internet de las cosas</w:t>
      </w:r>
      <w:r w:rsidRPr="00862632">
        <w:rPr>
          <w:lang w:val="es-ES"/>
        </w:rPr>
        <w:t>) y las centradas en las n</w:t>
      </w:r>
      <w:r w:rsidR="009554F1" w:rsidRPr="00862632">
        <w:rPr>
          <w:lang w:val="es-ES"/>
        </w:rPr>
        <w:t>uevas arquitecturas, tales como la arquitectura de objeto digital</w:t>
      </w:r>
      <w:r w:rsidRPr="00862632">
        <w:rPr>
          <w:lang w:val="es-ES"/>
        </w:rPr>
        <w:t xml:space="preserve"> (DOA)</w:t>
      </w:r>
      <w:r w:rsidR="009554F1" w:rsidRPr="00862632">
        <w:rPr>
          <w:lang w:val="es-ES"/>
        </w:rPr>
        <w:t xml:space="preserve">, </w:t>
      </w:r>
      <w:r w:rsidRPr="00862632">
        <w:rPr>
          <w:lang w:val="es-ES"/>
        </w:rPr>
        <w:t xml:space="preserve">que </w:t>
      </w:r>
      <w:r w:rsidR="009554F1" w:rsidRPr="00862632">
        <w:rPr>
          <w:lang w:val="es-ES"/>
        </w:rPr>
        <w:t>se están desarrollando y desplegando con ayuda de esas iniciativas [</w:t>
      </w:r>
      <w:r w:rsidR="007C1231">
        <w:rPr>
          <w:lang w:val="es-ES"/>
        </w:rPr>
        <w:t>origen</w:t>
      </w:r>
      <w:r w:rsidR="009554F1" w:rsidRPr="00862632">
        <w:rPr>
          <w:lang w:val="es-ES"/>
        </w:rPr>
        <w:t>:</w:t>
      </w:r>
      <w:r w:rsidRPr="00862632">
        <w:rPr>
          <w:lang w:val="es-ES"/>
        </w:rPr>
        <w:t xml:space="preserve"> </w:t>
      </w:r>
      <w:hyperlink r:id="rId28" w:history="1">
        <w:r w:rsidR="00B211C6" w:rsidRPr="00862632">
          <w:rPr>
            <w:rStyle w:val="Hyperlink"/>
            <w:rFonts w:cstheme="minorHAnsi"/>
            <w:szCs w:val="22"/>
            <w:lang w:val="es-ES"/>
          </w:rPr>
          <w:t>EE.UU./CNRI</w:t>
        </w:r>
      </w:hyperlink>
      <w:r w:rsidR="009554F1" w:rsidRPr="00862632">
        <w:rPr>
          <w:rStyle w:val="FootnoteReference"/>
          <w:lang w:val="es-ES"/>
        </w:rPr>
        <w:footnoteReference w:id="43"/>
      </w:r>
      <w:r w:rsidR="009554F1" w:rsidRPr="00862632">
        <w:rPr>
          <w:lang w:val="es-ES"/>
        </w:rPr>
        <w:t>].</w:t>
      </w:r>
      <w:r w:rsidRPr="00862632">
        <w:rPr>
          <w:lang w:val="es-ES"/>
        </w:rPr>
        <w:t xml:space="preserve"> En la Unión Europea, Estados Unidos, la República de Corea, Japón y otros países se están realizando importantes investigaciones y actividades de desarrollo centradas en los nuevos protocolos y </w:t>
      </w:r>
      <w:r w:rsidR="00862632" w:rsidRPr="00862632">
        <w:rPr>
          <w:lang w:val="es-ES"/>
        </w:rPr>
        <w:t>arquitecturas</w:t>
      </w:r>
      <w:r w:rsidRPr="00862632">
        <w:rPr>
          <w:lang w:val="es-ES"/>
        </w:rPr>
        <w:t xml:space="preserve"> para la Internet futura, cuyo objetivo es, entre otros, mejorar la capacidad, el </w:t>
      </w:r>
      <w:r w:rsidR="00862632" w:rsidRPr="00862632">
        <w:rPr>
          <w:lang w:val="es-ES"/>
        </w:rPr>
        <w:t>rendimiento</w:t>
      </w:r>
      <w:r w:rsidRPr="00862632">
        <w:rPr>
          <w:lang w:val="es-ES"/>
        </w:rPr>
        <w:t>, la estabilidad, colmar las brechas de seguridad conocidas y ofrecer un soporte para el multilingüismo.</w:t>
      </w:r>
    </w:p>
    <w:p w:rsidR="00344D10" w:rsidRPr="00862632" w:rsidRDefault="009554F1" w:rsidP="00344D10">
      <w:pPr>
        <w:rPr>
          <w:rFonts w:asciiTheme="minorHAnsi" w:hAnsiTheme="minorHAnsi" w:cstheme="minorHAnsi"/>
          <w:b/>
          <w:bCs/>
          <w:szCs w:val="24"/>
          <w:lang w:val="es-ES"/>
        </w:rPr>
      </w:pPr>
      <w:r w:rsidRPr="00862632">
        <w:rPr>
          <w:rFonts w:asciiTheme="minorHAnsi" w:hAnsiTheme="minorHAnsi" w:cstheme="minorHAnsi"/>
          <w:b/>
          <w:bCs/>
          <w:szCs w:val="24"/>
          <w:lang w:val="es-ES"/>
        </w:rPr>
        <w:t>2.3.2</w:t>
      </w:r>
      <w:r w:rsidRPr="00862632">
        <w:rPr>
          <w:rFonts w:asciiTheme="minorHAnsi" w:hAnsiTheme="minorHAnsi" w:cstheme="minorHAnsi"/>
          <w:b/>
          <w:bCs/>
          <w:szCs w:val="24"/>
          <w:lang w:val="es-ES"/>
        </w:rPr>
        <w:tab/>
        <w:t>Modelo de múltiples partes interesadas</w:t>
      </w:r>
    </w:p>
    <w:p w:rsidR="00344D10" w:rsidRPr="00886B49" w:rsidRDefault="009554F1" w:rsidP="00886B49">
      <w:pPr>
        <w:rPr>
          <w:b/>
          <w:bCs/>
          <w:lang w:val="es-ES"/>
        </w:rPr>
      </w:pPr>
      <w:r w:rsidRPr="00886B49">
        <w:rPr>
          <w:b/>
          <w:bCs/>
          <w:lang w:val="es-ES"/>
        </w:rPr>
        <w:t>2.3.2.1</w:t>
      </w:r>
      <w:r w:rsidRPr="00886B49">
        <w:rPr>
          <w:b/>
          <w:bCs/>
          <w:lang w:val="es-ES"/>
        </w:rPr>
        <w:tab/>
        <w:t>La CMSI reconoció que el modelo de múltiples partes interesadas es el modelo mundial de la gobernanza de Internet; los documentos de resultados de la CMSI contienen un conjunto de principios marco para el modelo de múltiples partes interesadas</w:t>
      </w:r>
      <w:r w:rsidR="00886B49">
        <w:rPr>
          <w:b/>
          <w:bCs/>
          <w:lang w:val="es-ES"/>
        </w:rPr>
        <w:t>.</w:t>
      </w:r>
    </w:p>
    <w:p w:rsidR="00344D10" w:rsidRPr="004366E5" w:rsidRDefault="009554F1" w:rsidP="0016466E">
      <w:pPr>
        <w:pStyle w:val="enumlev1"/>
        <w:rPr>
          <w:rFonts w:eastAsiaTheme="minorEastAsia"/>
        </w:rPr>
      </w:pPr>
      <w:r w:rsidRPr="004366E5">
        <w:rPr>
          <w:rFonts w:eastAsiaTheme="minorEastAsia"/>
        </w:rPr>
        <w:t>a)</w:t>
      </w:r>
      <w:r w:rsidRPr="004366E5">
        <w:rPr>
          <w:rFonts w:eastAsiaTheme="minorEastAsia"/>
        </w:rPr>
        <w:tab/>
        <w:t>Dos de los resultados principales de la CMSI fueron los siguientes: 1) la enunciación clara de los principios del modelo de gobernanza de múltiples partes interesadas de Internet</w:t>
      </w:r>
      <w:r w:rsidRPr="00862632">
        <w:rPr>
          <w:rStyle w:val="FootnoteReference"/>
          <w:lang w:val="es-ES"/>
        </w:rPr>
        <w:footnoteReference w:id="44"/>
      </w:r>
      <w:r w:rsidRPr="00862632">
        <w:rPr>
          <w:rStyle w:val="FootnoteReference"/>
          <w:lang w:val="es-ES"/>
        </w:rPr>
        <w:t xml:space="preserve"> </w:t>
      </w:r>
      <w:r w:rsidRPr="004366E5">
        <w:rPr>
          <w:rFonts w:eastAsiaTheme="minorEastAsia"/>
        </w:rPr>
        <w:t xml:space="preserve">y 2) el </w:t>
      </w:r>
      <w:r w:rsidRPr="0016466E">
        <w:rPr>
          <w:rFonts w:eastAsiaTheme="minorEastAsia"/>
        </w:rPr>
        <w:t>reconocimiento</w:t>
      </w:r>
      <w:r w:rsidRPr="004366E5">
        <w:rPr>
          <w:rFonts w:eastAsiaTheme="minorEastAsia"/>
        </w:rPr>
        <w:t xml:space="preserve"> de que ese modelo es el camino a seguir para la gobernanza mundial de Internet, como consta en los documentos de resultados de la CMSI</w:t>
      </w:r>
      <w:r w:rsidRPr="00862632">
        <w:rPr>
          <w:rStyle w:val="FootnoteReference"/>
          <w:lang w:val="es-ES"/>
        </w:rPr>
        <w:footnoteReference w:id="45"/>
      </w:r>
      <w:r w:rsidRPr="004366E5">
        <w:rPr>
          <w:rFonts w:eastAsiaTheme="minorEastAsia"/>
        </w:rPr>
        <w:t>, de los cuales se recogen ejemplos en los apartados b) a e) del presente punto.</w:t>
      </w:r>
    </w:p>
    <w:p w:rsidR="009554F1" w:rsidRPr="00862632" w:rsidRDefault="009554F1" w:rsidP="0016466E">
      <w:pPr>
        <w:pStyle w:val="enumlev1"/>
        <w:rPr>
          <w:lang w:val="es-ES"/>
        </w:rPr>
      </w:pPr>
      <w:r w:rsidRPr="00862632">
        <w:rPr>
          <w:lang w:val="es-ES"/>
        </w:rPr>
        <w:t>b)</w:t>
      </w:r>
      <w:r w:rsidRPr="00862632">
        <w:rPr>
          <w:lang w:val="es-ES"/>
        </w:rPr>
        <w:tab/>
        <w:t>El Grupo de Trabajo sobre el Gobierno de Internet (GTGI, un grupo integrado por todas las partes interesadas</w:t>
      </w:r>
      <w:r w:rsidRPr="00862632">
        <w:rPr>
          <w:rStyle w:val="FootnoteReference"/>
          <w:lang w:val="es-ES"/>
        </w:rPr>
        <w:footnoteReference w:id="46"/>
      </w:r>
      <w:r w:rsidRPr="00862632">
        <w:rPr>
          <w:lang w:val="es-ES"/>
        </w:rPr>
        <w:t xml:space="preserve">) elaboró una </w:t>
      </w:r>
      <w:r w:rsidR="00BC5045">
        <w:rPr>
          <w:lang w:val="es-ES"/>
        </w:rPr>
        <w:t>"</w:t>
      </w:r>
      <w:r w:rsidRPr="00862632">
        <w:rPr>
          <w:lang w:val="es-ES"/>
        </w:rPr>
        <w:t>definición de trabajo</w:t>
      </w:r>
      <w:r w:rsidR="00BC5045">
        <w:rPr>
          <w:lang w:val="es-ES"/>
        </w:rPr>
        <w:t>"</w:t>
      </w:r>
      <w:r w:rsidRPr="00862632">
        <w:rPr>
          <w:lang w:val="es-ES"/>
        </w:rPr>
        <w:t xml:space="preserve"> de la gobernanza de Internet que fue adoptada posteriormente por la Cumbre e incorporada en el punto 34 de la </w:t>
      </w:r>
      <w:r w:rsidRPr="00862632">
        <w:rPr>
          <w:i/>
          <w:iCs/>
          <w:lang w:val="es-ES"/>
        </w:rPr>
        <w:t>Agenda de Túnez</w:t>
      </w:r>
      <w:r w:rsidRPr="00862632">
        <w:rPr>
          <w:lang w:val="es-ES"/>
        </w:rPr>
        <w:t xml:space="preserve">, en el que se expone que la gobernanza de Internet es el </w:t>
      </w:r>
      <w:r w:rsidRPr="0016466E">
        <w:t>desarrollo</w:t>
      </w:r>
      <w:r w:rsidRPr="00862632">
        <w:rPr>
          <w:lang w:val="es-ES"/>
        </w:rPr>
        <w:t xml:space="preserve"> y aplicación por los gobiernos, el sector privado y la sociedad civil, en el desempeño de sus respectivos papeles, de principios, normas, reglas, procedimientos de toma de decisiones y programas comunes que dan forma a la evolución y a la utilización de Internet</w:t>
      </w:r>
      <w:r w:rsidR="00BC5045">
        <w:rPr>
          <w:lang w:val="es-ES"/>
        </w:rPr>
        <w:t>"</w:t>
      </w:r>
      <w:r w:rsidRPr="00862632">
        <w:rPr>
          <w:lang w:val="es-ES"/>
        </w:rPr>
        <w:t>.</w:t>
      </w:r>
      <w:r w:rsidR="00217792" w:rsidRPr="00862632">
        <w:rPr>
          <w:lang w:val="es-ES"/>
        </w:rPr>
        <w:t xml:space="preserve"> En el punto 58 de la </w:t>
      </w:r>
      <w:r w:rsidR="00217792" w:rsidRPr="00862632">
        <w:rPr>
          <w:i/>
          <w:iCs/>
          <w:lang w:val="es-ES"/>
        </w:rPr>
        <w:t>Agenda de Túnez</w:t>
      </w:r>
      <w:r w:rsidR="00217792" w:rsidRPr="00862632">
        <w:rPr>
          <w:lang w:val="es-ES"/>
        </w:rPr>
        <w:t xml:space="preserve"> se reconoce que la </w:t>
      </w:r>
      <w:r w:rsidR="00217792" w:rsidRPr="004366E5">
        <w:rPr>
          <w:rFonts w:eastAsia="'宋体"/>
        </w:rPr>
        <w:t xml:space="preserve">gobernanza </w:t>
      </w:r>
      <w:r w:rsidR="00217792" w:rsidRPr="00862632">
        <w:rPr>
          <w:lang w:val="es-ES"/>
        </w:rPr>
        <w:t xml:space="preserve">de Internet supone más que la atribución de nombres y direcciones de Internet. Incluye otros aspectos importantes de política pública tales como, entre otros, los recursos críticos de Internet, la seguridad y protección de Internet y los aspectos y cuestiones de desarrollo relativos a la utilización de Internet [origen: </w:t>
      </w:r>
      <w:hyperlink r:id="rId29" w:history="1">
        <w:r w:rsidR="00217792" w:rsidRPr="000F0B9B">
          <w:rPr>
            <w:rStyle w:val="Hyperlink"/>
            <w:lang w:val="es-ES"/>
          </w:rPr>
          <w:t>ISOC Bulgaria</w:t>
        </w:r>
      </w:hyperlink>
      <w:r w:rsidR="00217792" w:rsidRPr="00323F00">
        <w:rPr>
          <w:rStyle w:val="FootnoteReference"/>
        </w:rPr>
        <w:footnoteReference w:id="47"/>
      </w:r>
      <w:r w:rsidR="00217792" w:rsidRPr="00862632">
        <w:rPr>
          <w:lang w:val="es-ES"/>
        </w:rPr>
        <w:t xml:space="preserve">]. </w:t>
      </w:r>
    </w:p>
    <w:p w:rsidR="009554F1" w:rsidRPr="00862632" w:rsidRDefault="009554F1" w:rsidP="0016466E">
      <w:pPr>
        <w:pStyle w:val="enumlev1"/>
        <w:rPr>
          <w:lang w:val="es-ES"/>
        </w:rPr>
      </w:pPr>
      <w:r w:rsidRPr="00862632">
        <w:rPr>
          <w:lang w:val="es-ES"/>
        </w:rPr>
        <w:t>c)</w:t>
      </w:r>
      <w:r w:rsidRPr="00862632">
        <w:rPr>
          <w:lang w:val="es-ES"/>
        </w:rPr>
        <w:tab/>
        <w:t xml:space="preserve">En el punto 29 de la </w:t>
      </w:r>
      <w:r w:rsidRPr="00862632">
        <w:rPr>
          <w:i/>
          <w:iCs/>
          <w:lang w:val="es-ES"/>
        </w:rPr>
        <w:t>Agenda de Túnez</w:t>
      </w:r>
      <w:r w:rsidRPr="00862632">
        <w:rPr>
          <w:lang w:val="es-ES"/>
        </w:rPr>
        <w:t xml:space="preserve"> se reafirma que la </w:t>
      </w:r>
      <w:r w:rsidRPr="0016466E">
        <w:t>gestión</w:t>
      </w:r>
      <w:r w:rsidRPr="00862632">
        <w:rPr>
          <w:lang w:val="es-ES"/>
        </w:rPr>
        <w:t xml:space="preserve"> internacional de Internet debería ser multilateral, transparente y democrática, y hacerse con la plena participación de los gobiernos, el sector privado, la sociedad civil y las organizaciones internacionales. Esta gestión debería garantizar una distribución equitativa de los recursos, facilitar el acceso de todos y garantizar un funcionamiento estable y seguro de Internet, tomando en consideración el multilingüismo</w:t>
      </w:r>
      <w:r w:rsidRPr="00862632">
        <w:rPr>
          <w:shd w:val="clear" w:color="auto" w:fill="FFFFFF"/>
          <w:lang w:val="es-ES"/>
        </w:rPr>
        <w:t>.</w:t>
      </w:r>
    </w:p>
    <w:p w:rsidR="009554F1" w:rsidRPr="00862632" w:rsidRDefault="009554F1" w:rsidP="0016466E">
      <w:pPr>
        <w:pStyle w:val="enumlev1"/>
        <w:rPr>
          <w:lang w:val="es-ES"/>
        </w:rPr>
      </w:pPr>
      <w:r w:rsidRPr="00862632">
        <w:rPr>
          <w:lang w:val="es-ES"/>
        </w:rPr>
        <w:t>d)</w:t>
      </w:r>
      <w:r w:rsidRPr="00862632">
        <w:rPr>
          <w:lang w:val="es-ES"/>
        </w:rPr>
        <w:tab/>
        <w:t xml:space="preserve">Las funciones y </w:t>
      </w:r>
      <w:r w:rsidRPr="0016466E">
        <w:t>responsabilidades</w:t>
      </w:r>
      <w:r w:rsidRPr="00862632">
        <w:rPr>
          <w:lang w:val="es-ES"/>
        </w:rPr>
        <w:t xml:space="preserve"> de cada grupo de partes interesadas especifican en el punto 35 de la </w:t>
      </w:r>
      <w:r w:rsidRPr="00862632">
        <w:rPr>
          <w:i/>
          <w:iCs/>
          <w:lang w:val="es-ES"/>
        </w:rPr>
        <w:t>Agenda de Túnez</w:t>
      </w:r>
      <w:r w:rsidRPr="00862632">
        <w:rPr>
          <w:lang w:val="es-ES"/>
        </w:rPr>
        <w:t>, a saber:</w:t>
      </w:r>
    </w:p>
    <w:p w:rsidR="009554F1" w:rsidRPr="00862632" w:rsidRDefault="0012727B" w:rsidP="0016466E">
      <w:pPr>
        <w:pStyle w:val="enumlev1"/>
        <w:rPr>
          <w:lang w:val="es-ES"/>
        </w:rPr>
      </w:pPr>
      <w:r w:rsidRPr="00862632">
        <w:rPr>
          <w:shd w:val="clear" w:color="auto" w:fill="FFFFFF"/>
          <w:lang w:val="es-ES"/>
        </w:rPr>
        <w:tab/>
      </w:r>
      <w:r w:rsidR="00BC5045">
        <w:rPr>
          <w:shd w:val="clear" w:color="auto" w:fill="FFFFFF"/>
          <w:lang w:val="es-ES"/>
        </w:rPr>
        <w:t>"</w:t>
      </w:r>
      <w:r w:rsidR="00897365" w:rsidRPr="00862632">
        <w:rPr>
          <w:shd w:val="clear" w:color="auto" w:fill="FFFFFF"/>
          <w:lang w:val="es-ES"/>
        </w:rPr>
        <w:t>L</w:t>
      </w:r>
      <w:r w:rsidR="009554F1" w:rsidRPr="00862632">
        <w:rPr>
          <w:shd w:val="clear" w:color="auto" w:fill="FFFFFF"/>
          <w:lang w:val="es-ES"/>
        </w:rPr>
        <w:t xml:space="preserve">a gestión de Internet </w:t>
      </w:r>
      <w:r w:rsidR="009554F1" w:rsidRPr="0016466E">
        <w:t>abarca</w:t>
      </w:r>
      <w:r w:rsidR="009554F1" w:rsidRPr="00862632">
        <w:rPr>
          <w:shd w:val="clear" w:color="auto" w:fill="FFFFFF"/>
          <w:lang w:val="es-ES"/>
        </w:rPr>
        <w:t xml:space="preserve"> cuestiones técnicas y de política pública y que en ella deberían participar todas las partes interesadas y las organizaciones intergubernamentales e internacionales relevantes. En ese sentido, se reconoce que:</w:t>
      </w:r>
    </w:p>
    <w:p w:rsidR="009554F1" w:rsidRPr="00862632" w:rsidRDefault="0012727B" w:rsidP="0016466E">
      <w:pPr>
        <w:pStyle w:val="enumlev2"/>
        <w:rPr>
          <w:rFonts w:eastAsia="SimSun"/>
          <w:lang w:val="es-ES"/>
        </w:rPr>
      </w:pPr>
      <w:r w:rsidRPr="00862632">
        <w:rPr>
          <w:rFonts w:eastAsia="SimSun"/>
          <w:lang w:val="es-ES"/>
        </w:rPr>
        <w:t>i)</w:t>
      </w:r>
      <w:r w:rsidRPr="00862632">
        <w:rPr>
          <w:rFonts w:eastAsia="SimSun"/>
          <w:lang w:val="es-ES"/>
        </w:rPr>
        <w:tab/>
      </w:r>
      <w:r w:rsidR="009554F1" w:rsidRPr="00862632">
        <w:rPr>
          <w:rFonts w:eastAsia="SimSun"/>
          <w:lang w:val="es-ES"/>
        </w:rPr>
        <w:t>La designación del organismo encargado de las cuestiones de política pública de Internet es el derecho soberano de los Estados. Éstos tienen derechos y responsabilidades en lo que concierne a las cuestiones de política pública que suscita Internet en el plano internacional</w:t>
      </w:r>
      <w:r w:rsidR="00217792" w:rsidRPr="00862632">
        <w:rPr>
          <w:rFonts w:eastAsia="SimSun"/>
          <w:lang w:val="es-ES"/>
        </w:rPr>
        <w:t>, y han de contar también con la legislación pertinente promulgada por los órganos legislativos correspondientes (incluidos Parlamentos, etc.)</w:t>
      </w:r>
      <w:r w:rsidR="009554F1" w:rsidRPr="00862632">
        <w:rPr>
          <w:rFonts w:eastAsia="SimSun"/>
          <w:lang w:val="es-ES"/>
        </w:rPr>
        <w:t>.</w:t>
      </w:r>
    </w:p>
    <w:p w:rsidR="009554F1" w:rsidRPr="00862632" w:rsidRDefault="0012727B" w:rsidP="0016466E">
      <w:pPr>
        <w:pStyle w:val="enumlev2"/>
        <w:rPr>
          <w:rFonts w:eastAsia="SimSun"/>
          <w:lang w:val="es-ES"/>
        </w:rPr>
      </w:pPr>
      <w:r w:rsidRPr="00862632">
        <w:rPr>
          <w:rFonts w:eastAsia="SimSun"/>
          <w:lang w:val="es-ES"/>
        </w:rPr>
        <w:t>ii)</w:t>
      </w:r>
      <w:r w:rsidRPr="00862632">
        <w:rPr>
          <w:rFonts w:eastAsia="SimSun"/>
          <w:lang w:val="es-ES"/>
        </w:rPr>
        <w:tab/>
      </w:r>
      <w:r w:rsidR="009554F1" w:rsidRPr="00862632">
        <w:rPr>
          <w:rFonts w:eastAsia="SimSun"/>
          <w:lang w:val="es-ES"/>
        </w:rPr>
        <w:t xml:space="preserve">El sector </w:t>
      </w:r>
      <w:r w:rsidR="009554F1" w:rsidRPr="0016466E">
        <w:rPr>
          <w:rFonts w:eastAsia="SimSun"/>
        </w:rPr>
        <w:t>privado</w:t>
      </w:r>
      <w:r w:rsidR="009554F1" w:rsidRPr="00862632">
        <w:rPr>
          <w:rFonts w:eastAsia="SimSun"/>
          <w:lang w:val="es-ES"/>
        </w:rPr>
        <w:t xml:space="preserve"> ha desempeñado y debería seguir desempeñando un importante papel en cuanto al desarrollo de Internet tanto en el campo técnico como en el económico.</w:t>
      </w:r>
    </w:p>
    <w:p w:rsidR="009554F1" w:rsidRPr="00862632" w:rsidRDefault="0012727B" w:rsidP="0016466E">
      <w:pPr>
        <w:pStyle w:val="enumlev2"/>
        <w:rPr>
          <w:rFonts w:eastAsia="SimSun"/>
          <w:lang w:val="es-ES"/>
        </w:rPr>
      </w:pPr>
      <w:r w:rsidRPr="00862632">
        <w:rPr>
          <w:rFonts w:eastAsia="SimSun"/>
          <w:lang w:val="es-ES"/>
        </w:rPr>
        <w:t>iii)</w:t>
      </w:r>
      <w:r w:rsidRPr="00862632">
        <w:rPr>
          <w:rFonts w:eastAsia="SimSun"/>
          <w:lang w:val="es-ES"/>
        </w:rPr>
        <w:tab/>
      </w:r>
      <w:r w:rsidR="009554F1" w:rsidRPr="00862632">
        <w:rPr>
          <w:rFonts w:eastAsia="SimSun"/>
          <w:lang w:val="es-ES"/>
        </w:rPr>
        <w:t>La sociedad civil también ha desempeñado un importante papel en lo que concierne a los</w:t>
      </w:r>
      <w:r w:rsidR="00FE7679" w:rsidRPr="00862632">
        <w:rPr>
          <w:rFonts w:eastAsia="SimSun"/>
          <w:lang w:val="es-ES"/>
        </w:rPr>
        <w:t xml:space="preserve"> </w:t>
      </w:r>
      <w:r w:rsidR="009554F1" w:rsidRPr="00862632">
        <w:rPr>
          <w:rFonts w:eastAsia="SimSun"/>
          <w:lang w:val="es-ES"/>
        </w:rPr>
        <w:t xml:space="preserve">asuntos relacionados con Internet, </w:t>
      </w:r>
      <w:r w:rsidR="009554F1" w:rsidRPr="0016466E">
        <w:rPr>
          <w:rFonts w:eastAsia="SimSun"/>
        </w:rPr>
        <w:t>especialmente</w:t>
      </w:r>
      <w:r w:rsidR="009554F1" w:rsidRPr="00862632">
        <w:rPr>
          <w:rFonts w:eastAsia="SimSun"/>
          <w:lang w:val="es-ES"/>
        </w:rPr>
        <w:t xml:space="preserve"> a nivel comunitario, y debería seguir desempeñando dicho papel.</w:t>
      </w:r>
    </w:p>
    <w:p w:rsidR="009554F1" w:rsidRPr="00862632" w:rsidRDefault="0012727B" w:rsidP="0016466E">
      <w:pPr>
        <w:pStyle w:val="enumlev2"/>
        <w:rPr>
          <w:rFonts w:eastAsia="SimSun"/>
          <w:lang w:val="es-ES"/>
        </w:rPr>
      </w:pPr>
      <w:r w:rsidRPr="00862632">
        <w:rPr>
          <w:rFonts w:eastAsia="SimSun"/>
          <w:lang w:val="es-ES"/>
        </w:rPr>
        <w:t>iv)</w:t>
      </w:r>
      <w:r w:rsidRPr="00862632">
        <w:rPr>
          <w:rFonts w:eastAsia="SimSun"/>
          <w:lang w:val="es-ES"/>
        </w:rPr>
        <w:tab/>
      </w:r>
      <w:r w:rsidR="009554F1" w:rsidRPr="00862632">
        <w:rPr>
          <w:rFonts w:eastAsia="SimSun"/>
          <w:lang w:val="es-ES"/>
        </w:rPr>
        <w:t xml:space="preserve">Las organizaciones </w:t>
      </w:r>
      <w:r w:rsidR="009554F1" w:rsidRPr="0016466E">
        <w:rPr>
          <w:rFonts w:eastAsia="SimSun"/>
        </w:rPr>
        <w:t>intergubernamentales</w:t>
      </w:r>
      <w:r w:rsidR="009554F1" w:rsidRPr="00862632">
        <w:rPr>
          <w:rFonts w:eastAsia="SimSun"/>
          <w:lang w:val="es-ES"/>
        </w:rPr>
        <w:t xml:space="preserve"> han desempeñado y deberían seguir</w:t>
      </w:r>
      <w:r w:rsidR="00FE7679" w:rsidRPr="00862632">
        <w:rPr>
          <w:rFonts w:eastAsia="SimSun"/>
          <w:lang w:val="es-ES"/>
        </w:rPr>
        <w:t xml:space="preserve"> </w:t>
      </w:r>
      <w:r w:rsidR="009554F1" w:rsidRPr="00862632">
        <w:rPr>
          <w:rFonts w:eastAsia="SimSun"/>
          <w:lang w:val="es-ES"/>
        </w:rPr>
        <w:t>desempeñando un papel facilitador en lo que concierne a la coordinación de las cuestiones de política pública que tienen que ver con Internet.</w:t>
      </w:r>
    </w:p>
    <w:p w:rsidR="009554F1" w:rsidRPr="00862632" w:rsidRDefault="0012727B" w:rsidP="0016466E">
      <w:pPr>
        <w:pStyle w:val="enumlev2"/>
        <w:rPr>
          <w:rFonts w:eastAsia="SimSun"/>
          <w:lang w:val="es-ES"/>
        </w:rPr>
      </w:pPr>
      <w:r w:rsidRPr="00862632">
        <w:rPr>
          <w:rFonts w:eastAsia="SimSun"/>
          <w:lang w:val="es-ES"/>
        </w:rPr>
        <w:t>v)</w:t>
      </w:r>
      <w:r w:rsidRPr="00862632">
        <w:rPr>
          <w:rFonts w:eastAsia="SimSun"/>
          <w:lang w:val="es-ES"/>
        </w:rPr>
        <w:tab/>
      </w:r>
      <w:r w:rsidR="009554F1" w:rsidRPr="00862632">
        <w:rPr>
          <w:rFonts w:eastAsia="SimSun"/>
          <w:lang w:val="es-ES"/>
        </w:rPr>
        <w:t xml:space="preserve">Las organizaciones </w:t>
      </w:r>
      <w:r w:rsidR="009554F1" w:rsidRPr="0016466E">
        <w:rPr>
          <w:rFonts w:eastAsia="SimSun"/>
        </w:rPr>
        <w:t>internacionales</w:t>
      </w:r>
      <w:r w:rsidR="009554F1" w:rsidRPr="00862632">
        <w:rPr>
          <w:rFonts w:eastAsia="SimSun"/>
          <w:lang w:val="es-ES"/>
        </w:rPr>
        <w:t xml:space="preserve"> han desempeñado y deberían seguir desempeñando un</w:t>
      </w:r>
      <w:r w:rsidR="00FE7679" w:rsidRPr="00862632">
        <w:rPr>
          <w:rFonts w:eastAsia="SimSun"/>
          <w:lang w:val="es-ES"/>
        </w:rPr>
        <w:t xml:space="preserve"> </w:t>
      </w:r>
      <w:r w:rsidR="009554F1" w:rsidRPr="00862632">
        <w:rPr>
          <w:rFonts w:eastAsia="SimSun"/>
          <w:lang w:val="es-ES"/>
        </w:rPr>
        <w:t>importante papel en lo que respecta al desarrollo de las normas técnicas y las políticas relevantes</w:t>
      </w:r>
      <w:r w:rsidR="00D26758">
        <w:rPr>
          <w:rFonts w:eastAsia="SimSun"/>
          <w:lang w:val="es-ES"/>
        </w:rPr>
        <w:t>.</w:t>
      </w:r>
      <w:r w:rsidR="00BC5045">
        <w:rPr>
          <w:rFonts w:eastAsia="SimSun"/>
          <w:lang w:val="es-ES"/>
        </w:rPr>
        <w:t>"</w:t>
      </w:r>
    </w:p>
    <w:p w:rsidR="009554F1" w:rsidRPr="00862632" w:rsidRDefault="009554F1" w:rsidP="0016466E">
      <w:pPr>
        <w:pStyle w:val="enumlev1"/>
        <w:rPr>
          <w:lang w:val="es-ES"/>
        </w:rPr>
      </w:pPr>
      <w:r w:rsidRPr="00862632">
        <w:rPr>
          <w:lang w:val="es-ES"/>
        </w:rPr>
        <w:t>e)</w:t>
      </w:r>
      <w:r w:rsidRPr="00862632">
        <w:rPr>
          <w:lang w:val="es-ES"/>
        </w:rPr>
        <w:tab/>
        <w:t xml:space="preserve">En el marco general del modelo de gobernanza por múltiples partes interesadas, la </w:t>
      </w:r>
      <w:r w:rsidRPr="00862632">
        <w:rPr>
          <w:i/>
          <w:iCs/>
          <w:lang w:val="es-ES"/>
        </w:rPr>
        <w:t>Agenda de Túnez</w:t>
      </w:r>
      <w:r w:rsidRPr="00862632">
        <w:rPr>
          <w:lang w:val="es-ES"/>
        </w:rPr>
        <w:t xml:space="preserve"> contiene </w:t>
      </w:r>
      <w:r w:rsidRPr="00D26758">
        <w:rPr>
          <w:i/>
          <w:iCs/>
          <w:lang w:val="es-ES"/>
        </w:rPr>
        <w:t>principios orientadores</w:t>
      </w:r>
      <w:r w:rsidRPr="00862632">
        <w:rPr>
          <w:lang w:val="es-ES"/>
        </w:rPr>
        <w:t xml:space="preserve"> </w:t>
      </w:r>
      <w:r w:rsidRPr="0016466E">
        <w:t>para</w:t>
      </w:r>
      <w:r w:rsidRPr="00862632">
        <w:rPr>
          <w:lang w:val="es-ES"/>
        </w:rPr>
        <w:t xml:space="preserve"> diversos aspectos de la gestión de Internet, incluidos:</w:t>
      </w:r>
    </w:p>
    <w:p w:rsidR="009554F1" w:rsidRPr="00862632" w:rsidRDefault="0012727B" w:rsidP="0016466E">
      <w:pPr>
        <w:pStyle w:val="enumlev2"/>
        <w:rPr>
          <w:rFonts w:eastAsia="SimSun"/>
          <w:lang w:val="es-ES"/>
        </w:rPr>
      </w:pPr>
      <w:r w:rsidRPr="00862632">
        <w:rPr>
          <w:rFonts w:eastAsia="SimSun"/>
          <w:lang w:val="es-ES"/>
        </w:rPr>
        <w:t>i)</w:t>
      </w:r>
      <w:r w:rsidRPr="00862632">
        <w:rPr>
          <w:rFonts w:eastAsia="SimSun"/>
          <w:lang w:val="es-ES"/>
        </w:rPr>
        <w:tab/>
      </w:r>
      <w:r w:rsidR="009554F1" w:rsidRPr="00862632">
        <w:rPr>
          <w:rFonts w:eastAsia="SimSun"/>
          <w:lang w:val="es-ES"/>
        </w:rPr>
        <w:t xml:space="preserve">Los resultados pertinentes (§§ 29 a 82 </w:t>
      </w:r>
      <w:r w:rsidR="009554F1" w:rsidRPr="0016466E">
        <w:rPr>
          <w:rFonts w:eastAsia="SimSun"/>
        </w:rPr>
        <w:t>de</w:t>
      </w:r>
      <w:r w:rsidR="009554F1" w:rsidRPr="00862632">
        <w:rPr>
          <w:rFonts w:eastAsia="SimSun"/>
          <w:lang w:val="es-ES"/>
        </w:rPr>
        <w:t xml:space="preserve"> la Agenda de Túnez) relativos a la gobernanza de Internet.</w:t>
      </w:r>
    </w:p>
    <w:p w:rsidR="00344D10" w:rsidRPr="00862632" w:rsidRDefault="0012727B" w:rsidP="0016466E">
      <w:pPr>
        <w:pStyle w:val="enumlev2"/>
        <w:rPr>
          <w:rFonts w:eastAsia="SimSun"/>
          <w:lang w:val="es-ES"/>
        </w:rPr>
      </w:pPr>
      <w:r w:rsidRPr="00862632">
        <w:rPr>
          <w:rFonts w:eastAsia="SimSun"/>
          <w:lang w:val="es-ES"/>
        </w:rPr>
        <w:t>ii)</w:t>
      </w:r>
      <w:r w:rsidRPr="00862632">
        <w:rPr>
          <w:rFonts w:eastAsia="SimSun"/>
          <w:lang w:val="es-ES"/>
        </w:rPr>
        <w:tab/>
      </w:r>
      <w:r w:rsidR="009554F1" w:rsidRPr="00862632">
        <w:rPr>
          <w:rFonts w:eastAsia="SimSun"/>
          <w:lang w:val="es-ES"/>
        </w:rPr>
        <w:t xml:space="preserve">Los §§ 68 a 71 y 72 a 78 de la </w:t>
      </w:r>
      <w:r w:rsidR="009554F1" w:rsidRPr="0016466E">
        <w:rPr>
          <w:rFonts w:eastAsia="SimSun"/>
        </w:rPr>
        <w:t>Agenda</w:t>
      </w:r>
      <w:r w:rsidR="009554F1" w:rsidRPr="00862632">
        <w:rPr>
          <w:rFonts w:eastAsia="SimSun"/>
          <w:lang w:val="es-ES"/>
        </w:rPr>
        <w:t xml:space="preserve"> de Túnez en lo que respecta a una mayor cooperación sobre la gobernanza Internet y el establecimiento del Foro sobre el Gobierno de Internet (FGI).</w:t>
      </w:r>
    </w:p>
    <w:p w:rsidR="00344D10" w:rsidRPr="00C64ABF" w:rsidRDefault="009554F1" w:rsidP="00C64ABF">
      <w:pPr>
        <w:rPr>
          <w:b/>
          <w:bCs/>
          <w:lang w:val="es-ES"/>
        </w:rPr>
      </w:pPr>
      <w:r w:rsidRPr="00C64ABF">
        <w:rPr>
          <w:b/>
          <w:bCs/>
          <w:lang w:val="es-ES"/>
        </w:rPr>
        <w:t>2.3.2.2</w:t>
      </w:r>
      <w:r w:rsidRPr="00C64ABF">
        <w:rPr>
          <w:b/>
          <w:bCs/>
          <w:lang w:val="es-ES"/>
        </w:rPr>
        <w:tab/>
        <w:t>Por medio de las Resoluciones de su Conferencia de Plenipotenciarios, los Miembros de la UIT reconocen que el modelo de gobernanza por múltiples partes interesadas basado en los principios de la CMSI es el marco de la gobernanza mundial de Internet</w:t>
      </w:r>
      <w:r w:rsidR="00831322">
        <w:rPr>
          <w:b/>
          <w:bCs/>
          <w:lang w:val="es-ES"/>
        </w:rPr>
        <w:t>.</w:t>
      </w:r>
    </w:p>
    <w:p w:rsidR="009554F1" w:rsidRPr="004366E5" w:rsidRDefault="0012727B" w:rsidP="0016466E">
      <w:pPr>
        <w:pStyle w:val="enumlev1"/>
      </w:pPr>
      <w:r w:rsidRPr="004366E5">
        <w:rPr>
          <w:rFonts w:eastAsiaTheme="minorEastAsia"/>
        </w:rPr>
        <w:t>a)</w:t>
      </w:r>
      <w:r w:rsidRPr="004366E5">
        <w:rPr>
          <w:rFonts w:eastAsiaTheme="minorEastAsia"/>
        </w:rPr>
        <w:tab/>
      </w:r>
      <w:r w:rsidR="009554F1" w:rsidRPr="004366E5">
        <w:rPr>
          <w:rFonts w:eastAsiaTheme="minorEastAsia"/>
        </w:rPr>
        <w:t xml:space="preserve">En varias Resoluciones de la Conferencia de Plenipotenciarios y, en particular, la Resolución 102 (Rev. </w:t>
      </w:r>
      <w:r w:rsidR="009554F1" w:rsidRPr="004366E5">
        <w:t>Guadalajara 2010), se reconocen los principios de la CMSI, el modelo de múltiples partes interesadas de la gobernanza Internet y el papel importante y las responsabilidades de cada grupo de partes interesadas.</w:t>
      </w:r>
    </w:p>
    <w:p w:rsidR="009554F1" w:rsidRPr="00862632" w:rsidRDefault="0012727B" w:rsidP="0016466E">
      <w:pPr>
        <w:pStyle w:val="enumlev1"/>
        <w:rPr>
          <w:lang w:val="es-ES"/>
        </w:rPr>
      </w:pPr>
      <w:r w:rsidRPr="00862632">
        <w:rPr>
          <w:lang w:val="es-ES"/>
        </w:rPr>
        <w:t>b)</w:t>
      </w:r>
      <w:r w:rsidRPr="00862632">
        <w:rPr>
          <w:lang w:val="es-ES"/>
        </w:rPr>
        <w:tab/>
      </w:r>
      <w:r w:rsidR="009554F1" w:rsidRPr="00862632">
        <w:rPr>
          <w:lang w:val="es-ES"/>
        </w:rPr>
        <w:t xml:space="preserve">Muchos de los puntos de la </w:t>
      </w:r>
      <w:r w:rsidR="009554F1" w:rsidRPr="00862632">
        <w:rPr>
          <w:i/>
          <w:iCs/>
          <w:lang w:val="es-ES"/>
        </w:rPr>
        <w:t>Agenda de Túnez</w:t>
      </w:r>
      <w:r w:rsidR="009554F1" w:rsidRPr="00862632">
        <w:rPr>
          <w:lang w:val="es-ES"/>
        </w:rPr>
        <w:t xml:space="preserve"> que tratan de la cooperación entre múltiples partes interesadas figuran, entre otras, en las </w:t>
      </w:r>
      <w:r w:rsidR="009554F1" w:rsidRPr="0016466E">
        <w:t>Resoluciones</w:t>
      </w:r>
      <w:r w:rsidR="009554F1" w:rsidRPr="00862632">
        <w:rPr>
          <w:lang w:val="es-ES"/>
        </w:rPr>
        <w:t xml:space="preserve"> 101, 102 y 133. La necesidad de una cooperación entre múltiples partes interesadas también queda patente en puntos tales como los que siguen</w:t>
      </w:r>
      <w:r w:rsidR="009554F1" w:rsidRPr="00862632">
        <w:rPr>
          <w:vertAlign w:val="superscript"/>
          <w:lang w:val="es-ES"/>
        </w:rPr>
        <w:footnoteReference w:id="48"/>
      </w:r>
      <w:r w:rsidR="009554F1" w:rsidRPr="00862632">
        <w:rPr>
          <w:lang w:val="es-ES"/>
        </w:rPr>
        <w:t>, en los cuales se reconoce la contribución de grupos específicos de partes interesadas al desarrollo de Internet y se insta a que todos participen en los diversos aspectos de su gestión:</w:t>
      </w:r>
    </w:p>
    <w:p w:rsidR="009554F1" w:rsidRPr="00862632" w:rsidRDefault="0012727B" w:rsidP="0016466E">
      <w:pPr>
        <w:pStyle w:val="enumlev2"/>
        <w:rPr>
          <w:rFonts w:eastAsia="SimSun"/>
          <w:lang w:val="es-ES"/>
        </w:rPr>
      </w:pPr>
      <w:r w:rsidRPr="00862632">
        <w:rPr>
          <w:rFonts w:eastAsia="SimSun"/>
          <w:lang w:val="es-ES"/>
        </w:rPr>
        <w:t>i)</w:t>
      </w:r>
      <w:r w:rsidRPr="00862632">
        <w:rPr>
          <w:rFonts w:eastAsia="SimSun"/>
          <w:lang w:val="es-ES"/>
        </w:rPr>
        <w:tab/>
      </w:r>
      <w:r w:rsidR="009554F1" w:rsidRPr="00862632">
        <w:rPr>
          <w:rFonts w:eastAsia="SimSun"/>
          <w:lang w:val="es-ES"/>
        </w:rPr>
        <w:t xml:space="preserve">El </w:t>
      </w:r>
      <w:r w:rsidR="009554F1" w:rsidRPr="0016466E">
        <w:rPr>
          <w:rFonts w:eastAsia="SimSun"/>
        </w:rPr>
        <w:t>desarrollo</w:t>
      </w:r>
      <w:r w:rsidR="009554F1" w:rsidRPr="00862632">
        <w:rPr>
          <w:rFonts w:eastAsia="SimSun"/>
          <w:lang w:val="es-ES"/>
        </w:rPr>
        <w:t xml:space="preserve"> de Internet está ahora esencialmente orientado por el mercado y se ve impulsado básicamente por iniciativas privadas y gubernamentales.</w:t>
      </w:r>
    </w:p>
    <w:p w:rsidR="009554F1" w:rsidRPr="00862632" w:rsidRDefault="00897365" w:rsidP="0016466E">
      <w:pPr>
        <w:pStyle w:val="enumlev2"/>
        <w:rPr>
          <w:rFonts w:eastAsia="SimSun"/>
          <w:lang w:val="es-ES"/>
        </w:rPr>
      </w:pPr>
      <w:r w:rsidRPr="00862632">
        <w:rPr>
          <w:rFonts w:eastAsia="SimSun"/>
          <w:lang w:val="es-ES"/>
        </w:rPr>
        <w:t>ii</w:t>
      </w:r>
      <w:r w:rsidR="0012727B" w:rsidRPr="00862632">
        <w:rPr>
          <w:rFonts w:eastAsia="SimSun"/>
          <w:lang w:val="es-ES"/>
        </w:rPr>
        <w:t>)</w:t>
      </w:r>
      <w:r w:rsidR="0012727B" w:rsidRPr="00862632">
        <w:rPr>
          <w:rFonts w:eastAsia="SimSun"/>
          <w:lang w:val="es-ES"/>
        </w:rPr>
        <w:tab/>
      </w:r>
      <w:r w:rsidR="009554F1" w:rsidRPr="00862632">
        <w:rPr>
          <w:rFonts w:eastAsia="SimSun"/>
          <w:lang w:val="es-ES"/>
        </w:rPr>
        <w:t>El sector privado sigue desempeñando un cometido muy importante en la expansión y el desarrollo de Internet, por ejemplo mediante la inversión en infraestructuras y servicios.</w:t>
      </w:r>
    </w:p>
    <w:p w:rsidR="009554F1" w:rsidRPr="00862632" w:rsidRDefault="00897365" w:rsidP="0016466E">
      <w:pPr>
        <w:pStyle w:val="enumlev2"/>
        <w:rPr>
          <w:rFonts w:eastAsia="SimSun"/>
          <w:lang w:val="es-ES"/>
        </w:rPr>
      </w:pPr>
      <w:r w:rsidRPr="00862632">
        <w:rPr>
          <w:rFonts w:eastAsia="SimSun"/>
          <w:lang w:val="es-ES"/>
        </w:rPr>
        <w:t>iii</w:t>
      </w:r>
      <w:r w:rsidR="0012727B" w:rsidRPr="00862632">
        <w:rPr>
          <w:rFonts w:eastAsia="SimSun"/>
          <w:lang w:val="es-ES"/>
        </w:rPr>
        <w:t>)</w:t>
      </w:r>
      <w:r w:rsidR="0012727B" w:rsidRPr="00862632">
        <w:rPr>
          <w:rFonts w:eastAsia="SimSun"/>
          <w:lang w:val="es-ES"/>
        </w:rPr>
        <w:tab/>
      </w:r>
      <w:r w:rsidR="009554F1" w:rsidRPr="00862632">
        <w:rPr>
          <w:rFonts w:eastAsia="SimSun"/>
          <w:lang w:val="es-ES"/>
        </w:rPr>
        <w:t>La gestión de Internet despierta un legítimo interés internacional y debe basarse en una plena cooperación internacional y multipartita, sobre la base de los resultados de la CMSI.</w:t>
      </w:r>
    </w:p>
    <w:p w:rsidR="009554F1" w:rsidRPr="00862632" w:rsidRDefault="0012727B" w:rsidP="0016466E">
      <w:pPr>
        <w:pStyle w:val="enumlev2"/>
        <w:rPr>
          <w:rFonts w:eastAsia="SimSun"/>
          <w:lang w:val="es-ES"/>
        </w:rPr>
      </w:pPr>
      <w:r w:rsidRPr="00862632">
        <w:rPr>
          <w:rFonts w:eastAsia="SimSun"/>
          <w:lang w:val="es-ES"/>
        </w:rPr>
        <w:t>iv)</w:t>
      </w:r>
      <w:r w:rsidRPr="00862632">
        <w:rPr>
          <w:rFonts w:eastAsia="SimSun"/>
          <w:lang w:val="es-ES"/>
        </w:rPr>
        <w:tab/>
      </w:r>
      <w:r w:rsidR="009554F1" w:rsidRPr="00862632">
        <w:rPr>
          <w:rFonts w:eastAsia="SimSun"/>
          <w:lang w:val="es-ES"/>
        </w:rPr>
        <w:t xml:space="preserve">Según se </w:t>
      </w:r>
      <w:r w:rsidR="009554F1" w:rsidRPr="0016466E">
        <w:rPr>
          <w:rFonts w:eastAsia="SimSun"/>
        </w:rPr>
        <w:t>indica</w:t>
      </w:r>
      <w:r w:rsidR="009554F1" w:rsidRPr="00862632">
        <w:rPr>
          <w:rFonts w:eastAsia="SimSun"/>
          <w:lang w:val="es-ES"/>
        </w:rPr>
        <w:t xml:space="preserve"> en los resultados de la CMSI, todos los gobiernos tienen las mismas responsabilidades y funciones cuando se trata de la gobernanza internacional de Internet, así como de garantizar la estabilidad, la seguridad y la continuidad tanto de la actual Internet, y su evolución futura como de la futura </w:t>
      </w:r>
      <w:r w:rsidR="00897365" w:rsidRPr="00862632">
        <w:rPr>
          <w:rFonts w:eastAsia="SimSun"/>
          <w:lang w:val="es-ES"/>
        </w:rPr>
        <w:t>I</w:t>
      </w:r>
      <w:r w:rsidR="009554F1" w:rsidRPr="00862632">
        <w:rPr>
          <w:rFonts w:eastAsia="SimSun"/>
          <w:lang w:val="es-ES"/>
        </w:rPr>
        <w:t>nternet, y que se reconoce asimismo la necesidad de que los gobiernos definan políticas públicas en consulta con todas las partes interesadas.</w:t>
      </w:r>
    </w:p>
    <w:p w:rsidR="009554F1" w:rsidRPr="00862632" w:rsidRDefault="0012727B" w:rsidP="0016466E">
      <w:pPr>
        <w:pStyle w:val="enumlev2"/>
        <w:rPr>
          <w:rFonts w:eastAsia="SimSun"/>
          <w:lang w:val="es-ES"/>
        </w:rPr>
      </w:pPr>
      <w:r w:rsidRPr="00862632">
        <w:rPr>
          <w:rFonts w:eastAsia="SimSun"/>
          <w:lang w:val="es-ES"/>
        </w:rPr>
        <w:t>v)</w:t>
      </w:r>
      <w:r w:rsidRPr="00862632">
        <w:rPr>
          <w:rFonts w:eastAsia="SimSun"/>
          <w:lang w:val="es-ES"/>
        </w:rPr>
        <w:tab/>
      </w:r>
      <w:r w:rsidR="009554F1" w:rsidRPr="00862632">
        <w:rPr>
          <w:rFonts w:eastAsia="SimSun"/>
          <w:lang w:val="es-ES"/>
        </w:rPr>
        <w:t xml:space="preserve">La CMSI </w:t>
      </w:r>
      <w:r w:rsidR="009554F1" w:rsidRPr="0016466E">
        <w:rPr>
          <w:rFonts w:eastAsia="SimSun"/>
        </w:rPr>
        <w:t>reconoció</w:t>
      </w:r>
      <w:r w:rsidR="009554F1" w:rsidRPr="00862632">
        <w:rPr>
          <w:rFonts w:eastAsia="SimSun"/>
          <w:lang w:val="es-ES"/>
        </w:rPr>
        <w:t xml:space="preserve"> la necesidad de una mayor cooperación en el futuro que permita a los gobiernos cumplir en igualdad de condiciones su papel y responsabilidades en cuestiones de política pública internacionales relativas a Internet, pero no en los asuntos técnicos y operacionales cotidianos que no repercuten en temas de política pública internacional</w:t>
      </w:r>
      <w:r w:rsidR="00217792" w:rsidRPr="00862632">
        <w:rPr>
          <w:rFonts w:eastAsia="SimSun"/>
          <w:lang w:val="es-ES"/>
        </w:rPr>
        <w:t xml:space="preserve"> [origen: punto 69 de la </w:t>
      </w:r>
      <w:r w:rsidR="00217792" w:rsidRPr="00862632">
        <w:rPr>
          <w:rFonts w:eastAsia="SimSun"/>
          <w:i/>
          <w:iCs/>
          <w:lang w:val="es-ES"/>
        </w:rPr>
        <w:t>Agenda de Túnez</w:t>
      </w:r>
      <w:r w:rsidR="00217792" w:rsidRPr="00323F00">
        <w:rPr>
          <w:rStyle w:val="FootnoteReference"/>
          <w:rFonts w:eastAsia="SimSun"/>
        </w:rPr>
        <w:footnoteReference w:id="49"/>
      </w:r>
      <w:r w:rsidR="00217792" w:rsidRPr="00862632">
        <w:rPr>
          <w:rFonts w:eastAsia="SimSun"/>
          <w:i/>
          <w:iCs/>
          <w:lang w:val="es-ES"/>
        </w:rPr>
        <w:t>]</w:t>
      </w:r>
      <w:r w:rsidR="009554F1" w:rsidRPr="00862632">
        <w:rPr>
          <w:rFonts w:eastAsia="SimSun"/>
          <w:lang w:val="es-ES"/>
        </w:rPr>
        <w:t>.</w:t>
      </w:r>
    </w:p>
    <w:p w:rsidR="00344D10" w:rsidRPr="00862632" w:rsidRDefault="0012727B" w:rsidP="0016466E">
      <w:pPr>
        <w:pStyle w:val="enumlev2"/>
        <w:rPr>
          <w:rFonts w:eastAsia="SimSun"/>
          <w:lang w:val="es-ES"/>
        </w:rPr>
      </w:pPr>
      <w:r w:rsidRPr="00862632">
        <w:rPr>
          <w:rFonts w:eastAsia="SimSun"/>
          <w:lang w:val="es-ES"/>
        </w:rPr>
        <w:t>vi)</w:t>
      </w:r>
      <w:r w:rsidRPr="00862632">
        <w:rPr>
          <w:rFonts w:eastAsia="SimSun"/>
          <w:lang w:val="es-ES"/>
        </w:rPr>
        <w:tab/>
      </w:r>
      <w:r w:rsidR="009554F1" w:rsidRPr="00862632">
        <w:rPr>
          <w:rFonts w:eastAsia="SimSun"/>
          <w:lang w:val="es-ES"/>
        </w:rPr>
        <w:t xml:space="preserve">Recordando los </w:t>
      </w:r>
      <w:r w:rsidR="009554F1" w:rsidRPr="0016466E">
        <w:rPr>
          <w:rFonts w:eastAsia="SimSun"/>
        </w:rPr>
        <w:t>resultados</w:t>
      </w:r>
      <w:r w:rsidR="009554F1" w:rsidRPr="00862632">
        <w:rPr>
          <w:rFonts w:eastAsia="SimSun"/>
          <w:lang w:val="es-ES"/>
        </w:rPr>
        <w:t xml:space="preserve"> de la CMSI, debe alcanzarse un compromiso respecto de la necesidad de trabajar seriamente para lograr el plurilingüismo en Internet, como parte de un proceso multilateral, transparente y democrático en el que intervengan los gobiernos y todas las partes interesadas, en sus respectivos papeles</w:t>
      </w:r>
      <w:r w:rsidR="00217792" w:rsidRPr="00862632">
        <w:rPr>
          <w:rFonts w:eastAsia="SimSun"/>
          <w:lang w:val="es-ES"/>
        </w:rPr>
        <w:t xml:space="preserve"> [origen: punto 53 de la </w:t>
      </w:r>
      <w:r w:rsidR="00217792" w:rsidRPr="00862632">
        <w:rPr>
          <w:rFonts w:eastAsia="SimSun"/>
          <w:i/>
          <w:iCs/>
          <w:lang w:val="es-ES"/>
        </w:rPr>
        <w:t>Agenda de Túnez</w:t>
      </w:r>
      <w:r w:rsidR="00217792" w:rsidRPr="00323F00">
        <w:rPr>
          <w:rStyle w:val="FootnoteReference"/>
          <w:rFonts w:eastAsia="SimSun"/>
        </w:rPr>
        <w:footnoteReference w:id="50"/>
      </w:r>
      <w:r w:rsidR="00D26758">
        <w:rPr>
          <w:rFonts w:eastAsia="SimSun"/>
          <w:lang w:val="es-ES"/>
        </w:rPr>
        <w:t>]</w:t>
      </w:r>
      <w:r w:rsidR="009554F1" w:rsidRPr="00862632">
        <w:rPr>
          <w:rFonts w:eastAsia="SimSun"/>
          <w:lang w:val="es-ES"/>
        </w:rPr>
        <w:t>.</w:t>
      </w:r>
    </w:p>
    <w:p w:rsidR="00344D10" w:rsidRPr="00C64ABF" w:rsidRDefault="009554F1" w:rsidP="00C64ABF">
      <w:pPr>
        <w:rPr>
          <w:b/>
          <w:bCs/>
          <w:lang w:val="es-ES"/>
        </w:rPr>
      </w:pPr>
      <w:r w:rsidRPr="00C64ABF">
        <w:rPr>
          <w:b/>
          <w:bCs/>
          <w:lang w:val="es-ES"/>
        </w:rPr>
        <w:t>2.3.2.3</w:t>
      </w:r>
      <w:r w:rsidRPr="00C64ABF">
        <w:rPr>
          <w:b/>
          <w:bCs/>
          <w:lang w:val="es-ES"/>
        </w:rPr>
        <w:tab/>
        <w:t>Se está debatiendo la adopción de los principios de múltiples partes interesadas de la CMSI. Las cuestiones planteadas en las Resoluciones de la Conferencia de Plenipotenciarios reflejan la delicada interacción entre los papeles y responsabilidades de las distintas partes interesadas en la gestión de Internet</w:t>
      </w:r>
      <w:r w:rsidR="00D26758">
        <w:rPr>
          <w:b/>
          <w:bCs/>
          <w:lang w:val="es-ES"/>
        </w:rPr>
        <w:t>.</w:t>
      </w:r>
    </w:p>
    <w:p w:rsidR="009554F1" w:rsidRPr="00862632" w:rsidRDefault="0012727B" w:rsidP="0016466E">
      <w:pPr>
        <w:pStyle w:val="enumlev1"/>
        <w:rPr>
          <w:lang w:val="es-ES"/>
        </w:rPr>
      </w:pPr>
      <w:r w:rsidRPr="00862632">
        <w:rPr>
          <w:szCs w:val="24"/>
          <w:lang w:val="es-ES"/>
        </w:rPr>
        <w:t>a)</w:t>
      </w:r>
      <w:r w:rsidRPr="00862632">
        <w:rPr>
          <w:szCs w:val="24"/>
          <w:lang w:val="es-ES"/>
        </w:rPr>
        <w:tab/>
      </w:r>
      <w:r w:rsidR="00217792" w:rsidRPr="00862632">
        <w:rPr>
          <w:szCs w:val="24"/>
          <w:lang w:val="es-ES"/>
        </w:rPr>
        <w:t xml:space="preserve">El principio de la gobernanza multipartita de Internet está ampliamente reconocido. </w:t>
      </w:r>
      <w:r w:rsidR="009554F1" w:rsidRPr="00862632">
        <w:rPr>
          <w:szCs w:val="24"/>
          <w:lang w:val="es-ES"/>
        </w:rPr>
        <w:t>Los</w:t>
      </w:r>
      <w:r w:rsidR="009554F1" w:rsidRPr="00862632">
        <w:rPr>
          <w:lang w:val="es-ES"/>
        </w:rPr>
        <w:t xml:space="preserve"> debates sobre la gobernanza de Internet han adoptado perspectivas particulares y generales. La perspectiva particular se centran en la arquitectura y la infraestructura de Internet (DNS, números IP y servidores de dominio de nivel superior), campos en los cuales organizaciones tales como la Corporación de Internet para la Asignación de Nombres y de Números (ICANN) y los Registros Regionales de Internet (RIR) desempeñan un papel significativo con las numerosas partes interesadas que las componen. Una perspectiva más general de la gobernanza de Internet va más allá de la infraestructura y trata de otras cuestiones legales, económicas, socioculturales y de desarrollo, tales como el planteamiento adoptado por la CMSI</w:t>
      </w:r>
      <w:r w:rsidR="009554F1" w:rsidRPr="004366E5">
        <w:rPr>
          <w:rFonts w:eastAsiaTheme="minorEastAsia"/>
        </w:rPr>
        <w:t xml:space="preserve"> [</w:t>
      </w:r>
      <w:r w:rsidR="007C1231">
        <w:rPr>
          <w:rFonts w:eastAsiaTheme="minorEastAsia"/>
        </w:rPr>
        <w:t>origen</w:t>
      </w:r>
      <w:r w:rsidR="009554F1" w:rsidRPr="004366E5">
        <w:rPr>
          <w:rFonts w:eastAsiaTheme="minorEastAsia"/>
        </w:rPr>
        <w:t xml:space="preserve">: </w:t>
      </w:r>
      <w:hyperlink r:id="rId30" w:history="1">
        <w:r w:rsidR="009554F1" w:rsidRPr="00862632">
          <w:rPr>
            <w:rStyle w:val="Hyperlink"/>
            <w:rFonts w:cstheme="minorHAnsi"/>
            <w:lang w:val="es-ES"/>
          </w:rPr>
          <w:t>Brasil</w:t>
        </w:r>
      </w:hyperlink>
      <w:r w:rsidR="009554F1" w:rsidRPr="00862632">
        <w:rPr>
          <w:rStyle w:val="FootnoteReference"/>
          <w:lang w:val="es-ES"/>
        </w:rPr>
        <w:footnoteReference w:id="51"/>
      </w:r>
      <w:r w:rsidR="009554F1" w:rsidRPr="00862632">
        <w:rPr>
          <w:lang w:val="es-ES"/>
        </w:rPr>
        <w:t>]</w:t>
      </w:r>
      <w:r w:rsidR="009554F1" w:rsidRPr="004366E5">
        <w:rPr>
          <w:rFonts w:eastAsiaTheme="minorEastAsia"/>
        </w:rPr>
        <w:t>.</w:t>
      </w:r>
    </w:p>
    <w:p w:rsidR="009554F1" w:rsidRPr="00862632" w:rsidRDefault="0012727B" w:rsidP="0016466E">
      <w:pPr>
        <w:pStyle w:val="enumlev1"/>
        <w:rPr>
          <w:lang w:val="es-ES"/>
        </w:rPr>
      </w:pPr>
      <w:r w:rsidRPr="00862632">
        <w:rPr>
          <w:lang w:val="es-ES"/>
        </w:rPr>
        <w:t>b)</w:t>
      </w:r>
      <w:r w:rsidRPr="00862632">
        <w:rPr>
          <w:lang w:val="es-ES"/>
        </w:rPr>
        <w:tab/>
      </w:r>
      <w:r w:rsidR="009554F1" w:rsidRPr="00862632">
        <w:rPr>
          <w:lang w:val="es-ES"/>
        </w:rPr>
        <w:t>En los documentos de resultados de la CMSI y las Resoluciones de la Conferencia de Plenipotenciarios de la UIT, así como en muchas iniciativas nacionales y regionales</w:t>
      </w:r>
      <w:r w:rsidR="009554F1" w:rsidRPr="00862632">
        <w:rPr>
          <w:vertAlign w:val="superscript"/>
          <w:lang w:val="es-ES"/>
        </w:rPr>
        <w:footnoteReference w:id="52"/>
      </w:r>
      <w:r w:rsidR="009554F1" w:rsidRPr="00862632">
        <w:rPr>
          <w:lang w:val="es-ES"/>
        </w:rPr>
        <w:t xml:space="preserve">, se ha refrendado el modelo de múltiples partes interesadas de la CMSI para la gestión de Internet, que comprende a gobiernos, el </w:t>
      </w:r>
      <w:r w:rsidR="009554F1" w:rsidRPr="0016466E">
        <w:t>sector</w:t>
      </w:r>
      <w:r w:rsidR="009554F1" w:rsidRPr="00862632">
        <w:rPr>
          <w:lang w:val="es-ES"/>
        </w:rPr>
        <w:t xml:space="preserve"> privado, organizaciones internacionales y regionales, la sociedad civil e instituciones académicas.</w:t>
      </w:r>
    </w:p>
    <w:p w:rsidR="009554F1" w:rsidRPr="00862632" w:rsidRDefault="0012727B" w:rsidP="0016466E">
      <w:pPr>
        <w:pStyle w:val="enumlev1"/>
        <w:rPr>
          <w:lang w:val="es-ES"/>
        </w:rPr>
      </w:pPr>
      <w:r w:rsidRPr="00862632">
        <w:rPr>
          <w:lang w:val="es-ES"/>
        </w:rPr>
        <w:t>c)</w:t>
      </w:r>
      <w:r w:rsidRPr="00862632">
        <w:rPr>
          <w:lang w:val="es-ES"/>
        </w:rPr>
        <w:tab/>
      </w:r>
      <w:r w:rsidR="009554F1" w:rsidRPr="00862632">
        <w:rPr>
          <w:lang w:val="es-ES"/>
        </w:rPr>
        <w:t xml:space="preserve">Se observa una divergencia de </w:t>
      </w:r>
      <w:r w:rsidR="009554F1" w:rsidRPr="0016466E">
        <w:t>opinión</w:t>
      </w:r>
      <w:r w:rsidR="009554F1" w:rsidRPr="00862632">
        <w:rPr>
          <w:lang w:val="es-ES"/>
        </w:rPr>
        <w:t xml:space="preserve"> sobre la implementación del modelo de múltiples partes interesadas de la CMSI en el actual ecosistema de la gobernanza de Internet:</w:t>
      </w:r>
    </w:p>
    <w:p w:rsidR="00344D10" w:rsidRPr="00862632" w:rsidRDefault="0012727B" w:rsidP="00652F74">
      <w:pPr>
        <w:pStyle w:val="enumlev2"/>
        <w:rPr>
          <w:rFonts w:eastAsiaTheme="minorEastAsia"/>
          <w:lang w:val="es-ES" w:eastAsia="zh-CN"/>
        </w:rPr>
      </w:pPr>
      <w:r w:rsidRPr="00862632">
        <w:rPr>
          <w:rFonts w:eastAsiaTheme="minorEastAsia"/>
          <w:lang w:val="es-ES" w:eastAsia="zh-CN"/>
        </w:rPr>
        <w:t>i)</w:t>
      </w:r>
      <w:r w:rsidRPr="00862632">
        <w:rPr>
          <w:rFonts w:eastAsiaTheme="minorEastAsia"/>
          <w:lang w:val="es-ES" w:eastAsia="zh-CN"/>
        </w:rPr>
        <w:tab/>
      </w:r>
      <w:r w:rsidR="00217792" w:rsidRPr="00862632">
        <w:rPr>
          <w:rFonts w:eastAsiaTheme="minorEastAsia"/>
          <w:lang w:val="es-ES" w:eastAsia="zh-CN"/>
        </w:rPr>
        <w:t>Hay quien</w:t>
      </w:r>
      <w:r w:rsidR="009554F1" w:rsidRPr="00862632">
        <w:rPr>
          <w:rFonts w:eastAsiaTheme="minorEastAsia"/>
          <w:lang w:val="es-ES" w:eastAsia="zh-CN"/>
        </w:rPr>
        <w:t xml:space="preserve"> opina que ya </w:t>
      </w:r>
      <w:r w:rsidR="009554F1" w:rsidRPr="0016466E">
        <w:rPr>
          <w:rFonts w:eastAsiaTheme="minorEastAsia"/>
        </w:rPr>
        <w:t>participan</w:t>
      </w:r>
      <w:r w:rsidR="009554F1" w:rsidRPr="00862632">
        <w:rPr>
          <w:rFonts w:eastAsiaTheme="minorEastAsia"/>
          <w:lang w:val="es-ES" w:eastAsia="zh-CN"/>
        </w:rPr>
        <w:t xml:space="preserve"> suficientes partes interesadas en la g</w:t>
      </w:r>
      <w:r w:rsidR="00217792" w:rsidRPr="00862632">
        <w:rPr>
          <w:rFonts w:eastAsiaTheme="minorEastAsia"/>
          <w:lang w:val="es-ES" w:eastAsia="zh-CN"/>
        </w:rPr>
        <w:t>obernanza</w:t>
      </w:r>
      <w:r w:rsidR="009554F1" w:rsidRPr="00862632">
        <w:rPr>
          <w:rFonts w:eastAsiaTheme="minorEastAsia"/>
          <w:lang w:val="es-ES" w:eastAsia="zh-CN"/>
        </w:rPr>
        <w:t xml:space="preserve"> actual de Internet, y que ésta ya es suficientemente integradora en lo que hace la participación de todos los grupos de partes interesadas</w:t>
      </w:r>
      <w:r w:rsidR="009554F1" w:rsidRPr="00862632">
        <w:rPr>
          <w:szCs w:val="22"/>
          <w:vertAlign w:val="superscript"/>
          <w:lang w:val="es-ES"/>
        </w:rPr>
        <w:footnoteReference w:id="53"/>
      </w:r>
      <w:r w:rsidR="009554F1" w:rsidRPr="006F3B37">
        <w:t xml:space="preserve"> </w:t>
      </w:r>
      <w:r w:rsidR="009554F1" w:rsidRPr="00862632">
        <w:rPr>
          <w:rFonts w:eastAsiaTheme="minorEastAsia"/>
          <w:lang w:val="es-ES" w:eastAsia="zh-CN"/>
        </w:rPr>
        <w:t>[</w:t>
      </w:r>
      <w:r w:rsidR="007C1231">
        <w:rPr>
          <w:rFonts w:eastAsiaTheme="minorEastAsia"/>
          <w:lang w:val="es-ES" w:eastAsia="zh-CN"/>
        </w:rPr>
        <w:t>origen</w:t>
      </w:r>
      <w:r w:rsidR="009554F1" w:rsidRPr="00862632">
        <w:rPr>
          <w:rFonts w:eastAsiaTheme="minorEastAsia"/>
          <w:lang w:val="es-ES" w:eastAsia="zh-CN"/>
        </w:rPr>
        <w:t xml:space="preserve">: </w:t>
      </w:r>
      <w:hyperlink r:id="rId31" w:history="1">
        <w:r w:rsidR="009554F1" w:rsidRPr="00862632">
          <w:rPr>
            <w:rStyle w:val="Hyperlink"/>
            <w:rFonts w:cstheme="minorHAnsi"/>
            <w:lang w:val="es-ES"/>
          </w:rPr>
          <w:t>Cisco</w:t>
        </w:r>
      </w:hyperlink>
      <w:r w:rsidR="009554F1" w:rsidRPr="00862632">
        <w:rPr>
          <w:lang w:val="es-ES"/>
        </w:rPr>
        <w:t xml:space="preserve">, </w:t>
      </w:r>
      <w:hyperlink r:id="rId32" w:history="1">
        <w:r w:rsidR="00217792" w:rsidRPr="009000A3">
          <w:rPr>
            <w:rStyle w:val="Hyperlink"/>
            <w:lang w:val="es-ES"/>
          </w:rPr>
          <w:t>Reino Unido</w:t>
        </w:r>
      </w:hyperlink>
      <w:r w:rsidR="009554F1" w:rsidRPr="00862632">
        <w:rPr>
          <w:lang w:val="es-ES"/>
        </w:rPr>
        <w:t xml:space="preserve">, </w:t>
      </w:r>
      <w:hyperlink r:id="rId33" w:history="1">
        <w:r w:rsidR="009554F1" w:rsidRPr="00862632">
          <w:rPr>
            <w:rStyle w:val="Hyperlink"/>
            <w:rFonts w:cstheme="minorHAnsi"/>
            <w:lang w:val="es-ES"/>
          </w:rPr>
          <w:t>EE.UU.</w:t>
        </w:r>
      </w:hyperlink>
      <w:r w:rsidR="009554F1" w:rsidRPr="00862632">
        <w:rPr>
          <w:lang w:val="es-ES"/>
        </w:rPr>
        <w:t xml:space="preserve">, </w:t>
      </w:r>
      <w:hyperlink r:id="rId34" w:history="1">
        <w:r w:rsidR="009554F1" w:rsidRPr="00862632">
          <w:rPr>
            <w:rStyle w:val="Hyperlink"/>
            <w:rFonts w:cstheme="minorHAnsi"/>
            <w:lang w:val="es-ES"/>
          </w:rPr>
          <w:t>ISOC</w:t>
        </w:r>
      </w:hyperlink>
      <w:r w:rsidR="009554F1" w:rsidRPr="00862632">
        <w:rPr>
          <w:szCs w:val="22"/>
          <w:vertAlign w:val="superscript"/>
          <w:lang w:val="es-ES"/>
        </w:rPr>
        <w:footnoteReference w:id="54"/>
      </w:r>
      <w:r w:rsidR="009554F1" w:rsidRPr="00862632">
        <w:rPr>
          <w:lang w:val="es-ES"/>
        </w:rPr>
        <w:t>]</w:t>
      </w:r>
      <w:r w:rsidR="009554F1" w:rsidRPr="00862632">
        <w:rPr>
          <w:rFonts w:eastAsiaTheme="minorEastAsia"/>
          <w:lang w:val="es-ES" w:eastAsia="zh-CN"/>
        </w:rPr>
        <w:t xml:space="preserve">. Declaran que las organizaciones, los sistemas y procesos actuales atienden satisfactoriamente a las necesidades de los interesados mediante procesos </w:t>
      </w:r>
      <w:r w:rsidR="00BC5045">
        <w:rPr>
          <w:rFonts w:eastAsiaTheme="minorEastAsia"/>
          <w:lang w:val="es-ES" w:eastAsia="zh-CN"/>
        </w:rPr>
        <w:t>"</w:t>
      </w:r>
      <w:r w:rsidR="009554F1" w:rsidRPr="00862632">
        <w:rPr>
          <w:rFonts w:eastAsiaTheme="minorEastAsia"/>
          <w:lang w:val="es-ES" w:eastAsia="zh-CN"/>
        </w:rPr>
        <w:t>dirigidos por la industria, de abajo a arriba, voluntarios, descentralizados y basados en el consenso</w:t>
      </w:r>
      <w:r w:rsidR="00BC5045">
        <w:rPr>
          <w:rFonts w:eastAsiaTheme="minorEastAsia"/>
          <w:lang w:val="es-ES" w:eastAsia="zh-CN"/>
        </w:rPr>
        <w:t>"</w:t>
      </w:r>
      <w:r w:rsidR="009554F1" w:rsidRPr="00862632">
        <w:rPr>
          <w:rFonts w:eastAsiaTheme="minorEastAsia"/>
          <w:lang w:val="es-ES" w:eastAsia="zh-CN"/>
        </w:rPr>
        <w:t xml:space="preserve">. Se ha dicho que el modelo actual es </w:t>
      </w:r>
      <w:r w:rsidR="00BC5045">
        <w:rPr>
          <w:rFonts w:eastAsiaTheme="minorEastAsia"/>
          <w:lang w:val="es-ES" w:eastAsia="zh-CN"/>
        </w:rPr>
        <w:t>"</w:t>
      </w:r>
      <w:r w:rsidR="009554F1" w:rsidRPr="00862632">
        <w:rPr>
          <w:rFonts w:eastAsiaTheme="minorEastAsia"/>
          <w:lang w:val="es-ES" w:eastAsia="zh-CN"/>
        </w:rPr>
        <w:t>flexible, transparente y responsable</w:t>
      </w:r>
      <w:r w:rsidR="00BC5045">
        <w:rPr>
          <w:rFonts w:eastAsiaTheme="minorEastAsia"/>
          <w:lang w:val="es-ES" w:eastAsia="zh-CN"/>
        </w:rPr>
        <w:t>"</w:t>
      </w:r>
      <w:r w:rsidR="00217792" w:rsidRPr="00862632">
        <w:rPr>
          <w:rFonts w:eastAsiaTheme="minorEastAsia"/>
          <w:lang w:val="es-ES" w:eastAsia="zh-CN"/>
        </w:rPr>
        <w:t xml:space="preserve">, </w:t>
      </w:r>
      <w:r w:rsidR="00BC5045">
        <w:rPr>
          <w:rFonts w:eastAsiaTheme="minorEastAsia"/>
          <w:lang w:val="es-ES" w:eastAsia="zh-CN"/>
        </w:rPr>
        <w:t>"</w:t>
      </w:r>
      <w:r w:rsidR="00217792" w:rsidRPr="00862632">
        <w:rPr>
          <w:rFonts w:eastAsiaTheme="minorEastAsia"/>
          <w:lang w:val="es-ES" w:eastAsia="zh-CN"/>
        </w:rPr>
        <w:t>propiciando una estable, abierta e innovadora red de redes, la Internet actual</w:t>
      </w:r>
      <w:r w:rsidR="00BC5045">
        <w:rPr>
          <w:rFonts w:eastAsiaTheme="minorEastAsia"/>
          <w:lang w:val="es-ES" w:eastAsia="zh-CN"/>
        </w:rPr>
        <w:t>"</w:t>
      </w:r>
      <w:r w:rsidR="009554F1" w:rsidRPr="00862632">
        <w:rPr>
          <w:rFonts w:eastAsiaTheme="minorEastAsia"/>
          <w:lang w:val="es-ES" w:eastAsia="zh-CN"/>
        </w:rPr>
        <w:t xml:space="preserve"> [</w:t>
      </w:r>
      <w:r w:rsidR="007C1231">
        <w:rPr>
          <w:rFonts w:eastAsiaTheme="minorEastAsia"/>
          <w:lang w:val="es-ES" w:eastAsia="zh-CN"/>
        </w:rPr>
        <w:t>origen</w:t>
      </w:r>
      <w:r w:rsidR="009554F1" w:rsidRPr="00862632">
        <w:rPr>
          <w:rFonts w:eastAsiaTheme="minorEastAsia"/>
          <w:lang w:val="es-ES" w:eastAsia="zh-CN"/>
        </w:rPr>
        <w:t xml:space="preserve">: </w:t>
      </w:r>
      <w:hyperlink r:id="rId35" w:history="1">
        <w:r w:rsidR="009000A3" w:rsidRPr="009000A3">
          <w:rPr>
            <w:rStyle w:val="Hyperlink"/>
            <w:lang w:val="es-ES"/>
          </w:rPr>
          <w:t>Reino Unido</w:t>
        </w:r>
      </w:hyperlink>
      <w:r w:rsidR="009554F1" w:rsidRPr="00862632">
        <w:rPr>
          <w:szCs w:val="22"/>
          <w:vertAlign w:val="superscript"/>
          <w:lang w:val="es-ES"/>
        </w:rPr>
        <w:footnoteReference w:id="55"/>
      </w:r>
      <w:r w:rsidR="009554F1" w:rsidRPr="00862632">
        <w:rPr>
          <w:lang w:val="es-ES"/>
        </w:rPr>
        <w:t>]</w:t>
      </w:r>
      <w:r w:rsidR="009554F1" w:rsidRPr="00862632">
        <w:rPr>
          <w:rFonts w:eastAsiaTheme="minorEastAsia"/>
          <w:lang w:val="es-ES" w:eastAsia="zh-CN"/>
        </w:rPr>
        <w:t>. Se ha señalado que esas características ayudan a maximizar la flexibilidad e innovación y son el único motivo de que Internet haya podido evolucionar y crecer tan rápidamente, tanto como plataforma tecnológica como medio para propiciar la libre circulación del comercio y las ideas</w:t>
      </w:r>
      <w:r w:rsidR="009554F1" w:rsidRPr="00862632">
        <w:rPr>
          <w:rFonts w:eastAsiaTheme="minorEastAsia"/>
          <w:lang w:val="es-ES"/>
        </w:rPr>
        <w:t>.</w:t>
      </w:r>
    </w:p>
    <w:p w:rsidR="00344D10" w:rsidRPr="00862632" w:rsidRDefault="0012727B" w:rsidP="0016466E">
      <w:pPr>
        <w:pStyle w:val="enumlev2"/>
        <w:rPr>
          <w:rFonts w:eastAsiaTheme="minorEastAsia"/>
          <w:lang w:val="es-ES" w:eastAsia="zh-CN"/>
        </w:rPr>
      </w:pPr>
      <w:r w:rsidRPr="00862632">
        <w:rPr>
          <w:rFonts w:eastAsiaTheme="minorEastAsia"/>
          <w:lang w:val="es-ES" w:eastAsia="zh-CN"/>
        </w:rPr>
        <w:tab/>
      </w:r>
      <w:r w:rsidR="009554F1" w:rsidRPr="00862632">
        <w:rPr>
          <w:rFonts w:eastAsiaTheme="minorEastAsia"/>
          <w:lang w:val="es-ES" w:eastAsia="zh-CN"/>
        </w:rPr>
        <w:t xml:space="preserve">Otros sostienen que ese modelo debe seguir evolucionando para seguir el ritmo de la </w:t>
      </w:r>
      <w:r w:rsidR="009554F1" w:rsidRPr="0016466E">
        <w:rPr>
          <w:rFonts w:eastAsiaTheme="minorEastAsia"/>
        </w:rPr>
        <w:t>propagación</w:t>
      </w:r>
      <w:r w:rsidR="009554F1" w:rsidRPr="00862632">
        <w:rPr>
          <w:rFonts w:eastAsiaTheme="minorEastAsia"/>
          <w:lang w:val="es-ES" w:eastAsia="zh-CN"/>
        </w:rPr>
        <w:t xml:space="preserve"> mundial de Internet, su utilización actual y las funciones de los diversos actores que deben colaborar para lograr su constante evolución</w:t>
      </w:r>
      <w:r w:rsidR="009554F1" w:rsidRPr="00862632">
        <w:rPr>
          <w:szCs w:val="22"/>
          <w:vertAlign w:val="superscript"/>
          <w:lang w:val="es-ES"/>
        </w:rPr>
        <w:footnoteReference w:id="56"/>
      </w:r>
      <w:r w:rsidR="009554F1" w:rsidRPr="00862632">
        <w:rPr>
          <w:rFonts w:eastAsiaTheme="minorEastAsia"/>
          <w:lang w:val="es-ES" w:eastAsia="zh-CN"/>
        </w:rPr>
        <w:t xml:space="preserve"> [</w:t>
      </w:r>
      <w:r w:rsidR="007C1231">
        <w:rPr>
          <w:rFonts w:eastAsiaTheme="minorEastAsia"/>
          <w:lang w:val="es-ES" w:eastAsia="zh-CN"/>
        </w:rPr>
        <w:t>origen</w:t>
      </w:r>
      <w:r w:rsidR="009554F1" w:rsidRPr="00862632">
        <w:rPr>
          <w:rFonts w:eastAsiaTheme="minorEastAsia"/>
          <w:lang w:val="es-ES" w:eastAsia="zh-CN"/>
        </w:rPr>
        <w:t xml:space="preserve">: </w:t>
      </w:r>
      <w:hyperlink r:id="rId36" w:history="1">
        <w:r w:rsidR="009554F1" w:rsidRPr="00862632">
          <w:rPr>
            <w:rStyle w:val="Hyperlink"/>
            <w:rFonts w:cstheme="minorHAnsi"/>
            <w:lang w:val="es-ES"/>
          </w:rPr>
          <w:t>Arabia Saudita y Sudán</w:t>
        </w:r>
      </w:hyperlink>
      <w:r w:rsidR="009554F1" w:rsidRPr="00862632">
        <w:rPr>
          <w:lang w:val="es-ES"/>
        </w:rPr>
        <w:t xml:space="preserve">, </w:t>
      </w:r>
      <w:hyperlink r:id="rId37" w:history="1">
        <w:r w:rsidR="009554F1" w:rsidRPr="00862632">
          <w:rPr>
            <w:rStyle w:val="Hyperlink"/>
            <w:rFonts w:cstheme="minorHAnsi"/>
            <w:lang w:val="es-ES"/>
          </w:rPr>
          <w:t>Argelia</w:t>
        </w:r>
      </w:hyperlink>
      <w:r w:rsidR="009554F1" w:rsidRPr="00862632">
        <w:rPr>
          <w:szCs w:val="22"/>
          <w:vertAlign w:val="superscript"/>
          <w:lang w:val="es-ES"/>
        </w:rPr>
        <w:footnoteReference w:id="57"/>
      </w:r>
      <w:r w:rsidR="009554F1" w:rsidRPr="00862632">
        <w:rPr>
          <w:rFonts w:eastAsiaTheme="minorEastAsia"/>
          <w:lang w:val="es-ES" w:eastAsia="zh-CN"/>
        </w:rPr>
        <w:t xml:space="preserve">]. Declaran que, en lo que respecta a la política pública internacional relacionada con Internet, todavía no se ha permitido que la función de uno de los interesados, los gobiernos, evolucione conforme a los principios de la CMSI. Según ellos, a ello se debe </w:t>
      </w:r>
      <w:r w:rsidR="00217792" w:rsidRPr="00862632">
        <w:rPr>
          <w:rFonts w:eastAsiaTheme="minorEastAsia"/>
          <w:lang w:val="es-ES" w:eastAsia="zh-CN"/>
        </w:rPr>
        <w:t>los actuales problemas para resolver algunos asuntos (por ejemplo</w:t>
      </w:r>
      <w:r w:rsidR="00843645">
        <w:rPr>
          <w:rFonts w:eastAsiaTheme="minorEastAsia"/>
          <w:lang w:val="es-ES" w:eastAsia="zh-CN"/>
        </w:rPr>
        <w:t>,</w:t>
      </w:r>
      <w:r w:rsidR="009554F1" w:rsidRPr="00862632">
        <w:rPr>
          <w:rFonts w:eastAsiaTheme="minorEastAsia"/>
          <w:lang w:val="es-ES" w:eastAsia="zh-CN"/>
        </w:rPr>
        <w:t xml:space="preserve"> la explotación de los niños, la ciberseguridad, la ciberdelincuencia, los correos indeseados, etc.</w:t>
      </w:r>
      <w:r w:rsidR="00217792" w:rsidRPr="00862632">
        <w:rPr>
          <w:rFonts w:eastAsiaTheme="minorEastAsia"/>
          <w:lang w:val="es-ES" w:eastAsia="zh-CN"/>
        </w:rPr>
        <w:t>).</w:t>
      </w:r>
      <w:r w:rsidR="009554F1" w:rsidRPr="00862632">
        <w:rPr>
          <w:rFonts w:eastAsiaTheme="minorEastAsia"/>
          <w:lang w:val="es-ES" w:eastAsia="zh-CN"/>
        </w:rPr>
        <w:t xml:space="preserve"> También </w:t>
      </w:r>
      <w:r w:rsidR="00300DBE" w:rsidRPr="00862632">
        <w:rPr>
          <w:rFonts w:eastAsiaTheme="minorEastAsia"/>
          <w:lang w:val="es-ES" w:eastAsia="zh-CN"/>
        </w:rPr>
        <w:t xml:space="preserve">identifican y </w:t>
      </w:r>
      <w:r w:rsidR="009554F1" w:rsidRPr="00862632">
        <w:rPr>
          <w:rFonts w:eastAsiaTheme="minorEastAsia"/>
          <w:lang w:val="es-ES" w:eastAsia="zh-CN"/>
        </w:rPr>
        <w:t xml:space="preserve">ponen </w:t>
      </w:r>
      <w:r w:rsidR="00300DBE" w:rsidRPr="00862632">
        <w:rPr>
          <w:rFonts w:eastAsiaTheme="minorEastAsia"/>
          <w:lang w:val="es-ES" w:eastAsia="zh-CN"/>
        </w:rPr>
        <w:t>de manifiesto problemas asociados a</w:t>
      </w:r>
      <w:r w:rsidR="009554F1" w:rsidRPr="00862632">
        <w:rPr>
          <w:rFonts w:eastAsiaTheme="minorEastAsia"/>
          <w:lang w:val="es-ES" w:eastAsia="zh-CN"/>
        </w:rPr>
        <w:t xml:space="preserve"> la flexibilidad, transparencia y responsabilidad de la estructura de gestión actual así como, por ejemplo, la conveniencia del papel de los gobiernos en la ICANN a través de organismos tales como el</w:t>
      </w:r>
      <w:r w:rsidR="00300DBE" w:rsidRPr="00862632">
        <w:rPr>
          <w:rFonts w:eastAsiaTheme="minorEastAsia"/>
          <w:lang w:val="es-ES" w:eastAsia="zh-CN"/>
        </w:rPr>
        <w:t xml:space="preserve"> </w:t>
      </w:r>
      <w:r w:rsidR="009554F1" w:rsidRPr="00862632">
        <w:rPr>
          <w:rFonts w:eastAsiaTheme="minorEastAsia"/>
          <w:lang w:val="es-ES" w:eastAsia="zh-CN"/>
        </w:rPr>
        <w:t>GAC (véase el punto 2.3.6).</w:t>
      </w:r>
    </w:p>
    <w:p w:rsidR="00344D10" w:rsidRPr="00862632" w:rsidRDefault="0012727B" w:rsidP="0016466E">
      <w:pPr>
        <w:pStyle w:val="enumlev2"/>
        <w:rPr>
          <w:lang w:val="es-ES"/>
        </w:rPr>
      </w:pPr>
      <w:r w:rsidRPr="00862632">
        <w:rPr>
          <w:lang w:val="es-ES"/>
        </w:rPr>
        <w:t>ii)</w:t>
      </w:r>
      <w:r w:rsidRPr="00862632">
        <w:rPr>
          <w:lang w:val="es-ES"/>
        </w:rPr>
        <w:tab/>
      </w:r>
      <w:r w:rsidR="009554F1" w:rsidRPr="00862632">
        <w:rPr>
          <w:lang w:val="es-ES"/>
        </w:rPr>
        <w:t xml:space="preserve">En la Resolución 102 (Rev. Guadalajara, 2010) se reconocen </w:t>
      </w:r>
      <w:r w:rsidR="00BC5045">
        <w:rPr>
          <w:lang w:val="es-ES"/>
        </w:rPr>
        <w:t>"</w:t>
      </w:r>
      <w:r w:rsidR="009554F1" w:rsidRPr="00862632">
        <w:rPr>
          <w:lang w:val="es-ES"/>
        </w:rPr>
        <w:t xml:space="preserve">los puntos 71 y 78a) de la </w:t>
      </w:r>
      <w:r w:rsidR="009554F1" w:rsidRPr="00862632">
        <w:rPr>
          <w:i/>
          <w:iCs/>
          <w:lang w:val="es-ES"/>
        </w:rPr>
        <w:t>Agenda de Túnez</w:t>
      </w:r>
      <w:r w:rsidR="009554F1" w:rsidRPr="00862632">
        <w:rPr>
          <w:lang w:val="es-ES"/>
        </w:rPr>
        <w:t xml:space="preserve"> que tratan de una cooperación reforzada sobre la gobernanza de Internet, así como el establecimiento del Foro para la Gobernanza de Internet (IGF) como dos procesos independientes</w:t>
      </w:r>
      <w:r w:rsidR="00BC5045">
        <w:rPr>
          <w:lang w:val="es-ES"/>
        </w:rPr>
        <w:t>"</w:t>
      </w:r>
      <w:r w:rsidR="009554F1" w:rsidRPr="00862632">
        <w:rPr>
          <w:lang w:val="es-ES"/>
        </w:rPr>
        <w:t>. El IGF re</w:t>
      </w:r>
      <w:r w:rsidR="00300DBE" w:rsidRPr="00862632">
        <w:rPr>
          <w:lang w:val="es-ES"/>
        </w:rPr>
        <w:t>úne</w:t>
      </w:r>
      <w:r w:rsidR="009554F1" w:rsidRPr="00862632">
        <w:rPr>
          <w:lang w:val="es-ES"/>
        </w:rPr>
        <w:t xml:space="preserve"> todos los años a todos los interesados</w:t>
      </w:r>
      <w:r w:rsidR="00300DBE" w:rsidRPr="00862632">
        <w:rPr>
          <w:lang w:val="es-ES"/>
        </w:rPr>
        <w:t xml:space="preserve"> para</w:t>
      </w:r>
      <w:r w:rsidR="009554F1" w:rsidRPr="00862632">
        <w:rPr>
          <w:lang w:val="es-ES"/>
        </w:rPr>
        <w:t xml:space="preserve"> dialogar sobre cuestiones de política pública internacional relacionadas con Internet.</w:t>
      </w:r>
    </w:p>
    <w:p w:rsidR="00344D10" w:rsidRPr="00862632" w:rsidRDefault="0012727B" w:rsidP="009000A3">
      <w:pPr>
        <w:pStyle w:val="enumlev2"/>
        <w:rPr>
          <w:rFonts w:eastAsiaTheme="minorEastAsia"/>
          <w:lang w:val="es-ES" w:eastAsia="zh-CN"/>
        </w:rPr>
      </w:pPr>
      <w:r w:rsidRPr="00862632">
        <w:rPr>
          <w:lang w:val="es-ES"/>
        </w:rPr>
        <w:tab/>
      </w:r>
      <w:r w:rsidR="009554F1" w:rsidRPr="00862632">
        <w:rPr>
          <w:lang w:val="es-ES"/>
        </w:rPr>
        <w:t>Un</w:t>
      </w:r>
      <w:r w:rsidR="009554F1" w:rsidRPr="00862632">
        <w:rPr>
          <w:rFonts w:eastAsiaTheme="minorEastAsia"/>
          <w:lang w:val="es-ES" w:eastAsia="zh-CN"/>
        </w:rPr>
        <w:t xml:space="preserve"> tema de debate</w:t>
      </w:r>
      <w:r w:rsidR="009554F1" w:rsidRPr="00862632">
        <w:rPr>
          <w:szCs w:val="22"/>
          <w:vertAlign w:val="superscript"/>
          <w:lang w:val="es-ES"/>
        </w:rPr>
        <w:footnoteReference w:id="58"/>
      </w:r>
      <w:r w:rsidR="009554F1" w:rsidRPr="00862632">
        <w:rPr>
          <w:szCs w:val="22"/>
          <w:vertAlign w:val="superscript"/>
          <w:lang w:val="es-ES"/>
        </w:rPr>
        <w:t>,</w:t>
      </w:r>
      <w:r w:rsidR="009554F1" w:rsidRPr="00862632">
        <w:rPr>
          <w:szCs w:val="22"/>
          <w:vertAlign w:val="superscript"/>
          <w:lang w:val="es-ES"/>
        </w:rPr>
        <w:footnoteReference w:id="59"/>
      </w:r>
      <w:r w:rsidR="009554F1" w:rsidRPr="00862632">
        <w:rPr>
          <w:szCs w:val="22"/>
          <w:vertAlign w:val="superscript"/>
          <w:lang w:val="es-ES"/>
        </w:rPr>
        <w:t xml:space="preserve"> </w:t>
      </w:r>
      <w:r w:rsidR="009554F1" w:rsidRPr="00862632">
        <w:rPr>
          <w:rFonts w:eastAsiaTheme="minorEastAsia"/>
          <w:lang w:val="es-ES" w:eastAsia="zh-CN"/>
        </w:rPr>
        <w:t xml:space="preserve">relativo a la adopción del proceso de cooperación mejorada ha sido la </w:t>
      </w:r>
      <w:r w:rsidR="009554F1" w:rsidRPr="0016466E">
        <w:rPr>
          <w:rFonts w:eastAsiaTheme="minorEastAsia"/>
        </w:rPr>
        <w:t>función</w:t>
      </w:r>
      <w:r w:rsidR="009554F1" w:rsidRPr="00862632">
        <w:rPr>
          <w:rFonts w:eastAsiaTheme="minorEastAsia"/>
          <w:lang w:val="es-ES" w:eastAsia="zh-CN"/>
        </w:rPr>
        <w:t xml:space="preserve"> de los distintos grupos de partes interesadas. Algunos opinan que el </w:t>
      </w:r>
      <w:r w:rsidR="00BC5045">
        <w:rPr>
          <w:rFonts w:eastAsiaTheme="minorEastAsia"/>
          <w:lang w:val="es-ES" w:eastAsia="zh-CN"/>
        </w:rPr>
        <w:t>"</w:t>
      </w:r>
      <w:r w:rsidR="009554F1" w:rsidRPr="00862632">
        <w:rPr>
          <w:rFonts w:eastAsiaTheme="minorEastAsia"/>
          <w:lang w:val="es-ES" w:eastAsia="zh-CN"/>
        </w:rPr>
        <w:t>proceso destinado a mejorar la cooperación tiene en cuenta todas las partes interesadas en sus papeles respectivos, el reconocimiento de la necesidad de que todas las partes interesadas reconozcan las funciones permanentes de cada parte interesada y de que todos coexistan con confianza mutua en un entorno de cooperación</w:t>
      </w:r>
      <w:r w:rsidR="00BC5045">
        <w:rPr>
          <w:rFonts w:eastAsiaTheme="minorEastAsia"/>
          <w:lang w:val="es-ES" w:eastAsia="zh-CN"/>
        </w:rPr>
        <w:t>"</w:t>
      </w:r>
      <w:r w:rsidR="009554F1" w:rsidRPr="00862632">
        <w:rPr>
          <w:rFonts w:eastAsiaTheme="minorEastAsia"/>
          <w:lang w:val="es-ES" w:eastAsia="zh-CN"/>
        </w:rPr>
        <w:t xml:space="preserve"> [</w:t>
      </w:r>
      <w:r w:rsidR="007C1231">
        <w:rPr>
          <w:rFonts w:eastAsiaTheme="minorEastAsia"/>
          <w:lang w:val="es-ES" w:eastAsia="zh-CN"/>
        </w:rPr>
        <w:t>origen</w:t>
      </w:r>
      <w:r w:rsidR="009554F1" w:rsidRPr="00862632">
        <w:rPr>
          <w:rFonts w:eastAsiaTheme="minorEastAsia"/>
          <w:lang w:val="es-ES" w:eastAsia="zh-CN"/>
        </w:rPr>
        <w:t xml:space="preserve">: </w:t>
      </w:r>
      <w:hyperlink r:id="rId38" w:history="1">
        <w:r w:rsidR="009000A3" w:rsidRPr="009000A3">
          <w:rPr>
            <w:rStyle w:val="Hyperlink"/>
            <w:lang w:val="es-ES"/>
          </w:rPr>
          <w:t>Reino Unido</w:t>
        </w:r>
      </w:hyperlink>
      <w:r w:rsidR="009554F1" w:rsidRPr="00862632">
        <w:rPr>
          <w:szCs w:val="22"/>
          <w:vertAlign w:val="superscript"/>
          <w:lang w:val="es-ES"/>
        </w:rPr>
        <w:footnoteReference w:id="60"/>
      </w:r>
      <w:r w:rsidR="009554F1" w:rsidRPr="00862632">
        <w:rPr>
          <w:rFonts w:eastAsiaTheme="minorEastAsia"/>
          <w:lang w:val="es-ES" w:eastAsia="zh-CN"/>
        </w:rPr>
        <w:t xml:space="preserve">]. </w:t>
      </w:r>
      <w:r w:rsidR="00300DBE" w:rsidRPr="00862632">
        <w:rPr>
          <w:rFonts w:eastAsiaTheme="minorEastAsia"/>
          <w:lang w:val="es-ES" w:eastAsia="zh-CN"/>
        </w:rPr>
        <w:t>Otra opinión es que hay</w:t>
      </w:r>
      <w:r w:rsidR="009554F1" w:rsidRPr="00862632">
        <w:rPr>
          <w:rFonts w:eastAsiaTheme="minorEastAsia"/>
          <w:lang w:val="es-ES" w:eastAsia="zh-CN"/>
        </w:rPr>
        <w:t xml:space="preserve"> una función específica para los gobiernos</w:t>
      </w:r>
      <w:r w:rsidR="00300DBE" w:rsidRPr="00862632">
        <w:rPr>
          <w:rFonts w:eastAsiaTheme="minorEastAsia"/>
          <w:lang w:val="es-ES" w:eastAsia="zh-CN"/>
        </w:rPr>
        <w:t xml:space="preserve">, como se </w:t>
      </w:r>
      <w:r w:rsidR="00E36D69" w:rsidRPr="00862632">
        <w:rPr>
          <w:rFonts w:eastAsiaTheme="minorEastAsia"/>
          <w:lang w:val="es-ES" w:eastAsia="zh-CN"/>
        </w:rPr>
        <w:t>define</w:t>
      </w:r>
      <w:r w:rsidR="00300DBE" w:rsidRPr="00862632">
        <w:rPr>
          <w:rFonts w:eastAsiaTheme="minorEastAsia"/>
          <w:lang w:val="es-ES" w:eastAsia="zh-CN"/>
        </w:rPr>
        <w:t xml:space="preserve"> claramente en el punto </w:t>
      </w:r>
      <w:r w:rsidR="009554F1" w:rsidRPr="00862632">
        <w:rPr>
          <w:rFonts w:eastAsiaTheme="minorEastAsia"/>
          <w:lang w:val="es-ES" w:eastAsia="zh-CN"/>
        </w:rPr>
        <w:t xml:space="preserve">69 de la </w:t>
      </w:r>
      <w:r w:rsidR="009554F1" w:rsidRPr="00862632">
        <w:rPr>
          <w:rFonts w:eastAsiaTheme="minorEastAsia"/>
          <w:i/>
          <w:iCs/>
          <w:lang w:val="es-ES" w:eastAsia="zh-CN"/>
        </w:rPr>
        <w:t>Agenda de Túnez</w:t>
      </w:r>
      <w:r w:rsidR="00300DBE" w:rsidRPr="00862632">
        <w:rPr>
          <w:rFonts w:eastAsiaTheme="minorEastAsia"/>
          <w:lang w:val="es-ES" w:eastAsia="zh-CN"/>
        </w:rPr>
        <w:t>:</w:t>
      </w:r>
      <w:r w:rsidR="009554F1" w:rsidRPr="00862632">
        <w:rPr>
          <w:rFonts w:eastAsiaTheme="minorEastAsia"/>
          <w:lang w:val="es-ES" w:eastAsia="zh-CN"/>
        </w:rPr>
        <w:t xml:space="preserve"> </w:t>
      </w:r>
      <w:r w:rsidR="00BC5045">
        <w:rPr>
          <w:rFonts w:eastAsiaTheme="minorEastAsia"/>
          <w:lang w:val="es-ES" w:eastAsia="zh-CN"/>
        </w:rPr>
        <w:t>"</w:t>
      </w:r>
      <w:r w:rsidR="009554F1" w:rsidRPr="00862632">
        <w:rPr>
          <w:rFonts w:eastAsiaTheme="minorEastAsia"/>
          <w:lang w:val="es-ES" w:eastAsia="zh-CN"/>
        </w:rPr>
        <w:t>será necesaria una mayor cooperación que permita a los gobiernos cumplir en igualdad de condiciones su papel y responsabilidades en cuestiones de políticas públicas internacionales relativas a Internet</w:t>
      </w:r>
      <w:r w:rsidR="00BC5045">
        <w:rPr>
          <w:rFonts w:eastAsiaTheme="minorEastAsia"/>
          <w:lang w:val="es-ES" w:eastAsia="zh-CN"/>
        </w:rPr>
        <w:t>"</w:t>
      </w:r>
      <w:r w:rsidR="00300DBE" w:rsidRPr="00862632">
        <w:rPr>
          <w:rFonts w:eastAsiaTheme="minorEastAsia"/>
          <w:lang w:val="es-ES" w:eastAsia="zh-CN"/>
        </w:rPr>
        <w:t>, así como en el punto</w:t>
      </w:r>
      <w:r w:rsidR="00862632">
        <w:rPr>
          <w:rFonts w:eastAsiaTheme="minorEastAsia"/>
          <w:lang w:val="es-ES" w:eastAsia="zh-CN"/>
        </w:rPr>
        <w:t xml:space="preserve"> 71 </w:t>
      </w:r>
      <w:r w:rsidR="00300DBE" w:rsidRPr="00862632">
        <w:rPr>
          <w:rFonts w:eastAsiaTheme="minorEastAsia"/>
          <w:lang w:val="es-ES" w:eastAsia="zh-CN"/>
        </w:rPr>
        <w:t>que</w:t>
      </w:r>
      <w:r w:rsidR="00BA1F3F">
        <w:rPr>
          <w:rFonts w:eastAsiaTheme="minorEastAsia"/>
          <w:lang w:val="es-ES" w:eastAsia="zh-CN"/>
        </w:rPr>
        <w:t xml:space="preserve"> </w:t>
      </w:r>
      <w:r w:rsidR="009554F1" w:rsidRPr="00862632">
        <w:rPr>
          <w:rFonts w:eastAsiaTheme="minorEastAsia"/>
          <w:lang w:val="es-ES" w:eastAsia="zh-CN"/>
        </w:rPr>
        <w:t xml:space="preserve">dice que </w:t>
      </w:r>
      <w:r w:rsidR="00BC5045">
        <w:rPr>
          <w:rFonts w:eastAsiaTheme="minorEastAsia"/>
          <w:lang w:val="es-ES" w:eastAsia="zh-CN"/>
        </w:rPr>
        <w:t>"</w:t>
      </w:r>
      <w:r w:rsidR="009554F1" w:rsidRPr="00862632">
        <w:rPr>
          <w:rFonts w:eastAsiaTheme="minorEastAsia"/>
          <w:lang w:val="es-ES" w:eastAsia="zh-CN"/>
        </w:rPr>
        <w:t>el proceso encaminado al incremento de una cooperación reforzada implicará a todas las partes interesadas en sus respectivos cometidos</w:t>
      </w:r>
      <w:r w:rsidR="00BC5045">
        <w:rPr>
          <w:rFonts w:eastAsiaTheme="minorEastAsia"/>
          <w:lang w:val="es-ES" w:eastAsia="zh-CN"/>
        </w:rPr>
        <w:t>"</w:t>
      </w:r>
      <w:r w:rsidR="009554F1" w:rsidRPr="00862632">
        <w:rPr>
          <w:rFonts w:eastAsiaTheme="minorEastAsia"/>
          <w:lang w:val="es-ES" w:eastAsia="zh-CN"/>
        </w:rPr>
        <w:t xml:space="preserve"> [</w:t>
      </w:r>
      <w:r w:rsidR="007C1231">
        <w:rPr>
          <w:rFonts w:eastAsiaTheme="minorEastAsia"/>
          <w:lang w:val="es-ES" w:eastAsia="zh-CN"/>
        </w:rPr>
        <w:t>origen</w:t>
      </w:r>
      <w:r w:rsidR="009554F1" w:rsidRPr="00862632">
        <w:rPr>
          <w:rFonts w:eastAsiaTheme="minorEastAsia"/>
          <w:lang w:val="es-ES" w:eastAsia="zh-CN"/>
        </w:rPr>
        <w:t xml:space="preserve">: </w:t>
      </w:r>
      <w:hyperlink r:id="rId39" w:history="1">
        <w:r w:rsidR="009554F1" w:rsidRPr="00862632">
          <w:rPr>
            <w:rStyle w:val="Hyperlink"/>
            <w:rFonts w:eastAsiaTheme="minorEastAsia" w:cstheme="minorHAnsi"/>
            <w:lang w:val="es-ES" w:eastAsia="zh-CN"/>
          </w:rPr>
          <w:t>Arabia Saudita y Sudán</w:t>
        </w:r>
      </w:hyperlink>
      <w:r w:rsidR="009554F1" w:rsidRPr="00862632">
        <w:rPr>
          <w:rFonts w:eastAsiaTheme="minorEastAsia"/>
          <w:lang w:val="es-ES" w:eastAsia="zh-CN"/>
        </w:rPr>
        <w:t xml:space="preserve">, </w:t>
      </w:r>
      <w:hyperlink r:id="rId40" w:history="1">
        <w:r w:rsidR="009554F1" w:rsidRPr="00862632">
          <w:rPr>
            <w:rStyle w:val="Hyperlink"/>
            <w:rFonts w:eastAsiaTheme="minorEastAsia" w:cstheme="minorHAnsi"/>
            <w:lang w:val="es-ES" w:eastAsia="zh-CN"/>
          </w:rPr>
          <w:t>Argelia</w:t>
        </w:r>
      </w:hyperlink>
      <w:r w:rsidR="009554F1" w:rsidRPr="00862632">
        <w:rPr>
          <w:szCs w:val="22"/>
          <w:vertAlign w:val="superscript"/>
          <w:lang w:val="es-ES"/>
        </w:rPr>
        <w:footnoteReference w:id="61"/>
      </w:r>
      <w:r w:rsidR="009554F1" w:rsidRPr="00862632">
        <w:rPr>
          <w:rFonts w:eastAsiaTheme="minorEastAsia"/>
          <w:lang w:val="es-ES" w:eastAsia="zh-CN"/>
        </w:rPr>
        <w:t>].</w:t>
      </w:r>
    </w:p>
    <w:p w:rsidR="00344D10" w:rsidRPr="00862632" w:rsidRDefault="0016466E" w:rsidP="00652F74">
      <w:pPr>
        <w:pStyle w:val="enumlev2"/>
        <w:rPr>
          <w:rFonts w:eastAsiaTheme="minorEastAsia"/>
          <w:lang w:val="es-ES" w:eastAsia="zh-CN"/>
        </w:rPr>
      </w:pPr>
      <w:r>
        <w:rPr>
          <w:rFonts w:eastAsiaTheme="minorEastAsia"/>
          <w:lang w:val="es-ES" w:eastAsia="zh-CN"/>
        </w:rPr>
        <w:tab/>
      </w:r>
      <w:r w:rsidR="00300DBE" w:rsidRPr="00862632">
        <w:rPr>
          <w:rFonts w:eastAsiaTheme="minorEastAsia"/>
          <w:lang w:val="es-ES" w:eastAsia="zh-CN"/>
        </w:rPr>
        <w:t>Hay quienes piensan</w:t>
      </w:r>
      <w:r w:rsidR="009554F1" w:rsidRPr="00862632">
        <w:rPr>
          <w:rFonts w:eastAsiaTheme="minorEastAsia"/>
          <w:lang w:val="es-ES" w:eastAsia="zh-CN"/>
        </w:rPr>
        <w:t xml:space="preserve"> que la participación de diferentes grupos de partes interesadas (</w:t>
      </w:r>
      <w:r w:rsidR="009554F1" w:rsidRPr="0016466E">
        <w:rPr>
          <w:rFonts w:eastAsiaTheme="minorEastAsia"/>
        </w:rPr>
        <w:t>especialmente</w:t>
      </w:r>
      <w:r w:rsidR="009554F1" w:rsidRPr="00862632">
        <w:rPr>
          <w:rFonts w:eastAsiaTheme="minorEastAsia"/>
          <w:lang w:val="es-ES" w:eastAsia="zh-CN"/>
        </w:rPr>
        <w:t xml:space="preserve"> la sociedad civil) podría mejorar en los foros de la UIT que debaten cuestiones de política pública relacionadas con Internet</w:t>
      </w:r>
      <w:r w:rsidR="009554F1" w:rsidRPr="00862632">
        <w:rPr>
          <w:lang w:val="es-ES"/>
        </w:rPr>
        <w:t xml:space="preserve"> [</w:t>
      </w:r>
      <w:r w:rsidR="007C1231">
        <w:rPr>
          <w:lang w:val="es-ES"/>
        </w:rPr>
        <w:t>origen</w:t>
      </w:r>
      <w:r w:rsidR="009554F1" w:rsidRPr="00862632">
        <w:rPr>
          <w:lang w:val="es-ES"/>
        </w:rPr>
        <w:t xml:space="preserve">: </w:t>
      </w:r>
      <w:hyperlink r:id="rId41" w:history="1">
        <w:r w:rsidR="00652F74" w:rsidRPr="00862632">
          <w:rPr>
            <w:rStyle w:val="Hyperlink"/>
            <w:rFonts w:cstheme="minorHAnsi"/>
            <w:lang w:val="es-ES"/>
          </w:rPr>
          <w:t>Cisco</w:t>
        </w:r>
      </w:hyperlink>
      <w:r w:rsidR="00652F74" w:rsidRPr="00862632">
        <w:rPr>
          <w:lang w:val="es-ES"/>
        </w:rPr>
        <w:t xml:space="preserve">, </w:t>
      </w:r>
      <w:hyperlink r:id="rId42" w:history="1">
        <w:r w:rsidR="009554F1" w:rsidRPr="00862632">
          <w:rPr>
            <w:rStyle w:val="Hyperlink"/>
            <w:rFonts w:cstheme="minorHAnsi"/>
            <w:lang w:val="es-ES"/>
          </w:rPr>
          <w:t>ISOC</w:t>
        </w:r>
      </w:hyperlink>
      <w:r w:rsidR="009554F1" w:rsidRPr="00862632">
        <w:rPr>
          <w:szCs w:val="22"/>
          <w:vertAlign w:val="superscript"/>
          <w:lang w:val="es-ES"/>
        </w:rPr>
        <w:footnoteReference w:id="62"/>
      </w:r>
      <w:r w:rsidR="009554F1" w:rsidRPr="00862632">
        <w:rPr>
          <w:lang w:val="es-ES"/>
        </w:rPr>
        <w:t>]. Éste ha sido tema de debates activos en recientes conferencias, asambleas y reuniones de la UIT. Debates detallados sobre este tema tuvieron lugar hace poco en la reunión de 2012 del Consejo, en el contexto de las modalidades de consulta abierta con el GTC-Internet</w:t>
      </w:r>
      <w:r w:rsidR="009554F1" w:rsidRPr="00862632">
        <w:rPr>
          <w:rFonts w:eastAsiaTheme="minorEastAsia"/>
          <w:vertAlign w:val="superscript"/>
          <w:lang w:val="es-ES"/>
        </w:rPr>
        <w:footnoteReference w:id="63"/>
      </w:r>
      <w:r w:rsidR="009554F1" w:rsidRPr="00862632">
        <w:rPr>
          <w:lang w:val="es-ES"/>
        </w:rPr>
        <w:t>.</w:t>
      </w:r>
      <w:r w:rsidR="009554F1" w:rsidRPr="00862632">
        <w:rPr>
          <w:rFonts w:eastAsiaTheme="minorEastAsia"/>
          <w:lang w:val="es-ES"/>
        </w:rPr>
        <w:t xml:space="preserve"> Conforme a los principios de la CMSI, en las Resoluciones 101, 102 y 133, la </w:t>
      </w:r>
      <w:r w:rsidR="006A3517" w:rsidRPr="00862632">
        <w:rPr>
          <w:rFonts w:eastAsiaTheme="minorEastAsia"/>
          <w:lang w:val="es-ES"/>
        </w:rPr>
        <w:t>C</w:t>
      </w:r>
      <w:r w:rsidR="009554F1" w:rsidRPr="00862632">
        <w:rPr>
          <w:rFonts w:eastAsiaTheme="minorEastAsia"/>
          <w:lang w:val="es-ES"/>
        </w:rPr>
        <w:t xml:space="preserve">onferencia </w:t>
      </w:r>
      <w:r w:rsidR="006A3517" w:rsidRPr="00862632">
        <w:rPr>
          <w:rFonts w:eastAsiaTheme="minorEastAsia"/>
          <w:lang w:val="es-ES"/>
        </w:rPr>
        <w:t>de Pl</w:t>
      </w:r>
      <w:r w:rsidR="009554F1" w:rsidRPr="00862632">
        <w:rPr>
          <w:rFonts w:eastAsiaTheme="minorEastAsia"/>
          <w:lang w:val="es-ES"/>
        </w:rPr>
        <w:t>e</w:t>
      </w:r>
      <w:r w:rsidR="006A3517" w:rsidRPr="00862632">
        <w:rPr>
          <w:rFonts w:eastAsiaTheme="minorEastAsia"/>
          <w:lang w:val="es-ES"/>
        </w:rPr>
        <w:t>ni</w:t>
      </w:r>
      <w:r w:rsidR="009554F1" w:rsidRPr="00862632">
        <w:rPr>
          <w:rFonts w:eastAsiaTheme="minorEastAsia"/>
          <w:lang w:val="es-ES"/>
        </w:rPr>
        <w:t>potencia</w:t>
      </w:r>
      <w:r w:rsidR="006A3517" w:rsidRPr="00862632">
        <w:rPr>
          <w:rFonts w:eastAsiaTheme="minorEastAsia"/>
          <w:lang w:val="es-ES"/>
        </w:rPr>
        <w:t>rios</w:t>
      </w:r>
      <w:r w:rsidR="009554F1" w:rsidRPr="00862632">
        <w:rPr>
          <w:rFonts w:eastAsiaTheme="minorEastAsia"/>
          <w:lang w:val="es-ES"/>
        </w:rPr>
        <w:t xml:space="preserve"> de la UIT resuelve </w:t>
      </w:r>
      <w:r w:rsidR="00BC5045">
        <w:rPr>
          <w:rFonts w:eastAsiaTheme="minorEastAsia"/>
          <w:lang w:val="es-ES"/>
        </w:rPr>
        <w:t>"</w:t>
      </w:r>
      <w:r w:rsidR="009554F1" w:rsidRPr="00862632">
        <w:rPr>
          <w:rFonts w:eastAsiaTheme="minorEastAsia"/>
          <w:lang w:val="es-ES"/>
        </w:rPr>
        <w:t>estudiar la forma de obtener una mayor colaboración y coordinación entre la UIT y organizaciones pertinentes</w:t>
      </w:r>
      <w:r w:rsidR="006A3517" w:rsidRPr="00862632">
        <w:rPr>
          <w:rFonts w:eastAsiaTheme="minorEastAsia"/>
          <w:lang w:val="es-ES"/>
        </w:rPr>
        <w:t>*</w:t>
      </w:r>
      <w:r w:rsidR="009554F1" w:rsidRPr="00862632">
        <w:rPr>
          <w:rFonts w:eastAsiaTheme="minorEastAsia"/>
          <w:lang w:val="es-ES"/>
        </w:rPr>
        <w:t xml:space="preserve"> que participan en la elaboración de redes IP y de la futura </w:t>
      </w:r>
      <w:r w:rsidR="006A3517" w:rsidRPr="00862632">
        <w:rPr>
          <w:rFonts w:eastAsiaTheme="minorEastAsia"/>
          <w:lang w:val="es-ES"/>
        </w:rPr>
        <w:t>I</w:t>
      </w:r>
      <w:r w:rsidR="009554F1" w:rsidRPr="00862632">
        <w:rPr>
          <w:rFonts w:eastAsiaTheme="minorEastAsia"/>
          <w:lang w:val="es-ES"/>
        </w:rPr>
        <w:t xml:space="preserve">nternet, mediante acuerdos de cooperación, llegado el caso, para </w:t>
      </w:r>
      <w:r w:rsidR="006A3517" w:rsidRPr="00862632">
        <w:rPr>
          <w:rFonts w:eastAsiaTheme="minorEastAsia"/>
          <w:lang w:val="es-ES"/>
        </w:rPr>
        <w:t xml:space="preserve">que </w:t>
      </w:r>
      <w:r w:rsidR="009554F1" w:rsidRPr="00862632">
        <w:rPr>
          <w:rFonts w:eastAsiaTheme="minorEastAsia"/>
          <w:lang w:val="es-ES"/>
        </w:rPr>
        <w:t>la UIT desempeñe un papel más importante en la gobernanza de Internet con objeto de garantizar los máximos beneficios a la comunidad mundial</w:t>
      </w:r>
      <w:r w:rsidR="00BC5045">
        <w:rPr>
          <w:rFonts w:eastAsiaTheme="minorEastAsia"/>
          <w:lang w:val="es-ES"/>
        </w:rPr>
        <w:t>"</w:t>
      </w:r>
      <w:r w:rsidR="009554F1" w:rsidRPr="00862632">
        <w:rPr>
          <w:rFonts w:eastAsiaTheme="minorEastAsia"/>
          <w:lang w:val="es-ES"/>
        </w:rPr>
        <w:t xml:space="preserve"> (* incluidas, entre otras, la Corporación de Internet para la Asignación de Nombres y de Números (ICANN), los registros regionales de Internet (RIR), el Grupo Especial sobre Ingeniería de Internet (IETF), la Sociedad de Internet (ISOC) y el Consorcio WWW (W3C), sobre una base de reciprocidad)</w:t>
      </w:r>
      <w:r w:rsidR="006A3517" w:rsidRPr="00862632">
        <w:rPr>
          <w:szCs w:val="22"/>
          <w:vertAlign w:val="superscript"/>
          <w:lang w:val="es-ES"/>
        </w:rPr>
        <w:footnoteReference w:id="64"/>
      </w:r>
      <w:r w:rsidR="006A3517" w:rsidRPr="00862632">
        <w:rPr>
          <w:rFonts w:eastAsiaTheme="minorEastAsia"/>
          <w:lang w:val="es-ES"/>
        </w:rPr>
        <w:t>.</w:t>
      </w:r>
      <w:r w:rsidR="009554F1" w:rsidRPr="00862632">
        <w:rPr>
          <w:szCs w:val="22"/>
          <w:vertAlign w:val="superscript"/>
          <w:lang w:val="es-ES"/>
        </w:rPr>
        <w:t>.</w:t>
      </w:r>
    </w:p>
    <w:p w:rsidR="009554F1" w:rsidRPr="00862632" w:rsidRDefault="00300DBE" w:rsidP="0039449A">
      <w:pPr>
        <w:pStyle w:val="enumlev2"/>
        <w:rPr>
          <w:rFonts w:eastAsiaTheme="minorEastAsia"/>
          <w:lang w:val="es-ES" w:eastAsia="zh-CN"/>
        </w:rPr>
      </w:pPr>
      <w:r w:rsidRPr="00862632">
        <w:rPr>
          <w:rFonts w:eastAsiaTheme="minorEastAsia"/>
          <w:lang w:val="es-ES" w:eastAsia="zh-CN"/>
        </w:rPr>
        <w:t>iii)</w:t>
      </w:r>
      <w:r w:rsidRPr="00862632">
        <w:rPr>
          <w:rFonts w:eastAsiaTheme="minorEastAsia"/>
          <w:lang w:val="es-ES" w:eastAsia="zh-CN"/>
        </w:rPr>
        <w:tab/>
        <w:t>L</w:t>
      </w:r>
      <w:r w:rsidR="009554F1" w:rsidRPr="00862632">
        <w:rPr>
          <w:rFonts w:eastAsiaTheme="minorEastAsia"/>
          <w:lang w:val="es-ES" w:eastAsia="zh-CN"/>
        </w:rPr>
        <w:t xml:space="preserve">as múltiples partes interesadas que son </w:t>
      </w:r>
      <w:r w:rsidR="006A3517" w:rsidRPr="00862632">
        <w:rPr>
          <w:rFonts w:eastAsiaTheme="minorEastAsia"/>
          <w:lang w:val="es-ES" w:eastAsia="zh-CN"/>
        </w:rPr>
        <w:t>M</w:t>
      </w:r>
      <w:r w:rsidR="009554F1" w:rsidRPr="00862632">
        <w:rPr>
          <w:rFonts w:eastAsiaTheme="minorEastAsia"/>
          <w:lang w:val="es-ES" w:eastAsia="zh-CN"/>
        </w:rPr>
        <w:t xml:space="preserve">iembros de la UIT comprenden gobiernos, reguladores, empresas privadas, organizaciones internacionales (intergubernamentales y no </w:t>
      </w:r>
      <w:r w:rsidR="009554F1" w:rsidRPr="0016466E">
        <w:rPr>
          <w:rFonts w:eastAsiaTheme="minorEastAsia"/>
        </w:rPr>
        <w:t>gubernamentales</w:t>
      </w:r>
      <w:r w:rsidR="009554F1" w:rsidRPr="00862632">
        <w:rPr>
          <w:rFonts w:eastAsiaTheme="minorEastAsia"/>
          <w:lang w:val="es-ES" w:eastAsia="zh-CN"/>
        </w:rPr>
        <w:t xml:space="preserve">), y </w:t>
      </w:r>
      <w:r w:rsidR="0039449A">
        <w:rPr>
          <w:rFonts w:eastAsiaTheme="minorEastAsia"/>
          <w:lang w:val="es-ES" w:eastAsia="zh-CN"/>
        </w:rPr>
        <w:t>instituciones</w:t>
      </w:r>
      <w:r w:rsidR="009554F1" w:rsidRPr="00862632">
        <w:rPr>
          <w:rFonts w:eastAsiaTheme="minorEastAsia"/>
          <w:lang w:val="es-ES" w:eastAsia="zh-CN"/>
        </w:rPr>
        <w:t xml:space="preserve"> financieras y la sociedad civil</w:t>
      </w:r>
      <w:r w:rsidRPr="00323F00">
        <w:rPr>
          <w:rStyle w:val="FootnoteReference"/>
          <w:rFonts w:eastAsiaTheme="minorEastAsia"/>
        </w:rPr>
        <w:footnoteReference w:id="65"/>
      </w:r>
      <w:r w:rsidR="009554F1" w:rsidRPr="00862632">
        <w:rPr>
          <w:rFonts w:eastAsiaTheme="minorEastAsia"/>
          <w:lang w:val="es-ES" w:eastAsia="zh-CN"/>
        </w:rPr>
        <w:t xml:space="preserve">, que participan todos en distintas calidades y en numerosas actividades de la UIT. Los </w:t>
      </w:r>
      <w:r w:rsidR="006A3517" w:rsidRPr="00862632">
        <w:rPr>
          <w:rFonts w:eastAsiaTheme="minorEastAsia"/>
          <w:lang w:val="es-ES" w:eastAsia="zh-CN"/>
        </w:rPr>
        <w:t>M</w:t>
      </w:r>
      <w:r w:rsidR="009554F1" w:rsidRPr="00862632">
        <w:rPr>
          <w:rFonts w:eastAsiaTheme="minorEastAsia"/>
          <w:lang w:val="es-ES" w:eastAsia="zh-CN"/>
        </w:rPr>
        <w:t xml:space="preserve">iembros de la UIT van de operadores de telefonía móvil y fija a empresas de satélite, y de vendedores de equipos a organismos de radiodifusión y proveedores de servicios Internet (PSI). También participan organizaciones que se ocupan del acceso para personas con discapacidad, por ejemplo, o de comunicaciones de emergencia. Son también </w:t>
      </w:r>
      <w:r w:rsidR="006A3517" w:rsidRPr="00862632">
        <w:rPr>
          <w:rFonts w:eastAsiaTheme="minorEastAsia"/>
          <w:lang w:val="es-ES" w:eastAsia="zh-CN"/>
        </w:rPr>
        <w:t>M</w:t>
      </w:r>
      <w:r w:rsidR="009554F1" w:rsidRPr="00862632">
        <w:rPr>
          <w:rFonts w:eastAsiaTheme="minorEastAsia"/>
          <w:lang w:val="es-ES" w:eastAsia="zh-CN"/>
        </w:rPr>
        <w:t xml:space="preserve">iembros de la UIT </w:t>
      </w:r>
      <w:r w:rsidRPr="00862632">
        <w:rPr>
          <w:rFonts w:eastAsiaTheme="minorEastAsia"/>
          <w:lang w:val="es-ES" w:eastAsia="zh-CN"/>
        </w:rPr>
        <w:t xml:space="preserve">diversas </w:t>
      </w:r>
      <w:r w:rsidR="009554F1" w:rsidRPr="00862632">
        <w:rPr>
          <w:rFonts w:eastAsiaTheme="minorEastAsia"/>
          <w:lang w:val="es-ES" w:eastAsia="zh-CN"/>
        </w:rPr>
        <w:t>organizaciones e instituciones académicas relacionadas con Internet, tales como universidades e institutos de investigación que tratan de las TIC. De hecho, las instituciones no lucrativas de carácter internacional pueden solicitar la exoneración de los cánones de participación</w:t>
      </w:r>
      <w:r w:rsidRPr="00323F00">
        <w:rPr>
          <w:rStyle w:val="FootnoteReference"/>
          <w:rFonts w:eastAsiaTheme="minorEastAsia"/>
        </w:rPr>
        <w:footnoteReference w:id="66"/>
      </w:r>
      <w:r w:rsidR="009554F1" w:rsidRPr="00862632">
        <w:rPr>
          <w:rFonts w:eastAsiaTheme="minorEastAsia"/>
          <w:lang w:val="es-ES" w:eastAsia="zh-CN"/>
        </w:rPr>
        <w:t>.</w:t>
      </w:r>
    </w:p>
    <w:p w:rsidR="00344D10" w:rsidRPr="00862632" w:rsidRDefault="009554F1" w:rsidP="0016466E">
      <w:pPr>
        <w:pStyle w:val="enumlev2"/>
        <w:rPr>
          <w:rFonts w:eastAsiaTheme="minorEastAsia"/>
          <w:lang w:val="es-ES" w:eastAsia="zh-CN"/>
        </w:rPr>
      </w:pPr>
      <w:r w:rsidRPr="00862632">
        <w:rPr>
          <w:rFonts w:eastAsiaTheme="minorEastAsia"/>
          <w:lang w:val="es-ES" w:eastAsia="zh-CN"/>
        </w:rPr>
        <w:tab/>
      </w:r>
      <w:r w:rsidR="00300DBE" w:rsidRPr="00862632">
        <w:rPr>
          <w:rFonts w:eastAsiaTheme="minorEastAsia"/>
          <w:lang w:val="es-ES" w:eastAsia="zh-CN"/>
        </w:rPr>
        <w:t>Otros</w:t>
      </w:r>
      <w:r w:rsidRPr="00862632">
        <w:rPr>
          <w:rFonts w:eastAsiaTheme="minorEastAsia"/>
          <w:lang w:val="es-ES" w:eastAsia="zh-CN"/>
        </w:rPr>
        <w:t xml:space="preserve"> aducen que no queda claro si la sociedad civil forma parte de los </w:t>
      </w:r>
      <w:r w:rsidR="006A3517" w:rsidRPr="00862632">
        <w:rPr>
          <w:rFonts w:eastAsiaTheme="minorEastAsia"/>
          <w:lang w:val="es-ES" w:eastAsia="zh-CN"/>
        </w:rPr>
        <w:t>M</w:t>
      </w:r>
      <w:r w:rsidRPr="00862632">
        <w:rPr>
          <w:rFonts w:eastAsiaTheme="minorEastAsia"/>
          <w:lang w:val="es-ES" w:eastAsia="zh-CN"/>
        </w:rPr>
        <w:t xml:space="preserve">iembros de la UIT y si esas organizaciones pueden ser </w:t>
      </w:r>
      <w:r w:rsidR="006A3517" w:rsidRPr="00862632">
        <w:rPr>
          <w:rFonts w:eastAsiaTheme="minorEastAsia"/>
          <w:lang w:val="es-ES" w:eastAsia="zh-CN"/>
        </w:rPr>
        <w:t>M</w:t>
      </w:r>
      <w:r w:rsidRPr="00862632">
        <w:rPr>
          <w:rFonts w:eastAsiaTheme="minorEastAsia"/>
          <w:lang w:val="es-ES" w:eastAsia="zh-CN"/>
        </w:rPr>
        <w:t xml:space="preserve">iembros de la UIT. Debe señalarse que todas las organizaciones internacionales de la sociedad civil y que trabajan en asuntos relacionados con las TIC pueden ser </w:t>
      </w:r>
      <w:r w:rsidR="006A3517" w:rsidRPr="00862632">
        <w:rPr>
          <w:rFonts w:eastAsiaTheme="minorEastAsia"/>
          <w:lang w:val="es-ES" w:eastAsia="zh-CN"/>
        </w:rPr>
        <w:t>M</w:t>
      </w:r>
      <w:r w:rsidRPr="00862632">
        <w:rPr>
          <w:rFonts w:eastAsiaTheme="minorEastAsia"/>
          <w:lang w:val="es-ES" w:eastAsia="zh-CN"/>
        </w:rPr>
        <w:t>iembros de la UIT</w:t>
      </w:r>
      <w:r w:rsidR="00300DBE" w:rsidRPr="00862632">
        <w:rPr>
          <w:rFonts w:eastAsiaTheme="minorEastAsia"/>
          <w:lang w:val="es-ES" w:eastAsia="zh-CN"/>
        </w:rPr>
        <w:t xml:space="preserve"> y se les anima a adherirse a la Unión</w:t>
      </w:r>
      <w:r w:rsidRPr="00862632">
        <w:rPr>
          <w:rFonts w:eastAsiaTheme="minorEastAsia"/>
          <w:lang w:val="es-ES" w:eastAsia="zh-CN"/>
        </w:rPr>
        <w:t>.</w:t>
      </w:r>
    </w:p>
    <w:p w:rsidR="00300DBE" w:rsidRPr="00862632" w:rsidRDefault="0016466E" w:rsidP="00BA1F3F">
      <w:pPr>
        <w:pStyle w:val="enumlev2"/>
        <w:rPr>
          <w:rFonts w:eastAsiaTheme="minorEastAsia"/>
          <w:lang w:val="es-ES" w:eastAsia="zh-CN"/>
        </w:rPr>
      </w:pPr>
      <w:r>
        <w:rPr>
          <w:rFonts w:eastAsiaTheme="minorEastAsia"/>
          <w:lang w:val="es-ES" w:eastAsia="zh-CN"/>
        </w:rPr>
        <w:tab/>
      </w:r>
      <w:r w:rsidR="00396A92" w:rsidRPr="00862632">
        <w:rPr>
          <w:rFonts w:eastAsiaTheme="minorEastAsia"/>
          <w:lang w:val="es-ES" w:eastAsia="zh-CN"/>
        </w:rPr>
        <w:t xml:space="preserve">El Grupo IPv6 de la UIT, que el Consejo de la UIT formó y puso bajo la tutela de los Directores de las </w:t>
      </w:r>
      <w:r w:rsidR="0039449A" w:rsidRPr="0016466E">
        <w:rPr>
          <w:rFonts w:eastAsiaTheme="minorEastAsia"/>
        </w:rPr>
        <w:t>Oficinas</w:t>
      </w:r>
      <w:r w:rsidR="0039449A" w:rsidRPr="00862632">
        <w:rPr>
          <w:rFonts w:eastAsiaTheme="minorEastAsia"/>
          <w:lang w:val="es-ES" w:eastAsia="zh-CN"/>
        </w:rPr>
        <w:t xml:space="preserve"> </w:t>
      </w:r>
      <w:r w:rsidR="00396A92" w:rsidRPr="00862632">
        <w:rPr>
          <w:rFonts w:eastAsiaTheme="minorEastAsia"/>
          <w:lang w:val="es-ES" w:eastAsia="zh-CN"/>
        </w:rPr>
        <w:t>de Desarrollo y de Normalización de las Telecomunicaciones de la UIT, es un ejemplo de colaboración y coordinación interinstitucional. El Grupo de Expertos del FMPT, que está abierto</w:t>
      </w:r>
      <w:r w:rsidR="00862632">
        <w:rPr>
          <w:rFonts w:eastAsiaTheme="minorEastAsia"/>
          <w:lang w:val="es-ES" w:eastAsia="zh-CN"/>
        </w:rPr>
        <w:t xml:space="preserve"> </w:t>
      </w:r>
      <w:r w:rsidR="00396A92" w:rsidRPr="00862632">
        <w:rPr>
          <w:rFonts w:eastAsiaTheme="minorEastAsia"/>
          <w:lang w:val="es-ES" w:eastAsia="zh-CN"/>
        </w:rPr>
        <w:t>a</w:t>
      </w:r>
      <w:r w:rsidR="00BA1F3F">
        <w:rPr>
          <w:rFonts w:eastAsiaTheme="minorEastAsia"/>
          <w:lang w:val="es-ES" w:eastAsia="zh-CN"/>
        </w:rPr>
        <w:t xml:space="preserve"> </w:t>
      </w:r>
      <w:r w:rsidR="00396A92" w:rsidRPr="00862632">
        <w:rPr>
          <w:rFonts w:eastAsiaTheme="minorEastAsia"/>
          <w:lang w:val="es-ES" w:eastAsia="zh-CN"/>
        </w:rPr>
        <w:t xml:space="preserve">todos los interesados fuera de la UIT, y está contribuyendo a la preparación de este Informe de manera constructiva y transparente, es otro ejemplo de exitosa cooperación multipartita. A fin de fomentar un mejor entendimiento de la participación de todos los grupos interesados en los foros de la UIT, convendría que la UIT promoviese una colaboración semejante entre la Unión y otros grupos pertinentes [origen: </w:t>
      </w:r>
      <w:hyperlink r:id="rId43" w:history="1">
        <w:r w:rsidR="00396A92" w:rsidRPr="003C33B9">
          <w:rPr>
            <w:rStyle w:val="Hyperlink"/>
            <w:rFonts w:eastAsiaTheme="minorEastAsia"/>
            <w:lang w:val="es-ES" w:eastAsia="zh-CN"/>
          </w:rPr>
          <w:t>PayPal</w:t>
        </w:r>
      </w:hyperlink>
      <w:r w:rsidR="00396A92" w:rsidRPr="00323F00">
        <w:rPr>
          <w:rStyle w:val="FootnoteReference"/>
          <w:rFonts w:eastAsiaTheme="minorEastAsia"/>
        </w:rPr>
        <w:footnoteReference w:id="67"/>
      </w:r>
      <w:r w:rsidR="00396A92" w:rsidRPr="00862632">
        <w:rPr>
          <w:rFonts w:eastAsiaTheme="minorEastAsia"/>
          <w:lang w:val="es-ES" w:eastAsia="zh-CN"/>
        </w:rPr>
        <w:t>].</w:t>
      </w:r>
    </w:p>
    <w:p w:rsidR="00396A92" w:rsidRPr="00862632" w:rsidRDefault="0016466E" w:rsidP="0039449A">
      <w:pPr>
        <w:pStyle w:val="enumlev2"/>
        <w:rPr>
          <w:rFonts w:eastAsiaTheme="minorEastAsia"/>
          <w:lang w:val="es-ES" w:eastAsia="zh-CN"/>
        </w:rPr>
      </w:pPr>
      <w:r>
        <w:rPr>
          <w:rFonts w:eastAsiaTheme="minorEastAsia"/>
          <w:lang w:val="es-ES" w:eastAsia="zh-CN"/>
        </w:rPr>
        <w:tab/>
      </w:r>
      <w:r w:rsidR="00396A92" w:rsidRPr="00862632">
        <w:rPr>
          <w:rFonts w:eastAsiaTheme="minorEastAsia"/>
          <w:lang w:val="es-ES" w:eastAsia="zh-CN"/>
        </w:rPr>
        <w:t>La Resolución 3 de la Conferencia Mundial de Telecomunicaciones Internacionales (CMTI), Fomentar un entorno propicio para el mayor crecimiento de Internet</w:t>
      </w:r>
      <w:r w:rsidR="00651E4D" w:rsidRPr="00323F00">
        <w:rPr>
          <w:rStyle w:val="FootnoteReference"/>
          <w:rFonts w:eastAsiaTheme="minorEastAsia"/>
        </w:rPr>
        <w:footnoteReference w:id="68"/>
      </w:r>
      <w:r w:rsidR="00396A92" w:rsidRPr="00862632">
        <w:rPr>
          <w:rFonts w:eastAsiaTheme="minorEastAsia"/>
          <w:lang w:val="es-ES" w:eastAsia="zh-CN"/>
        </w:rPr>
        <w:t xml:space="preserve">, recalca la posición de la UIT a favor de la participación de diversos grupos interesados en sus foros multipartitos. En la Resolución se encarga al Secretario General que siga </w:t>
      </w:r>
      <w:r w:rsidR="00396A92" w:rsidRPr="00862632">
        <w:rPr>
          <w:lang w:val="es-ES"/>
        </w:rPr>
        <w:t>tomando las medidas necesarias para que la UIT desempeñe un papel activo y constructivo en el desarrollo de la banda ancha y en el modelo multipartito de Internet, según se señala en el párrafo 35 de la Agenda de Túnez. Por tanto, pide al Secretario General que apoye la participación de</w:t>
      </w:r>
      <w:r w:rsidR="00E36D69" w:rsidRPr="00862632">
        <w:rPr>
          <w:lang w:val="es-ES"/>
        </w:rPr>
        <w:t xml:space="preserve"> </w:t>
      </w:r>
      <w:r w:rsidR="00396A92" w:rsidRPr="00862632">
        <w:rPr>
          <w:lang w:val="es-ES"/>
        </w:rPr>
        <w:t>los Estados Miembros y todos los demás interesados, según proceda, en las actividades de</w:t>
      </w:r>
      <w:r w:rsidR="00E36D69" w:rsidRPr="00862632">
        <w:rPr>
          <w:lang w:val="es-ES"/>
        </w:rPr>
        <w:t xml:space="preserve"> </w:t>
      </w:r>
      <w:r w:rsidR="00396A92" w:rsidRPr="00862632">
        <w:rPr>
          <w:lang w:val="es-ES"/>
        </w:rPr>
        <w:t xml:space="preserve">la UIT a este respecto. Pide a los Estados Miembros que </w:t>
      </w:r>
      <w:r w:rsidR="00B45277" w:rsidRPr="00862632">
        <w:rPr>
          <w:lang w:val="es-ES"/>
        </w:rPr>
        <w:t>se asocien a</w:t>
      </w:r>
      <w:r w:rsidR="00396A92" w:rsidRPr="00862632">
        <w:rPr>
          <w:lang w:val="es-ES"/>
        </w:rPr>
        <w:t xml:space="preserve"> los demás interesados y les ayuden a </w:t>
      </w:r>
      <w:r w:rsidR="00B45277" w:rsidRPr="00862632">
        <w:rPr>
          <w:lang w:val="es-ES"/>
        </w:rPr>
        <w:t>detallar sus posturas respectivas sobre cuestiones técnicas, de desarrollo y de política pública internacional relacionadas con Internet que son competencia de la UIT en distintos foros de la</w:t>
      </w:r>
      <w:r w:rsidR="0039449A">
        <w:rPr>
          <w:lang w:val="es-ES"/>
        </w:rPr>
        <w:t> </w:t>
      </w:r>
      <w:r w:rsidR="00B45277" w:rsidRPr="00862632">
        <w:rPr>
          <w:lang w:val="es-ES"/>
        </w:rPr>
        <w:t>UIT.</w:t>
      </w:r>
    </w:p>
    <w:p w:rsidR="00344D10" w:rsidRPr="004366E5" w:rsidRDefault="0012727B" w:rsidP="0016466E">
      <w:pPr>
        <w:pStyle w:val="Heading3"/>
      </w:pPr>
      <w:r w:rsidRPr="004366E5">
        <w:t>2.3.3</w:t>
      </w:r>
      <w:r w:rsidRPr="004366E5">
        <w:tab/>
      </w:r>
      <w:r w:rsidR="009554F1" w:rsidRPr="004366E5">
        <w:t>Redes basadas en el Protocolo Internet (IP) y gestión de los recursos de Internet</w:t>
      </w:r>
    </w:p>
    <w:p w:rsidR="009554F1" w:rsidRPr="00862632" w:rsidRDefault="00E36815" w:rsidP="00CD7920">
      <w:pPr>
        <w:pStyle w:val="enumlev1"/>
        <w:rPr>
          <w:lang w:val="es-ES"/>
        </w:rPr>
      </w:pPr>
      <w:r w:rsidRPr="00862632">
        <w:rPr>
          <w:lang w:val="es-ES"/>
        </w:rPr>
        <w:t>a)</w:t>
      </w:r>
      <w:r w:rsidRPr="00862632">
        <w:rPr>
          <w:lang w:val="es-ES"/>
        </w:rPr>
        <w:tab/>
      </w:r>
      <w:r w:rsidR="0039449A">
        <w:rPr>
          <w:lang w:val="es-ES"/>
        </w:rPr>
        <w:t xml:space="preserve">La </w:t>
      </w:r>
      <w:r w:rsidR="009554F1" w:rsidRPr="00862632">
        <w:rPr>
          <w:lang w:val="es-ES"/>
        </w:rPr>
        <w:t xml:space="preserve">Internet </w:t>
      </w:r>
      <w:r w:rsidR="00651E4D" w:rsidRPr="00862632">
        <w:rPr>
          <w:lang w:val="es-ES"/>
        </w:rPr>
        <w:t xml:space="preserve">fija y móvil </w:t>
      </w:r>
      <w:r w:rsidR="009554F1" w:rsidRPr="00862632">
        <w:rPr>
          <w:lang w:val="es-ES"/>
        </w:rPr>
        <w:t xml:space="preserve">de banda ancha es hoy una infraestructura esencial de la creciente economía mundial. </w:t>
      </w:r>
      <w:r w:rsidR="00651E4D" w:rsidRPr="00862632">
        <w:rPr>
          <w:lang w:val="es-ES"/>
        </w:rPr>
        <w:t xml:space="preserve">Como ya se indica en la sección 2.3.1.j </w:t>
      </w:r>
      <w:r w:rsidR="00651E4D" w:rsidRPr="00862632">
        <w:rPr>
          <w:i/>
          <w:iCs/>
          <w:lang w:val="es-ES"/>
        </w:rPr>
        <w:t>supra,</w:t>
      </w:r>
      <w:r w:rsidR="00651E4D" w:rsidRPr="00862632">
        <w:rPr>
          <w:lang w:val="es-ES"/>
        </w:rPr>
        <w:t xml:space="preserve"> l</w:t>
      </w:r>
      <w:r w:rsidR="009554F1" w:rsidRPr="00862632">
        <w:rPr>
          <w:lang w:val="es-ES"/>
        </w:rPr>
        <w:t xml:space="preserve">a mayor utilización de Internet </w:t>
      </w:r>
      <w:r w:rsidR="00651E4D" w:rsidRPr="00862632">
        <w:rPr>
          <w:lang w:val="es-ES"/>
        </w:rPr>
        <w:t xml:space="preserve">aumenta el valor de la red como resultado del </w:t>
      </w:r>
      <w:r w:rsidR="00BC5045">
        <w:rPr>
          <w:lang w:val="es-ES"/>
        </w:rPr>
        <w:t>"</w:t>
      </w:r>
      <w:r w:rsidR="00651E4D" w:rsidRPr="00862632">
        <w:rPr>
          <w:lang w:val="es-ES"/>
        </w:rPr>
        <w:t>efecto de red</w:t>
      </w:r>
      <w:r w:rsidR="00BC5045">
        <w:rPr>
          <w:lang w:val="es-ES"/>
        </w:rPr>
        <w:t>"</w:t>
      </w:r>
      <w:r w:rsidR="00651E4D" w:rsidRPr="00862632">
        <w:rPr>
          <w:lang w:val="es-ES"/>
        </w:rPr>
        <w:t xml:space="preserve"> y de la Ley de Metcalfe y fomenta el desarrollo adicional de</w:t>
      </w:r>
      <w:r w:rsidR="009554F1" w:rsidRPr="00862632">
        <w:rPr>
          <w:lang w:val="es-ES"/>
        </w:rPr>
        <w:t xml:space="preserve"> </w:t>
      </w:r>
      <w:r w:rsidR="009554F1" w:rsidRPr="0016466E">
        <w:t>aplicaciones</w:t>
      </w:r>
      <w:r w:rsidR="00651E4D" w:rsidRPr="00862632">
        <w:rPr>
          <w:lang w:val="es-ES"/>
        </w:rPr>
        <w:t>,</w:t>
      </w:r>
      <w:r w:rsidR="009554F1" w:rsidRPr="00862632">
        <w:rPr>
          <w:lang w:val="es-ES"/>
        </w:rPr>
        <w:t xml:space="preserve"> servicios de información adicionales</w:t>
      </w:r>
      <w:r w:rsidR="00651E4D" w:rsidRPr="00862632">
        <w:rPr>
          <w:lang w:val="es-ES"/>
        </w:rPr>
        <w:t xml:space="preserve"> y contenido, gracias a la naturaleza de Internet y a la localización del </w:t>
      </w:r>
      <w:r w:rsidR="00BC5045">
        <w:rPr>
          <w:lang w:val="es-ES"/>
        </w:rPr>
        <w:t>"</w:t>
      </w:r>
      <w:r w:rsidR="00651E4D" w:rsidRPr="00862632">
        <w:rPr>
          <w:lang w:val="es-ES"/>
        </w:rPr>
        <w:t>principio de extremo a extremo</w:t>
      </w:r>
      <w:r w:rsidR="00BC5045">
        <w:rPr>
          <w:lang w:val="es-ES"/>
        </w:rPr>
        <w:t>"</w:t>
      </w:r>
      <w:r w:rsidR="00651E4D" w:rsidRPr="00862632">
        <w:rPr>
          <w:lang w:val="es-ES"/>
        </w:rPr>
        <w:t xml:space="preserve"> en los bordes, lo que permite introducir fácilmente nuevas aplicaciones [origen:</w:t>
      </w:r>
      <w:r w:rsidR="00862632">
        <w:rPr>
          <w:lang w:val="es-ES"/>
        </w:rPr>
        <w:t xml:space="preserve"> </w:t>
      </w:r>
      <w:hyperlink r:id="rId44" w:history="1">
        <w:r w:rsidR="00651E4D" w:rsidRPr="00CD7920">
          <w:rPr>
            <w:rStyle w:val="Hyperlink"/>
            <w:lang w:val="es-ES"/>
          </w:rPr>
          <w:t>Nominet</w:t>
        </w:r>
      </w:hyperlink>
      <w:r w:rsidR="00651E4D" w:rsidRPr="00862632">
        <w:rPr>
          <w:rStyle w:val="FootnoteReference"/>
          <w:lang w:val="es-ES"/>
        </w:rPr>
        <w:footnoteReference w:id="69"/>
      </w:r>
      <w:r w:rsidR="00651E4D" w:rsidRPr="00862632">
        <w:rPr>
          <w:lang w:val="es-ES"/>
        </w:rPr>
        <w:t>]. La utilización de</w:t>
      </w:r>
      <w:r w:rsidR="009554F1" w:rsidRPr="00862632">
        <w:rPr>
          <w:lang w:val="es-ES"/>
        </w:rPr>
        <w:t xml:space="preserve"> servicios </w:t>
      </w:r>
      <w:r w:rsidR="00651E4D" w:rsidRPr="00862632">
        <w:rPr>
          <w:lang w:val="es-ES"/>
        </w:rPr>
        <w:t xml:space="preserve">Internet </w:t>
      </w:r>
      <w:r w:rsidR="009554F1" w:rsidRPr="00862632">
        <w:rPr>
          <w:lang w:val="es-ES"/>
        </w:rPr>
        <w:t>se ha generalizado</w:t>
      </w:r>
      <w:r w:rsidR="00651E4D" w:rsidRPr="00862632">
        <w:rPr>
          <w:lang w:val="es-ES"/>
        </w:rPr>
        <w:t>,</w:t>
      </w:r>
      <w:r w:rsidR="009554F1" w:rsidRPr="00862632">
        <w:rPr>
          <w:lang w:val="es-ES"/>
        </w:rPr>
        <w:t xml:space="preserve"> pero sigue planteando dificultades de calidad de servicio</w:t>
      </w:r>
      <w:r w:rsidR="00651E4D" w:rsidRPr="00862632">
        <w:rPr>
          <w:lang w:val="es-ES"/>
        </w:rPr>
        <w:t xml:space="preserve"> (QoS)</w:t>
      </w:r>
      <w:r w:rsidR="009554F1" w:rsidRPr="00862632">
        <w:rPr>
          <w:lang w:val="es-ES"/>
        </w:rPr>
        <w:t>, incertidumbre sobre el origen de ciertas aplicaciones, y en muchos países en desarrollo sigue habiendo costes elevados de la conectividad Internet internacional (CII).</w:t>
      </w:r>
      <w:r w:rsidR="00651E4D" w:rsidRPr="00862632">
        <w:rPr>
          <w:lang w:val="es-ES"/>
        </w:rPr>
        <w:t xml:space="preserve"> Hoy en día, muchos países quieren fomentar el desarrollo de la infraestructura nacional creando IXP nacionales y mejorando el entorno para el crecimiento de aplicaciones y contenido local (por ejemplo, Kenya y Nigeria) [origen: </w:t>
      </w:r>
      <w:hyperlink r:id="rId45" w:history="1">
        <w:r w:rsidR="00CD7920" w:rsidRPr="00CD7920">
          <w:rPr>
            <w:rStyle w:val="Hyperlink"/>
            <w:lang w:val="es-ES"/>
          </w:rPr>
          <w:t>Nominet</w:t>
        </w:r>
      </w:hyperlink>
      <w:r w:rsidR="00651E4D" w:rsidRPr="00862632">
        <w:rPr>
          <w:rStyle w:val="FootnoteReference"/>
          <w:lang w:val="es-ES"/>
        </w:rPr>
        <w:footnoteReference w:id="70"/>
      </w:r>
      <w:r w:rsidR="00651E4D" w:rsidRPr="00862632">
        <w:rPr>
          <w:lang w:val="es-ES"/>
        </w:rPr>
        <w:t xml:space="preserve">]. La mayoría de operadores procuran ofrecer un nivel de servicio satisfactorio a los usuarios finales [origen: </w:t>
      </w:r>
      <w:hyperlink r:id="rId46" w:history="1">
        <w:r w:rsidR="00A26E96" w:rsidRPr="00A26E96">
          <w:rPr>
            <w:rStyle w:val="Hyperlink"/>
            <w:lang w:val="es-ES"/>
          </w:rPr>
          <w:t>EE.UU.</w:t>
        </w:r>
      </w:hyperlink>
      <w:r w:rsidR="00651E4D" w:rsidRPr="00862632">
        <w:rPr>
          <w:rStyle w:val="FootnoteReference"/>
          <w:lang w:val="es-ES"/>
        </w:rPr>
        <w:footnoteReference w:id="71"/>
      </w:r>
      <w:r w:rsidR="00651E4D" w:rsidRPr="00862632">
        <w:rPr>
          <w:lang w:val="es-ES"/>
        </w:rPr>
        <w:t>].</w:t>
      </w:r>
    </w:p>
    <w:p w:rsidR="009554F1" w:rsidRPr="00862632" w:rsidRDefault="00E36815" w:rsidP="000F0B9B">
      <w:pPr>
        <w:pStyle w:val="enumlev1"/>
        <w:rPr>
          <w:lang w:val="es-ES"/>
        </w:rPr>
      </w:pPr>
      <w:r w:rsidRPr="00862632">
        <w:rPr>
          <w:lang w:val="es-ES"/>
        </w:rPr>
        <w:t>b)</w:t>
      </w:r>
      <w:r w:rsidRPr="00862632">
        <w:rPr>
          <w:lang w:val="es-ES"/>
        </w:rPr>
        <w:tab/>
      </w:r>
      <w:r w:rsidR="00651E4D" w:rsidRPr="00862632">
        <w:rPr>
          <w:lang w:val="es-ES"/>
        </w:rPr>
        <w:t xml:space="preserve">Gracias a la innovación y la inversión, </w:t>
      </w:r>
      <w:r w:rsidR="009554F1" w:rsidRPr="00862632">
        <w:rPr>
          <w:lang w:val="es-ES"/>
        </w:rPr>
        <w:t xml:space="preserve">Internet </w:t>
      </w:r>
      <w:r w:rsidR="00651E4D" w:rsidRPr="00862632">
        <w:rPr>
          <w:lang w:val="es-ES"/>
        </w:rPr>
        <w:t>se ha convertido en</w:t>
      </w:r>
      <w:r w:rsidR="009554F1" w:rsidRPr="00862632">
        <w:rPr>
          <w:lang w:val="es-ES"/>
        </w:rPr>
        <w:t xml:space="preserve"> una infraestructura </w:t>
      </w:r>
      <w:r w:rsidR="00651E4D" w:rsidRPr="00862632">
        <w:rPr>
          <w:lang w:val="es-ES"/>
        </w:rPr>
        <w:t>de la información</w:t>
      </w:r>
      <w:r w:rsidR="009554F1" w:rsidRPr="00862632">
        <w:rPr>
          <w:lang w:val="es-ES"/>
        </w:rPr>
        <w:t xml:space="preserve"> </w:t>
      </w:r>
      <w:r w:rsidR="009554F1" w:rsidRPr="0016466E">
        <w:t>esencial</w:t>
      </w:r>
      <w:r w:rsidR="009554F1" w:rsidRPr="00862632">
        <w:rPr>
          <w:lang w:val="es-ES"/>
        </w:rPr>
        <w:t xml:space="preserve"> y una parte vital de la infraestructura nacional</w:t>
      </w:r>
      <w:r w:rsidR="00651E4D" w:rsidRPr="00862632">
        <w:rPr>
          <w:lang w:val="es-ES"/>
        </w:rPr>
        <w:t xml:space="preserve"> e internacional, además de en un motor de crecimiento en el siglo XXI. Internet seguirá evolucionando y ofrecerá nuevas maneras de</w:t>
      </w:r>
      <w:r w:rsidR="009554F1" w:rsidRPr="00862632">
        <w:rPr>
          <w:lang w:val="es-ES"/>
        </w:rPr>
        <w:t xml:space="preserve"> obtener, producir, distribuir y consumir información.</w:t>
      </w:r>
      <w:r w:rsidR="00651E4D" w:rsidRPr="00862632">
        <w:rPr>
          <w:lang w:val="es-ES"/>
        </w:rPr>
        <w:t xml:space="preserve"> El fomento de la competencia, que redundará en la oferta de Internet de alta velocidad a bajo precio, seguirá cambiando la manera en que producimos y vendemos productos y servicios en beneficio de todos [origen: </w:t>
      </w:r>
      <w:hyperlink r:id="rId47" w:history="1">
        <w:r w:rsidR="000F0B9B" w:rsidRPr="000F0B9B">
          <w:rPr>
            <w:rStyle w:val="Hyperlink"/>
            <w:lang w:val="es-ES"/>
          </w:rPr>
          <w:t>ISOC Bulgaria</w:t>
        </w:r>
      </w:hyperlink>
      <w:r w:rsidR="00651E4D" w:rsidRPr="00862632">
        <w:rPr>
          <w:rStyle w:val="FootnoteReference"/>
          <w:lang w:val="es-ES"/>
        </w:rPr>
        <w:footnoteReference w:id="72"/>
      </w:r>
      <w:r w:rsidR="00651E4D" w:rsidRPr="00862632">
        <w:rPr>
          <w:lang w:val="es-ES"/>
        </w:rPr>
        <w:t>].</w:t>
      </w:r>
    </w:p>
    <w:p w:rsidR="009554F1" w:rsidRPr="00862632" w:rsidRDefault="00E36815" w:rsidP="009000A3">
      <w:pPr>
        <w:pStyle w:val="enumlev1"/>
        <w:rPr>
          <w:lang w:val="es-ES"/>
        </w:rPr>
      </w:pPr>
      <w:r w:rsidRPr="00862632">
        <w:rPr>
          <w:lang w:val="es-ES"/>
        </w:rPr>
        <w:t>c)</w:t>
      </w:r>
      <w:r w:rsidRPr="00862632">
        <w:rPr>
          <w:lang w:val="es-ES"/>
        </w:rPr>
        <w:tab/>
      </w:r>
      <w:r w:rsidR="009554F1" w:rsidRPr="00862632">
        <w:rPr>
          <w:lang w:val="es-ES"/>
        </w:rPr>
        <w:t>Habida cuenta de ese crecimiento, la infraestructura actual de Internet está sometid</w:t>
      </w:r>
      <w:r w:rsidR="00BF1F84" w:rsidRPr="00862632">
        <w:rPr>
          <w:lang w:val="es-ES"/>
        </w:rPr>
        <w:t>a</w:t>
      </w:r>
      <w:r w:rsidR="009554F1" w:rsidRPr="00862632">
        <w:rPr>
          <w:lang w:val="es-ES"/>
        </w:rPr>
        <w:t xml:space="preserve"> a exigencias crecientes. </w:t>
      </w:r>
      <w:r w:rsidR="00BF1F84" w:rsidRPr="00862632">
        <w:rPr>
          <w:lang w:val="es-ES"/>
        </w:rPr>
        <w:t>Hay quien opina que</w:t>
      </w:r>
      <w:r w:rsidR="009554F1" w:rsidRPr="00862632">
        <w:rPr>
          <w:lang w:val="es-ES"/>
        </w:rPr>
        <w:t xml:space="preserve"> la arquitectura técnica subyacente actual de Internet quizá no haya sido concebida para soportar algunas nuevas clases de aplicaciones</w:t>
      </w:r>
      <w:r w:rsidR="00BF1F84" w:rsidRPr="00862632">
        <w:rPr>
          <w:lang w:val="es-ES"/>
        </w:rPr>
        <w:t xml:space="preserve"> y servicios</w:t>
      </w:r>
      <w:r w:rsidR="009554F1" w:rsidRPr="00862632">
        <w:rPr>
          <w:lang w:val="es-ES"/>
        </w:rPr>
        <w:t>, y que por lo tanto no es suficientemente resistente. Se mencionan a menudo problemas de seguridad, gestión de identidades y multilingüismo</w:t>
      </w:r>
      <w:r w:rsidR="009554F1" w:rsidRPr="00862632">
        <w:rPr>
          <w:vertAlign w:val="superscript"/>
          <w:lang w:val="es-ES"/>
        </w:rPr>
        <w:footnoteReference w:id="73"/>
      </w:r>
      <w:r w:rsidR="009554F1" w:rsidRPr="00862632">
        <w:rPr>
          <w:lang w:val="es-ES"/>
        </w:rPr>
        <w:t>. Otros señalan que la arquitectura actual ha permitido niveles de innovación y crecimiento sorprendentes, en particular con la impresionante respuesta despertada por el tráfico de vídeo y las aplicaciones multiusuarios [</w:t>
      </w:r>
      <w:r w:rsidR="007C1231">
        <w:rPr>
          <w:lang w:val="es-ES"/>
        </w:rPr>
        <w:t>origen</w:t>
      </w:r>
      <w:r w:rsidR="009554F1" w:rsidRPr="00862632">
        <w:rPr>
          <w:lang w:val="es-ES"/>
        </w:rPr>
        <w:t xml:space="preserve">: </w:t>
      </w:r>
      <w:hyperlink r:id="rId48" w:history="1">
        <w:r w:rsidR="009000A3" w:rsidRPr="009000A3">
          <w:rPr>
            <w:rStyle w:val="Hyperlink"/>
            <w:lang w:val="es-ES"/>
          </w:rPr>
          <w:t>Reino Unido</w:t>
        </w:r>
      </w:hyperlink>
      <w:r w:rsidR="009554F1" w:rsidRPr="00862632">
        <w:rPr>
          <w:vertAlign w:val="superscript"/>
          <w:lang w:val="es-ES"/>
        </w:rPr>
        <w:footnoteReference w:id="74"/>
      </w:r>
      <w:r w:rsidR="009554F1" w:rsidRPr="00862632">
        <w:rPr>
          <w:lang w:val="es-ES"/>
        </w:rPr>
        <w:t xml:space="preserve">]. </w:t>
      </w:r>
      <w:r w:rsidR="00BF1F84" w:rsidRPr="00862632">
        <w:rPr>
          <w:lang w:val="es-ES"/>
        </w:rPr>
        <w:t>Hay divergencias de opiniones en cuanto a cómo podrá</w:t>
      </w:r>
      <w:r w:rsidR="009554F1" w:rsidRPr="00862632">
        <w:rPr>
          <w:lang w:val="es-ES"/>
        </w:rPr>
        <w:t xml:space="preserve"> la infraestructura actual seguir evolucionando y creciendo para adaptarse a</w:t>
      </w:r>
      <w:r w:rsidR="00BF1F84" w:rsidRPr="00862632">
        <w:rPr>
          <w:lang w:val="es-ES"/>
        </w:rPr>
        <w:t>l crecimiento de</w:t>
      </w:r>
      <w:r w:rsidR="009554F1" w:rsidRPr="00862632">
        <w:rPr>
          <w:lang w:val="es-ES"/>
        </w:rPr>
        <w:t xml:space="preserve"> la demanda.</w:t>
      </w:r>
    </w:p>
    <w:p w:rsidR="009554F1" w:rsidRPr="00862632" w:rsidRDefault="00E36815" w:rsidP="00652F74">
      <w:pPr>
        <w:pStyle w:val="enumlev1"/>
        <w:rPr>
          <w:lang w:val="es-ES"/>
        </w:rPr>
      </w:pPr>
      <w:r w:rsidRPr="00862632">
        <w:rPr>
          <w:lang w:val="es-ES"/>
        </w:rPr>
        <w:t>d)</w:t>
      </w:r>
      <w:r w:rsidRPr="00862632">
        <w:rPr>
          <w:lang w:val="es-ES"/>
        </w:rPr>
        <w:tab/>
      </w:r>
      <w:r w:rsidR="009554F1" w:rsidRPr="00862632">
        <w:rPr>
          <w:lang w:val="es-ES"/>
        </w:rPr>
        <w:t xml:space="preserve">El elevado coste de los circuitos de CII entre Países Menos Adelantados (PMA) y las redes centrales Internet sigue planteando </w:t>
      </w:r>
      <w:r w:rsidR="00BF1F84" w:rsidRPr="00862632">
        <w:rPr>
          <w:lang w:val="es-ES"/>
        </w:rPr>
        <w:t>constantes</w:t>
      </w:r>
      <w:r w:rsidR="009554F1" w:rsidRPr="00862632">
        <w:rPr>
          <w:lang w:val="es-ES"/>
        </w:rPr>
        <w:t xml:space="preserve"> problemas </w:t>
      </w:r>
      <w:r w:rsidR="006A3517" w:rsidRPr="00862632">
        <w:rPr>
          <w:lang w:val="es-ES"/>
        </w:rPr>
        <w:t xml:space="preserve">a </w:t>
      </w:r>
      <w:r w:rsidR="009554F1" w:rsidRPr="00862632">
        <w:rPr>
          <w:lang w:val="es-ES"/>
        </w:rPr>
        <w:t>esos países</w:t>
      </w:r>
      <w:r w:rsidR="00BF1F84" w:rsidRPr="00862632">
        <w:rPr>
          <w:rStyle w:val="FootnoteReference"/>
          <w:lang w:val="es-ES"/>
        </w:rPr>
        <w:footnoteReference w:id="75"/>
      </w:r>
      <w:r w:rsidR="009554F1" w:rsidRPr="00862632">
        <w:rPr>
          <w:lang w:val="es-ES"/>
        </w:rPr>
        <w:t xml:space="preserve">. </w:t>
      </w:r>
      <w:r w:rsidR="00BF1F84" w:rsidRPr="00862632">
        <w:rPr>
          <w:lang w:val="es-ES"/>
        </w:rPr>
        <w:t>Se ha de crear un entorno propicio y competitivo para poder disponer de ancho de banda asequible para la interconexión dentro del país y a través de las fronteras a fin de que los PSI concluyan acuerdos de reciprocidad o de tránsito</w:t>
      </w:r>
      <w:r w:rsidR="009554F1" w:rsidRPr="00862632">
        <w:rPr>
          <w:lang w:val="es-ES"/>
        </w:rPr>
        <w:t xml:space="preserve"> [</w:t>
      </w:r>
      <w:r w:rsidR="007C1231">
        <w:rPr>
          <w:lang w:val="es-ES"/>
        </w:rPr>
        <w:t>origen</w:t>
      </w:r>
      <w:r w:rsidR="009554F1" w:rsidRPr="00862632">
        <w:rPr>
          <w:lang w:val="es-ES"/>
        </w:rPr>
        <w:t xml:space="preserve">: </w:t>
      </w:r>
      <w:hyperlink r:id="rId49" w:history="1">
        <w:r w:rsidR="00652F74" w:rsidRPr="00862632">
          <w:rPr>
            <w:rStyle w:val="Hyperlink"/>
            <w:rFonts w:cstheme="minorHAnsi"/>
            <w:lang w:val="es-ES"/>
          </w:rPr>
          <w:t>Cisco</w:t>
        </w:r>
      </w:hyperlink>
      <w:r w:rsidR="009554F1" w:rsidRPr="00862632">
        <w:rPr>
          <w:vertAlign w:val="superscript"/>
          <w:lang w:val="es-ES"/>
        </w:rPr>
        <w:footnoteReference w:id="76"/>
      </w:r>
      <w:r w:rsidR="009554F1" w:rsidRPr="00862632">
        <w:rPr>
          <w:lang w:val="es-ES"/>
        </w:rPr>
        <w:t xml:space="preserve">]. En el </w:t>
      </w:r>
      <w:r w:rsidR="00BF1F84" w:rsidRPr="00862632">
        <w:rPr>
          <w:lang w:val="es-ES"/>
        </w:rPr>
        <w:t xml:space="preserve">punto </w:t>
      </w:r>
      <w:r w:rsidR="009554F1" w:rsidRPr="00862632">
        <w:rPr>
          <w:lang w:val="es-ES"/>
        </w:rPr>
        <w:t xml:space="preserve">50 de la </w:t>
      </w:r>
      <w:r w:rsidR="009554F1" w:rsidRPr="00862632">
        <w:rPr>
          <w:i/>
          <w:iCs/>
          <w:lang w:val="es-ES"/>
        </w:rPr>
        <w:t>Agenda de Túnez</w:t>
      </w:r>
      <w:r w:rsidR="009554F1" w:rsidRPr="00862632">
        <w:rPr>
          <w:lang w:val="es-ES"/>
        </w:rPr>
        <w:t xml:space="preserve"> (2005) se reconoce</w:t>
      </w:r>
      <w:r w:rsidR="00BF1F84" w:rsidRPr="00862632">
        <w:rPr>
          <w:lang w:val="es-ES"/>
        </w:rPr>
        <w:t xml:space="preserve"> que hay</w:t>
      </w:r>
      <w:r w:rsidR="009554F1" w:rsidRPr="00862632">
        <w:rPr>
          <w:lang w:val="es-ES"/>
        </w:rPr>
        <w:t xml:space="preserve"> inquietudes considerables, </w:t>
      </w:r>
      <w:r w:rsidR="00BF1F84" w:rsidRPr="00862632">
        <w:rPr>
          <w:lang w:val="es-ES"/>
        </w:rPr>
        <w:t xml:space="preserve">en particular en los países en desarrollo, y </w:t>
      </w:r>
      <w:r w:rsidR="009554F1" w:rsidRPr="00862632">
        <w:rPr>
          <w:lang w:val="es-ES"/>
        </w:rPr>
        <w:t>se pide que los costes de interconexión internacional a Internet estén mejor equilibrados para ampliar el acceso</w:t>
      </w:r>
      <w:r w:rsidR="00BF1F84" w:rsidRPr="00862632">
        <w:rPr>
          <w:lang w:val="es-ES"/>
        </w:rPr>
        <w:t>. S</w:t>
      </w:r>
      <w:r w:rsidR="009554F1" w:rsidRPr="00862632">
        <w:rPr>
          <w:lang w:val="es-ES"/>
        </w:rPr>
        <w:t>e pide que se formulen estrategias para hacer cada vez más asequible la conectividad mundial, con miras a facilitar un acceso más equitativo y eficaz para todos:</w:t>
      </w:r>
    </w:p>
    <w:p w:rsidR="009554F1" w:rsidRPr="00862632" w:rsidRDefault="00FE7679" w:rsidP="0016466E">
      <w:pPr>
        <w:pStyle w:val="enumlev2"/>
        <w:rPr>
          <w:rFonts w:eastAsiaTheme="minorEastAsia"/>
          <w:lang w:val="es-ES" w:eastAsia="zh-CN"/>
        </w:rPr>
      </w:pPr>
      <w:r w:rsidRPr="00862632">
        <w:rPr>
          <w:rFonts w:eastAsiaTheme="minorEastAsia"/>
          <w:lang w:val="es-ES" w:eastAsia="zh-CN"/>
        </w:rPr>
        <w:t>i)</w:t>
      </w:r>
      <w:r w:rsidRPr="00862632">
        <w:rPr>
          <w:rFonts w:eastAsiaTheme="minorEastAsia"/>
          <w:lang w:val="es-ES" w:eastAsia="zh-CN"/>
        </w:rPr>
        <w:tab/>
      </w:r>
      <w:r w:rsidR="009554F1" w:rsidRPr="00862632">
        <w:rPr>
          <w:rFonts w:eastAsiaTheme="minorEastAsia"/>
          <w:lang w:val="es-ES" w:eastAsia="zh-CN"/>
        </w:rPr>
        <w:t>fomentando unos costes de tránsito e interconexión de Internet, que se negocien comercialmente en un entorno competitivo y que estén orientados hacia parámetros objetivos, transparentes y no discriminatorios, sin olvidar la labor que ya se está realizando en este ámbito.</w:t>
      </w:r>
    </w:p>
    <w:p w:rsidR="009554F1" w:rsidRPr="00862632" w:rsidRDefault="00FE7679" w:rsidP="0016466E">
      <w:pPr>
        <w:pStyle w:val="enumlev2"/>
        <w:rPr>
          <w:rFonts w:eastAsiaTheme="minorEastAsia"/>
          <w:lang w:val="es-ES" w:eastAsia="zh-CN"/>
        </w:rPr>
      </w:pPr>
      <w:r w:rsidRPr="00862632">
        <w:rPr>
          <w:rFonts w:eastAsiaTheme="minorEastAsia"/>
          <w:lang w:val="es-ES" w:eastAsia="zh-CN"/>
        </w:rPr>
        <w:t>ii)</w:t>
      </w:r>
      <w:r w:rsidRPr="00862632">
        <w:rPr>
          <w:rFonts w:eastAsiaTheme="minorEastAsia"/>
          <w:lang w:val="es-ES" w:eastAsia="zh-CN"/>
        </w:rPr>
        <w:tab/>
      </w:r>
      <w:r w:rsidR="009554F1" w:rsidRPr="00862632">
        <w:rPr>
          <w:rFonts w:eastAsiaTheme="minorEastAsia"/>
          <w:lang w:val="es-ES" w:eastAsia="zh-CN"/>
        </w:rPr>
        <w:t>estableciendo redes troncales regionales de Internet a alta velocidad y creando puntos de intercambio Internet (IXP) nacionales, regionales y subregionales</w:t>
      </w:r>
      <w:r w:rsidR="009554F1" w:rsidRPr="00862632">
        <w:rPr>
          <w:rFonts w:eastAsiaTheme="minorEastAsia"/>
          <w:vertAlign w:val="superscript"/>
          <w:lang w:val="es-ES" w:eastAsia="zh-CN"/>
        </w:rPr>
        <w:footnoteReference w:id="77"/>
      </w:r>
      <w:r w:rsidR="009554F1" w:rsidRPr="00862632">
        <w:rPr>
          <w:rFonts w:eastAsiaTheme="minorEastAsia"/>
          <w:lang w:val="es-ES" w:eastAsia="zh-CN"/>
        </w:rPr>
        <w:t>.</w:t>
      </w:r>
    </w:p>
    <w:p w:rsidR="009554F1" w:rsidRPr="00862632" w:rsidRDefault="00FE7679" w:rsidP="0016466E">
      <w:pPr>
        <w:pStyle w:val="enumlev2"/>
        <w:rPr>
          <w:rFonts w:eastAsiaTheme="minorEastAsia"/>
          <w:lang w:val="es-ES" w:eastAsia="zh-CN"/>
        </w:rPr>
      </w:pPr>
      <w:r w:rsidRPr="00862632">
        <w:rPr>
          <w:rFonts w:eastAsiaTheme="minorEastAsia"/>
          <w:lang w:val="es-ES" w:eastAsia="zh-CN"/>
        </w:rPr>
        <w:t>iii)</w:t>
      </w:r>
      <w:r w:rsidRPr="00862632">
        <w:rPr>
          <w:rFonts w:eastAsiaTheme="minorEastAsia"/>
          <w:lang w:val="es-ES" w:eastAsia="zh-CN"/>
        </w:rPr>
        <w:tab/>
      </w:r>
      <w:r w:rsidR="009554F1" w:rsidRPr="00862632">
        <w:rPr>
          <w:rFonts w:eastAsiaTheme="minorEastAsia"/>
          <w:lang w:val="es-ES" w:eastAsia="zh-CN"/>
        </w:rPr>
        <w:t>recomendando a los programas de donantes y a los mecanismos de financiación del desarrollo que consideren la necesidad de financiar las iniciativas encaminadas a mejorar la conectividad, los IXP y el contenido local para los países en desarrollo.</w:t>
      </w:r>
    </w:p>
    <w:p w:rsidR="009554F1" w:rsidRPr="00862632" w:rsidRDefault="00FE7679" w:rsidP="0016466E">
      <w:pPr>
        <w:pStyle w:val="enumlev2"/>
        <w:rPr>
          <w:rFonts w:eastAsiaTheme="minorEastAsia"/>
          <w:lang w:val="es-ES" w:eastAsia="zh-CN"/>
        </w:rPr>
      </w:pPr>
      <w:r w:rsidRPr="00862632">
        <w:rPr>
          <w:rFonts w:eastAsiaTheme="minorEastAsia"/>
          <w:lang w:val="es-ES" w:eastAsia="zh-CN"/>
        </w:rPr>
        <w:t>iv)</w:t>
      </w:r>
      <w:r w:rsidRPr="00862632">
        <w:rPr>
          <w:rFonts w:eastAsiaTheme="minorEastAsia"/>
          <w:lang w:val="es-ES" w:eastAsia="zh-CN"/>
        </w:rPr>
        <w:tab/>
      </w:r>
      <w:r w:rsidR="009554F1" w:rsidRPr="00862632">
        <w:rPr>
          <w:rFonts w:eastAsiaTheme="minorEastAsia"/>
          <w:lang w:val="es-ES" w:eastAsia="zh-CN"/>
        </w:rPr>
        <w:t>alentando a la UIT a continuar con carácter urgente el estudio de la conectividad Internet internacional y proporcionar periódicamente informes para su examen y posible implementación, así como a otras instituciones relevantes a abordar esta cuestión.</w:t>
      </w:r>
    </w:p>
    <w:p w:rsidR="009554F1" w:rsidRPr="00862632" w:rsidRDefault="00FE7679" w:rsidP="0016466E">
      <w:pPr>
        <w:pStyle w:val="enumlev2"/>
        <w:rPr>
          <w:rFonts w:eastAsiaTheme="minorEastAsia"/>
          <w:lang w:val="es-ES" w:eastAsia="zh-CN"/>
        </w:rPr>
      </w:pPr>
      <w:r w:rsidRPr="00862632">
        <w:rPr>
          <w:rFonts w:eastAsiaTheme="minorEastAsia"/>
          <w:lang w:val="es-ES" w:eastAsia="zh-CN"/>
        </w:rPr>
        <w:t>v)</w:t>
      </w:r>
      <w:r w:rsidRPr="00862632">
        <w:rPr>
          <w:rFonts w:eastAsiaTheme="minorEastAsia"/>
          <w:lang w:val="es-ES" w:eastAsia="zh-CN"/>
        </w:rPr>
        <w:tab/>
      </w:r>
      <w:r w:rsidR="009554F1" w:rsidRPr="00862632">
        <w:rPr>
          <w:rFonts w:eastAsiaTheme="minorEastAsia"/>
          <w:lang w:val="es-ES" w:eastAsia="zh-CN"/>
        </w:rPr>
        <w:t>estimulando el desarrollo y el incremento del número de equipos terminales de bajo coste, como son los dispositivos individuales y colectivos, especialmente para su utilización en los países en desarrollo.</w:t>
      </w:r>
    </w:p>
    <w:p w:rsidR="009554F1" w:rsidRPr="00862632" w:rsidRDefault="00FE7679" w:rsidP="0016466E">
      <w:pPr>
        <w:pStyle w:val="enumlev2"/>
        <w:rPr>
          <w:rFonts w:eastAsiaTheme="minorEastAsia"/>
          <w:lang w:val="es-ES" w:eastAsia="zh-CN"/>
        </w:rPr>
      </w:pPr>
      <w:r w:rsidRPr="00862632">
        <w:rPr>
          <w:rFonts w:eastAsiaTheme="minorEastAsia"/>
          <w:lang w:val="es-ES" w:eastAsia="zh-CN"/>
        </w:rPr>
        <w:t>vi)</w:t>
      </w:r>
      <w:r w:rsidRPr="00862632">
        <w:rPr>
          <w:rFonts w:eastAsiaTheme="minorEastAsia"/>
          <w:lang w:val="es-ES" w:eastAsia="zh-CN"/>
        </w:rPr>
        <w:tab/>
      </w:r>
      <w:r w:rsidR="009554F1" w:rsidRPr="00862632">
        <w:rPr>
          <w:rFonts w:eastAsiaTheme="minorEastAsia"/>
          <w:lang w:val="es-ES" w:eastAsia="zh-CN"/>
        </w:rPr>
        <w:t>alentando a los PSI y a otras partes interesadas en las negociaciones comerciales a adoptar prácticas para fijar unos costes justos y equilibrados de interconexión.</w:t>
      </w:r>
    </w:p>
    <w:p w:rsidR="00344D10" w:rsidRPr="00862632" w:rsidRDefault="00FE7679" w:rsidP="0016466E">
      <w:pPr>
        <w:pStyle w:val="enumlev2"/>
        <w:rPr>
          <w:rFonts w:eastAsiaTheme="minorEastAsia"/>
          <w:lang w:val="es-ES" w:eastAsia="zh-CN"/>
        </w:rPr>
      </w:pPr>
      <w:r w:rsidRPr="00862632">
        <w:rPr>
          <w:rFonts w:eastAsiaTheme="minorEastAsia"/>
          <w:lang w:val="es-ES" w:eastAsia="zh-CN"/>
        </w:rPr>
        <w:t>vii)</w:t>
      </w:r>
      <w:r w:rsidRPr="00862632">
        <w:rPr>
          <w:rFonts w:eastAsiaTheme="minorEastAsia"/>
          <w:lang w:val="es-ES" w:eastAsia="zh-CN"/>
        </w:rPr>
        <w:tab/>
      </w:r>
      <w:r w:rsidR="009554F1" w:rsidRPr="00862632">
        <w:rPr>
          <w:rFonts w:eastAsiaTheme="minorEastAsia"/>
          <w:lang w:val="es-ES" w:eastAsia="zh-CN"/>
        </w:rPr>
        <w:t>alentando a las partes pertinentes a negociar comercialmente costes de interconexión reducidos para los PMA teniendo en cuenta las limitaciones especiales de los PMA.</w:t>
      </w:r>
    </w:p>
    <w:p w:rsidR="009554F1" w:rsidRPr="00862632" w:rsidRDefault="000D6684" w:rsidP="00BA1F3F">
      <w:pPr>
        <w:pStyle w:val="enumlev1"/>
        <w:rPr>
          <w:lang w:val="es-ES"/>
        </w:rPr>
      </w:pPr>
      <w:r w:rsidRPr="00862632">
        <w:rPr>
          <w:lang w:val="es-ES"/>
        </w:rPr>
        <w:t>e)</w:t>
      </w:r>
      <w:r w:rsidRPr="00862632">
        <w:rPr>
          <w:lang w:val="es-ES"/>
        </w:rPr>
        <w:tab/>
      </w:r>
      <w:r w:rsidR="009554F1" w:rsidRPr="00862632">
        <w:rPr>
          <w:lang w:val="es-ES"/>
        </w:rPr>
        <w:t xml:space="preserve">Las tasas de la CII se han estudiado en la Comisión de Estudio 3 del UIT-T y se han formulado varias </w:t>
      </w:r>
      <w:r w:rsidR="00443123" w:rsidRPr="00862632">
        <w:rPr>
          <w:lang w:val="es-ES"/>
        </w:rPr>
        <w:t>R</w:t>
      </w:r>
      <w:r w:rsidR="009554F1" w:rsidRPr="00862632">
        <w:rPr>
          <w:lang w:val="es-ES"/>
        </w:rPr>
        <w:t>ecomendaciones</w:t>
      </w:r>
      <w:r w:rsidR="00443123" w:rsidRPr="00862632">
        <w:rPr>
          <w:rStyle w:val="FootnoteReference"/>
          <w:lang w:val="es-ES"/>
        </w:rPr>
        <w:footnoteReference w:id="78"/>
      </w:r>
      <w:r w:rsidR="009554F1" w:rsidRPr="00862632">
        <w:rPr>
          <w:lang w:val="es-ES"/>
        </w:rPr>
        <w:t xml:space="preserve"> sobre métodos para reducir las tasas de conectividad.</w:t>
      </w:r>
      <w:r w:rsidR="00443123" w:rsidRPr="00862632">
        <w:rPr>
          <w:lang w:val="es-ES"/>
        </w:rPr>
        <w:t xml:space="preserve"> En la Resolución 5</w:t>
      </w:r>
      <w:r w:rsidR="00443123" w:rsidRPr="00862632">
        <w:rPr>
          <w:rStyle w:val="FootnoteReference"/>
          <w:lang w:val="es-ES"/>
        </w:rPr>
        <w:footnoteReference w:id="79"/>
      </w:r>
      <w:r w:rsidR="00443123" w:rsidRPr="00862632">
        <w:rPr>
          <w:lang w:val="es-ES"/>
        </w:rPr>
        <w:t xml:space="preserve"> de la CMTI, Terminación e intercambio de tráfico en el servicio internacional de telecomunicaciones, se invita a los Estados Miembros interesados a colaborar </w:t>
      </w:r>
      <w:r w:rsidR="00443123" w:rsidRPr="00862632">
        <w:rPr>
          <w:lang w:val="es-ES" w:eastAsia="zh-CN"/>
        </w:rPr>
        <w:t>para que sus marcos reglamentarios promuevan el establecimiento de acuerdos comerciales entre empresas de explotación autorizadas y</w:t>
      </w:r>
      <w:r w:rsidR="00BA1F3F">
        <w:rPr>
          <w:lang w:val="es-ES" w:eastAsia="zh-CN"/>
        </w:rPr>
        <w:t xml:space="preserve"> </w:t>
      </w:r>
      <w:r w:rsidR="00443123" w:rsidRPr="00862632">
        <w:rPr>
          <w:lang w:val="es-ES" w:eastAsia="zh-CN"/>
        </w:rPr>
        <w:t>proveedores de servicios internacionales en armonía con los principios de competencia leal e innovación. Esa misma Resolución encarga al Director de la TSB que tome las medidas necesarias para que la Comisión de Estudio 3 del UIT-T estudie los últimos avances y prácticas con respecto a la terminación y el intercambio de tráfico internacional de telecomunicación en el marco de acuerdos comerciales, con el fin de elaborar una Recomendación, si procede, y directrices destinadas a los Estados Miembros concernidos, para que sean utilizadas por los proveedores de servicios internacionales de telecomunicación en relación con los asuntos que consideren pertinentes.</w:t>
      </w:r>
    </w:p>
    <w:p w:rsidR="00443123" w:rsidRPr="00862632" w:rsidRDefault="00443123" w:rsidP="0016466E">
      <w:pPr>
        <w:pStyle w:val="enumlev1"/>
        <w:rPr>
          <w:lang w:val="es-ES"/>
        </w:rPr>
      </w:pPr>
      <w:r w:rsidRPr="00862632">
        <w:rPr>
          <w:lang w:val="es-ES"/>
        </w:rPr>
        <w:t>f)</w:t>
      </w:r>
      <w:r w:rsidRPr="00862632">
        <w:rPr>
          <w:lang w:val="es-ES"/>
        </w:rPr>
        <w:tab/>
        <w:t xml:space="preserve">Es posible que la UIT y sus Estados Miembros deseen estudiar los entornos y estrategias políticos que pueden facilitar el crecimiento de las redes y reducir las tasas de conexión, incluidos los IXP (tanto a nivel local como regional). Puede reducirse la necesidad de IIC gracias al desarrollo de redes locales/nacionales/regionales. Albergar el contenido dentro del país, y no en el extranjero, reducirá la demanda de conectividad internacional. </w:t>
      </w:r>
      <w:r w:rsidR="00E36D69" w:rsidRPr="00862632">
        <w:rPr>
          <w:lang w:val="es-ES"/>
        </w:rPr>
        <w:t>La</w:t>
      </w:r>
      <w:r w:rsidRPr="00862632">
        <w:rPr>
          <w:lang w:val="es-ES"/>
        </w:rPr>
        <w:t xml:space="preserve"> cercanía entre el contenido local y los usuarios también puede reducir la latencia, mejorar la experiencia de los usuarios y aumentar la demanda de conectividad a Internet [origen: </w:t>
      </w:r>
      <w:hyperlink r:id="rId50" w:history="1">
        <w:r w:rsidRPr="0023443F">
          <w:rPr>
            <w:rStyle w:val="Hyperlink"/>
            <w:lang w:val="es-ES"/>
          </w:rPr>
          <w:t>Reino Unido</w:t>
        </w:r>
      </w:hyperlink>
      <w:r w:rsidRPr="00862632">
        <w:rPr>
          <w:rStyle w:val="FootnoteReference"/>
          <w:lang w:val="es-ES"/>
        </w:rPr>
        <w:footnoteReference w:id="80"/>
      </w:r>
      <w:r w:rsidRPr="00862632">
        <w:rPr>
          <w:lang w:val="es-ES"/>
        </w:rPr>
        <w:t>]</w:t>
      </w:r>
    </w:p>
    <w:p w:rsidR="009554F1" w:rsidRPr="00862632" w:rsidRDefault="00443123" w:rsidP="003C33B9">
      <w:pPr>
        <w:pStyle w:val="enumlev1"/>
        <w:rPr>
          <w:lang w:val="es-ES"/>
        </w:rPr>
      </w:pPr>
      <w:r w:rsidRPr="00862632">
        <w:rPr>
          <w:lang w:val="es-ES"/>
        </w:rPr>
        <w:t>g</w:t>
      </w:r>
      <w:r w:rsidR="000D6684" w:rsidRPr="00862632">
        <w:rPr>
          <w:lang w:val="es-ES"/>
        </w:rPr>
        <w:t>)</w:t>
      </w:r>
      <w:r w:rsidR="000D6684" w:rsidRPr="00862632">
        <w:rPr>
          <w:lang w:val="es-ES"/>
        </w:rPr>
        <w:tab/>
      </w:r>
      <w:r w:rsidR="009554F1" w:rsidRPr="00862632">
        <w:rPr>
          <w:lang w:val="es-ES"/>
        </w:rPr>
        <w:t xml:space="preserve">Con el paso de las redes tradicionales (basadas en canales de servicio especializados y/o redes separadas para cada servicio) a los servicios (de transporte) integrados en una sola infraestructura de transporte basada en paquetes, </w:t>
      </w:r>
      <w:r w:rsidRPr="00862632">
        <w:rPr>
          <w:lang w:val="es-ES"/>
        </w:rPr>
        <w:t xml:space="preserve">el mantenimiento de </w:t>
      </w:r>
      <w:r w:rsidR="009554F1" w:rsidRPr="00862632">
        <w:rPr>
          <w:lang w:val="es-ES"/>
        </w:rPr>
        <w:t>la planificación predefinida de la calidad de servicio (QoS)</w:t>
      </w:r>
      <w:r w:rsidR="009554F1" w:rsidRPr="00862632">
        <w:rPr>
          <w:vertAlign w:val="superscript"/>
          <w:lang w:val="es-ES"/>
        </w:rPr>
        <w:footnoteReference w:id="81"/>
      </w:r>
      <w:r w:rsidR="009554F1" w:rsidRPr="00862632">
        <w:rPr>
          <w:lang w:val="es-ES"/>
        </w:rPr>
        <w:t xml:space="preserve"> de transmisión </w:t>
      </w:r>
      <w:r w:rsidRPr="00862632">
        <w:rPr>
          <w:lang w:val="es-ES"/>
        </w:rPr>
        <w:t>presenta</w:t>
      </w:r>
      <w:r w:rsidR="009554F1" w:rsidRPr="00862632">
        <w:rPr>
          <w:lang w:val="es-ES"/>
        </w:rPr>
        <w:t xml:space="preserve"> gran</w:t>
      </w:r>
      <w:r w:rsidRPr="00862632">
        <w:rPr>
          <w:lang w:val="es-ES"/>
        </w:rPr>
        <w:t>des</w:t>
      </w:r>
      <w:r w:rsidR="009554F1" w:rsidRPr="00862632">
        <w:rPr>
          <w:lang w:val="es-ES"/>
        </w:rPr>
        <w:t xml:space="preserve"> dificultad</w:t>
      </w:r>
      <w:r w:rsidRPr="00862632">
        <w:rPr>
          <w:lang w:val="es-ES"/>
        </w:rPr>
        <w:t>es</w:t>
      </w:r>
      <w:r w:rsidR="009554F1" w:rsidRPr="00862632">
        <w:rPr>
          <w:lang w:val="es-ES"/>
        </w:rPr>
        <w:t>, ya que es posible que muchas de las redes basadas en el IP no ofrezcan una calidad de servicio constante de extremo a extremo, sino sólo clases de transporte, lo que permite diferenciar la QoS.</w:t>
      </w:r>
      <w:r w:rsidRPr="00862632">
        <w:rPr>
          <w:lang w:val="es-ES"/>
        </w:rPr>
        <w:t xml:space="preserve"> En lugar de confiar </w:t>
      </w:r>
      <w:r w:rsidR="00F42727" w:rsidRPr="00862632">
        <w:rPr>
          <w:lang w:val="es-ES"/>
        </w:rPr>
        <w:t>en</w:t>
      </w:r>
      <w:r w:rsidRPr="00862632">
        <w:rPr>
          <w:lang w:val="es-ES"/>
        </w:rPr>
        <w:t xml:space="preserve"> equipos caros, resistentes a los fallos, </w:t>
      </w:r>
      <w:r w:rsidR="00F42727" w:rsidRPr="00862632">
        <w:rPr>
          <w:lang w:val="es-ES"/>
        </w:rPr>
        <w:t xml:space="preserve">otra opción para lograr la fiabilidad es contar con ingenieros experimentados y un número mayor de nodos poco onerosos y menos fiables, multiplicando los trayectos [origen: </w:t>
      </w:r>
      <w:hyperlink r:id="rId51" w:history="1">
        <w:r w:rsidR="003C33B9" w:rsidRPr="003C33B9">
          <w:rPr>
            <w:rStyle w:val="Hyperlink"/>
            <w:rFonts w:eastAsiaTheme="minorEastAsia"/>
            <w:lang w:val="es-ES" w:eastAsia="zh-CN"/>
          </w:rPr>
          <w:t>PayPal</w:t>
        </w:r>
      </w:hyperlink>
      <w:r w:rsidR="00F42727" w:rsidRPr="00862632">
        <w:rPr>
          <w:rStyle w:val="FootnoteReference"/>
          <w:lang w:val="es-ES"/>
        </w:rPr>
        <w:footnoteReference w:id="82"/>
      </w:r>
      <w:r w:rsidR="00F42727" w:rsidRPr="00862632">
        <w:rPr>
          <w:lang w:val="es-ES"/>
        </w:rPr>
        <w:t>].</w:t>
      </w:r>
    </w:p>
    <w:p w:rsidR="00F42727" w:rsidRPr="00862632" w:rsidRDefault="00F42727" w:rsidP="0016466E">
      <w:pPr>
        <w:pStyle w:val="enumlev1"/>
        <w:rPr>
          <w:lang w:val="es-ES"/>
        </w:rPr>
      </w:pPr>
      <w:r w:rsidRPr="00862632">
        <w:rPr>
          <w:lang w:val="es-ES"/>
        </w:rPr>
        <w:t>h)</w:t>
      </w:r>
      <w:r w:rsidRPr="00862632">
        <w:rPr>
          <w:lang w:val="es-ES"/>
        </w:rPr>
        <w:tab/>
        <w:t>Una red IP puede soportar la QoS de extremo a extremo si sus encaminadores soportan los mecanismos convenientes y la red está diseñada para la QoS. La adición de calidad de servicio a una red puede amentar la complejidad y el costo de la misma en función de los mecanismos utilizados y de los niveles de calidad de servicio proporcionados [origen: Debate del Grupo ad hoc, primera Reunión del IEG</w:t>
      </w:r>
      <w:r w:rsidRPr="00862632">
        <w:rPr>
          <w:rStyle w:val="FootnoteReference"/>
          <w:lang w:val="es-ES"/>
        </w:rPr>
        <w:footnoteReference w:id="83"/>
      </w:r>
      <w:r w:rsidRPr="00862632">
        <w:rPr>
          <w:lang w:val="es-ES"/>
        </w:rPr>
        <w:t>].</w:t>
      </w:r>
    </w:p>
    <w:p w:rsidR="009554F1" w:rsidRPr="00862632" w:rsidRDefault="00F42727" w:rsidP="0016466E">
      <w:pPr>
        <w:pStyle w:val="enumlev1"/>
        <w:rPr>
          <w:lang w:val="es-ES"/>
        </w:rPr>
      </w:pPr>
      <w:r w:rsidRPr="00862632">
        <w:rPr>
          <w:lang w:val="es-ES"/>
        </w:rPr>
        <w:t>i</w:t>
      </w:r>
      <w:r w:rsidR="000D6684" w:rsidRPr="00862632">
        <w:rPr>
          <w:lang w:val="es-ES"/>
        </w:rPr>
        <w:t>)</w:t>
      </w:r>
      <w:r w:rsidR="000D6684" w:rsidRPr="00862632">
        <w:rPr>
          <w:lang w:val="es-ES"/>
        </w:rPr>
        <w:tab/>
      </w:r>
      <w:r w:rsidR="009554F1" w:rsidRPr="00862632">
        <w:rPr>
          <w:lang w:val="es-ES"/>
        </w:rPr>
        <w:t>Debido al espectacular aumento de las comunicaciones móviles (tanto en el número de aparatos registrados como en el volumen y la transmisión de recursos solicitados), algunos han advertido que los panoramas de migración y las conexiones híbridas con redes y terminales alámbricos tradicionales podrían quedar descuidados y los operadores de redes podrían tener cada vez más dificultades para establecer</w:t>
      </w:r>
      <w:r w:rsidRPr="00862632">
        <w:rPr>
          <w:lang w:val="es-ES"/>
        </w:rPr>
        <w:t>, implantar</w:t>
      </w:r>
      <w:r w:rsidR="009554F1" w:rsidRPr="00862632">
        <w:rPr>
          <w:lang w:val="es-ES"/>
        </w:rPr>
        <w:t xml:space="preserve"> o </w:t>
      </w:r>
      <w:r w:rsidRPr="00862632">
        <w:rPr>
          <w:lang w:val="es-ES"/>
        </w:rPr>
        <w:t>mantener</w:t>
      </w:r>
      <w:r w:rsidR="009554F1" w:rsidRPr="00862632">
        <w:rPr>
          <w:lang w:val="es-ES"/>
        </w:rPr>
        <w:t xml:space="preserve"> ciertas normas de QoS</w:t>
      </w:r>
      <w:r w:rsidR="009554F1" w:rsidRPr="00862632">
        <w:rPr>
          <w:vertAlign w:val="superscript"/>
          <w:lang w:val="es-ES"/>
        </w:rPr>
        <w:footnoteReference w:id="84"/>
      </w:r>
      <w:r w:rsidR="009554F1" w:rsidRPr="00862632">
        <w:rPr>
          <w:lang w:val="es-ES"/>
        </w:rPr>
        <w:t>.</w:t>
      </w:r>
    </w:p>
    <w:p w:rsidR="009554F1" w:rsidRPr="00862632" w:rsidRDefault="00F42727" w:rsidP="009000A3">
      <w:pPr>
        <w:pStyle w:val="enumlev1"/>
        <w:rPr>
          <w:szCs w:val="24"/>
          <w:lang w:val="es-ES"/>
        </w:rPr>
      </w:pPr>
      <w:r w:rsidRPr="00862632">
        <w:rPr>
          <w:lang w:val="es-ES"/>
        </w:rPr>
        <w:t>j</w:t>
      </w:r>
      <w:r w:rsidR="000D6684" w:rsidRPr="00862632">
        <w:rPr>
          <w:lang w:val="es-ES"/>
        </w:rPr>
        <w:t>)</w:t>
      </w:r>
      <w:r w:rsidR="000D6684" w:rsidRPr="00862632">
        <w:rPr>
          <w:lang w:val="es-ES"/>
        </w:rPr>
        <w:tab/>
      </w:r>
      <w:r w:rsidR="009554F1" w:rsidRPr="00862632">
        <w:rPr>
          <w:lang w:val="es-ES"/>
        </w:rPr>
        <w:t xml:space="preserve">Algunos </w:t>
      </w:r>
      <w:r w:rsidRPr="00862632">
        <w:rPr>
          <w:lang w:val="es-ES"/>
        </w:rPr>
        <w:t>opinan que</w:t>
      </w:r>
      <w:r w:rsidR="009554F1" w:rsidRPr="00862632">
        <w:rPr>
          <w:lang w:val="es-ES"/>
        </w:rPr>
        <w:t xml:space="preserve"> la importancia de la normalización </w:t>
      </w:r>
      <w:r w:rsidRPr="00862632">
        <w:rPr>
          <w:lang w:val="es-ES"/>
        </w:rPr>
        <w:t>es tal</w:t>
      </w:r>
      <w:r w:rsidR="00BA1F3F">
        <w:rPr>
          <w:lang w:val="es-ES"/>
        </w:rPr>
        <w:t xml:space="preserve"> </w:t>
      </w:r>
      <w:r w:rsidR="009554F1" w:rsidRPr="00862632">
        <w:rPr>
          <w:lang w:val="es-ES"/>
        </w:rPr>
        <w:t xml:space="preserve">que la calidad de servicio de las telecomunicaciones/TIC </w:t>
      </w:r>
      <w:r w:rsidRPr="00862632">
        <w:rPr>
          <w:lang w:val="es-ES"/>
        </w:rPr>
        <w:t xml:space="preserve">debe </w:t>
      </w:r>
      <w:r w:rsidR="009554F1" w:rsidRPr="00862632">
        <w:rPr>
          <w:lang w:val="es-ES"/>
        </w:rPr>
        <w:t>se</w:t>
      </w:r>
      <w:r w:rsidRPr="00862632">
        <w:rPr>
          <w:lang w:val="es-ES"/>
        </w:rPr>
        <w:t>r</w:t>
      </w:r>
      <w:r w:rsidR="009554F1" w:rsidRPr="00862632">
        <w:rPr>
          <w:lang w:val="es-ES"/>
        </w:rPr>
        <w:t xml:space="preserve"> conforme a las normas internacionales. </w:t>
      </w:r>
      <w:r w:rsidRPr="00862632">
        <w:rPr>
          <w:lang w:val="es-ES"/>
        </w:rPr>
        <w:t>S</w:t>
      </w:r>
      <w:r w:rsidR="009554F1" w:rsidRPr="00862632">
        <w:rPr>
          <w:lang w:val="es-ES"/>
        </w:rPr>
        <w:t>ería beneficioso para el público que las redes basadas en el IP y otras redes de telecomunicaciones fueran compatibles y ofrecieran, por lo menos, el nivel de QoS ofrecido por las redes tradicionales</w:t>
      </w:r>
      <w:r w:rsidR="009554F1" w:rsidRPr="00862632">
        <w:rPr>
          <w:rStyle w:val="FootnoteReference"/>
          <w:lang w:val="es-ES"/>
        </w:rPr>
        <w:footnoteReference w:id="85"/>
      </w:r>
      <w:r w:rsidR="009554F1" w:rsidRPr="00862632">
        <w:rPr>
          <w:lang w:val="es-ES"/>
        </w:rPr>
        <w:t xml:space="preserve">. Otros </w:t>
      </w:r>
      <w:r w:rsidRPr="00862632">
        <w:rPr>
          <w:lang w:val="es-ES"/>
        </w:rPr>
        <w:t>consideran</w:t>
      </w:r>
      <w:r w:rsidR="009554F1" w:rsidRPr="00862632">
        <w:rPr>
          <w:lang w:val="es-ES"/>
        </w:rPr>
        <w:t xml:space="preserve"> que cualquier intento de exigir una QoS tradicional en Internet conmutada por paquetes aumentaría considerablemente los costes; la consecuencia podría ser que el precio de Internet resultase redhibitorio para los PMA y que disminuyeran las tasas de participación en los países desarrollados y en desarrollo [</w:t>
      </w:r>
      <w:r w:rsidR="007C1231">
        <w:rPr>
          <w:lang w:val="es-ES"/>
        </w:rPr>
        <w:t>origen</w:t>
      </w:r>
      <w:r w:rsidR="009554F1" w:rsidRPr="00862632">
        <w:rPr>
          <w:lang w:val="es-ES"/>
        </w:rPr>
        <w:t xml:space="preserve">: </w:t>
      </w:r>
      <w:hyperlink r:id="rId52" w:history="1">
        <w:r w:rsidR="009000A3" w:rsidRPr="009000A3">
          <w:rPr>
            <w:rStyle w:val="Hyperlink"/>
            <w:lang w:val="es-ES"/>
          </w:rPr>
          <w:t>Reino Unido</w:t>
        </w:r>
      </w:hyperlink>
      <w:r w:rsidR="009554F1" w:rsidRPr="00862632">
        <w:rPr>
          <w:rStyle w:val="FootnoteReference"/>
          <w:lang w:val="es-ES"/>
        </w:rPr>
        <w:footnoteReference w:id="86"/>
      </w:r>
      <w:r w:rsidR="009554F1" w:rsidRPr="00862632">
        <w:rPr>
          <w:lang w:val="es-ES"/>
        </w:rPr>
        <w:t xml:space="preserve">]. </w:t>
      </w:r>
      <w:r w:rsidRPr="00862632">
        <w:rPr>
          <w:lang w:val="es-ES"/>
        </w:rPr>
        <w:t>L</w:t>
      </w:r>
      <w:r w:rsidR="009554F1" w:rsidRPr="00862632">
        <w:rPr>
          <w:lang w:val="es-ES"/>
        </w:rPr>
        <w:t>as redes IP pueden soportar QoS de extremo a extremo si los encaminadores intermedios soportan los mecanismos y la red está diseñada para QoS [</w:t>
      </w:r>
      <w:r w:rsidR="007C1231">
        <w:rPr>
          <w:lang w:val="es-ES"/>
        </w:rPr>
        <w:t>origen</w:t>
      </w:r>
      <w:r w:rsidR="009554F1" w:rsidRPr="00862632">
        <w:rPr>
          <w:lang w:val="es-ES"/>
        </w:rPr>
        <w:t xml:space="preserve">: </w:t>
      </w:r>
      <w:r w:rsidRPr="00862632">
        <w:rPr>
          <w:lang w:val="es-ES"/>
        </w:rPr>
        <w:t>Debate del Grupo ad hoc en la primera Reunión del IEG</w:t>
      </w:r>
      <w:r w:rsidR="009554F1" w:rsidRPr="00862632">
        <w:rPr>
          <w:rStyle w:val="FootnoteReference"/>
          <w:lang w:val="es-ES"/>
        </w:rPr>
        <w:footnoteReference w:id="87"/>
      </w:r>
      <w:r w:rsidR="009554F1" w:rsidRPr="0039449A">
        <w:t>,</w:t>
      </w:r>
      <w:r w:rsidR="009554F1" w:rsidRPr="00862632">
        <w:rPr>
          <w:rStyle w:val="FootnoteReference"/>
          <w:lang w:val="es-ES"/>
        </w:rPr>
        <w:t xml:space="preserve"> </w:t>
      </w:r>
      <w:hyperlink r:id="rId53" w:history="1">
        <w:r w:rsidR="009554F1" w:rsidRPr="00862632">
          <w:rPr>
            <w:rStyle w:val="Hyperlink"/>
            <w:rFonts w:cstheme="minorHAnsi"/>
            <w:szCs w:val="22"/>
            <w:lang w:val="es-ES"/>
          </w:rPr>
          <w:t>Arabia Saudita y Sudán</w:t>
        </w:r>
      </w:hyperlink>
      <w:r w:rsidR="009554F1" w:rsidRPr="00862632">
        <w:rPr>
          <w:rStyle w:val="FootnoteReference"/>
          <w:lang w:val="es-ES"/>
        </w:rPr>
        <w:footnoteReference w:id="88"/>
      </w:r>
      <w:r w:rsidR="009554F1" w:rsidRPr="00862632">
        <w:rPr>
          <w:szCs w:val="24"/>
          <w:lang w:val="es-ES"/>
        </w:rPr>
        <w:t>].</w:t>
      </w:r>
    </w:p>
    <w:p w:rsidR="009554F1" w:rsidRPr="00862632" w:rsidRDefault="00F42727" w:rsidP="00652F74">
      <w:pPr>
        <w:pStyle w:val="enumlev1"/>
        <w:rPr>
          <w:lang w:val="es-ES"/>
        </w:rPr>
      </w:pPr>
      <w:r w:rsidRPr="00862632">
        <w:rPr>
          <w:lang w:val="es-ES"/>
        </w:rPr>
        <w:t>k</w:t>
      </w:r>
      <w:r w:rsidR="000D6684" w:rsidRPr="00862632">
        <w:rPr>
          <w:lang w:val="es-ES"/>
        </w:rPr>
        <w:t>)</w:t>
      </w:r>
      <w:r w:rsidR="000D6684" w:rsidRPr="00862632">
        <w:rPr>
          <w:lang w:val="es-ES"/>
        </w:rPr>
        <w:tab/>
      </w:r>
      <w:r w:rsidRPr="00862632">
        <w:rPr>
          <w:lang w:val="es-ES"/>
        </w:rPr>
        <w:t>Hay quien</w:t>
      </w:r>
      <w:r w:rsidR="009554F1" w:rsidRPr="00862632">
        <w:rPr>
          <w:lang w:val="es-ES"/>
        </w:rPr>
        <w:t xml:space="preserve"> considera que la situación actual de la penetración considerable de servicios OTT (Over The Top)</w:t>
      </w:r>
      <w:r w:rsidR="009554F1" w:rsidRPr="00862632">
        <w:rPr>
          <w:rStyle w:val="FootnoteReference"/>
          <w:lang w:val="es-ES"/>
        </w:rPr>
        <w:footnoteReference w:id="89"/>
      </w:r>
      <w:r w:rsidR="009554F1" w:rsidRPr="00862632">
        <w:rPr>
          <w:lang w:val="es-ES"/>
        </w:rPr>
        <w:t xml:space="preserve"> en las redes de los operadores y su impacto en los servicios de los mismos, puede obligar a la UIT a considerar la gestión de la QoS de los servicios OTT proporcionados por Internet [</w:t>
      </w:r>
      <w:r w:rsidR="007C1231">
        <w:rPr>
          <w:lang w:val="es-ES"/>
        </w:rPr>
        <w:t>origen</w:t>
      </w:r>
      <w:r w:rsidR="009554F1" w:rsidRPr="00862632">
        <w:rPr>
          <w:lang w:val="es-ES"/>
        </w:rPr>
        <w:t xml:space="preserve">: </w:t>
      </w:r>
      <w:hyperlink r:id="rId54" w:history="1">
        <w:r w:rsidR="009554F1" w:rsidRPr="00862632">
          <w:rPr>
            <w:rStyle w:val="Hyperlink"/>
            <w:rFonts w:cstheme="minorHAnsi"/>
            <w:szCs w:val="22"/>
            <w:lang w:val="es-ES"/>
          </w:rPr>
          <w:t>Rusia</w:t>
        </w:r>
      </w:hyperlink>
      <w:r w:rsidR="009554F1" w:rsidRPr="00862632">
        <w:rPr>
          <w:rStyle w:val="FootnoteReference"/>
          <w:lang w:val="es-ES"/>
        </w:rPr>
        <w:footnoteReference w:id="90"/>
      </w:r>
      <w:r w:rsidR="009554F1" w:rsidRPr="00862632">
        <w:rPr>
          <w:lang w:val="es-ES"/>
        </w:rPr>
        <w:t>]. En lo que respecta en particular a los servicios OTT, algunos han declarado que quedan fuera del mandato de la UIT y que la gestión de la QoS para aplicaciones que corren por Internet son el mandato fundamental de otras organizaciones, salvo cuando éstas deben trabajar con el UIT-T sobre los temas que entran en el mandato del UIT-T [</w:t>
      </w:r>
      <w:r w:rsidR="007C1231">
        <w:rPr>
          <w:lang w:val="es-ES"/>
        </w:rPr>
        <w:t>origen</w:t>
      </w:r>
      <w:r w:rsidR="009554F1" w:rsidRPr="00862632">
        <w:rPr>
          <w:lang w:val="es-ES"/>
        </w:rPr>
        <w:t xml:space="preserve">: </w:t>
      </w:r>
      <w:hyperlink r:id="rId55" w:history="1">
        <w:hyperlink r:id="rId56" w:history="1">
          <w:r w:rsidR="00652F74" w:rsidRPr="00862632">
            <w:rPr>
              <w:rStyle w:val="Hyperlink"/>
              <w:rFonts w:cstheme="minorHAnsi"/>
              <w:lang w:val="es-ES"/>
            </w:rPr>
            <w:t>Cisco</w:t>
          </w:r>
        </w:hyperlink>
        <w:r w:rsidR="00652F74" w:rsidRPr="00862632">
          <w:rPr>
            <w:lang w:val="es-ES"/>
          </w:rPr>
          <w:t>,</w:t>
        </w:r>
      </w:hyperlink>
      <w:r w:rsidR="009554F1" w:rsidRPr="00862632">
        <w:rPr>
          <w:lang w:val="es-ES"/>
        </w:rPr>
        <w:t xml:space="preserve"> </w:t>
      </w:r>
      <w:hyperlink r:id="rId57" w:history="1">
        <w:r w:rsidR="009000A3" w:rsidRPr="009000A3">
          <w:rPr>
            <w:rStyle w:val="Hyperlink"/>
            <w:lang w:val="es-ES"/>
          </w:rPr>
          <w:t>Reino Unido</w:t>
        </w:r>
      </w:hyperlink>
      <w:r w:rsidR="009554F1" w:rsidRPr="00862632">
        <w:rPr>
          <w:rStyle w:val="FootnoteReference"/>
          <w:lang w:val="es-ES"/>
        </w:rPr>
        <w:footnoteReference w:id="91"/>
      </w:r>
      <w:r w:rsidR="009554F1" w:rsidRPr="00862632">
        <w:rPr>
          <w:lang w:val="es-ES"/>
        </w:rPr>
        <w:t xml:space="preserve">]. </w:t>
      </w:r>
      <w:r w:rsidRPr="00862632">
        <w:rPr>
          <w:lang w:val="es-ES"/>
        </w:rPr>
        <w:t>O</w:t>
      </w:r>
      <w:r w:rsidR="009554F1" w:rsidRPr="00862632">
        <w:rPr>
          <w:lang w:val="es-ES"/>
        </w:rPr>
        <w:t xml:space="preserve">tros </w:t>
      </w:r>
      <w:r w:rsidRPr="00862632">
        <w:rPr>
          <w:lang w:val="es-ES"/>
        </w:rPr>
        <w:t>consideran</w:t>
      </w:r>
      <w:r w:rsidR="009554F1" w:rsidRPr="00862632">
        <w:rPr>
          <w:lang w:val="es-ES"/>
        </w:rPr>
        <w:t xml:space="preserve"> que </w:t>
      </w:r>
      <w:r w:rsidR="00BC5045">
        <w:rPr>
          <w:lang w:val="es-ES"/>
        </w:rPr>
        <w:t>"</w:t>
      </w:r>
      <w:r w:rsidR="009554F1" w:rsidRPr="00862632">
        <w:rPr>
          <w:lang w:val="es-ES"/>
        </w:rPr>
        <w:t>los servicios de telecomunicaciones, se transmitan o no por Internet, entran en el mandato de la UIT</w:t>
      </w:r>
      <w:r w:rsidR="00BC5045">
        <w:rPr>
          <w:lang w:val="es-ES"/>
        </w:rPr>
        <w:t>"</w:t>
      </w:r>
      <w:r w:rsidR="009554F1" w:rsidRPr="00862632">
        <w:rPr>
          <w:lang w:val="es-ES"/>
        </w:rPr>
        <w:t xml:space="preserve"> [</w:t>
      </w:r>
      <w:r w:rsidR="007C1231">
        <w:rPr>
          <w:lang w:val="es-ES"/>
        </w:rPr>
        <w:t>origen</w:t>
      </w:r>
      <w:r w:rsidR="009554F1" w:rsidRPr="00862632">
        <w:rPr>
          <w:lang w:val="es-ES"/>
        </w:rPr>
        <w:t xml:space="preserve">: </w:t>
      </w:r>
      <w:hyperlink r:id="rId58" w:history="1">
        <w:r w:rsidR="009554F1" w:rsidRPr="00862632">
          <w:rPr>
            <w:rStyle w:val="Hyperlink"/>
            <w:rFonts w:cstheme="minorHAnsi"/>
            <w:szCs w:val="22"/>
            <w:lang w:val="es-ES"/>
          </w:rPr>
          <w:t>Arabia Saudita y Sudán</w:t>
        </w:r>
      </w:hyperlink>
      <w:r w:rsidRPr="00862632">
        <w:rPr>
          <w:rStyle w:val="FootnoteReference"/>
          <w:lang w:val="es-ES"/>
        </w:rPr>
        <w:footnoteReference w:id="92"/>
      </w:r>
      <w:r w:rsidR="009554F1" w:rsidRPr="00862632">
        <w:rPr>
          <w:lang w:val="es-ES"/>
        </w:rPr>
        <w:t>].</w:t>
      </w:r>
      <w:r w:rsidRPr="00862632">
        <w:rPr>
          <w:lang w:val="es-ES"/>
        </w:rPr>
        <w:t xml:space="preserve"> El mandato de la UIT está definido por sus Miembros y la labor normalizadora del UIT-T está dirigida por las contribuciones presentadas por los Miembros.</w:t>
      </w:r>
    </w:p>
    <w:p w:rsidR="00344D10" w:rsidRPr="00862632" w:rsidRDefault="00F42727" w:rsidP="00CD7920">
      <w:pPr>
        <w:pStyle w:val="enumlev1"/>
        <w:rPr>
          <w:lang w:val="es-ES"/>
        </w:rPr>
      </w:pPr>
      <w:r w:rsidRPr="00862632">
        <w:rPr>
          <w:lang w:val="es-ES"/>
        </w:rPr>
        <w:t>l</w:t>
      </w:r>
      <w:r w:rsidR="000D6684" w:rsidRPr="00862632">
        <w:rPr>
          <w:lang w:val="es-ES"/>
        </w:rPr>
        <w:t>)</w:t>
      </w:r>
      <w:r w:rsidR="000D6684" w:rsidRPr="00862632">
        <w:rPr>
          <w:lang w:val="es-ES"/>
        </w:rPr>
        <w:tab/>
      </w:r>
      <w:r w:rsidR="009554F1" w:rsidRPr="00862632">
        <w:rPr>
          <w:lang w:val="es-ES"/>
        </w:rPr>
        <w:t xml:space="preserve">Una consecuencia natural del entorno actual, desde una perspectiva comercial, es que se observan discrepancias crecientes entre el crecimiento del tráfico (que exige un crecimiento significativo correspondiente de las inversiones en infraestructuras de telecomunicaciones) y las tendencias en los precios y los ingresos (Figura 2). </w:t>
      </w:r>
      <w:r w:rsidR="006D2733" w:rsidRPr="00862632">
        <w:rPr>
          <w:lang w:val="es-ES"/>
        </w:rPr>
        <w:t>Hay quien opina que las divergencias entre el crecimiento del tráfico, la fijación de precios y los ingresos supone un problema para los operadores de red</w:t>
      </w:r>
      <w:r w:rsidR="006D2733" w:rsidRPr="00862632">
        <w:rPr>
          <w:rStyle w:val="FootnoteReference"/>
          <w:lang w:val="es-ES"/>
        </w:rPr>
        <w:footnoteReference w:id="93"/>
      </w:r>
      <w:r w:rsidR="006D2733" w:rsidRPr="00862632">
        <w:rPr>
          <w:lang w:val="es-ES"/>
        </w:rPr>
        <w:t xml:space="preserve">. Otros consideran que la inversión en nuevas capacidades mantiene el ritmo del crecimiento del tráfico [origen: </w:t>
      </w:r>
      <w:hyperlink r:id="rId59" w:history="1">
        <w:r w:rsidR="00CD7920" w:rsidRPr="00CD7920">
          <w:rPr>
            <w:rStyle w:val="Hyperlink"/>
            <w:lang w:val="es-ES"/>
          </w:rPr>
          <w:t>Nominet</w:t>
        </w:r>
      </w:hyperlink>
      <w:r w:rsidR="006D2733" w:rsidRPr="00862632">
        <w:rPr>
          <w:rStyle w:val="FootnoteReference"/>
          <w:lang w:val="es-ES"/>
        </w:rPr>
        <w:footnoteReference w:id="94"/>
      </w:r>
      <w:r w:rsidR="006D2733" w:rsidRPr="00862632">
        <w:rPr>
          <w:lang w:val="es-ES"/>
        </w:rPr>
        <w:t>]</w:t>
      </w:r>
      <w:r w:rsidR="009554F1" w:rsidRPr="00862632">
        <w:rPr>
          <w:lang w:val="es-ES"/>
        </w:rPr>
        <w:t>.</w:t>
      </w:r>
    </w:p>
    <w:p w:rsidR="00344D10" w:rsidRPr="00862632" w:rsidRDefault="009554F1" w:rsidP="0016466E">
      <w:pPr>
        <w:pStyle w:val="FigureNotitle"/>
        <w:rPr>
          <w:lang w:val="es-ES"/>
        </w:rPr>
      </w:pPr>
      <w:r w:rsidRPr="00862632">
        <w:rPr>
          <w:lang w:val="es-ES"/>
        </w:rPr>
        <w:t>Figura 2</w:t>
      </w:r>
      <w:r w:rsidR="006A3517" w:rsidRPr="00862632">
        <w:rPr>
          <w:lang w:val="es-ES"/>
        </w:rPr>
        <w:t xml:space="preserve"> –</w:t>
      </w:r>
      <w:r w:rsidRPr="00862632">
        <w:rPr>
          <w:lang w:val="es-ES"/>
        </w:rPr>
        <w:t xml:space="preserve"> Tendencias de los precios y los ingresos</w:t>
      </w:r>
      <w:r w:rsidRPr="00831322">
        <w:rPr>
          <w:rStyle w:val="FootnoteReference"/>
          <w:b w:val="0"/>
          <w:bCs/>
          <w:lang w:val="es-ES"/>
        </w:rPr>
        <w:footnoteReference w:id="95"/>
      </w:r>
      <w:r w:rsidRPr="00862632">
        <w:rPr>
          <w:lang w:val="es-ES"/>
        </w:rPr>
        <w:t xml:space="preserve"> </w:t>
      </w:r>
    </w:p>
    <w:p w:rsidR="009554F1" w:rsidRPr="00862632" w:rsidRDefault="009554F1" w:rsidP="00344D10">
      <w:pPr>
        <w:jc w:val="center"/>
        <w:rPr>
          <w:rFonts w:asciiTheme="minorHAnsi" w:hAnsiTheme="minorHAnsi" w:cstheme="minorHAnsi"/>
          <w:szCs w:val="24"/>
          <w:lang w:val="es-ES"/>
        </w:rPr>
      </w:pPr>
      <w:r w:rsidRPr="00862632">
        <w:rPr>
          <w:rFonts w:asciiTheme="minorHAnsi" w:hAnsiTheme="minorHAnsi" w:cstheme="minorHAnsi"/>
          <w:noProof/>
          <w:szCs w:val="24"/>
          <w:lang w:val="en-US" w:eastAsia="zh-CN"/>
        </w:rPr>
        <w:drawing>
          <wp:inline distT="0" distB="0" distL="0" distR="0" wp14:anchorId="57541298" wp14:editId="4F5A2BCE">
            <wp:extent cx="3657600" cy="2462543"/>
            <wp:effectExtent l="0" t="0" r="0" b="0"/>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0" cstate="print"/>
                    <a:srcRect/>
                    <a:stretch>
                      <a:fillRect/>
                    </a:stretch>
                  </pic:blipFill>
                  <pic:spPr bwMode="auto">
                    <a:xfrm>
                      <a:off x="0" y="0"/>
                      <a:ext cx="3659322" cy="2463702"/>
                    </a:xfrm>
                    <a:prstGeom prst="rect">
                      <a:avLst/>
                    </a:prstGeom>
                    <a:noFill/>
                    <a:ln w="9525">
                      <a:noFill/>
                      <a:miter lim="800000"/>
                      <a:headEnd/>
                      <a:tailEnd/>
                    </a:ln>
                  </pic:spPr>
                </pic:pic>
              </a:graphicData>
            </a:graphic>
          </wp:inline>
        </w:drawing>
      </w:r>
    </w:p>
    <w:p w:rsidR="000D6684" w:rsidRPr="006E533E" w:rsidRDefault="000D6684" w:rsidP="006E533E">
      <w:pPr>
        <w:pStyle w:val="Default"/>
        <w:spacing w:before="120"/>
        <w:ind w:left="425"/>
        <w:rPr>
          <w:rFonts w:asciiTheme="minorHAnsi" w:hAnsiTheme="minorHAnsi" w:cstheme="minorHAnsi"/>
          <w:color w:val="auto"/>
          <w:sz w:val="20"/>
          <w:szCs w:val="20"/>
          <w:lang w:val="es-ES" w:eastAsia="zh-CN"/>
        </w:rPr>
      </w:pPr>
      <w:r w:rsidRPr="006E533E">
        <w:rPr>
          <w:rFonts w:asciiTheme="minorHAnsi" w:hAnsiTheme="minorHAnsi" w:cstheme="minorHAnsi"/>
          <w:color w:val="auto"/>
          <w:sz w:val="20"/>
          <w:szCs w:val="20"/>
          <w:lang w:val="es-ES" w:eastAsia="zh-CN"/>
        </w:rPr>
        <w:t>Leyendas de la figura:</w:t>
      </w:r>
    </w:p>
    <w:p w:rsidR="009554F1" w:rsidRPr="006E533E" w:rsidRDefault="009554F1" w:rsidP="006E533E">
      <w:pPr>
        <w:pStyle w:val="Default"/>
        <w:ind w:left="426"/>
        <w:rPr>
          <w:rFonts w:asciiTheme="minorHAnsi" w:eastAsiaTheme="minorEastAsia" w:hAnsiTheme="minorHAnsi" w:cstheme="minorHAnsi"/>
          <w:color w:val="auto"/>
          <w:sz w:val="18"/>
          <w:szCs w:val="18"/>
          <w:lang w:val="es-ES" w:eastAsia="zh-CN"/>
        </w:rPr>
      </w:pPr>
      <w:r w:rsidRPr="006E533E">
        <w:rPr>
          <w:rFonts w:asciiTheme="minorHAnsi" w:eastAsiaTheme="minorEastAsia" w:hAnsiTheme="minorHAnsi" w:cstheme="minorHAnsi"/>
          <w:color w:val="auto"/>
          <w:sz w:val="18"/>
          <w:szCs w:val="18"/>
          <w:lang w:val="es-ES" w:eastAsia="zh-CN"/>
        </w:rPr>
        <w:t>Tráfico</w:t>
      </w:r>
      <w:r w:rsidRPr="006E533E">
        <w:rPr>
          <w:rFonts w:asciiTheme="minorHAnsi" w:eastAsiaTheme="minorEastAsia" w:hAnsiTheme="minorHAnsi" w:cstheme="minorHAnsi"/>
          <w:color w:val="auto"/>
          <w:sz w:val="18"/>
          <w:szCs w:val="18"/>
          <w:lang w:val="es-ES" w:eastAsia="zh-CN"/>
        </w:rPr>
        <w:tab/>
      </w:r>
      <w:r w:rsidRPr="006E533E">
        <w:rPr>
          <w:rFonts w:asciiTheme="minorHAnsi" w:eastAsiaTheme="minorEastAsia" w:hAnsiTheme="minorHAnsi" w:cstheme="minorHAnsi"/>
          <w:color w:val="auto"/>
          <w:sz w:val="18"/>
          <w:szCs w:val="18"/>
          <w:lang w:val="es-ES" w:eastAsia="zh-CN"/>
        </w:rPr>
        <w:tab/>
        <w:t>Precio</w:t>
      </w:r>
      <w:r w:rsidRPr="006E533E">
        <w:rPr>
          <w:rFonts w:asciiTheme="minorHAnsi" w:eastAsiaTheme="minorEastAsia" w:hAnsiTheme="minorHAnsi" w:cstheme="minorHAnsi"/>
          <w:color w:val="auto"/>
          <w:sz w:val="18"/>
          <w:szCs w:val="18"/>
          <w:lang w:val="es-ES" w:eastAsia="zh-CN"/>
        </w:rPr>
        <w:tab/>
      </w:r>
      <w:r w:rsidRPr="006E533E">
        <w:rPr>
          <w:rFonts w:asciiTheme="minorHAnsi" w:eastAsiaTheme="minorEastAsia" w:hAnsiTheme="minorHAnsi" w:cstheme="minorHAnsi"/>
          <w:color w:val="auto"/>
          <w:sz w:val="18"/>
          <w:szCs w:val="18"/>
          <w:lang w:val="es-ES" w:eastAsia="zh-CN"/>
        </w:rPr>
        <w:tab/>
        <w:t>Ingresos</w:t>
      </w:r>
    </w:p>
    <w:p w:rsidR="009554F1" w:rsidRPr="00862632" w:rsidRDefault="006D2733" w:rsidP="0039449A">
      <w:pPr>
        <w:pStyle w:val="enumlev1"/>
        <w:rPr>
          <w:lang w:val="es-ES"/>
        </w:rPr>
      </w:pPr>
      <w:r w:rsidRPr="00862632">
        <w:rPr>
          <w:lang w:val="es-ES"/>
        </w:rPr>
        <w:t>m</w:t>
      </w:r>
      <w:r w:rsidR="000D6684" w:rsidRPr="00862632">
        <w:rPr>
          <w:lang w:val="es-ES"/>
        </w:rPr>
        <w:t>)</w:t>
      </w:r>
      <w:r w:rsidR="000D6684" w:rsidRPr="00862632">
        <w:rPr>
          <w:lang w:val="es-ES"/>
        </w:rPr>
        <w:tab/>
      </w:r>
      <w:r w:rsidR="009554F1" w:rsidRPr="00862632">
        <w:rPr>
          <w:lang w:val="es-ES"/>
        </w:rPr>
        <w:t xml:space="preserve">En la Figura 2 se muestran los costes. </w:t>
      </w:r>
      <w:r w:rsidRPr="00862632">
        <w:rPr>
          <w:lang w:val="es-ES"/>
        </w:rPr>
        <w:t>Algunos consideran que es</w:t>
      </w:r>
      <w:r w:rsidR="009554F1" w:rsidRPr="00862632">
        <w:rPr>
          <w:lang w:val="es-ES"/>
        </w:rPr>
        <w:t xml:space="preserve"> normal que los precios bajen si los costes disminuyen, y de hecho existen motivos </w:t>
      </w:r>
      <w:r w:rsidR="0039449A">
        <w:rPr>
          <w:lang w:val="es-ES"/>
        </w:rPr>
        <w:t>para</w:t>
      </w:r>
      <w:r w:rsidR="009554F1" w:rsidRPr="00862632">
        <w:rPr>
          <w:lang w:val="es-ES"/>
        </w:rPr>
        <w:t xml:space="preserve"> creer que los costes de explotación disminuyen (pero es difícil obtener datos sobre esos costes). </w:t>
      </w:r>
      <w:r w:rsidRPr="00862632">
        <w:rPr>
          <w:lang w:val="es-ES"/>
        </w:rPr>
        <w:t xml:space="preserve">Otros creen </w:t>
      </w:r>
      <w:r w:rsidR="009554F1" w:rsidRPr="00862632">
        <w:rPr>
          <w:lang w:val="es-ES"/>
        </w:rPr>
        <w:t xml:space="preserve">que los gastos de capital (que </w:t>
      </w:r>
      <w:r w:rsidRPr="00862632">
        <w:rPr>
          <w:lang w:val="es-ES"/>
        </w:rPr>
        <w:t>forman parte de los costes globales</w:t>
      </w:r>
      <w:r w:rsidR="009554F1" w:rsidRPr="00862632">
        <w:rPr>
          <w:lang w:val="es-ES"/>
        </w:rPr>
        <w:t>) aumentarán considerablemente y que, por consiguiente, habrá que revisar el paradigma de facturación actual de los servicios Internet</w:t>
      </w:r>
      <w:r w:rsidR="009554F1" w:rsidRPr="00862632">
        <w:rPr>
          <w:rStyle w:val="FootnoteReference"/>
          <w:lang w:val="es-ES"/>
        </w:rPr>
        <w:footnoteReference w:id="96"/>
      </w:r>
      <w:r w:rsidR="009554F1" w:rsidRPr="00862632">
        <w:rPr>
          <w:lang w:val="es-ES"/>
        </w:rPr>
        <w:t>.</w:t>
      </w:r>
    </w:p>
    <w:p w:rsidR="009554F1" w:rsidRPr="00862632" w:rsidRDefault="006D2733" w:rsidP="00F46FA1">
      <w:pPr>
        <w:pStyle w:val="enumlev1"/>
        <w:rPr>
          <w:lang w:val="es-ES"/>
        </w:rPr>
      </w:pPr>
      <w:r w:rsidRPr="00862632">
        <w:rPr>
          <w:lang w:val="es-ES"/>
        </w:rPr>
        <w:t>n</w:t>
      </w:r>
      <w:r w:rsidR="000D6684" w:rsidRPr="00862632">
        <w:rPr>
          <w:lang w:val="es-ES"/>
        </w:rPr>
        <w:t>)</w:t>
      </w:r>
      <w:r w:rsidR="000D6684" w:rsidRPr="00862632">
        <w:rPr>
          <w:lang w:val="es-ES"/>
        </w:rPr>
        <w:tab/>
      </w:r>
      <w:r w:rsidR="009554F1" w:rsidRPr="00862632">
        <w:rPr>
          <w:lang w:val="es-ES"/>
        </w:rPr>
        <w:t>Las redes basadas en el IP se han convertido en un medio generalmente accesible y flexible que se</w:t>
      </w:r>
      <w:r w:rsidR="00F46FA1">
        <w:rPr>
          <w:lang w:val="es-ES"/>
        </w:rPr>
        <w:t> </w:t>
      </w:r>
      <w:r w:rsidR="009554F1" w:rsidRPr="00862632">
        <w:rPr>
          <w:lang w:val="es-ES"/>
        </w:rPr>
        <w:t>utiliza para el comercio y las comunicaciones mundiales. En la Resolución 101 (</w:t>
      </w:r>
      <w:r w:rsidR="006A3517" w:rsidRPr="00862632">
        <w:rPr>
          <w:lang w:val="es-ES"/>
        </w:rPr>
        <w:t>R</w:t>
      </w:r>
      <w:r w:rsidR="009554F1" w:rsidRPr="00862632">
        <w:rPr>
          <w:lang w:val="es-ES"/>
        </w:rPr>
        <w:t>ev.</w:t>
      </w:r>
      <w:r w:rsidR="00F46FA1">
        <w:rPr>
          <w:lang w:val="es-ES"/>
        </w:rPr>
        <w:t> </w:t>
      </w:r>
      <w:r w:rsidR="009554F1" w:rsidRPr="00862632">
        <w:rPr>
          <w:lang w:val="es-ES"/>
        </w:rPr>
        <w:t>Guadalajara,</w:t>
      </w:r>
      <w:r w:rsidR="00F46FA1">
        <w:rPr>
          <w:lang w:val="es-ES"/>
        </w:rPr>
        <w:t> </w:t>
      </w:r>
      <w:r w:rsidR="009554F1" w:rsidRPr="00862632">
        <w:rPr>
          <w:lang w:val="es-ES"/>
        </w:rPr>
        <w:t xml:space="preserve">2012) se </w:t>
      </w:r>
      <w:r w:rsidRPr="00862632">
        <w:rPr>
          <w:lang w:val="es-ES"/>
        </w:rPr>
        <w:t>reconoce</w:t>
      </w:r>
      <w:r w:rsidR="009554F1" w:rsidRPr="00862632">
        <w:rPr>
          <w:lang w:val="es-ES"/>
        </w:rPr>
        <w:t xml:space="preserve"> que en consecuencia es necesario identificar las actividades mundiales que guardan relación con dichas redes en lo que atañe, por ejemplo, a:</w:t>
      </w:r>
    </w:p>
    <w:p w:rsidR="009554F1" w:rsidRPr="00862632" w:rsidRDefault="000D6684" w:rsidP="0016466E">
      <w:pPr>
        <w:pStyle w:val="enumlev2"/>
        <w:rPr>
          <w:rFonts w:eastAsiaTheme="minorEastAsia"/>
          <w:lang w:val="es-ES" w:eastAsia="zh-CN"/>
        </w:rPr>
      </w:pPr>
      <w:r w:rsidRPr="00862632">
        <w:rPr>
          <w:rFonts w:eastAsiaTheme="minorEastAsia"/>
          <w:lang w:val="es-ES" w:eastAsia="zh-CN"/>
        </w:rPr>
        <w:t>i)</w:t>
      </w:r>
      <w:r w:rsidRPr="00862632">
        <w:rPr>
          <w:rFonts w:eastAsiaTheme="minorEastAsia"/>
          <w:lang w:val="es-ES" w:eastAsia="zh-CN"/>
        </w:rPr>
        <w:tab/>
      </w:r>
      <w:r w:rsidR="009554F1" w:rsidRPr="00862632">
        <w:rPr>
          <w:rFonts w:eastAsiaTheme="minorEastAsia"/>
          <w:lang w:val="es-ES" w:eastAsia="zh-CN"/>
        </w:rPr>
        <w:t>la infraestructura, la compatibilidad y la normalización;</w:t>
      </w:r>
    </w:p>
    <w:p w:rsidR="009554F1" w:rsidRPr="00862632" w:rsidRDefault="000D6684" w:rsidP="0016466E">
      <w:pPr>
        <w:pStyle w:val="enumlev2"/>
        <w:rPr>
          <w:rFonts w:eastAsiaTheme="minorEastAsia"/>
          <w:lang w:val="es-ES" w:eastAsia="zh-CN"/>
        </w:rPr>
      </w:pPr>
      <w:r w:rsidRPr="00862632">
        <w:rPr>
          <w:rFonts w:eastAsiaTheme="minorEastAsia"/>
          <w:lang w:val="es-ES" w:eastAsia="zh-CN"/>
        </w:rPr>
        <w:t>ii)</w:t>
      </w:r>
      <w:r w:rsidRPr="00862632">
        <w:rPr>
          <w:rFonts w:eastAsiaTheme="minorEastAsia"/>
          <w:lang w:val="es-ES" w:eastAsia="zh-CN"/>
        </w:rPr>
        <w:tab/>
      </w:r>
      <w:r w:rsidR="009554F1" w:rsidRPr="00862632">
        <w:rPr>
          <w:rFonts w:eastAsiaTheme="minorEastAsia"/>
          <w:lang w:val="es-ES" w:eastAsia="zh-CN"/>
        </w:rPr>
        <w:t>la atribución de los nombres y las direcciones Internet;</w:t>
      </w:r>
    </w:p>
    <w:p w:rsidR="00344D10" w:rsidRPr="00862632" w:rsidRDefault="000D6684" w:rsidP="0016466E">
      <w:pPr>
        <w:pStyle w:val="enumlev2"/>
        <w:rPr>
          <w:rFonts w:eastAsiaTheme="minorEastAsia"/>
          <w:lang w:val="es-ES" w:eastAsia="zh-CN"/>
        </w:rPr>
      </w:pPr>
      <w:r w:rsidRPr="00862632">
        <w:rPr>
          <w:rFonts w:eastAsiaTheme="minorEastAsia"/>
          <w:lang w:val="es-ES" w:eastAsia="zh-CN"/>
        </w:rPr>
        <w:t>iii)</w:t>
      </w:r>
      <w:r w:rsidRPr="00862632">
        <w:rPr>
          <w:rFonts w:eastAsiaTheme="minorEastAsia"/>
          <w:lang w:val="es-ES" w:eastAsia="zh-CN"/>
        </w:rPr>
        <w:tab/>
      </w:r>
      <w:r w:rsidR="009554F1" w:rsidRPr="00862632">
        <w:rPr>
          <w:rFonts w:eastAsiaTheme="minorEastAsia"/>
          <w:lang w:val="es-ES" w:eastAsia="zh-CN"/>
        </w:rPr>
        <w:t xml:space="preserve">la difusión de información sobre las redes basadas en el IP y las repercusiones de su desarrollo para los Estados Miembros de la UIT, especialmente los países en desarrollo. </w:t>
      </w:r>
    </w:p>
    <w:p w:rsidR="00344D10" w:rsidRPr="00C64ABF" w:rsidRDefault="009554F1" w:rsidP="00C64ABF">
      <w:pPr>
        <w:rPr>
          <w:b/>
          <w:bCs/>
          <w:lang w:val="es-ES"/>
        </w:rPr>
      </w:pPr>
      <w:r w:rsidRPr="00C64ABF">
        <w:rPr>
          <w:b/>
          <w:bCs/>
          <w:lang w:val="es-ES"/>
        </w:rPr>
        <w:t>2.3.3.1</w:t>
      </w:r>
      <w:r w:rsidR="00DF2488" w:rsidRPr="00C64ABF">
        <w:rPr>
          <w:b/>
          <w:bCs/>
          <w:lang w:val="es-ES"/>
        </w:rPr>
        <w:tab/>
      </w:r>
      <w:r w:rsidRPr="00C64ABF">
        <w:rPr>
          <w:b/>
          <w:bCs/>
          <w:lang w:val="es-ES"/>
        </w:rPr>
        <w:t>Infraestructura, compatibilidad y normalización</w:t>
      </w:r>
      <w:r w:rsidRPr="0039449A">
        <w:rPr>
          <w:rStyle w:val="FootnoteReference"/>
        </w:rPr>
        <w:footnoteReference w:id="97"/>
      </w:r>
    </w:p>
    <w:p w:rsidR="009554F1" w:rsidRPr="00862632" w:rsidRDefault="000D6684" w:rsidP="0016466E">
      <w:pPr>
        <w:pStyle w:val="enumlev1"/>
        <w:rPr>
          <w:lang w:val="es-ES"/>
        </w:rPr>
      </w:pPr>
      <w:r w:rsidRPr="00862632">
        <w:rPr>
          <w:lang w:val="es-ES"/>
        </w:rPr>
        <w:t>a)</w:t>
      </w:r>
      <w:r w:rsidRPr="00862632">
        <w:rPr>
          <w:lang w:val="es-ES"/>
        </w:rPr>
        <w:tab/>
      </w:r>
      <w:r w:rsidR="009554F1" w:rsidRPr="00862632">
        <w:rPr>
          <w:lang w:val="es-ES"/>
        </w:rPr>
        <w:t xml:space="preserve">Las aplicaciones relacionadas con Internet se transmiten por la infraestructura </w:t>
      </w:r>
      <w:r w:rsidR="00656FA4" w:rsidRPr="00862632">
        <w:rPr>
          <w:lang w:val="es-ES"/>
        </w:rPr>
        <w:t xml:space="preserve">pública y privada </w:t>
      </w:r>
      <w:r w:rsidR="009554F1" w:rsidRPr="00862632">
        <w:rPr>
          <w:lang w:val="es-ES"/>
        </w:rPr>
        <w:t>de telecomunicaciones (alámbrica y/o inalámbrica)</w:t>
      </w:r>
      <w:r w:rsidR="009554F1" w:rsidRPr="00862632">
        <w:rPr>
          <w:rStyle w:val="FootnoteReference"/>
          <w:lang w:val="es-ES"/>
        </w:rPr>
        <w:footnoteReference w:id="98"/>
      </w:r>
      <w:r w:rsidR="009554F1" w:rsidRPr="00862632">
        <w:rPr>
          <w:lang w:val="es-ES"/>
        </w:rPr>
        <w:t>.</w:t>
      </w:r>
    </w:p>
    <w:p w:rsidR="009554F1" w:rsidRPr="00862632" w:rsidRDefault="000D6684" w:rsidP="0016466E">
      <w:pPr>
        <w:pStyle w:val="enumlev1"/>
        <w:rPr>
          <w:lang w:val="es-ES"/>
        </w:rPr>
      </w:pPr>
      <w:r w:rsidRPr="00862632">
        <w:rPr>
          <w:lang w:val="es-ES"/>
        </w:rPr>
        <w:t>b)</w:t>
      </w:r>
      <w:r w:rsidRPr="00862632">
        <w:rPr>
          <w:lang w:val="es-ES"/>
        </w:rPr>
        <w:tab/>
      </w:r>
      <w:r w:rsidR="009554F1" w:rsidRPr="00862632">
        <w:rPr>
          <w:lang w:val="es-ES"/>
        </w:rPr>
        <w:t>La convergencia de las tecnologías TIC está convirtiendo el IP en un protocolo esencial para los servicios proporcionados por las redes modernas de telecomunicaciones</w:t>
      </w:r>
      <w:r w:rsidR="009554F1" w:rsidRPr="00862632">
        <w:rPr>
          <w:rStyle w:val="FootnoteReference"/>
          <w:lang w:val="es-ES"/>
        </w:rPr>
        <w:footnoteReference w:id="99"/>
      </w:r>
      <w:r w:rsidR="009554F1" w:rsidRPr="00862632">
        <w:rPr>
          <w:lang w:val="es-ES"/>
        </w:rPr>
        <w:t>, protocolo que está</w:t>
      </w:r>
      <w:r w:rsidR="009554F1" w:rsidRPr="004366E5">
        <w:rPr>
          <w:rFonts w:eastAsiaTheme="minorEastAsia"/>
        </w:rPr>
        <w:t xml:space="preserve"> </w:t>
      </w:r>
      <w:r w:rsidR="009554F1" w:rsidRPr="00862632">
        <w:rPr>
          <w:lang w:val="es-ES"/>
        </w:rPr>
        <w:t>desempeñando un papel cada vez más importante en la infraestructura subyacente.</w:t>
      </w:r>
    </w:p>
    <w:p w:rsidR="009554F1" w:rsidRPr="00862632" w:rsidRDefault="00CF5949" w:rsidP="0016466E">
      <w:pPr>
        <w:pStyle w:val="enumlev1"/>
        <w:rPr>
          <w:lang w:val="es-ES"/>
        </w:rPr>
      </w:pPr>
      <w:r w:rsidRPr="00862632">
        <w:rPr>
          <w:lang w:val="es-ES"/>
        </w:rPr>
        <w:t>c)</w:t>
      </w:r>
      <w:r w:rsidRPr="00862632">
        <w:rPr>
          <w:lang w:val="es-ES"/>
        </w:rPr>
        <w:tab/>
      </w:r>
      <w:r w:rsidR="009554F1" w:rsidRPr="00862632">
        <w:rPr>
          <w:lang w:val="es-ES"/>
        </w:rPr>
        <w:t>Se han recabado nuevas iniciativas audaces para seguir aumentando la flexibilidad y las capacidades de Internet independientemente de las mejoras de sus capacidades existentes</w:t>
      </w:r>
      <w:r w:rsidR="009554F1" w:rsidRPr="00862632">
        <w:rPr>
          <w:rStyle w:val="FootnoteReference"/>
          <w:lang w:val="es-ES"/>
        </w:rPr>
        <w:footnoteReference w:id="100"/>
      </w:r>
      <w:r w:rsidR="009554F1" w:rsidRPr="00862632">
        <w:rPr>
          <w:lang w:val="es-ES"/>
        </w:rPr>
        <w:t xml:space="preserve">. </w:t>
      </w:r>
      <w:r w:rsidR="00656FA4" w:rsidRPr="00862632">
        <w:rPr>
          <w:lang w:val="es-ES"/>
        </w:rPr>
        <w:t>Se están realizando (con financiación tanto estatal como privada)</w:t>
      </w:r>
      <w:r w:rsidR="009554F1" w:rsidRPr="00862632">
        <w:rPr>
          <w:lang w:val="es-ES"/>
        </w:rPr>
        <w:t xml:space="preserve"> investigaciones y desarrollos e innovaciones adicionales en el diseño fundamental de Internet (incluidos arquitectura, protocolos, interfaces y servicios)</w:t>
      </w:r>
      <w:r w:rsidR="00656FA4" w:rsidRPr="00862632">
        <w:rPr>
          <w:lang w:val="es-ES"/>
        </w:rPr>
        <w:t>, que quizá deban fomentarse aún más</w:t>
      </w:r>
      <w:r w:rsidR="009554F1" w:rsidRPr="00862632">
        <w:rPr>
          <w:lang w:val="es-ES"/>
        </w:rPr>
        <w:t>.</w:t>
      </w:r>
    </w:p>
    <w:p w:rsidR="009554F1" w:rsidRPr="00862632" w:rsidRDefault="00CF5949" w:rsidP="0016466E">
      <w:pPr>
        <w:pStyle w:val="enumlev1"/>
        <w:rPr>
          <w:lang w:val="es-ES"/>
        </w:rPr>
      </w:pPr>
      <w:r w:rsidRPr="00862632">
        <w:rPr>
          <w:lang w:val="es-ES"/>
        </w:rPr>
        <w:t>d)</w:t>
      </w:r>
      <w:r w:rsidRPr="00862632">
        <w:rPr>
          <w:lang w:val="es-ES"/>
        </w:rPr>
        <w:tab/>
      </w:r>
      <w:r w:rsidR="009554F1" w:rsidRPr="00862632">
        <w:rPr>
          <w:lang w:val="es-ES"/>
        </w:rPr>
        <w:t xml:space="preserve">Habida cuenta del arraigamiento de Internet en el tejido socioeconómico de muchas sociedades, cualquier sistema evolutivo para crear la Internet del futuro debería </w:t>
      </w:r>
      <w:r w:rsidR="00656FA4" w:rsidRPr="00862632">
        <w:rPr>
          <w:lang w:val="es-ES"/>
        </w:rPr>
        <w:t xml:space="preserve">esforzarse por </w:t>
      </w:r>
      <w:r w:rsidR="009554F1" w:rsidRPr="00862632">
        <w:rPr>
          <w:lang w:val="es-ES"/>
        </w:rPr>
        <w:t>garantizar su plena compatibilidad con la existente</w:t>
      </w:r>
      <w:r w:rsidR="00656FA4" w:rsidRPr="00862632">
        <w:rPr>
          <w:lang w:val="es-ES"/>
        </w:rPr>
        <w:t xml:space="preserve"> para minimizar las perturbaciones</w:t>
      </w:r>
      <w:r w:rsidR="009554F1" w:rsidRPr="00862632">
        <w:rPr>
          <w:lang w:val="es-ES"/>
        </w:rPr>
        <w:t>.</w:t>
      </w:r>
    </w:p>
    <w:p w:rsidR="00344D10" w:rsidRPr="00862632" w:rsidRDefault="00CF5949" w:rsidP="0016466E">
      <w:pPr>
        <w:pStyle w:val="enumlev1"/>
        <w:rPr>
          <w:lang w:val="es-ES"/>
        </w:rPr>
      </w:pPr>
      <w:r w:rsidRPr="00862632">
        <w:rPr>
          <w:lang w:val="es-ES"/>
        </w:rPr>
        <w:t>e)</w:t>
      </w:r>
      <w:r w:rsidRPr="00862632">
        <w:rPr>
          <w:lang w:val="es-ES"/>
        </w:rPr>
        <w:tab/>
      </w:r>
      <w:r w:rsidR="009554F1" w:rsidRPr="00862632">
        <w:rPr>
          <w:lang w:val="es-ES"/>
        </w:rPr>
        <w:t xml:space="preserve">La </w:t>
      </w:r>
      <w:r w:rsidR="00656FA4" w:rsidRPr="00862632">
        <w:rPr>
          <w:lang w:val="es-ES"/>
        </w:rPr>
        <w:t xml:space="preserve">investigación y la </w:t>
      </w:r>
      <w:r w:rsidR="009554F1" w:rsidRPr="00862632">
        <w:rPr>
          <w:lang w:val="es-ES"/>
        </w:rPr>
        <w:t xml:space="preserve">normalización </w:t>
      </w:r>
      <w:r w:rsidR="00656FA4" w:rsidRPr="00862632">
        <w:rPr>
          <w:lang w:val="es-ES"/>
        </w:rPr>
        <w:t>son</w:t>
      </w:r>
      <w:r w:rsidR="009554F1" w:rsidRPr="00862632">
        <w:rPr>
          <w:lang w:val="es-ES"/>
        </w:rPr>
        <w:t xml:space="preserve"> fundamental</w:t>
      </w:r>
      <w:r w:rsidR="00656FA4" w:rsidRPr="00862632">
        <w:rPr>
          <w:lang w:val="es-ES"/>
        </w:rPr>
        <w:t>es</w:t>
      </w:r>
      <w:r w:rsidR="009554F1" w:rsidRPr="00862632">
        <w:rPr>
          <w:lang w:val="es-ES"/>
        </w:rPr>
        <w:t xml:space="preserve"> para garantizar esta compatibilidad y </w:t>
      </w:r>
      <w:r w:rsidR="00656FA4" w:rsidRPr="00862632">
        <w:rPr>
          <w:lang w:val="es-ES"/>
        </w:rPr>
        <w:t>facilitar</w:t>
      </w:r>
      <w:r w:rsidR="009554F1" w:rsidRPr="00862632">
        <w:rPr>
          <w:lang w:val="es-ES"/>
        </w:rPr>
        <w:t xml:space="preserve"> el desarrollo constante de Internet y sus capacidades</w:t>
      </w:r>
      <w:r w:rsidR="009554F1" w:rsidRPr="00862632">
        <w:rPr>
          <w:rStyle w:val="FootnoteReference"/>
          <w:lang w:val="es-ES"/>
        </w:rPr>
        <w:footnoteReference w:id="101"/>
      </w:r>
      <w:r w:rsidR="009554F1" w:rsidRPr="00862632">
        <w:rPr>
          <w:lang w:val="es-ES"/>
        </w:rPr>
        <w:t>. Muchos organismos están llevando a cabo trabajos e investigaciones significativos sobre cuestiones relacionadas con el IP y la Internet del futuro a escala nacional, regional e internacional. Se trata, entre otros, de la UIT, el Grupo Especial sobre Ingeniería de Internet (IETF), proyectos de la National Science Foundation (NSF) de EE.UU., incluidos proyectos del entorno mundial para las innovaciones de red (Global Environment for Network Innovations, GENI) y el diseño de la Internet futura (FIND), la nueva iniciativa de investigación y desarrollo NeW Generation Network (NWGN) de Japón, incluido el proyecto Akari del Instituto nacional japonés de las TIC (NICT) y la iniciativa de investigación y experimentación de la futura Internet (FIRE) de la Unión Europea.</w:t>
      </w:r>
    </w:p>
    <w:p w:rsidR="00344D10" w:rsidRPr="00C64ABF" w:rsidRDefault="009554F1" w:rsidP="00C64ABF">
      <w:pPr>
        <w:rPr>
          <w:b/>
          <w:bCs/>
          <w:lang w:val="es-ES"/>
        </w:rPr>
      </w:pPr>
      <w:r w:rsidRPr="00C64ABF">
        <w:rPr>
          <w:b/>
          <w:bCs/>
          <w:lang w:val="es-ES"/>
        </w:rPr>
        <w:t>2.3.3.2</w:t>
      </w:r>
      <w:r w:rsidR="00CF5949" w:rsidRPr="00C64ABF">
        <w:rPr>
          <w:b/>
          <w:bCs/>
          <w:lang w:val="es-ES"/>
        </w:rPr>
        <w:tab/>
      </w:r>
      <w:r w:rsidRPr="00C64ABF">
        <w:rPr>
          <w:b/>
          <w:bCs/>
          <w:lang w:val="es-ES"/>
        </w:rPr>
        <w:t>Atribución de nombres y direcciones Internet</w:t>
      </w:r>
    </w:p>
    <w:p w:rsidR="009554F1" w:rsidRPr="00862632" w:rsidRDefault="00CF5949" w:rsidP="003C33B9">
      <w:pPr>
        <w:pStyle w:val="enumlev1"/>
        <w:rPr>
          <w:lang w:val="es-ES"/>
        </w:rPr>
      </w:pPr>
      <w:r w:rsidRPr="00862632">
        <w:rPr>
          <w:lang w:val="es-ES"/>
        </w:rPr>
        <w:t>a)</w:t>
      </w:r>
      <w:r w:rsidRPr="00862632">
        <w:rPr>
          <w:lang w:val="es-ES"/>
        </w:rPr>
        <w:tab/>
      </w:r>
      <w:r w:rsidR="009554F1" w:rsidRPr="00862632">
        <w:rPr>
          <w:lang w:val="es-ES"/>
        </w:rPr>
        <w:t xml:space="preserve">Todos los aparatos conectados a Internet se identifican con una dirección IP que se utiliza para encaminar paquetes de datos por todo el mundo a través de Internet. Las direcciones IP son un recurso finito. La </w:t>
      </w:r>
      <w:r w:rsidR="00DE0C1B" w:rsidRPr="00862632">
        <w:rPr>
          <w:lang w:val="es-ES"/>
        </w:rPr>
        <w:t>actual</w:t>
      </w:r>
      <w:r w:rsidR="009554F1" w:rsidRPr="00862632">
        <w:rPr>
          <w:lang w:val="es-ES"/>
        </w:rPr>
        <w:t xml:space="preserve"> implementación, IP versión 4 o </w:t>
      </w:r>
      <w:r w:rsidR="00BC5045">
        <w:rPr>
          <w:lang w:val="es-ES"/>
        </w:rPr>
        <w:t>"</w:t>
      </w:r>
      <w:r w:rsidR="009554F1" w:rsidRPr="00862632">
        <w:rPr>
          <w:lang w:val="es-ES"/>
        </w:rPr>
        <w:t>IPv4</w:t>
      </w:r>
      <w:r w:rsidR="00BC5045">
        <w:rPr>
          <w:lang w:val="es-ES"/>
        </w:rPr>
        <w:t>"</w:t>
      </w:r>
      <w:r w:rsidR="009554F1" w:rsidRPr="00862632">
        <w:rPr>
          <w:lang w:val="es-ES"/>
        </w:rPr>
        <w:t>, se desplegó el 1 de enero de 1983 y utiliza 32 bits para representar las direcciones, lo que genera un límite total teórico de 2</w:t>
      </w:r>
      <w:r w:rsidR="009554F1" w:rsidRPr="00862632">
        <w:rPr>
          <w:rStyle w:val="FootnoteReference"/>
          <w:lang w:val="es-ES"/>
        </w:rPr>
        <w:t>32</w:t>
      </w:r>
      <w:r w:rsidR="009554F1" w:rsidRPr="00862632">
        <w:rPr>
          <w:lang w:val="es-ES"/>
        </w:rPr>
        <w:t xml:space="preserve"> (4 000 millones de direcciones). </w:t>
      </w:r>
      <w:r w:rsidR="00DE0C1B" w:rsidRPr="00862632">
        <w:rPr>
          <w:lang w:val="es-ES"/>
        </w:rPr>
        <w:t>Sigue siendo el más utilizado actualmente. Si bien IPv4 sólo ofrece direcciones I</w:t>
      </w:r>
      <w:r w:rsidR="00E36D69" w:rsidRPr="00862632">
        <w:rPr>
          <w:lang w:val="es-ES"/>
        </w:rPr>
        <w:t>P</w:t>
      </w:r>
      <w:r w:rsidR="00DE0C1B" w:rsidRPr="00862632">
        <w:rPr>
          <w:lang w:val="es-ES"/>
        </w:rPr>
        <w:t xml:space="preserve"> únicas para unos 4 000 millones de dispositivos, eso no significa que se limite el número de dispositivos que pueden conectarse a Internet utilizando IPv4. En realidad, no hay un límite superior estático, si consideramos que la mayoría de dispositivos se conectan a Internet a través de redes privadas que asignan direcciones IP dinámicamente utilizando protocolos como DHCP</w:t>
      </w:r>
      <w:r w:rsidR="00DE0C1B" w:rsidRPr="00862632">
        <w:rPr>
          <w:rStyle w:val="FootnoteReference"/>
          <w:lang w:val="es-ES"/>
        </w:rPr>
        <w:footnoteReference w:id="102"/>
      </w:r>
      <w:r w:rsidR="00DE0C1B" w:rsidRPr="00862632">
        <w:rPr>
          <w:lang w:val="es-ES"/>
        </w:rPr>
        <w:t xml:space="preserve"> [origen: </w:t>
      </w:r>
      <w:hyperlink r:id="rId61" w:history="1">
        <w:r w:rsidR="003C33B9" w:rsidRPr="003C33B9">
          <w:rPr>
            <w:rStyle w:val="Hyperlink"/>
            <w:rFonts w:eastAsiaTheme="minorEastAsia"/>
            <w:lang w:val="es-ES" w:eastAsia="zh-CN"/>
          </w:rPr>
          <w:t>PayPal</w:t>
        </w:r>
      </w:hyperlink>
      <w:r w:rsidR="00DE0C1B" w:rsidRPr="00862632">
        <w:rPr>
          <w:rStyle w:val="FootnoteReference"/>
          <w:lang w:val="es-ES"/>
        </w:rPr>
        <w:footnoteReference w:id="103"/>
      </w:r>
      <w:r w:rsidR="00DE0C1B" w:rsidRPr="00862632">
        <w:rPr>
          <w:lang w:val="es-ES"/>
        </w:rPr>
        <w:t>].</w:t>
      </w:r>
    </w:p>
    <w:p w:rsidR="009554F1" w:rsidRPr="00862632" w:rsidRDefault="00CF5949" w:rsidP="0016466E">
      <w:pPr>
        <w:pStyle w:val="enumlev1"/>
        <w:rPr>
          <w:szCs w:val="24"/>
          <w:lang w:val="es-ES"/>
        </w:rPr>
      </w:pPr>
      <w:r w:rsidRPr="00862632">
        <w:rPr>
          <w:lang w:val="es-ES"/>
        </w:rPr>
        <w:t>b)</w:t>
      </w:r>
      <w:r w:rsidRPr="00862632">
        <w:rPr>
          <w:lang w:val="es-ES"/>
        </w:rPr>
        <w:tab/>
      </w:r>
      <w:r w:rsidR="009554F1" w:rsidRPr="00862632">
        <w:rPr>
          <w:lang w:val="es-ES"/>
        </w:rPr>
        <w:t>El Organismo de Asignación de Números Internet (IANA)</w:t>
      </w:r>
      <w:r w:rsidR="009554F1" w:rsidRPr="004366E5">
        <w:rPr>
          <w:rStyle w:val="FootnoteReference"/>
        </w:rPr>
        <w:footnoteReference w:id="104"/>
      </w:r>
      <w:r w:rsidR="009554F1" w:rsidRPr="00862632">
        <w:rPr>
          <w:lang w:val="es-ES"/>
        </w:rPr>
        <w:t xml:space="preserve"> es </w:t>
      </w:r>
      <w:r w:rsidR="00DE0C1B" w:rsidRPr="00862632">
        <w:rPr>
          <w:lang w:val="es-ES"/>
        </w:rPr>
        <w:t>una serie de funciones técnicas que comprende la atribución de</w:t>
      </w:r>
      <w:r w:rsidR="009554F1" w:rsidRPr="00862632">
        <w:rPr>
          <w:lang w:val="es-ES"/>
        </w:rPr>
        <w:t xml:space="preserve"> direcciones IP tomadas del conjunto </w:t>
      </w:r>
      <w:r w:rsidR="00DE0C1B" w:rsidRPr="00862632">
        <w:rPr>
          <w:lang w:val="es-ES"/>
        </w:rPr>
        <w:t xml:space="preserve">global </w:t>
      </w:r>
      <w:r w:rsidR="009554F1" w:rsidRPr="00862632">
        <w:rPr>
          <w:lang w:val="es-ES"/>
        </w:rPr>
        <w:t>de direcciones no atribuidas</w:t>
      </w:r>
      <w:r w:rsidR="00DE0C1B" w:rsidRPr="00862632">
        <w:rPr>
          <w:lang w:val="es-ES"/>
        </w:rPr>
        <w:t xml:space="preserve"> a los RIR</w:t>
      </w:r>
      <w:r w:rsidR="009554F1" w:rsidRPr="00862632">
        <w:rPr>
          <w:lang w:val="es-ES"/>
        </w:rPr>
        <w:t>, en función de sus necesidades. Otra función esencial del IANA es reservar direcciones IP a efectos técnicos específicos, con arreglo a las indicaciones del IETF. Se trata</w:t>
      </w:r>
      <w:r w:rsidR="009D50A2">
        <w:rPr>
          <w:lang w:val="es-ES"/>
        </w:rPr>
        <w:t>,</w:t>
      </w:r>
      <w:r w:rsidR="009554F1" w:rsidRPr="00862632">
        <w:rPr>
          <w:lang w:val="es-ES"/>
        </w:rPr>
        <w:t xml:space="preserve"> por ejemplo</w:t>
      </w:r>
      <w:r w:rsidR="009D50A2">
        <w:rPr>
          <w:lang w:val="es-ES"/>
        </w:rPr>
        <w:t>,</w:t>
      </w:r>
      <w:r w:rsidR="009554F1" w:rsidRPr="00862632">
        <w:rPr>
          <w:lang w:val="es-ES"/>
        </w:rPr>
        <w:t xml:space="preserve"> de asignaciones de multidifusión, tecnologías de tunelización de transición y direcciones de uso privado.</w:t>
      </w:r>
    </w:p>
    <w:p w:rsidR="009554F1" w:rsidRPr="00862632" w:rsidRDefault="00CF5949" w:rsidP="00C442B0">
      <w:pPr>
        <w:pStyle w:val="enumlev1"/>
        <w:rPr>
          <w:lang w:val="es-ES"/>
        </w:rPr>
      </w:pPr>
      <w:r w:rsidRPr="00862632">
        <w:rPr>
          <w:lang w:val="es-ES"/>
        </w:rPr>
        <w:t>c)</w:t>
      </w:r>
      <w:r w:rsidRPr="00862632">
        <w:rPr>
          <w:lang w:val="es-ES"/>
        </w:rPr>
        <w:tab/>
      </w:r>
      <w:r w:rsidR="009554F1" w:rsidRPr="00862632">
        <w:rPr>
          <w:lang w:val="es-ES"/>
        </w:rPr>
        <w:t xml:space="preserve">El crecimiento rápido y constante del número de aparatos conectados a Internet </w:t>
      </w:r>
      <w:r w:rsidR="00DE0C1B" w:rsidRPr="00862632">
        <w:rPr>
          <w:lang w:val="es-ES"/>
        </w:rPr>
        <w:t>ha llevado</w:t>
      </w:r>
      <w:r w:rsidR="009554F1" w:rsidRPr="00862632">
        <w:rPr>
          <w:lang w:val="es-ES"/>
        </w:rPr>
        <w:t xml:space="preserve"> al agotamiento del conjunto de direcciones IPv4 </w:t>
      </w:r>
      <w:r w:rsidR="00DE0C1B" w:rsidRPr="00862632">
        <w:rPr>
          <w:lang w:val="es-ES"/>
        </w:rPr>
        <w:t xml:space="preserve">gestionado a nivel mundial </w:t>
      </w:r>
      <w:r w:rsidR="009554F1" w:rsidRPr="00862632">
        <w:rPr>
          <w:lang w:val="es-ES"/>
        </w:rPr>
        <w:t>del IANA. En previsión de ese agotamiento, el IETF desarrolló en 1998 una nueva versión, IPv6</w:t>
      </w:r>
      <w:r w:rsidR="009554F1" w:rsidRPr="00862632">
        <w:rPr>
          <w:rStyle w:val="FootnoteReference"/>
          <w:lang w:val="es-ES"/>
        </w:rPr>
        <w:footnoteReference w:id="105"/>
      </w:r>
      <w:r w:rsidR="009554F1" w:rsidRPr="00862632">
        <w:rPr>
          <w:lang w:val="es-ES"/>
        </w:rPr>
        <w:t>, que ofrecen un número de direcciones considerablemente mayor, ya que utiliza 128 bits para representar las direcciones (lo que da lugar a un nuevo límite de 2128 direcciones, que equivalen a unos 340 millones de quintillones). El IANA empezó a atribuir bloques de direcciones IPv6 en 1999</w:t>
      </w:r>
      <w:r w:rsidR="009554F1" w:rsidRPr="00862632">
        <w:rPr>
          <w:rStyle w:val="FootnoteReference"/>
          <w:lang w:val="es-ES"/>
        </w:rPr>
        <w:footnoteReference w:id="106"/>
      </w:r>
      <w:r w:rsidR="009554F1" w:rsidRPr="00862632">
        <w:rPr>
          <w:rStyle w:val="FootnoteReference"/>
          <w:lang w:val="es-ES"/>
        </w:rPr>
        <w:t>,</w:t>
      </w:r>
      <w:r w:rsidR="00DE0C1B" w:rsidRPr="00862632">
        <w:rPr>
          <w:rStyle w:val="FootnoteReference"/>
          <w:lang w:val="es-ES"/>
        </w:rPr>
        <w:footnoteReference w:id="107"/>
      </w:r>
      <w:r w:rsidR="009554F1" w:rsidRPr="00862632">
        <w:rPr>
          <w:lang w:val="es-ES"/>
        </w:rPr>
        <w:t>.</w:t>
      </w:r>
      <w:r w:rsidR="00EE0715" w:rsidRPr="00862632">
        <w:rPr>
          <w:lang w:val="es-ES"/>
        </w:rPr>
        <w:t xml:space="preserve"> En febrero de</w:t>
      </w:r>
      <w:r w:rsidR="00C442B0">
        <w:rPr>
          <w:lang w:val="es-ES"/>
        </w:rPr>
        <w:t> </w:t>
      </w:r>
      <w:r w:rsidR="00EE0715" w:rsidRPr="00862632">
        <w:rPr>
          <w:lang w:val="es-ES"/>
        </w:rPr>
        <w:t>2011, el IANA asignó los últimos cinco bloques libres restantes de direcciones IPv4 a los cinco RIR y agotó el conjunto global de direcciones IPv4.</w:t>
      </w:r>
    </w:p>
    <w:p w:rsidR="009554F1" w:rsidRPr="00862632" w:rsidRDefault="00CF5949" w:rsidP="00830E5C">
      <w:pPr>
        <w:pStyle w:val="enumlev1"/>
        <w:rPr>
          <w:lang w:val="es-ES"/>
        </w:rPr>
      </w:pPr>
      <w:r w:rsidRPr="00862632">
        <w:rPr>
          <w:lang w:val="es-ES"/>
        </w:rPr>
        <w:t>d)</w:t>
      </w:r>
      <w:r w:rsidRPr="00862632">
        <w:rPr>
          <w:lang w:val="es-ES"/>
        </w:rPr>
        <w:tab/>
      </w:r>
      <w:r w:rsidR="009554F1" w:rsidRPr="00862632">
        <w:rPr>
          <w:lang w:val="es-ES"/>
        </w:rPr>
        <w:t>La migración armoniosa del IPv4 al IPv6 es un asunto mundial fundamental, cuyo elemento esencial es que esos dos protocolos no son compatibles en la Capa 3. Se pueden utilizar los mismos equipos e infraestructuras, etc. para el IPv6, pero debe desplegarse una pila de Capa 3 modificada que soporte ambos protocolos [</w:t>
      </w:r>
      <w:r w:rsidR="007C1231">
        <w:rPr>
          <w:lang w:val="es-ES"/>
        </w:rPr>
        <w:t>origen</w:t>
      </w:r>
      <w:r w:rsidR="009554F1" w:rsidRPr="00862632">
        <w:rPr>
          <w:lang w:val="es-ES"/>
        </w:rPr>
        <w:t xml:space="preserve">: </w:t>
      </w:r>
      <w:r w:rsidR="00EE0715" w:rsidRPr="00862632">
        <w:rPr>
          <w:lang w:val="es-ES"/>
        </w:rPr>
        <w:t>Debate del Grupo ad hoc en la primera Reunión del IEG</w:t>
      </w:r>
      <w:r w:rsidR="00EE0715" w:rsidRPr="00862632">
        <w:rPr>
          <w:rStyle w:val="FootnoteReference"/>
          <w:lang w:val="es-ES"/>
        </w:rPr>
        <w:footnoteReference w:id="108"/>
      </w:r>
      <w:r w:rsidR="009554F1" w:rsidRPr="00862632">
        <w:rPr>
          <w:lang w:val="es-ES"/>
        </w:rPr>
        <w:t xml:space="preserve">]. Además, deben modificarse algunas aplicaciones (que utilizan direcciones IP literales). </w:t>
      </w:r>
      <w:r w:rsidR="00EE0715" w:rsidRPr="00862632">
        <w:rPr>
          <w:lang w:val="es-ES"/>
        </w:rPr>
        <w:t>L</w:t>
      </w:r>
      <w:r w:rsidR="009554F1" w:rsidRPr="00862632">
        <w:rPr>
          <w:lang w:val="es-ES"/>
        </w:rPr>
        <w:t>a implementación del IPv6 se ha acelerado notablemente en los últimos años [</w:t>
      </w:r>
      <w:r w:rsidR="007C1231">
        <w:rPr>
          <w:lang w:val="es-ES"/>
        </w:rPr>
        <w:t>origen</w:t>
      </w:r>
      <w:r w:rsidR="009554F1" w:rsidRPr="00862632">
        <w:rPr>
          <w:lang w:val="es-ES"/>
        </w:rPr>
        <w:t>:</w:t>
      </w:r>
      <w:r w:rsidR="00830E5C">
        <w:rPr>
          <w:lang w:val="es-ES"/>
        </w:rPr>
        <w:t> </w:t>
      </w:r>
      <w:hyperlink r:id="rId62" w:history="1">
        <w:r w:rsidR="009554F1" w:rsidRPr="00C442B0">
          <w:rPr>
            <w:rStyle w:val="Hyperlink"/>
            <w:lang w:val="es-ES"/>
          </w:rPr>
          <w:t>ARIN</w:t>
        </w:r>
      </w:hyperlink>
      <w:r w:rsidR="009554F1" w:rsidRPr="00862632">
        <w:rPr>
          <w:lang w:val="es-ES"/>
        </w:rPr>
        <w:t xml:space="preserve">, </w:t>
      </w:r>
      <w:hyperlink r:id="rId63" w:history="1">
        <w:r w:rsidR="009554F1" w:rsidRPr="00C442B0">
          <w:rPr>
            <w:rStyle w:val="Hyperlink"/>
            <w:lang w:val="es-ES"/>
          </w:rPr>
          <w:t>EE.UU.</w:t>
        </w:r>
      </w:hyperlink>
      <w:r w:rsidR="00EE0715" w:rsidRPr="00862632">
        <w:rPr>
          <w:rStyle w:val="FootnoteReference"/>
          <w:lang w:val="es-ES"/>
        </w:rPr>
        <w:footnoteReference w:id="109"/>
      </w:r>
      <w:r w:rsidR="00EE0715" w:rsidRPr="00862632">
        <w:rPr>
          <w:lang w:val="es-ES"/>
        </w:rPr>
        <w:t>]</w:t>
      </w:r>
      <w:r w:rsidR="00EE0715" w:rsidRPr="00862632">
        <w:rPr>
          <w:rStyle w:val="FootnoteReference"/>
          <w:lang w:val="es-ES"/>
        </w:rPr>
        <w:footnoteReference w:id="110"/>
      </w:r>
      <w:r w:rsidR="009554F1" w:rsidRPr="00862632">
        <w:rPr>
          <w:lang w:val="es-ES"/>
        </w:rPr>
        <w:t xml:space="preserve">, </w:t>
      </w:r>
      <w:r w:rsidR="00EE0715" w:rsidRPr="00862632">
        <w:rPr>
          <w:lang w:val="es-ES"/>
        </w:rPr>
        <w:t xml:space="preserve">pero </w:t>
      </w:r>
      <w:r w:rsidR="009554F1" w:rsidRPr="00862632">
        <w:rPr>
          <w:lang w:val="es-ES"/>
        </w:rPr>
        <w:t>estadísticas absolutas muestran que el despliegue del IPv6 sigue siendo lento</w:t>
      </w:r>
      <w:r w:rsidR="009554F1" w:rsidRPr="00862632">
        <w:rPr>
          <w:rStyle w:val="FootnoteReference"/>
          <w:lang w:val="es-ES"/>
        </w:rPr>
        <w:footnoteReference w:id="111"/>
      </w:r>
      <w:r w:rsidR="009554F1" w:rsidRPr="00862632">
        <w:rPr>
          <w:lang w:val="es-ES"/>
        </w:rPr>
        <w:t xml:space="preserve"> [</w:t>
      </w:r>
      <w:r w:rsidR="007C1231">
        <w:rPr>
          <w:lang w:val="es-ES"/>
        </w:rPr>
        <w:t>origen</w:t>
      </w:r>
      <w:r w:rsidR="009554F1" w:rsidRPr="00862632">
        <w:rPr>
          <w:lang w:val="es-ES"/>
        </w:rPr>
        <w:t xml:space="preserve">: </w:t>
      </w:r>
      <w:hyperlink r:id="rId64" w:history="1">
        <w:r w:rsidR="009554F1" w:rsidRPr="00C442B0">
          <w:rPr>
            <w:rStyle w:val="Hyperlink"/>
            <w:lang w:val="es-ES"/>
          </w:rPr>
          <w:t>Argelia</w:t>
        </w:r>
      </w:hyperlink>
      <w:r w:rsidR="009554F1" w:rsidRPr="00862632">
        <w:rPr>
          <w:rStyle w:val="FootnoteReference"/>
          <w:lang w:val="es-ES"/>
        </w:rPr>
        <w:footnoteReference w:id="112"/>
      </w:r>
      <w:r w:rsidR="009554F1" w:rsidRPr="00862632">
        <w:rPr>
          <w:lang w:val="es-ES"/>
        </w:rPr>
        <w:t>] y podría hacerse más para fomentar el despliegue y la migración armoniosa al IPv6. Según algunos, el despliegue del IPv6 debería ser un objetivo claramente prioritario para los poderes públicos nacionales y todos los interesados, a fin de aumentar el ritmo del despliegue del IPv6</w:t>
      </w:r>
      <w:r w:rsidR="009554F1" w:rsidRPr="00862632">
        <w:rPr>
          <w:rStyle w:val="FootnoteReference"/>
          <w:lang w:val="es-ES"/>
        </w:rPr>
        <w:footnoteReference w:id="113"/>
      </w:r>
      <w:r w:rsidR="009554F1" w:rsidRPr="00862632">
        <w:rPr>
          <w:lang w:val="es-ES"/>
        </w:rPr>
        <w:t>. La AMNT-08, la CMDT-10 y la Conferencia de Plenipotenciarios de 2010 elaboraron Resoluciones relacionadas con el direccionamiento IP, en las cuales destacaron la necesidad de aumentar las capacidades humanas y la capacitación con respecto al despliegue de direcciones IPv6.</w:t>
      </w:r>
    </w:p>
    <w:p w:rsidR="009554F1" w:rsidRPr="00862632" w:rsidRDefault="00EE0715" w:rsidP="009E0D5F">
      <w:pPr>
        <w:pStyle w:val="enumlev1"/>
        <w:rPr>
          <w:szCs w:val="24"/>
          <w:lang w:val="es-ES"/>
        </w:rPr>
      </w:pPr>
      <w:r w:rsidRPr="00862632">
        <w:rPr>
          <w:lang w:val="es-ES"/>
        </w:rPr>
        <w:t>f</w:t>
      </w:r>
      <w:r w:rsidR="00CF5949" w:rsidRPr="00862632">
        <w:rPr>
          <w:lang w:val="es-ES"/>
        </w:rPr>
        <w:t>)</w:t>
      </w:r>
      <w:r w:rsidR="00CF5949" w:rsidRPr="00862632">
        <w:rPr>
          <w:lang w:val="es-ES"/>
        </w:rPr>
        <w:tab/>
      </w:r>
      <w:r w:rsidR="00A45C13" w:rsidRPr="00862632">
        <w:rPr>
          <w:lang w:val="es-ES"/>
        </w:rPr>
        <w:t xml:space="preserve">Hay quien opina </w:t>
      </w:r>
      <w:r w:rsidR="009554F1" w:rsidRPr="00862632">
        <w:rPr>
          <w:lang w:val="es-ES"/>
        </w:rPr>
        <w:t xml:space="preserve">que las nuevas políticas de atribución de IPv6 podrían ser similares a las del IPv4, es decir por riguroso orden de solicitud con una necesidad </w:t>
      </w:r>
      <w:r w:rsidR="00BC5045">
        <w:rPr>
          <w:lang w:val="es-ES"/>
        </w:rPr>
        <w:t>"</w:t>
      </w:r>
      <w:r w:rsidR="009554F1" w:rsidRPr="00862632">
        <w:rPr>
          <w:lang w:val="es-ES"/>
        </w:rPr>
        <w:t>demostrada</w:t>
      </w:r>
      <w:r w:rsidR="00BC5045">
        <w:rPr>
          <w:lang w:val="es-ES"/>
        </w:rPr>
        <w:t>"</w:t>
      </w:r>
      <w:r w:rsidR="009554F1" w:rsidRPr="00862632">
        <w:rPr>
          <w:lang w:val="es-ES"/>
        </w:rPr>
        <w:t>. No obstante, algunos consideran que puede ser motivo de inquietud</w:t>
      </w:r>
      <w:r w:rsidR="009554F1" w:rsidRPr="00862632">
        <w:rPr>
          <w:rStyle w:val="FootnoteReference"/>
          <w:lang w:val="es-ES"/>
        </w:rPr>
        <w:footnoteReference w:id="114"/>
      </w:r>
      <w:r w:rsidR="009554F1" w:rsidRPr="00862632">
        <w:rPr>
          <w:lang w:val="es-ES"/>
        </w:rPr>
        <w:t>. Advierten que esta política ha conducido a la ocupación de un volumen sustancial de direcciones IP finitas en el espacio de direcciones IPv4 y que puede ir en contra de los intereses de los últimos que las soliciten, especialmente los países en desarrollo. Por otra parte, muchos aducen que el espacio de direcciones IPv6 es prácticamente inagotable y que, por consiguiente, cualquier problema pasado de desequilibrio</w:t>
      </w:r>
      <w:r w:rsidR="00B740D0" w:rsidRPr="00862632">
        <w:rPr>
          <w:lang w:val="es-ES"/>
        </w:rPr>
        <w:t xml:space="preserve"> </w:t>
      </w:r>
      <w:r w:rsidR="009554F1" w:rsidRPr="00862632">
        <w:rPr>
          <w:lang w:val="es-ES"/>
        </w:rPr>
        <w:t>[</w:t>
      </w:r>
      <w:r w:rsidR="007C1231">
        <w:rPr>
          <w:lang w:val="es-ES"/>
        </w:rPr>
        <w:t>origen</w:t>
      </w:r>
      <w:r w:rsidR="009554F1" w:rsidRPr="00862632">
        <w:rPr>
          <w:lang w:val="es-ES"/>
        </w:rPr>
        <w:t xml:space="preserve">: </w:t>
      </w:r>
      <w:hyperlink r:id="rId65" w:history="1">
        <w:r w:rsidR="009554F1" w:rsidRPr="00652F74">
          <w:rPr>
            <w:rStyle w:val="Hyperlink"/>
            <w:lang w:val="es-ES"/>
          </w:rPr>
          <w:t>ARIN</w:t>
        </w:r>
      </w:hyperlink>
      <w:r w:rsidR="009554F1" w:rsidRPr="00862632">
        <w:rPr>
          <w:lang w:val="es-ES"/>
        </w:rPr>
        <w:t xml:space="preserve">, </w:t>
      </w:r>
      <w:hyperlink r:id="rId66" w:history="1">
        <w:hyperlink r:id="rId67" w:history="1">
          <w:r w:rsidR="009E0D5F" w:rsidRPr="00862632">
            <w:rPr>
              <w:rStyle w:val="Hyperlink"/>
              <w:rFonts w:cstheme="minorHAnsi"/>
              <w:lang w:val="es-ES"/>
            </w:rPr>
            <w:t>Cisco</w:t>
          </w:r>
        </w:hyperlink>
      </w:hyperlink>
      <w:r w:rsidR="00A45C13" w:rsidRPr="00862632">
        <w:rPr>
          <w:rStyle w:val="FootnoteReference"/>
          <w:lang w:val="es-ES"/>
        </w:rPr>
        <w:footnoteReference w:id="115"/>
      </w:r>
      <w:r w:rsidR="00A45C13" w:rsidRPr="00862632">
        <w:rPr>
          <w:lang w:val="es-ES"/>
        </w:rPr>
        <w:t>]</w:t>
      </w:r>
      <w:r w:rsidR="009554F1" w:rsidRPr="00862632">
        <w:rPr>
          <w:lang w:val="es-ES"/>
        </w:rPr>
        <w:t xml:space="preserve"> podría evitarse </w:t>
      </w:r>
      <w:r w:rsidR="00B740D0" w:rsidRPr="00862632">
        <w:rPr>
          <w:lang w:val="es-ES"/>
        </w:rPr>
        <w:t xml:space="preserve">en </w:t>
      </w:r>
      <w:r w:rsidR="009554F1" w:rsidRPr="00862632">
        <w:rPr>
          <w:lang w:val="es-ES"/>
        </w:rPr>
        <w:t xml:space="preserve">el futuro y que, por consiguiente, las antiguas políticas de atribución a los RIR serían viables para el IPv6. </w:t>
      </w:r>
      <w:r w:rsidR="00A45C13" w:rsidRPr="00862632">
        <w:rPr>
          <w:lang w:val="es-ES"/>
        </w:rPr>
        <w:t>Los que así opinan señalan que las políticas en materia de direcciones IPv</w:t>
      </w:r>
      <w:r w:rsidR="00E36D69" w:rsidRPr="00862632">
        <w:rPr>
          <w:lang w:val="es-ES"/>
        </w:rPr>
        <w:t>6</w:t>
      </w:r>
      <w:r w:rsidR="00A45C13" w:rsidRPr="00862632">
        <w:rPr>
          <w:lang w:val="es-ES"/>
        </w:rPr>
        <w:t xml:space="preserve"> se aplican desde el principio, mientras que las políticas para IPv4 se aplicaron con carácter retroactivo [origen: </w:t>
      </w:r>
      <w:hyperlink r:id="rId68" w:history="1">
        <w:r w:rsidR="00A45C13" w:rsidRPr="0023443F">
          <w:rPr>
            <w:rStyle w:val="Hyperlink"/>
            <w:lang w:val="es-ES"/>
          </w:rPr>
          <w:t>Reino Unido</w:t>
        </w:r>
      </w:hyperlink>
      <w:r w:rsidR="00A45C13" w:rsidRPr="00862632">
        <w:rPr>
          <w:rStyle w:val="FootnoteReference"/>
          <w:lang w:val="es-ES"/>
        </w:rPr>
        <w:footnoteReference w:id="116"/>
      </w:r>
      <w:r w:rsidR="00A45C13" w:rsidRPr="00862632">
        <w:rPr>
          <w:lang w:val="es-ES"/>
        </w:rPr>
        <w:t>]</w:t>
      </w:r>
      <w:r w:rsidR="00C27922">
        <w:rPr>
          <w:lang w:val="es-ES"/>
        </w:rPr>
        <w:t>.</w:t>
      </w:r>
      <w:r w:rsidR="00A45C13" w:rsidRPr="00862632">
        <w:rPr>
          <w:lang w:val="es-ES"/>
        </w:rPr>
        <w:t xml:space="preserve"> En el </w:t>
      </w:r>
      <w:hyperlink r:id="rId69" w:history="1">
        <w:r w:rsidR="00A45C13" w:rsidRPr="00C27922">
          <w:rPr>
            <w:rStyle w:val="Hyperlink"/>
            <w:lang w:val="es-ES"/>
          </w:rPr>
          <w:t>Informe del Grupo de Trabajo de la CMSI sobre la Gobernanza de Internet (GTGI)</w:t>
        </w:r>
        <w:r w:rsidR="009554F1" w:rsidRPr="00C27922">
          <w:rPr>
            <w:rStyle w:val="Hyperlink"/>
            <w:lang w:val="es-ES"/>
          </w:rPr>
          <w:t xml:space="preserve"> de 2005</w:t>
        </w:r>
      </w:hyperlink>
      <w:r w:rsidR="009554F1" w:rsidRPr="00862632">
        <w:rPr>
          <w:lang w:val="es-ES"/>
        </w:rPr>
        <w:t xml:space="preserve"> se reconoce que la </w:t>
      </w:r>
      <w:r w:rsidR="00BC5045">
        <w:rPr>
          <w:lang w:val="es-ES"/>
        </w:rPr>
        <w:t>"</w:t>
      </w:r>
      <w:r w:rsidR="009554F1" w:rsidRPr="00862632">
        <w:rPr>
          <w:lang w:val="es-ES"/>
        </w:rPr>
        <w:t>gestión actual de la numeración es necesaria para garantizar una distribución equitativa de los recursos y el acceso para todos en el futuro</w:t>
      </w:r>
      <w:r w:rsidR="00BC5045">
        <w:rPr>
          <w:lang w:val="es-ES"/>
        </w:rPr>
        <w:t>"</w:t>
      </w:r>
      <w:r w:rsidR="009554F1" w:rsidRPr="00862632">
        <w:rPr>
          <w:lang w:val="es-ES"/>
        </w:rPr>
        <w:t>.</w:t>
      </w:r>
    </w:p>
    <w:p w:rsidR="009554F1" w:rsidRPr="00862632" w:rsidRDefault="00A45C13" w:rsidP="009E0D5F">
      <w:pPr>
        <w:pStyle w:val="enumlev1"/>
        <w:rPr>
          <w:lang w:val="es-ES"/>
        </w:rPr>
      </w:pPr>
      <w:r w:rsidRPr="00862632">
        <w:rPr>
          <w:lang w:val="es-ES"/>
        </w:rPr>
        <w:t>g</w:t>
      </w:r>
      <w:r w:rsidR="00B465CB" w:rsidRPr="00862632">
        <w:rPr>
          <w:lang w:val="es-ES"/>
        </w:rPr>
        <w:t>)</w:t>
      </w:r>
      <w:r w:rsidR="00B465CB" w:rsidRPr="00862632">
        <w:rPr>
          <w:lang w:val="es-ES"/>
        </w:rPr>
        <w:tab/>
      </w:r>
      <w:r w:rsidR="009554F1" w:rsidRPr="00862632">
        <w:rPr>
          <w:lang w:val="es-ES"/>
        </w:rPr>
        <w:t xml:space="preserve">Además, </w:t>
      </w:r>
      <w:r w:rsidRPr="00862632">
        <w:rPr>
          <w:lang w:val="es-ES"/>
        </w:rPr>
        <w:t xml:space="preserve">ahora </w:t>
      </w:r>
      <w:r w:rsidR="009554F1" w:rsidRPr="00862632">
        <w:rPr>
          <w:lang w:val="es-ES"/>
        </w:rPr>
        <w:t xml:space="preserve">que el IANA y el APNIC </w:t>
      </w:r>
      <w:r w:rsidRPr="00862632">
        <w:rPr>
          <w:lang w:val="es-ES"/>
        </w:rPr>
        <w:t xml:space="preserve">han </w:t>
      </w:r>
      <w:r w:rsidR="009554F1" w:rsidRPr="00862632">
        <w:rPr>
          <w:lang w:val="es-ES"/>
        </w:rPr>
        <w:t>agota</w:t>
      </w:r>
      <w:r w:rsidRPr="00862632">
        <w:rPr>
          <w:lang w:val="es-ES"/>
        </w:rPr>
        <w:t>do</w:t>
      </w:r>
      <w:r w:rsidR="009554F1" w:rsidRPr="00862632">
        <w:rPr>
          <w:lang w:val="es-ES"/>
        </w:rPr>
        <w:t xml:space="preserve"> sus conjuntos IPv4 gratuitos respectivamente en febrero y abril de 2011, en la actual fase de migración al IPv6, los PSI que utilizan ese protocolo todavía deben utilizar el IPv4 para poder acceder a </w:t>
      </w:r>
      <w:r w:rsidRPr="00862632">
        <w:rPr>
          <w:lang w:val="es-ES"/>
        </w:rPr>
        <w:t>gran parte del</w:t>
      </w:r>
      <w:r w:rsidR="009554F1" w:rsidRPr="00862632">
        <w:rPr>
          <w:lang w:val="es-ES"/>
        </w:rPr>
        <w:t xml:space="preserve"> contenido</w:t>
      </w:r>
      <w:r w:rsidR="009554F1" w:rsidRPr="00862632">
        <w:rPr>
          <w:rStyle w:val="FootnoteReference"/>
          <w:lang w:val="es-ES"/>
        </w:rPr>
        <w:footnoteReference w:id="117"/>
      </w:r>
      <w:r w:rsidR="009554F1" w:rsidRPr="00862632">
        <w:rPr>
          <w:lang w:val="es-ES"/>
        </w:rPr>
        <w:t xml:space="preserve"> y </w:t>
      </w:r>
      <w:r w:rsidRPr="00862632">
        <w:rPr>
          <w:lang w:val="es-ES"/>
        </w:rPr>
        <w:t xml:space="preserve">los </w:t>
      </w:r>
      <w:r w:rsidR="009554F1" w:rsidRPr="00862632">
        <w:rPr>
          <w:lang w:val="es-ES"/>
        </w:rPr>
        <w:t>usuarios</w:t>
      </w:r>
      <w:r w:rsidR="009554F1" w:rsidRPr="00862632">
        <w:rPr>
          <w:rStyle w:val="FootnoteReference"/>
          <w:lang w:val="es-ES"/>
        </w:rPr>
        <w:footnoteReference w:id="118"/>
      </w:r>
      <w:r w:rsidR="009554F1" w:rsidRPr="00862632">
        <w:rPr>
          <w:lang w:val="es-ES"/>
        </w:rPr>
        <w:t xml:space="preserve"> que todavía sólo utilizan el IPv4</w:t>
      </w:r>
      <w:r w:rsidRPr="00862632">
        <w:rPr>
          <w:lang w:val="es-ES"/>
        </w:rPr>
        <w:t>,</w:t>
      </w:r>
      <w:r w:rsidR="009554F1" w:rsidRPr="00862632">
        <w:rPr>
          <w:lang w:val="es-ES"/>
        </w:rPr>
        <w:t xml:space="preserve"> probablemente seguirán haciéndolo durante muchos años. Por consiguiente, la disponibilidad (o escasez) de direcciones IPv4 es un factor que sigue siendo pertinente. </w:t>
      </w:r>
      <w:r w:rsidRPr="00862632">
        <w:rPr>
          <w:lang w:val="es-ES"/>
        </w:rPr>
        <w:t xml:space="preserve">Hay quienes opinan que aún hay cantidades de espacio IPv4 disponibles y que las políticas de transferencia interregional ayudarán a paliar la posible escasez hasta que se pueda lograr una transición más completa a IPv6 [origen: </w:t>
      </w:r>
      <w:hyperlink r:id="rId70" w:history="1">
        <w:r w:rsidR="003C33B9" w:rsidRPr="003C33B9">
          <w:rPr>
            <w:rStyle w:val="Hyperlink"/>
            <w:rFonts w:eastAsiaTheme="minorEastAsia"/>
            <w:lang w:val="es-ES" w:eastAsia="zh-CN"/>
          </w:rPr>
          <w:t>PayPal</w:t>
        </w:r>
      </w:hyperlink>
      <w:r w:rsidRPr="00862632">
        <w:rPr>
          <w:rStyle w:val="FootnoteReference"/>
          <w:lang w:val="es-ES"/>
        </w:rPr>
        <w:footnoteReference w:id="119"/>
      </w:r>
      <w:r w:rsidRPr="00862632">
        <w:rPr>
          <w:lang w:val="es-ES"/>
        </w:rPr>
        <w:t xml:space="preserve">]. </w:t>
      </w:r>
      <w:r w:rsidR="009554F1" w:rsidRPr="00862632">
        <w:rPr>
          <w:lang w:val="es-ES"/>
        </w:rPr>
        <w:t>Se han adoptado políticas especiales para reservar a largo plazo bloques de direcciones IPv4 para las nuevas redes [</w:t>
      </w:r>
      <w:r w:rsidR="007C1231">
        <w:rPr>
          <w:lang w:val="es-ES"/>
        </w:rPr>
        <w:t>origen</w:t>
      </w:r>
      <w:r w:rsidR="009554F1" w:rsidRPr="00862632">
        <w:rPr>
          <w:lang w:val="es-ES"/>
        </w:rPr>
        <w:t xml:space="preserve">: </w:t>
      </w:r>
      <w:hyperlink r:id="rId71" w:history="1">
        <w:hyperlink r:id="rId72" w:history="1">
          <w:hyperlink r:id="rId73" w:history="1">
            <w:r w:rsidR="009E0D5F" w:rsidRPr="00862632">
              <w:rPr>
                <w:rStyle w:val="Hyperlink"/>
                <w:rFonts w:cstheme="minorHAnsi"/>
                <w:lang w:val="es-ES"/>
              </w:rPr>
              <w:t>Cisco</w:t>
            </w:r>
          </w:hyperlink>
          <w:r w:rsidR="009E0D5F" w:rsidRPr="00862632">
            <w:rPr>
              <w:lang w:val="es-ES"/>
            </w:rPr>
            <w:t xml:space="preserve">, </w:t>
          </w:r>
        </w:hyperlink>
      </w:hyperlink>
      <w:hyperlink r:id="rId74" w:history="1">
        <w:r w:rsidR="009554F1" w:rsidRPr="00862632">
          <w:rPr>
            <w:rStyle w:val="Hyperlink"/>
            <w:rFonts w:cstheme="minorHAnsi"/>
            <w:szCs w:val="22"/>
            <w:lang w:val="es-ES"/>
          </w:rPr>
          <w:t>ISOC</w:t>
        </w:r>
      </w:hyperlink>
      <w:r w:rsidR="009554F1" w:rsidRPr="00862632">
        <w:rPr>
          <w:lang w:val="es-ES"/>
        </w:rPr>
        <w:t xml:space="preserve">, </w:t>
      </w:r>
      <w:r w:rsidR="009554F1" w:rsidRPr="00862632">
        <w:rPr>
          <w:rStyle w:val="Hyperlink"/>
          <w:rFonts w:cstheme="minorHAnsi"/>
          <w:szCs w:val="22"/>
          <w:lang w:val="es-ES"/>
        </w:rPr>
        <w:t>ARIN</w:t>
      </w:r>
      <w:r w:rsidR="009554F1" w:rsidRPr="00862632">
        <w:rPr>
          <w:rStyle w:val="FootnoteReference"/>
          <w:lang w:val="es-ES"/>
        </w:rPr>
        <w:footnoteReference w:id="120"/>
      </w:r>
      <w:r w:rsidR="009554F1" w:rsidRPr="00862632">
        <w:rPr>
          <w:lang w:val="es-ES"/>
        </w:rPr>
        <w:t>]</w:t>
      </w:r>
      <w:r w:rsidRPr="00862632">
        <w:rPr>
          <w:lang w:val="es-ES"/>
        </w:rPr>
        <w:t xml:space="preserve"> a fin de</w:t>
      </w:r>
      <w:r w:rsidR="009554F1" w:rsidRPr="00862632">
        <w:rPr>
          <w:lang w:val="es-ES"/>
        </w:rPr>
        <w:t xml:space="preserve"> que las nuevas redes puedan conectarse a las Internet IPv4 e IPv6 </w:t>
      </w:r>
      <w:r w:rsidRPr="00862632">
        <w:rPr>
          <w:lang w:val="es-ES"/>
        </w:rPr>
        <w:t>hasta que</w:t>
      </w:r>
      <w:r w:rsidR="009554F1" w:rsidRPr="00862632">
        <w:rPr>
          <w:lang w:val="es-ES"/>
        </w:rPr>
        <w:t xml:space="preserve"> el IPv6 est</w:t>
      </w:r>
      <w:r w:rsidRPr="00862632">
        <w:rPr>
          <w:lang w:val="es-ES"/>
        </w:rPr>
        <w:t>é</w:t>
      </w:r>
      <w:r w:rsidR="009554F1" w:rsidRPr="00862632">
        <w:rPr>
          <w:lang w:val="es-ES"/>
        </w:rPr>
        <w:t xml:space="preserve"> totalmente </w:t>
      </w:r>
      <w:r w:rsidRPr="00862632">
        <w:rPr>
          <w:lang w:val="es-ES"/>
        </w:rPr>
        <w:t>implantado</w:t>
      </w:r>
      <w:r w:rsidR="009554F1" w:rsidRPr="00862632">
        <w:rPr>
          <w:lang w:val="es-ES"/>
        </w:rPr>
        <w:t>.</w:t>
      </w:r>
    </w:p>
    <w:p w:rsidR="009554F1" w:rsidRPr="00862632" w:rsidRDefault="00A45C13" w:rsidP="00C442B0">
      <w:pPr>
        <w:pStyle w:val="enumlev1"/>
        <w:rPr>
          <w:lang w:val="es-ES"/>
        </w:rPr>
      </w:pPr>
      <w:r w:rsidRPr="00862632">
        <w:rPr>
          <w:lang w:val="es-ES"/>
        </w:rPr>
        <w:t>h</w:t>
      </w:r>
      <w:r w:rsidR="00B465CB" w:rsidRPr="00862632">
        <w:rPr>
          <w:lang w:val="es-ES"/>
        </w:rPr>
        <w:t>)</w:t>
      </w:r>
      <w:r w:rsidR="00B465CB" w:rsidRPr="00862632">
        <w:rPr>
          <w:lang w:val="es-ES"/>
        </w:rPr>
        <w:tab/>
      </w:r>
      <w:r w:rsidR="009554F1" w:rsidRPr="00862632">
        <w:rPr>
          <w:lang w:val="es-ES"/>
        </w:rPr>
        <w:t>El agotamiento de las direcciones IPv4 y la migración al IPv6 ha impulsado a algunos a considerar que es necesario reformar la estructura de gobernanza de las direcciones IP a fin de mejorarla. Algunos declaran que cualquier reforma deberá efectuarse en el marco de las estructuras y los procesos existentes [</w:t>
      </w:r>
      <w:r w:rsidR="007C1231">
        <w:rPr>
          <w:lang w:val="es-ES"/>
        </w:rPr>
        <w:t>origen</w:t>
      </w:r>
      <w:r w:rsidR="009554F1" w:rsidRPr="00862632">
        <w:rPr>
          <w:lang w:val="es-ES"/>
        </w:rPr>
        <w:t xml:space="preserve">: </w:t>
      </w:r>
      <w:hyperlink r:id="rId75" w:history="1">
        <w:r w:rsidR="009000A3" w:rsidRPr="009000A3">
          <w:rPr>
            <w:rStyle w:val="Hyperlink"/>
            <w:lang w:val="es-ES"/>
          </w:rPr>
          <w:t>Reino Unido</w:t>
        </w:r>
      </w:hyperlink>
      <w:r w:rsidR="009554F1" w:rsidRPr="00862632">
        <w:rPr>
          <w:rStyle w:val="FootnoteReference"/>
          <w:lang w:val="es-ES"/>
        </w:rPr>
        <w:footnoteReference w:id="121"/>
      </w:r>
      <w:r w:rsidR="009554F1" w:rsidRPr="00862632">
        <w:rPr>
          <w:lang w:val="es-ES"/>
        </w:rPr>
        <w:t>]</w:t>
      </w:r>
      <w:r w:rsidR="009554F1" w:rsidRPr="00862632">
        <w:rPr>
          <w:rStyle w:val="FootnoteReference"/>
          <w:lang w:val="es-ES"/>
        </w:rPr>
        <w:footnoteReference w:id="122"/>
      </w:r>
      <w:r w:rsidR="009554F1" w:rsidRPr="00862632">
        <w:rPr>
          <w:rStyle w:val="FootnoteReference"/>
          <w:lang w:val="es-ES"/>
        </w:rPr>
        <w:t>,</w:t>
      </w:r>
      <w:r w:rsidR="00B465CB" w:rsidRPr="00862632">
        <w:rPr>
          <w:rStyle w:val="FootnoteReference"/>
          <w:lang w:val="es-ES"/>
        </w:rPr>
        <w:t xml:space="preserve"> </w:t>
      </w:r>
      <w:r w:rsidR="009554F1" w:rsidRPr="00862632">
        <w:rPr>
          <w:rStyle w:val="FootnoteReference"/>
          <w:lang w:val="es-ES"/>
        </w:rPr>
        <w:footnoteReference w:id="123"/>
      </w:r>
      <w:r w:rsidR="009554F1" w:rsidRPr="00862632">
        <w:rPr>
          <w:lang w:val="es-ES"/>
        </w:rPr>
        <w:t>, mientras que otros opinan que quizá no sea suficiente y que se necesita</w:t>
      </w:r>
      <w:r w:rsidRPr="00862632">
        <w:rPr>
          <w:lang w:val="es-ES"/>
        </w:rPr>
        <w:t>n</w:t>
      </w:r>
      <w:r w:rsidR="009554F1" w:rsidRPr="00862632">
        <w:rPr>
          <w:lang w:val="es-ES"/>
        </w:rPr>
        <w:t xml:space="preserve"> reforma</w:t>
      </w:r>
      <w:r w:rsidRPr="00862632">
        <w:rPr>
          <w:lang w:val="es-ES"/>
        </w:rPr>
        <w:t>s</w:t>
      </w:r>
      <w:r w:rsidR="009554F1" w:rsidRPr="00862632">
        <w:rPr>
          <w:lang w:val="es-ES"/>
        </w:rPr>
        <w:t xml:space="preserve"> más amplia</w:t>
      </w:r>
      <w:r w:rsidRPr="00862632">
        <w:rPr>
          <w:lang w:val="es-ES"/>
        </w:rPr>
        <w:t>s</w:t>
      </w:r>
      <w:r w:rsidR="009554F1" w:rsidRPr="00862632">
        <w:rPr>
          <w:lang w:val="es-ES"/>
        </w:rPr>
        <w:t xml:space="preserve"> [</w:t>
      </w:r>
      <w:r w:rsidR="007C1231">
        <w:rPr>
          <w:lang w:val="es-ES"/>
        </w:rPr>
        <w:t>origen</w:t>
      </w:r>
      <w:r w:rsidR="009554F1" w:rsidRPr="00862632">
        <w:rPr>
          <w:lang w:val="es-ES"/>
        </w:rPr>
        <w:t xml:space="preserve">: </w:t>
      </w:r>
      <w:hyperlink r:id="rId76" w:history="1">
        <w:r w:rsidR="00C442B0" w:rsidRPr="00C442B0">
          <w:rPr>
            <w:rStyle w:val="Hyperlink"/>
            <w:lang w:val="es-ES"/>
          </w:rPr>
          <w:t>Argelia</w:t>
        </w:r>
      </w:hyperlink>
      <w:r w:rsidR="009554F1" w:rsidRPr="00862632">
        <w:rPr>
          <w:rStyle w:val="FootnoteReference"/>
          <w:lang w:val="es-ES"/>
        </w:rPr>
        <w:footnoteReference w:id="124"/>
      </w:r>
      <w:r w:rsidR="009554F1" w:rsidRPr="00862632">
        <w:rPr>
          <w:lang w:val="es-ES"/>
        </w:rPr>
        <w:t>]</w:t>
      </w:r>
      <w:r w:rsidR="009554F1" w:rsidRPr="00862632">
        <w:rPr>
          <w:rStyle w:val="FootnoteReference"/>
          <w:lang w:val="es-ES"/>
        </w:rPr>
        <w:footnoteReference w:id="125"/>
      </w:r>
      <w:r w:rsidR="009554F1" w:rsidRPr="00862632">
        <w:rPr>
          <w:rStyle w:val="FootnoteReference"/>
          <w:lang w:val="es-ES"/>
        </w:rPr>
        <w:t>,</w:t>
      </w:r>
      <w:r w:rsidR="00B465CB" w:rsidRPr="00862632">
        <w:rPr>
          <w:rStyle w:val="FootnoteReference"/>
          <w:lang w:val="es-ES"/>
        </w:rPr>
        <w:t xml:space="preserve"> </w:t>
      </w:r>
      <w:r w:rsidR="009554F1" w:rsidRPr="00862632">
        <w:rPr>
          <w:rStyle w:val="FootnoteReference"/>
          <w:lang w:val="es-ES"/>
        </w:rPr>
        <w:footnoteReference w:id="126"/>
      </w:r>
      <w:r w:rsidR="009554F1" w:rsidRPr="00862632">
        <w:rPr>
          <w:lang w:val="es-ES"/>
        </w:rPr>
        <w:t>.</w:t>
      </w:r>
    </w:p>
    <w:p w:rsidR="009554F1" w:rsidRPr="00862632" w:rsidRDefault="00A45C13" w:rsidP="009000A3">
      <w:pPr>
        <w:pStyle w:val="enumlev1"/>
        <w:rPr>
          <w:szCs w:val="24"/>
          <w:lang w:val="es-ES"/>
        </w:rPr>
      </w:pPr>
      <w:r w:rsidRPr="00862632">
        <w:rPr>
          <w:lang w:val="es-ES"/>
        </w:rPr>
        <w:t>i</w:t>
      </w:r>
      <w:r w:rsidR="00B465CB" w:rsidRPr="00862632">
        <w:rPr>
          <w:lang w:val="es-ES"/>
        </w:rPr>
        <w:t>)</w:t>
      </w:r>
      <w:r w:rsidR="00B465CB" w:rsidRPr="00862632">
        <w:rPr>
          <w:lang w:val="es-ES"/>
        </w:rPr>
        <w:tab/>
      </w:r>
      <w:r w:rsidR="009554F1" w:rsidRPr="00862632">
        <w:rPr>
          <w:lang w:val="es-ES"/>
        </w:rPr>
        <w:t xml:space="preserve">En lo que hace en particular a la cuestión de la atribución de direcciones IPv6, el </w:t>
      </w:r>
      <w:r w:rsidR="00B740D0" w:rsidRPr="00862632">
        <w:rPr>
          <w:lang w:val="es-ES"/>
        </w:rPr>
        <w:t>G</w:t>
      </w:r>
      <w:r w:rsidR="009554F1" w:rsidRPr="00862632">
        <w:rPr>
          <w:lang w:val="es-ES"/>
        </w:rPr>
        <w:t xml:space="preserve">rupo IPv6 de la UIT, creado por el Consejo de la UIT bajo la dirección de los Directores de las Oficinas de Desarrollo y Normalización de la UIT, llegó a la conclusión de que </w:t>
      </w:r>
      <w:r w:rsidR="00BC5045">
        <w:rPr>
          <w:lang w:val="es-ES"/>
        </w:rPr>
        <w:t>"</w:t>
      </w:r>
      <w:r w:rsidR="009554F1" w:rsidRPr="00862632">
        <w:rPr>
          <w:lang w:val="es-ES"/>
        </w:rPr>
        <w:t>los procesos y políticas actuales de atribución de IPv6 atienden a las necesidades de los interesados</w:t>
      </w:r>
      <w:r w:rsidR="00BC5045">
        <w:rPr>
          <w:lang w:val="es-ES"/>
        </w:rPr>
        <w:t>"</w:t>
      </w:r>
      <w:r w:rsidR="009554F1" w:rsidRPr="00862632">
        <w:rPr>
          <w:rStyle w:val="FootnoteReference"/>
          <w:lang w:val="es-ES"/>
        </w:rPr>
        <w:footnoteReference w:id="127"/>
      </w:r>
      <w:r w:rsidR="009554F1" w:rsidRPr="00862632">
        <w:rPr>
          <w:lang w:val="es-ES"/>
        </w:rPr>
        <w:t>. A ese respecto, algunos preconizan la</w:t>
      </w:r>
      <w:r w:rsidR="009554F1" w:rsidRPr="00862632">
        <w:rPr>
          <w:szCs w:val="24"/>
          <w:lang w:val="es-ES"/>
        </w:rPr>
        <w:t xml:space="preserve"> </w:t>
      </w:r>
      <w:r w:rsidR="009554F1" w:rsidRPr="00862632">
        <w:rPr>
          <w:lang w:val="es-ES"/>
        </w:rPr>
        <w:t>organización de utilizaciones nacionales de las direcciones IPv6 en todas las regiones, en el marco de una nueva función de atribución de direcciones IPv6 encomendada a la UIT [</w:t>
      </w:r>
      <w:r w:rsidR="007C1231">
        <w:rPr>
          <w:lang w:val="es-ES"/>
        </w:rPr>
        <w:t>origen</w:t>
      </w:r>
      <w:r w:rsidR="009554F1" w:rsidRPr="00862632">
        <w:rPr>
          <w:lang w:val="es-ES"/>
        </w:rPr>
        <w:t xml:space="preserve">: </w:t>
      </w:r>
      <w:hyperlink r:id="rId77" w:history="1">
        <w:r w:rsidR="009554F1" w:rsidRPr="00862632">
          <w:rPr>
            <w:rStyle w:val="Hyperlink"/>
            <w:rFonts w:cstheme="minorHAnsi"/>
            <w:szCs w:val="22"/>
            <w:lang w:val="es-ES"/>
          </w:rPr>
          <w:t>Rusia</w:t>
        </w:r>
      </w:hyperlink>
      <w:r w:rsidR="009554F1" w:rsidRPr="00862632">
        <w:rPr>
          <w:lang w:val="es-ES"/>
        </w:rPr>
        <w:t xml:space="preserve">, </w:t>
      </w:r>
      <w:hyperlink r:id="rId78" w:history="1">
        <w:r w:rsidR="009554F1" w:rsidRPr="00862632">
          <w:rPr>
            <w:rStyle w:val="Hyperlink"/>
            <w:rFonts w:cstheme="minorHAnsi"/>
            <w:szCs w:val="22"/>
            <w:lang w:val="es-ES"/>
          </w:rPr>
          <w:t>Argelia</w:t>
        </w:r>
      </w:hyperlink>
      <w:r w:rsidR="009554F1" w:rsidRPr="00862632">
        <w:rPr>
          <w:rStyle w:val="FootnoteReference"/>
          <w:lang w:val="es-ES"/>
        </w:rPr>
        <w:footnoteReference w:id="128"/>
      </w:r>
      <w:r w:rsidR="009554F1" w:rsidRPr="00862632">
        <w:rPr>
          <w:lang w:val="es-ES"/>
        </w:rPr>
        <w:t xml:space="preserve">], mientras que otros consideran que los actuales sistemas de atribución de IPv6 </w:t>
      </w:r>
      <w:r w:rsidRPr="00862632">
        <w:rPr>
          <w:lang w:val="es-ES"/>
        </w:rPr>
        <w:t xml:space="preserve">y los procesos de los Registros Internet Regionales existentes </w:t>
      </w:r>
      <w:r w:rsidR="009554F1" w:rsidRPr="00862632">
        <w:rPr>
          <w:lang w:val="es-ES"/>
        </w:rPr>
        <w:t>son adecuados y que el principal objetivo debería consistir en identificar posibilidades de fomentar la adopción del IPv6 por los interesados [</w:t>
      </w:r>
      <w:r w:rsidR="007C1231">
        <w:rPr>
          <w:lang w:val="es-ES"/>
        </w:rPr>
        <w:t>origen</w:t>
      </w:r>
      <w:r w:rsidR="009554F1" w:rsidRPr="00862632">
        <w:rPr>
          <w:lang w:val="es-ES"/>
        </w:rPr>
        <w:t xml:space="preserve">: </w:t>
      </w:r>
      <w:hyperlink r:id="rId79" w:history="1">
        <w:r w:rsidR="009000A3" w:rsidRPr="009000A3">
          <w:rPr>
            <w:rStyle w:val="Hyperlink"/>
            <w:lang w:val="es-ES"/>
          </w:rPr>
          <w:t>Reino Unido</w:t>
        </w:r>
      </w:hyperlink>
      <w:r w:rsidR="009554F1" w:rsidRPr="00862632">
        <w:rPr>
          <w:vertAlign w:val="superscript"/>
          <w:lang w:val="es-ES"/>
        </w:rPr>
        <w:footnoteReference w:id="129"/>
      </w:r>
      <w:r w:rsidR="009554F1" w:rsidRPr="00862632">
        <w:rPr>
          <w:lang w:val="es-ES"/>
        </w:rPr>
        <w:t>].</w:t>
      </w:r>
    </w:p>
    <w:p w:rsidR="009554F1" w:rsidRPr="00862632" w:rsidRDefault="00A45C13" w:rsidP="0016466E">
      <w:pPr>
        <w:pStyle w:val="enumlev1"/>
        <w:rPr>
          <w:lang w:val="es-ES"/>
        </w:rPr>
      </w:pPr>
      <w:r w:rsidRPr="00862632">
        <w:rPr>
          <w:lang w:val="es-ES"/>
        </w:rPr>
        <w:t>j</w:t>
      </w:r>
      <w:r w:rsidR="00B465CB" w:rsidRPr="00862632">
        <w:rPr>
          <w:lang w:val="es-ES"/>
        </w:rPr>
        <w:t>)</w:t>
      </w:r>
      <w:r w:rsidR="00B465CB" w:rsidRPr="00862632">
        <w:rPr>
          <w:lang w:val="es-ES"/>
        </w:rPr>
        <w:tab/>
      </w:r>
      <w:r w:rsidR="009554F1" w:rsidRPr="00862632">
        <w:rPr>
          <w:lang w:val="es-ES"/>
        </w:rPr>
        <w:t>A medida que evoluciona Internet</w:t>
      </w:r>
      <w:r w:rsidRPr="00862632">
        <w:rPr>
          <w:lang w:val="es-ES"/>
        </w:rPr>
        <w:t>,</w:t>
      </w:r>
      <w:r w:rsidR="009554F1" w:rsidRPr="00862632">
        <w:rPr>
          <w:lang w:val="es-ES"/>
        </w:rPr>
        <w:t xml:space="preserve"> las posibilidades de abusar de los recursos de Internet aumentan. </w:t>
      </w:r>
      <w:r w:rsidRPr="00862632">
        <w:rPr>
          <w:lang w:val="es-ES"/>
        </w:rPr>
        <w:t>En respuesta a algunos fallos de encaminamiento y a llamamientos internacionales en pro de una mayor seguridad, s</w:t>
      </w:r>
      <w:r w:rsidR="009554F1" w:rsidRPr="00862632">
        <w:rPr>
          <w:lang w:val="es-ES"/>
        </w:rPr>
        <w:t>e están produciendo cambios importantes de las políticas de encaminamiento y direccionamiento de Internet a fin de incorporar nuevas medidas para garantizar la autenticación. El recurso infraestructura de clave pública (RPKI)</w:t>
      </w:r>
      <w:r w:rsidR="009554F1" w:rsidRPr="00862632">
        <w:rPr>
          <w:rStyle w:val="FootnoteReference"/>
          <w:lang w:val="es-ES"/>
        </w:rPr>
        <w:footnoteReference w:id="130"/>
      </w:r>
      <w:r w:rsidR="009554F1" w:rsidRPr="00862632">
        <w:rPr>
          <w:lang w:val="es-ES"/>
        </w:rPr>
        <w:t xml:space="preserve"> es una tecnología de seguridad que crearía una jerarquía de certificados digitales que se utilizarían para autenti</w:t>
      </w:r>
      <w:r w:rsidRPr="00862632">
        <w:rPr>
          <w:lang w:val="es-ES"/>
        </w:rPr>
        <w:t>fi</w:t>
      </w:r>
      <w:r w:rsidR="009554F1" w:rsidRPr="00862632">
        <w:rPr>
          <w:lang w:val="es-ES"/>
        </w:rPr>
        <w:t>car</w:t>
      </w:r>
      <w:r w:rsidRPr="00862632">
        <w:rPr>
          <w:lang w:val="es-ES"/>
        </w:rPr>
        <w:t xml:space="preserve"> la información asociada con las direcciones atribuidas</w:t>
      </w:r>
      <w:r w:rsidRPr="00862632">
        <w:rPr>
          <w:rStyle w:val="FootnoteReference"/>
          <w:lang w:val="es-ES"/>
        </w:rPr>
        <w:footnoteReference w:id="131"/>
      </w:r>
      <w:r w:rsidR="009554F1" w:rsidRPr="00862632">
        <w:rPr>
          <w:lang w:val="es-ES"/>
        </w:rPr>
        <w:t>. Los PSI utilizarían esos certificados para proteger sus anuncios de encaminamiento a fin de mejorar la seguridad del sistema de encaminamiento mundial.</w:t>
      </w:r>
    </w:p>
    <w:p w:rsidR="00A45C13" w:rsidRPr="00862632" w:rsidRDefault="00A45C13" w:rsidP="00C27922">
      <w:pPr>
        <w:pStyle w:val="enumlev1"/>
        <w:rPr>
          <w:lang w:val="es-ES"/>
        </w:rPr>
      </w:pPr>
      <w:r w:rsidRPr="00862632">
        <w:rPr>
          <w:lang w:val="es-ES"/>
        </w:rPr>
        <w:t>k)</w:t>
      </w:r>
      <w:r w:rsidRPr="00862632">
        <w:rPr>
          <w:lang w:val="es-ES"/>
        </w:rPr>
        <w:tab/>
      </w:r>
      <w:r w:rsidR="00C27922" w:rsidRPr="00862632">
        <w:rPr>
          <w:lang w:val="es-ES"/>
        </w:rPr>
        <w:t xml:space="preserve">El </w:t>
      </w:r>
      <w:r w:rsidRPr="00862632">
        <w:rPr>
          <w:lang w:val="es-ES"/>
        </w:rPr>
        <w:t>RPKI permite a los usuarios de las redes públicas, como internet, verificar la autenticidad de</w:t>
      </w:r>
      <w:r w:rsidR="00E36D69" w:rsidRPr="00862632">
        <w:rPr>
          <w:lang w:val="es-ES"/>
        </w:rPr>
        <w:t xml:space="preserve"> </w:t>
      </w:r>
      <w:r w:rsidRPr="00862632">
        <w:rPr>
          <w:lang w:val="es-ES"/>
        </w:rPr>
        <w:t>los datos de registro de los recursos de numeración Internet (INR) que llevan la firma digital del creador de los datos. En otras palabras, RPKI ofrece un medio seguro de certificar la atribución de recursos de numeración internet, en particular los números del Sistema Autónomo (AS) y las direcciones IP. La estructura del certificado es idéntica a la manera en que se distribuyen los INR: el IANA distribuye los recursos a los RIR, que a su vez los atribuyen a los Registros Internet Locales (LIR), que</w:t>
      </w:r>
      <w:r w:rsidR="00BA1F3F">
        <w:rPr>
          <w:lang w:val="es-ES"/>
        </w:rPr>
        <w:t xml:space="preserve"> </w:t>
      </w:r>
      <w:r w:rsidRPr="00862632">
        <w:rPr>
          <w:lang w:val="es-ES"/>
        </w:rPr>
        <w:t>posteriormente asignan los recursos a sus clientes. Cada RIR tiene su</w:t>
      </w:r>
      <w:r w:rsidR="00C27922">
        <w:rPr>
          <w:lang w:val="es-ES"/>
        </w:rPr>
        <w:t>s</w:t>
      </w:r>
      <w:r w:rsidRPr="00862632">
        <w:rPr>
          <w:lang w:val="es-ES"/>
        </w:rPr>
        <w:t xml:space="preserve"> directrices y procesos RPKI publicados en su sitio web [origen: </w:t>
      </w:r>
      <w:hyperlink r:id="rId80" w:history="1">
        <w:r w:rsidRPr="00016664">
          <w:rPr>
            <w:rStyle w:val="Hyperlink"/>
            <w:lang w:val="es-ES"/>
          </w:rPr>
          <w:t>ISOC</w:t>
        </w:r>
      </w:hyperlink>
      <w:r w:rsidRPr="00862632">
        <w:rPr>
          <w:rStyle w:val="FootnoteReference"/>
          <w:lang w:val="es-ES"/>
        </w:rPr>
        <w:footnoteReference w:id="132"/>
      </w:r>
      <w:r w:rsidRPr="00862632">
        <w:rPr>
          <w:lang w:val="es-ES"/>
        </w:rPr>
        <w:t>].</w:t>
      </w:r>
    </w:p>
    <w:p w:rsidR="009554F1" w:rsidRPr="00862632" w:rsidRDefault="00A45C13" w:rsidP="0016466E">
      <w:pPr>
        <w:pStyle w:val="enumlev1"/>
        <w:rPr>
          <w:lang w:val="es-ES"/>
        </w:rPr>
      </w:pPr>
      <w:r w:rsidRPr="00862632">
        <w:rPr>
          <w:lang w:val="es-ES"/>
        </w:rPr>
        <w:t>l</w:t>
      </w:r>
      <w:r w:rsidR="00B465CB" w:rsidRPr="00862632">
        <w:rPr>
          <w:lang w:val="es-ES"/>
        </w:rPr>
        <w:t>)</w:t>
      </w:r>
      <w:r w:rsidR="00B465CB" w:rsidRPr="00862632">
        <w:rPr>
          <w:lang w:val="es-ES"/>
        </w:rPr>
        <w:tab/>
      </w:r>
      <w:r w:rsidR="009554F1" w:rsidRPr="00862632">
        <w:rPr>
          <w:lang w:val="es-ES"/>
        </w:rPr>
        <w:t xml:space="preserve">Algunos previenen que una jerarquía mundial tan rígida podría impulsar a confiar en un solo sistema y que </w:t>
      </w:r>
      <w:r w:rsidR="00BC5045">
        <w:rPr>
          <w:lang w:val="es-ES"/>
        </w:rPr>
        <w:t>"</w:t>
      </w:r>
      <w:r w:rsidR="009554F1" w:rsidRPr="00862632">
        <w:rPr>
          <w:lang w:val="es-ES"/>
        </w:rPr>
        <w:t>si se utiliza el RPKI es de temer que pueda afectar al crecimiento, la libertad y el proceso democrático que representa actualmente Internet</w:t>
      </w:r>
      <w:r w:rsidR="00BC5045">
        <w:rPr>
          <w:lang w:val="es-ES"/>
        </w:rPr>
        <w:t>"</w:t>
      </w:r>
      <w:r w:rsidR="009554F1" w:rsidRPr="00862632">
        <w:rPr>
          <w:lang w:val="es-ES"/>
        </w:rPr>
        <w:t xml:space="preserve"> [</w:t>
      </w:r>
      <w:r w:rsidR="007C1231">
        <w:rPr>
          <w:lang w:val="es-ES"/>
        </w:rPr>
        <w:t>origen</w:t>
      </w:r>
      <w:r w:rsidR="009554F1" w:rsidRPr="00862632">
        <w:rPr>
          <w:lang w:val="es-ES"/>
        </w:rPr>
        <w:t>: Nav6, University Sains Malaysia</w:t>
      </w:r>
      <w:r w:rsidR="009554F1" w:rsidRPr="00862632">
        <w:rPr>
          <w:rStyle w:val="FootnoteReference"/>
          <w:lang w:val="es-ES"/>
        </w:rPr>
        <w:footnoteReference w:id="133"/>
      </w:r>
      <w:r w:rsidR="009554F1" w:rsidRPr="00862632">
        <w:rPr>
          <w:lang w:val="es-ES"/>
        </w:rPr>
        <w:t>]. Según el Proyecto de Gobernanza de Internet basado en la Universidad de Syracuse</w:t>
      </w:r>
      <w:r w:rsidR="009554F1" w:rsidRPr="00862632">
        <w:rPr>
          <w:rStyle w:val="FootnoteReference"/>
          <w:lang w:val="es-ES"/>
        </w:rPr>
        <w:footnoteReference w:id="134"/>
      </w:r>
      <w:r w:rsidR="009554F1" w:rsidRPr="00862632">
        <w:rPr>
          <w:lang w:val="es-ES"/>
        </w:rPr>
        <w:t>:</w:t>
      </w:r>
    </w:p>
    <w:p w:rsidR="009554F1" w:rsidRPr="006B4E25" w:rsidRDefault="00B465CB" w:rsidP="0016466E">
      <w:pPr>
        <w:pStyle w:val="enumlev1"/>
        <w:rPr>
          <w:i/>
          <w:iCs/>
          <w:lang w:val="es-ES"/>
        </w:rPr>
      </w:pPr>
      <w:r w:rsidRPr="006B4E25">
        <w:rPr>
          <w:i/>
          <w:iCs/>
          <w:lang w:val="es-ES"/>
        </w:rPr>
        <w:tab/>
      </w:r>
      <w:r w:rsidR="00BC5045" w:rsidRPr="006B4E25">
        <w:rPr>
          <w:i/>
          <w:iCs/>
          <w:lang w:val="es-ES"/>
        </w:rPr>
        <w:t>"</w:t>
      </w:r>
      <w:r w:rsidR="009554F1" w:rsidRPr="006B4E25">
        <w:rPr>
          <w:i/>
          <w:iCs/>
          <w:lang w:val="es-ES"/>
        </w:rPr>
        <w:t>La característica esencial de la solución RPKI propuesta es tratar de establecer un vínculo entre los certificados de recursos y las fuentes fidedignas de recursos Internet, a saber la ICANN y los RIR. Esta solución podría cambiar radicalmente la función de gobernanza de sus organismos</w:t>
      </w:r>
      <w:r w:rsidR="00BC5045" w:rsidRPr="006B4E25">
        <w:rPr>
          <w:i/>
          <w:iCs/>
          <w:lang w:val="es-ES"/>
        </w:rPr>
        <w:t>"</w:t>
      </w:r>
      <w:r w:rsidR="009554F1" w:rsidRPr="006B4E25">
        <w:rPr>
          <w:i/>
          <w:iCs/>
          <w:lang w:val="es-ES"/>
        </w:rPr>
        <w:t>.</w:t>
      </w:r>
    </w:p>
    <w:p w:rsidR="00344D10" w:rsidRPr="00862632" w:rsidRDefault="00A45C13" w:rsidP="0016466E">
      <w:pPr>
        <w:pStyle w:val="enumlev1"/>
        <w:rPr>
          <w:lang w:val="es-ES"/>
        </w:rPr>
      </w:pPr>
      <w:r w:rsidRPr="00862632">
        <w:rPr>
          <w:lang w:val="es-ES"/>
        </w:rPr>
        <w:t>m</w:t>
      </w:r>
      <w:r w:rsidR="00B465CB" w:rsidRPr="00862632">
        <w:rPr>
          <w:lang w:val="es-ES"/>
        </w:rPr>
        <w:t>)</w:t>
      </w:r>
      <w:r w:rsidR="00B465CB" w:rsidRPr="00862632">
        <w:rPr>
          <w:lang w:val="es-ES"/>
        </w:rPr>
        <w:tab/>
      </w:r>
      <w:r w:rsidR="009554F1" w:rsidRPr="00862632">
        <w:rPr>
          <w:lang w:val="es-ES"/>
        </w:rPr>
        <w:t>Algunos especifican que, si bien la solución RPKI es un instrumento útil para proporcionar una autenti</w:t>
      </w:r>
      <w:r w:rsidRPr="00862632">
        <w:rPr>
          <w:lang w:val="es-ES"/>
        </w:rPr>
        <w:t>fi</w:t>
      </w:r>
      <w:r w:rsidR="009554F1" w:rsidRPr="00862632">
        <w:rPr>
          <w:lang w:val="es-ES"/>
        </w:rPr>
        <w:t xml:space="preserve">cación a otros usuarios, son los operadores de redes los que </w:t>
      </w:r>
      <w:r w:rsidRPr="00862632">
        <w:rPr>
          <w:lang w:val="es-ES"/>
        </w:rPr>
        <w:t>tienen la posibilidad de decidir si</w:t>
      </w:r>
      <w:r w:rsidR="009554F1" w:rsidRPr="00862632">
        <w:rPr>
          <w:lang w:val="es-ES"/>
        </w:rPr>
        <w:t xml:space="preserve"> utilizarla o no [</w:t>
      </w:r>
      <w:r w:rsidR="007C1231">
        <w:rPr>
          <w:lang w:val="es-ES"/>
        </w:rPr>
        <w:t>origen</w:t>
      </w:r>
      <w:r w:rsidR="009554F1" w:rsidRPr="00862632">
        <w:rPr>
          <w:lang w:val="es-ES"/>
        </w:rPr>
        <w:t xml:space="preserve">: </w:t>
      </w:r>
      <w:hyperlink r:id="rId81" w:history="1">
        <w:r w:rsidR="009554F1" w:rsidRPr="00862632">
          <w:rPr>
            <w:rStyle w:val="Hyperlink"/>
            <w:rFonts w:cstheme="minorHAnsi"/>
            <w:szCs w:val="22"/>
            <w:lang w:val="es-ES"/>
          </w:rPr>
          <w:t>ARIN</w:t>
        </w:r>
      </w:hyperlink>
      <w:r w:rsidR="009554F1" w:rsidRPr="00862632">
        <w:rPr>
          <w:lang w:val="es-ES"/>
        </w:rPr>
        <w:t xml:space="preserve">, </w:t>
      </w:r>
      <w:hyperlink r:id="rId82" w:history="1">
        <w:r w:rsidR="009554F1" w:rsidRPr="00862632">
          <w:rPr>
            <w:rStyle w:val="Hyperlink"/>
            <w:rFonts w:cstheme="minorHAnsi"/>
            <w:szCs w:val="22"/>
            <w:lang w:val="es-ES"/>
          </w:rPr>
          <w:t>ISOC</w:t>
        </w:r>
      </w:hyperlink>
      <w:r w:rsidR="009554F1" w:rsidRPr="00862632">
        <w:rPr>
          <w:rStyle w:val="FootnoteReference"/>
          <w:lang w:val="es-ES"/>
        </w:rPr>
        <w:footnoteReference w:id="135"/>
      </w:r>
      <w:r w:rsidR="009554F1" w:rsidRPr="00862632">
        <w:rPr>
          <w:lang w:val="es-ES"/>
        </w:rPr>
        <w:t>].</w:t>
      </w:r>
    </w:p>
    <w:p w:rsidR="00344D10" w:rsidRPr="00C64ABF" w:rsidRDefault="009554F1" w:rsidP="00C64ABF">
      <w:pPr>
        <w:rPr>
          <w:b/>
          <w:bCs/>
          <w:lang w:val="es-ES"/>
        </w:rPr>
      </w:pPr>
      <w:r w:rsidRPr="00C64ABF">
        <w:rPr>
          <w:b/>
          <w:bCs/>
          <w:lang w:val="es-ES"/>
        </w:rPr>
        <w:t>2.3.3.3</w:t>
      </w:r>
      <w:r w:rsidR="00B465CB" w:rsidRPr="00C64ABF">
        <w:rPr>
          <w:b/>
          <w:bCs/>
          <w:lang w:val="es-ES"/>
        </w:rPr>
        <w:tab/>
      </w:r>
      <w:r w:rsidRPr="00C64ABF">
        <w:rPr>
          <w:b/>
          <w:bCs/>
          <w:lang w:val="es-ES"/>
        </w:rPr>
        <w:t>Difusión de información sobre las redes basadas en el IP y repercusiones de su desarrollo para los Estados Miembros de la UIT, especialmente los países en desarrollo</w:t>
      </w:r>
    </w:p>
    <w:p w:rsidR="009554F1" w:rsidRPr="00862632" w:rsidRDefault="00EF2436" w:rsidP="0016466E">
      <w:pPr>
        <w:pStyle w:val="enumlev1"/>
        <w:rPr>
          <w:lang w:val="es-ES"/>
        </w:rPr>
      </w:pPr>
      <w:r w:rsidRPr="00862632">
        <w:rPr>
          <w:lang w:val="es-ES"/>
        </w:rPr>
        <w:t>a)</w:t>
      </w:r>
      <w:r w:rsidRPr="00862632">
        <w:rPr>
          <w:lang w:val="es-ES"/>
        </w:rPr>
        <w:tab/>
      </w:r>
      <w:r w:rsidR="009554F1" w:rsidRPr="00862632">
        <w:rPr>
          <w:lang w:val="es-ES"/>
        </w:rPr>
        <w:t>Proporcionar un acceso abierto y equitativo a la información sobre recursos esenciales de Internet permitiendo la adaptación de procesos de política nacionales y/o regionales adecuados, en particular para las redes basadas en el IP, incluida la transición y migración del IPv4 al IPv6, y el despliegue de este último, los nombres de dominio y sus versiones internacionalizadas, de asegurar que los países mejoren la sensibilización sobre las cuestiones de política pública relacionadas con Internet, incluida la gobernanza de Internet, son consideraciones fundamentales para todos los interesados, incluidos los Estados Miembros de la UIT</w:t>
      </w:r>
      <w:r w:rsidR="009554F1" w:rsidRPr="00862632">
        <w:rPr>
          <w:rStyle w:val="FootnoteReference"/>
          <w:lang w:val="es-ES"/>
        </w:rPr>
        <w:footnoteReference w:id="136"/>
      </w:r>
      <w:r w:rsidR="009554F1" w:rsidRPr="00862632">
        <w:rPr>
          <w:lang w:val="es-ES"/>
        </w:rPr>
        <w:t>.</w:t>
      </w:r>
    </w:p>
    <w:p w:rsidR="009554F1" w:rsidRPr="00862632" w:rsidRDefault="00EF2436" w:rsidP="0016466E">
      <w:pPr>
        <w:pStyle w:val="enumlev1"/>
        <w:rPr>
          <w:lang w:val="es-ES"/>
        </w:rPr>
      </w:pPr>
      <w:r w:rsidRPr="00862632">
        <w:rPr>
          <w:lang w:val="es-ES"/>
        </w:rPr>
        <w:t>b)</w:t>
      </w:r>
      <w:r w:rsidRPr="00862632">
        <w:rPr>
          <w:lang w:val="es-ES"/>
        </w:rPr>
        <w:tab/>
      </w:r>
      <w:r w:rsidR="009554F1" w:rsidRPr="00862632">
        <w:rPr>
          <w:lang w:val="es-ES"/>
        </w:rPr>
        <w:t xml:space="preserve">Dada la aceleración del paso a las redes totalmente IP y la evolución de los actuales arreglos de gobernanza de Internet, muchos países en desarrollo </w:t>
      </w:r>
      <w:r w:rsidR="00A258D7" w:rsidRPr="00862632">
        <w:rPr>
          <w:lang w:val="es-ES"/>
        </w:rPr>
        <w:t xml:space="preserve">se han dado cuenta de que </w:t>
      </w:r>
      <w:r w:rsidR="009554F1" w:rsidRPr="00862632">
        <w:rPr>
          <w:lang w:val="es-ES"/>
        </w:rPr>
        <w:t>deben crear capacidades nacionales y mejorar su contribución y participación en la gestión y gobernanza efectiva de Internet</w:t>
      </w:r>
      <w:r w:rsidR="009554F1" w:rsidRPr="00862632">
        <w:rPr>
          <w:rStyle w:val="FootnoteReference"/>
          <w:lang w:val="es-ES"/>
        </w:rPr>
        <w:footnoteReference w:id="137"/>
      </w:r>
      <w:r w:rsidR="009554F1" w:rsidRPr="00862632">
        <w:rPr>
          <w:lang w:val="es-ES"/>
        </w:rPr>
        <w:t>.</w:t>
      </w:r>
    </w:p>
    <w:p w:rsidR="009554F1" w:rsidRPr="00862632" w:rsidRDefault="00EF2436" w:rsidP="0016466E">
      <w:pPr>
        <w:pStyle w:val="enumlev1"/>
        <w:rPr>
          <w:lang w:val="es-ES"/>
        </w:rPr>
      </w:pPr>
      <w:r w:rsidRPr="00862632">
        <w:rPr>
          <w:lang w:val="es-ES"/>
        </w:rPr>
        <w:t>c)</w:t>
      </w:r>
      <w:r w:rsidRPr="00862632">
        <w:rPr>
          <w:lang w:val="es-ES"/>
        </w:rPr>
        <w:tab/>
      </w:r>
      <w:r w:rsidR="009554F1" w:rsidRPr="00862632">
        <w:rPr>
          <w:lang w:val="es-ES"/>
        </w:rPr>
        <w:t>En las Resoluciones de la AMNT-08, la CMDT-10 y la PP-10 se señala la importancia de la coordinación y colaboración en lo que respecta al desarrollo y capacitación de capacidades humanas con respecto al despliegue de direcciones IPv6 y la transición del IPv4 al IPv6.</w:t>
      </w:r>
    </w:p>
    <w:p w:rsidR="009554F1" w:rsidRPr="00862632" w:rsidRDefault="00EF2436" w:rsidP="0016466E">
      <w:pPr>
        <w:pStyle w:val="enumlev1"/>
        <w:rPr>
          <w:lang w:val="es-ES"/>
        </w:rPr>
      </w:pPr>
      <w:r w:rsidRPr="00862632">
        <w:rPr>
          <w:lang w:val="es-ES"/>
        </w:rPr>
        <w:t>d)</w:t>
      </w:r>
      <w:r w:rsidRPr="00862632">
        <w:rPr>
          <w:lang w:val="es-ES"/>
        </w:rPr>
        <w:tab/>
      </w:r>
      <w:r w:rsidR="00A258D7" w:rsidRPr="00862632">
        <w:rPr>
          <w:lang w:val="es-ES"/>
        </w:rPr>
        <w:t>Los</w:t>
      </w:r>
      <w:r w:rsidR="009554F1" w:rsidRPr="00862632">
        <w:rPr>
          <w:lang w:val="es-ES"/>
        </w:rPr>
        <w:t xml:space="preserve"> participantes de países en desarrollo y PMA </w:t>
      </w:r>
      <w:r w:rsidR="00A258D7" w:rsidRPr="00862632">
        <w:rPr>
          <w:lang w:val="es-ES"/>
        </w:rPr>
        <w:t>pueden verse</w:t>
      </w:r>
      <w:r w:rsidR="009554F1" w:rsidRPr="00862632">
        <w:rPr>
          <w:lang w:val="es-ES"/>
        </w:rPr>
        <w:t xml:space="preserve"> desaventajados por los costes y necesidades de capacidades humanas significativos que entraña la participación en diversos foros mundiales en los cuales se abordan cuestiones técnicas y de política pública relacionadas con Internet</w:t>
      </w:r>
      <w:r w:rsidR="009554F1" w:rsidRPr="00862632">
        <w:rPr>
          <w:rStyle w:val="FootnoteReference"/>
          <w:lang w:val="es-ES"/>
        </w:rPr>
        <w:footnoteReference w:id="138"/>
      </w:r>
      <w:r w:rsidR="009554F1" w:rsidRPr="00862632">
        <w:rPr>
          <w:lang w:val="es-ES"/>
        </w:rPr>
        <w:t>. Se ha destacado a menudo que esta situación es un obstáculo a la participación equitativa en el proceso mundial abierto de adopción de decisiones sobre asuntos relacionados con Internet.</w:t>
      </w:r>
    </w:p>
    <w:p w:rsidR="00344D10" w:rsidRPr="00862632" w:rsidRDefault="00EF2436" w:rsidP="00BA1F3F">
      <w:pPr>
        <w:pStyle w:val="enumlev1"/>
        <w:rPr>
          <w:lang w:val="es-ES"/>
        </w:rPr>
      </w:pPr>
      <w:r w:rsidRPr="00862632">
        <w:rPr>
          <w:lang w:val="es-ES"/>
        </w:rPr>
        <w:t>e)</w:t>
      </w:r>
      <w:r w:rsidRPr="00862632">
        <w:rPr>
          <w:lang w:val="es-ES"/>
        </w:rPr>
        <w:tab/>
      </w:r>
      <w:r w:rsidR="009554F1" w:rsidRPr="00862632">
        <w:rPr>
          <w:lang w:val="es-ES"/>
        </w:rPr>
        <w:t>A fin de que los países en desarrollo y PMA puedan participar en los diversos foros mundiales en los cuales se abordan cuestiones técnicas y de política pública relacionadas con Internet, se están elaborando diversos programas de creación de capacidades, incluida la utilización de métodos de participación a distancia</w:t>
      </w:r>
      <w:r w:rsidR="00A258D7" w:rsidRPr="00862632">
        <w:rPr>
          <w:lang w:val="es-ES"/>
        </w:rPr>
        <w:t>, de políticas</w:t>
      </w:r>
      <w:r w:rsidR="00BA1F3F">
        <w:rPr>
          <w:lang w:val="es-ES"/>
        </w:rPr>
        <w:t xml:space="preserve"> </w:t>
      </w:r>
      <w:r w:rsidR="00A258D7" w:rsidRPr="00862632">
        <w:rPr>
          <w:lang w:val="es-ES"/>
        </w:rPr>
        <w:t>de participación inclusivas, de becas de viaje</w:t>
      </w:r>
      <w:r w:rsidR="009554F1" w:rsidRPr="00862632">
        <w:rPr>
          <w:lang w:val="es-ES"/>
        </w:rPr>
        <w:t xml:space="preserve"> y de trabajo electrónico. Convendría fomentar esas iniciativas, evaluarlas y revisarlas periódicamente a fin de facilitar un acceso equitativo a la participación en el proceso mundial abierto de adopción de decisiones sobre asuntos relacionados con Internet.</w:t>
      </w:r>
    </w:p>
    <w:p w:rsidR="00A258D7" w:rsidRPr="00862632" w:rsidRDefault="00A258D7" w:rsidP="00CD7920">
      <w:pPr>
        <w:pStyle w:val="enumlev1"/>
        <w:rPr>
          <w:lang w:val="es-ES"/>
        </w:rPr>
      </w:pPr>
      <w:r w:rsidRPr="00862632">
        <w:rPr>
          <w:lang w:val="es-ES"/>
        </w:rPr>
        <w:t>f)</w:t>
      </w:r>
      <w:r w:rsidRPr="00862632">
        <w:rPr>
          <w:lang w:val="es-ES"/>
        </w:rPr>
        <w:tab/>
        <w:t xml:space="preserve">Las organizaciones internacionales pertinentes reconocen la importancia de ampliar el horizonte de participación en sus procesos [origen: </w:t>
      </w:r>
      <w:hyperlink r:id="rId83" w:history="1">
        <w:r w:rsidR="00CD7920" w:rsidRPr="00CD7920">
          <w:rPr>
            <w:rStyle w:val="Hyperlink"/>
            <w:lang w:val="es-ES"/>
          </w:rPr>
          <w:t>Nominet</w:t>
        </w:r>
      </w:hyperlink>
      <w:r w:rsidRPr="00862632">
        <w:rPr>
          <w:rStyle w:val="FootnoteReference"/>
          <w:lang w:val="es-ES"/>
        </w:rPr>
        <w:footnoteReference w:id="139"/>
      </w:r>
      <w:r w:rsidRPr="00862632">
        <w:rPr>
          <w:lang w:val="es-ES"/>
        </w:rPr>
        <w:t xml:space="preserve">]. Pueden citarse como ejemplos de organizaciones internacionales con iniciativas para fomentar la participación a distancia la ccNSO [origen: </w:t>
      </w:r>
      <w:hyperlink r:id="rId84" w:history="1">
        <w:r w:rsidR="00CD7920" w:rsidRPr="00CD7920">
          <w:rPr>
            <w:rStyle w:val="Hyperlink"/>
            <w:lang w:val="es-ES"/>
          </w:rPr>
          <w:t>Nominet</w:t>
        </w:r>
      </w:hyperlink>
      <w:r w:rsidRPr="00862632">
        <w:rPr>
          <w:rStyle w:val="FootnoteReference"/>
          <w:lang w:val="es-ES"/>
        </w:rPr>
        <w:footnoteReference w:id="140"/>
      </w:r>
      <w:r w:rsidRPr="00862632">
        <w:rPr>
          <w:lang w:val="es-ES"/>
        </w:rPr>
        <w:t xml:space="preserve">], el IETF y la ISOC [origen: </w:t>
      </w:r>
      <w:hyperlink r:id="rId85" w:history="1">
        <w:r w:rsidR="00A26E96" w:rsidRPr="00A26E96">
          <w:rPr>
            <w:rStyle w:val="Hyperlink"/>
            <w:lang w:val="es-ES"/>
          </w:rPr>
          <w:t>EE.UU.</w:t>
        </w:r>
      </w:hyperlink>
      <w:r w:rsidRPr="00862632">
        <w:rPr>
          <w:rStyle w:val="FootnoteReference"/>
          <w:lang w:val="es-ES"/>
        </w:rPr>
        <w:footnoteReference w:id="141"/>
      </w:r>
      <w:r w:rsidRPr="00862632">
        <w:rPr>
          <w:lang w:val="es-ES"/>
        </w:rPr>
        <w:t>] y la UIT.</w:t>
      </w:r>
    </w:p>
    <w:p w:rsidR="00344D10" w:rsidRPr="00862632" w:rsidRDefault="009554F1" w:rsidP="0016466E">
      <w:pPr>
        <w:pStyle w:val="Heading3"/>
        <w:rPr>
          <w:lang w:val="es-ES"/>
        </w:rPr>
      </w:pPr>
      <w:r w:rsidRPr="00862632">
        <w:rPr>
          <w:lang w:val="es-ES"/>
        </w:rPr>
        <w:t>2.3.4</w:t>
      </w:r>
      <w:r w:rsidRPr="00862632">
        <w:rPr>
          <w:lang w:val="es-ES"/>
        </w:rPr>
        <w:tab/>
        <w:t>Cuestiones de política pública internacional y gestión de los recursos de Internet</w:t>
      </w:r>
    </w:p>
    <w:p w:rsidR="00344D10" w:rsidRPr="00C64ABF" w:rsidRDefault="009554F1" w:rsidP="00C64ABF">
      <w:pPr>
        <w:rPr>
          <w:b/>
          <w:bCs/>
          <w:lang w:val="es-ES"/>
        </w:rPr>
      </w:pPr>
      <w:r w:rsidRPr="00C64ABF">
        <w:rPr>
          <w:b/>
          <w:bCs/>
          <w:lang w:val="es-ES"/>
        </w:rPr>
        <w:t>2.3.4.1</w:t>
      </w:r>
      <w:r w:rsidRPr="00C64ABF">
        <w:rPr>
          <w:b/>
          <w:bCs/>
          <w:lang w:val="es-ES"/>
        </w:rPr>
        <w:tab/>
        <w:t>Dominios de nivel superior genéricos (gTLD) en el marco del sistema DNS</w:t>
      </w:r>
    </w:p>
    <w:p w:rsidR="009554F1" w:rsidRPr="00862632" w:rsidRDefault="00EF2436" w:rsidP="0016466E">
      <w:pPr>
        <w:pStyle w:val="enumlev1"/>
        <w:rPr>
          <w:lang w:val="es-ES"/>
        </w:rPr>
      </w:pPr>
      <w:r w:rsidRPr="00862632">
        <w:rPr>
          <w:lang w:val="es-ES"/>
        </w:rPr>
        <w:t>a)</w:t>
      </w:r>
      <w:r w:rsidRPr="00862632">
        <w:rPr>
          <w:lang w:val="es-ES"/>
        </w:rPr>
        <w:tab/>
      </w:r>
      <w:r w:rsidR="009554F1" w:rsidRPr="00862632">
        <w:rPr>
          <w:lang w:val="es-ES"/>
        </w:rPr>
        <w:t xml:space="preserve">El DNS especifica la estructura jerárquica de las autoridades de la delegación en la denominación de dominios. La jerarquía DNS, organizada de izquierda a derecha, se subdivide en dominios de nivel superior (TLD), dominios de segundo nivel (SLD) y así sucesivamente. Por ejemplo, en la dirección web de la UIT, www.itu.int, el TLD es </w:t>
      </w:r>
      <w:r w:rsidR="00BC5045">
        <w:rPr>
          <w:lang w:val="es-ES"/>
        </w:rPr>
        <w:t>"</w:t>
      </w:r>
      <w:r w:rsidR="009554F1" w:rsidRPr="00862632">
        <w:rPr>
          <w:lang w:val="es-ES"/>
        </w:rPr>
        <w:t>.int</w:t>
      </w:r>
      <w:r w:rsidR="00BC5045">
        <w:rPr>
          <w:lang w:val="es-ES"/>
        </w:rPr>
        <w:t>"</w:t>
      </w:r>
      <w:r w:rsidR="009554F1" w:rsidRPr="00862632">
        <w:rPr>
          <w:lang w:val="es-ES"/>
        </w:rPr>
        <w:t xml:space="preserve"> y el SLD es </w:t>
      </w:r>
      <w:r w:rsidR="00BC5045">
        <w:rPr>
          <w:lang w:val="es-ES"/>
        </w:rPr>
        <w:t>"</w:t>
      </w:r>
      <w:r w:rsidR="009554F1" w:rsidRPr="00862632">
        <w:rPr>
          <w:lang w:val="es-ES"/>
        </w:rPr>
        <w:t>itu</w:t>
      </w:r>
      <w:r w:rsidR="00BC5045">
        <w:rPr>
          <w:lang w:val="es-ES"/>
        </w:rPr>
        <w:t>"</w:t>
      </w:r>
      <w:r w:rsidR="009554F1" w:rsidRPr="00862632">
        <w:rPr>
          <w:lang w:val="es-ES"/>
        </w:rPr>
        <w:t xml:space="preserve">. Los TLD suelen catalogarse en dos grupos diferentes, a saber, </w:t>
      </w:r>
      <w:r w:rsidR="00175C95" w:rsidRPr="00862632">
        <w:rPr>
          <w:lang w:val="es-ES"/>
        </w:rPr>
        <w:t>dominios de nivel superior genéricos (</w:t>
      </w:r>
      <w:r w:rsidR="009554F1" w:rsidRPr="00862632">
        <w:rPr>
          <w:lang w:val="es-ES"/>
        </w:rPr>
        <w:t>gTLD</w:t>
      </w:r>
      <w:r w:rsidR="00175C95" w:rsidRPr="00862632">
        <w:rPr>
          <w:lang w:val="es-ES"/>
        </w:rPr>
        <w:t>)</w:t>
      </w:r>
      <w:r w:rsidR="009554F1" w:rsidRPr="00862632">
        <w:rPr>
          <w:lang w:val="es-ES"/>
        </w:rPr>
        <w:t xml:space="preserve"> y dominios de nivel superior de indicativo de país (ccTLD)</w:t>
      </w:r>
      <w:r w:rsidR="009554F1" w:rsidRPr="004366E5">
        <w:rPr>
          <w:rStyle w:val="FootnoteReference"/>
        </w:rPr>
        <w:footnoteReference w:id="142"/>
      </w:r>
      <w:r w:rsidR="009554F1" w:rsidRPr="00862632">
        <w:rPr>
          <w:lang w:val="es-ES"/>
        </w:rPr>
        <w:t>.</w:t>
      </w:r>
    </w:p>
    <w:p w:rsidR="009554F1" w:rsidRPr="00862632" w:rsidRDefault="00EF2436" w:rsidP="0016466E">
      <w:pPr>
        <w:pStyle w:val="enumlev1"/>
        <w:rPr>
          <w:lang w:val="es-ES"/>
        </w:rPr>
      </w:pPr>
      <w:r w:rsidRPr="00862632">
        <w:rPr>
          <w:lang w:val="es-ES"/>
        </w:rPr>
        <w:t>b)</w:t>
      </w:r>
      <w:r w:rsidRPr="00862632">
        <w:rPr>
          <w:lang w:val="es-ES"/>
        </w:rPr>
        <w:tab/>
      </w:r>
      <w:r w:rsidR="009554F1" w:rsidRPr="00862632">
        <w:rPr>
          <w:lang w:val="es-ES"/>
        </w:rPr>
        <w:t>Originalmente había un solo gTLD llamado .arpa, y a continuación se añadieron otros siete gTLD (.com, .org, .net, .gov, .edu, .mil y .int). Dado el aumento de la demanda de más gTLD, se añadieron al DNS varios otros gTLD (a saber, .biz, .info, .aero, .coop, and .post). Por lo general se añadía un nuevo gTLD al DNS en función de propuestas sometidas por la ICANN durante ciertos periodos de presentación de solicitudes</w:t>
      </w:r>
      <w:r w:rsidR="00175C95" w:rsidRPr="00862632">
        <w:rPr>
          <w:lang w:val="es-ES"/>
        </w:rPr>
        <w:t xml:space="preserve"> en 2000 y 2003</w:t>
      </w:r>
      <w:r w:rsidR="00175C95" w:rsidRPr="00862632">
        <w:rPr>
          <w:rStyle w:val="FootnoteReference"/>
          <w:lang w:val="es-ES"/>
        </w:rPr>
        <w:footnoteReference w:id="143"/>
      </w:r>
      <w:r w:rsidR="009554F1" w:rsidRPr="00862632">
        <w:rPr>
          <w:lang w:val="es-ES"/>
        </w:rPr>
        <w:t>. Existen actualmente 22 gTLD funcionales</w:t>
      </w:r>
      <w:r w:rsidR="009554F1" w:rsidRPr="00862632">
        <w:rPr>
          <w:rStyle w:val="FootnoteReference"/>
          <w:lang w:val="es-ES"/>
        </w:rPr>
        <w:footnoteReference w:id="144"/>
      </w:r>
      <w:r w:rsidR="009554F1" w:rsidRPr="00862632">
        <w:rPr>
          <w:lang w:val="es-ES"/>
        </w:rPr>
        <w:t>.</w:t>
      </w:r>
    </w:p>
    <w:p w:rsidR="009554F1" w:rsidRPr="00862632" w:rsidRDefault="00EF2436" w:rsidP="0016466E">
      <w:pPr>
        <w:pStyle w:val="enumlev1"/>
        <w:rPr>
          <w:lang w:val="es-ES"/>
        </w:rPr>
      </w:pPr>
      <w:r w:rsidRPr="00862632">
        <w:rPr>
          <w:lang w:val="es-ES"/>
        </w:rPr>
        <w:t>c)</w:t>
      </w:r>
      <w:r w:rsidRPr="00862632">
        <w:rPr>
          <w:lang w:val="es-ES"/>
        </w:rPr>
        <w:tab/>
      </w:r>
      <w:r w:rsidR="009554F1" w:rsidRPr="00862632">
        <w:rPr>
          <w:lang w:val="es-ES"/>
        </w:rPr>
        <w:t xml:space="preserve">El protocolo ENUM define un método que permite introducir indicativos de país conformes a la Recomendación E.164 en el DNS de Internet. Una zona específica en el gTLD .arpa, a saber </w:t>
      </w:r>
      <w:r w:rsidR="00BC5045">
        <w:rPr>
          <w:lang w:val="es-ES"/>
        </w:rPr>
        <w:t>"</w:t>
      </w:r>
      <w:r w:rsidR="009554F1" w:rsidRPr="00862632">
        <w:rPr>
          <w:lang w:val="es-ES"/>
        </w:rPr>
        <w:t>e164.arpa</w:t>
      </w:r>
      <w:r w:rsidR="00BC5045">
        <w:rPr>
          <w:lang w:val="es-ES"/>
        </w:rPr>
        <w:t>"</w:t>
      </w:r>
      <w:r w:rsidR="009554F1" w:rsidRPr="00862632">
        <w:rPr>
          <w:lang w:val="es-ES"/>
        </w:rPr>
        <w:t>, ha sido atribuida para ser utilizada con los números E.164 del ENUM. En la Resolución</w:t>
      </w:r>
      <w:r w:rsidRPr="00862632">
        <w:rPr>
          <w:lang w:val="es-ES"/>
        </w:rPr>
        <w:t> </w:t>
      </w:r>
      <w:r w:rsidR="009554F1" w:rsidRPr="00862632">
        <w:rPr>
          <w:lang w:val="es-ES"/>
        </w:rPr>
        <w:t>133 (Rev. Guadalajara, 2010) se reconoce la función y la soberanía actuales de los Estados Miembros de la UIT respecto a la asignación y la gestión de sus recursos de numeración para el código de país, que han sido consignadas en la Recomendación UIT-T E.164</w:t>
      </w:r>
      <w:r w:rsidR="009554F1" w:rsidRPr="00862632">
        <w:rPr>
          <w:rStyle w:val="FootnoteReference"/>
          <w:lang w:val="es-ES"/>
        </w:rPr>
        <w:footnoteReference w:id="145"/>
      </w:r>
      <w:r w:rsidR="009554F1" w:rsidRPr="00862632">
        <w:rPr>
          <w:lang w:val="es-ES"/>
        </w:rPr>
        <w:t>.</w:t>
      </w:r>
    </w:p>
    <w:p w:rsidR="009554F1" w:rsidRPr="00862632" w:rsidRDefault="00EF2436" w:rsidP="006B4E25">
      <w:pPr>
        <w:pStyle w:val="enumlev1"/>
        <w:rPr>
          <w:lang w:val="es-ES"/>
        </w:rPr>
      </w:pPr>
      <w:r w:rsidRPr="00862632">
        <w:rPr>
          <w:lang w:val="es-ES"/>
        </w:rPr>
        <w:t>d)</w:t>
      </w:r>
      <w:r w:rsidRPr="00862632">
        <w:rPr>
          <w:lang w:val="es-ES"/>
        </w:rPr>
        <w:tab/>
      </w:r>
      <w:r w:rsidR="00175C95" w:rsidRPr="00862632">
        <w:rPr>
          <w:lang w:val="es-ES"/>
        </w:rPr>
        <w:t xml:space="preserve">En 2005, la ICANN inició un proceso para elaborar las políticas y procedimientos necesarios para la introducción de un número ilimitado de nuevos gTLD. </w:t>
      </w:r>
      <w:r w:rsidR="009554F1" w:rsidRPr="00862632">
        <w:rPr>
          <w:lang w:val="es-ES"/>
        </w:rPr>
        <w:t xml:space="preserve">En junio de 2008 la ICANN anunció su nueva política de expansión de gTLD, en la cual cualquier entidad de los sectores público o privado puede presentar una solicitud con miras a crear y explotar un nuevo gTLD. La ICANN aclara que solicitar un nuevo gTLD no equivale a adquirir un </w:t>
      </w:r>
      <w:r w:rsidR="00175C95" w:rsidRPr="00862632">
        <w:rPr>
          <w:lang w:val="es-ES"/>
        </w:rPr>
        <w:t>SLD</w:t>
      </w:r>
      <w:r w:rsidR="009554F1" w:rsidRPr="00862632">
        <w:rPr>
          <w:lang w:val="es-ES"/>
        </w:rPr>
        <w:t xml:space="preserve"> por orden de solicitud</w:t>
      </w:r>
      <w:r w:rsidR="00175C95" w:rsidRPr="00862632">
        <w:rPr>
          <w:lang w:val="es-ES"/>
        </w:rPr>
        <w:t>. Los solicitantes de un nuevo gTLD activarán</w:t>
      </w:r>
      <w:r w:rsidR="009554F1" w:rsidRPr="00862632">
        <w:rPr>
          <w:lang w:val="es-ES"/>
        </w:rPr>
        <w:t xml:space="preserve"> una actividad de registro de un nuevo gTLD sobre la base de las capacidades técnicas y comerciales del solicitante y de su compromiso a aplicar efectivamente las políticas de la ICANN. Al cabo de más de tres años de preparaciones y consultas, la </w:t>
      </w:r>
      <w:r w:rsidR="00175C95" w:rsidRPr="00862632">
        <w:rPr>
          <w:lang w:val="es-ES"/>
        </w:rPr>
        <w:t xml:space="preserve">Junta Directiva de la </w:t>
      </w:r>
      <w:r w:rsidR="009554F1" w:rsidRPr="00862632">
        <w:rPr>
          <w:lang w:val="es-ES"/>
        </w:rPr>
        <w:t xml:space="preserve">ICANN </w:t>
      </w:r>
      <w:r w:rsidR="00175C95" w:rsidRPr="00862632">
        <w:rPr>
          <w:lang w:val="es-ES"/>
        </w:rPr>
        <w:t xml:space="preserve">aprobó las normas del nuevo programa gTLD en junio de 2011 [origen: </w:t>
      </w:r>
      <w:hyperlink r:id="rId86" w:history="1">
        <w:r w:rsidR="00A26E96" w:rsidRPr="00A26E96">
          <w:rPr>
            <w:rStyle w:val="Hyperlink"/>
            <w:lang w:val="es-ES"/>
          </w:rPr>
          <w:t>EE.UU.</w:t>
        </w:r>
      </w:hyperlink>
      <w:r w:rsidR="00175C95" w:rsidRPr="00862632">
        <w:rPr>
          <w:rStyle w:val="FootnoteReference"/>
          <w:lang w:val="es-ES"/>
        </w:rPr>
        <w:footnoteReference w:id="146"/>
      </w:r>
      <w:r w:rsidR="00175C95" w:rsidRPr="00862632">
        <w:rPr>
          <w:lang w:val="es-ES"/>
        </w:rPr>
        <w:t xml:space="preserve">], y la ICANN llevó a cabo </w:t>
      </w:r>
      <w:r w:rsidR="009554F1" w:rsidRPr="00862632">
        <w:rPr>
          <w:lang w:val="es-ES"/>
        </w:rPr>
        <w:t xml:space="preserve">la primera ronda de candidaturas de nuevos gTLD </w:t>
      </w:r>
      <w:r w:rsidR="00175C95" w:rsidRPr="00862632">
        <w:rPr>
          <w:lang w:val="es-ES"/>
        </w:rPr>
        <w:t>desde el</w:t>
      </w:r>
      <w:r w:rsidR="009554F1" w:rsidRPr="00862632">
        <w:rPr>
          <w:lang w:val="es-ES"/>
        </w:rPr>
        <w:t xml:space="preserve"> 12 de enero de 2012 </w:t>
      </w:r>
      <w:r w:rsidR="00175C95" w:rsidRPr="00862632">
        <w:rPr>
          <w:lang w:val="es-ES"/>
        </w:rPr>
        <w:t>hasta el</w:t>
      </w:r>
      <w:r w:rsidR="006B4E25">
        <w:rPr>
          <w:lang w:val="es-ES"/>
        </w:rPr>
        <w:t> </w:t>
      </w:r>
      <w:r w:rsidR="00175C95" w:rsidRPr="00862632">
        <w:rPr>
          <w:lang w:val="es-ES"/>
        </w:rPr>
        <w:t>30</w:t>
      </w:r>
      <w:r w:rsidR="006B4E25">
        <w:rPr>
          <w:lang w:val="es-ES"/>
        </w:rPr>
        <w:t> </w:t>
      </w:r>
      <w:r w:rsidR="00175C95" w:rsidRPr="00862632">
        <w:rPr>
          <w:lang w:val="es-ES"/>
        </w:rPr>
        <w:t>de mayo de 2012</w:t>
      </w:r>
      <w:r w:rsidR="009554F1" w:rsidRPr="00862632">
        <w:rPr>
          <w:lang w:val="es-ES"/>
        </w:rPr>
        <w:t>. Por cada cadena de gTLD solicitada debe presentarse una solicitud en línea a través del sistema de solicitudes en línea de la ICANN y a abonar un derecho de evaluación de</w:t>
      </w:r>
      <w:r w:rsidR="006B4E25">
        <w:rPr>
          <w:lang w:val="es-ES"/>
        </w:rPr>
        <w:t> </w:t>
      </w:r>
      <w:r w:rsidR="009554F1" w:rsidRPr="00862632">
        <w:rPr>
          <w:lang w:val="es-ES"/>
        </w:rPr>
        <w:t>185 000 USD por solicitud para cubrir los costes del proceso de evaluación.</w:t>
      </w:r>
    </w:p>
    <w:p w:rsidR="00175C95" w:rsidRPr="00862632" w:rsidRDefault="00175C95" w:rsidP="00CD7920">
      <w:pPr>
        <w:pStyle w:val="enumlev1"/>
        <w:rPr>
          <w:lang w:val="es-ES"/>
        </w:rPr>
      </w:pPr>
      <w:r w:rsidRPr="00862632">
        <w:rPr>
          <w:lang w:val="es-ES"/>
        </w:rPr>
        <w:t>e)</w:t>
      </w:r>
      <w:r w:rsidRPr="00862632">
        <w:rPr>
          <w:lang w:val="es-ES"/>
        </w:rPr>
        <w:tab/>
        <w:t>Se prevé que la ampliación del nuevo espacio gTLD ofrezca una plataforma para nombres de dominio urbanos, geográficos e internacionalizados, entr</w:t>
      </w:r>
      <w:r w:rsidR="00E36D69" w:rsidRPr="00862632">
        <w:rPr>
          <w:lang w:val="es-ES"/>
        </w:rPr>
        <w:t>e</w:t>
      </w:r>
      <w:r w:rsidRPr="00862632">
        <w:rPr>
          <w:lang w:val="es-ES"/>
        </w:rPr>
        <w:t xml:space="preserve"> otras posibles cadenas de dominios de nivel superior, y el objetivo es permitir a los nuevos operadores TLD crear y ofrecer contenido en idiomas y alfabetos nativos, lo que se conoce como nombre de dominio internacionalizado (IDN), además de nuevos gTLD en alfabeto latino o ASCII [origen: </w:t>
      </w:r>
      <w:hyperlink r:id="rId87" w:history="1">
        <w:r w:rsidR="00A26E96" w:rsidRPr="00A26E96">
          <w:rPr>
            <w:rStyle w:val="Hyperlink"/>
            <w:lang w:val="es-ES"/>
          </w:rPr>
          <w:t>EE.UU.</w:t>
        </w:r>
      </w:hyperlink>
      <w:r w:rsidRPr="00862632">
        <w:rPr>
          <w:rStyle w:val="FootnoteReference"/>
          <w:lang w:val="es-ES"/>
        </w:rPr>
        <w:footnoteReference w:id="147"/>
      </w:r>
      <w:r w:rsidR="00DE4907" w:rsidRPr="00862632">
        <w:rPr>
          <w:lang w:val="es-ES"/>
        </w:rPr>
        <w:t>]</w:t>
      </w:r>
      <w:r w:rsidR="006B4E25">
        <w:rPr>
          <w:lang w:val="es-ES"/>
        </w:rPr>
        <w:t>.</w:t>
      </w:r>
      <w:r w:rsidR="00DE4907" w:rsidRPr="00862632">
        <w:rPr>
          <w:lang w:val="es-ES"/>
        </w:rPr>
        <w:t xml:space="preserve"> Otros piensan que la ampliación del sistema de nombres de dominio podría, por ejemplo, permitir a las empresas identificarse a sí mismas por sectores o comunidades [origen: </w:t>
      </w:r>
      <w:hyperlink r:id="rId88" w:history="1">
        <w:r w:rsidR="00CD7920" w:rsidRPr="00CD7920">
          <w:rPr>
            <w:rStyle w:val="Hyperlink"/>
            <w:lang w:val="es-ES"/>
          </w:rPr>
          <w:t>Nominet</w:t>
        </w:r>
      </w:hyperlink>
      <w:r w:rsidR="00DE4907" w:rsidRPr="00862632">
        <w:rPr>
          <w:rStyle w:val="FootnoteReference"/>
          <w:lang w:val="es-ES"/>
        </w:rPr>
        <w:footnoteReference w:id="148"/>
      </w:r>
      <w:r w:rsidR="00DE4907" w:rsidRPr="00862632">
        <w:rPr>
          <w:lang w:val="es-ES"/>
        </w:rPr>
        <w:t>].</w:t>
      </w:r>
    </w:p>
    <w:p w:rsidR="009554F1" w:rsidRPr="00862632" w:rsidRDefault="00DE4907" w:rsidP="00A26E96">
      <w:pPr>
        <w:pStyle w:val="enumlev1"/>
        <w:rPr>
          <w:lang w:val="es-ES"/>
        </w:rPr>
      </w:pPr>
      <w:r w:rsidRPr="00862632">
        <w:rPr>
          <w:lang w:val="es-ES"/>
        </w:rPr>
        <w:t>f</w:t>
      </w:r>
      <w:r w:rsidR="00EF2436" w:rsidRPr="00862632">
        <w:rPr>
          <w:lang w:val="es-ES"/>
        </w:rPr>
        <w:t>)</w:t>
      </w:r>
      <w:r w:rsidR="00EF2436" w:rsidRPr="00862632">
        <w:rPr>
          <w:lang w:val="es-ES"/>
        </w:rPr>
        <w:tab/>
      </w:r>
      <w:r w:rsidRPr="00862632">
        <w:rPr>
          <w:lang w:val="es-ES"/>
        </w:rPr>
        <w:t>Algunos han manifestado su inquietud con respecto a l</w:t>
      </w:r>
      <w:r w:rsidR="009554F1" w:rsidRPr="00862632">
        <w:rPr>
          <w:lang w:val="es-ES"/>
        </w:rPr>
        <w:t>a magnitud y el alcance de la expansión de los gTLD, la transparencia del proceso de evaluación de costes utilizado para determinar los derechos de inscripción</w:t>
      </w:r>
      <w:r w:rsidRPr="00862632">
        <w:rPr>
          <w:rStyle w:val="FootnoteReference"/>
          <w:lang w:val="es-ES"/>
        </w:rPr>
        <w:footnoteReference w:id="149"/>
      </w:r>
      <w:r w:rsidR="009554F1" w:rsidRPr="00862632">
        <w:rPr>
          <w:lang w:val="es-ES"/>
        </w:rPr>
        <w:t xml:space="preserve"> y por los riesgos que podría generar desde el punto de vista del interés general y de la protección de los consumidores y las empresas</w:t>
      </w:r>
      <w:r w:rsidR="009554F1" w:rsidRPr="00862632">
        <w:rPr>
          <w:rStyle w:val="FootnoteReference"/>
          <w:lang w:val="es-ES"/>
        </w:rPr>
        <w:footnoteReference w:id="150"/>
      </w:r>
      <w:r w:rsidR="009554F1" w:rsidRPr="00862632">
        <w:rPr>
          <w:lang w:val="es-ES"/>
        </w:rPr>
        <w:t>. Según la Guía de la ICANN destinada a los solicitantes de nuevos gTLD, el número de solicitudes de nuevos gTLD no está limitado</w:t>
      </w:r>
      <w:r w:rsidRPr="00862632">
        <w:rPr>
          <w:lang w:val="es-ES"/>
        </w:rPr>
        <w:t>. Sin embargo, la ICANN se ha comprometido a no introducir en la raíz más de 1 000 nuevos gTLD por año, de conformidad con los resultados de los estudios de viabilidad de adaptación de la zona raíz</w:t>
      </w:r>
      <w:r w:rsidRPr="00862632">
        <w:rPr>
          <w:rStyle w:val="FootnoteReference"/>
          <w:lang w:val="es-ES"/>
        </w:rPr>
        <w:footnoteReference w:id="151"/>
      </w:r>
      <w:r w:rsidR="00FE3D51" w:rsidRPr="00862632">
        <w:rPr>
          <w:lang w:val="es-ES"/>
        </w:rPr>
        <w:t xml:space="preserve"> [origen: </w:t>
      </w:r>
      <w:hyperlink r:id="rId89" w:history="1">
        <w:r w:rsidR="00A26E96" w:rsidRPr="00A26E96">
          <w:rPr>
            <w:rStyle w:val="Hyperlink"/>
            <w:lang w:val="es-ES"/>
          </w:rPr>
          <w:t>EE.UU.</w:t>
        </w:r>
      </w:hyperlink>
      <w:r w:rsidR="00FE3D51" w:rsidRPr="00862632">
        <w:rPr>
          <w:rStyle w:val="FootnoteReference"/>
          <w:lang w:val="es-ES"/>
        </w:rPr>
        <w:footnoteReference w:id="152"/>
      </w:r>
      <w:r w:rsidR="00FE3D51" w:rsidRPr="00862632">
        <w:rPr>
          <w:lang w:val="es-ES"/>
        </w:rPr>
        <w:t>]</w:t>
      </w:r>
      <w:r w:rsidR="009554F1" w:rsidRPr="00862632">
        <w:rPr>
          <w:lang w:val="es-ES"/>
        </w:rPr>
        <w:t>.</w:t>
      </w:r>
    </w:p>
    <w:p w:rsidR="009554F1" w:rsidRPr="00862632" w:rsidRDefault="00110408" w:rsidP="00A26E96">
      <w:pPr>
        <w:pStyle w:val="enumlev1"/>
        <w:rPr>
          <w:lang w:val="es-ES"/>
        </w:rPr>
      </w:pPr>
      <w:r w:rsidRPr="00862632">
        <w:rPr>
          <w:lang w:val="es-ES"/>
        </w:rPr>
        <w:t>g</w:t>
      </w:r>
      <w:r w:rsidR="00EF2436" w:rsidRPr="00862632">
        <w:rPr>
          <w:lang w:val="es-ES"/>
        </w:rPr>
        <w:t>)</w:t>
      </w:r>
      <w:r w:rsidR="00EF2436" w:rsidRPr="00862632">
        <w:rPr>
          <w:lang w:val="es-ES"/>
        </w:rPr>
        <w:tab/>
      </w:r>
      <w:r w:rsidR="006B4E25">
        <w:rPr>
          <w:lang w:val="es-ES"/>
        </w:rPr>
        <w:t>También ha habid</w:t>
      </w:r>
      <w:r w:rsidRPr="00862632">
        <w:rPr>
          <w:lang w:val="es-ES"/>
        </w:rPr>
        <w:t>o debates sobre las consecuencias que tendrán los nuevos gTLD sobre</w:t>
      </w:r>
      <w:r w:rsidR="009554F1" w:rsidRPr="00862632">
        <w:rPr>
          <w:lang w:val="es-ES"/>
        </w:rPr>
        <w:t xml:space="preserve"> la competencia en el mercado de los gTLD. Por ejemplo, algunos </w:t>
      </w:r>
      <w:r w:rsidRPr="00862632">
        <w:rPr>
          <w:lang w:val="es-ES"/>
        </w:rPr>
        <w:t>opinan que se corre el r</w:t>
      </w:r>
      <w:r w:rsidR="00E36D69" w:rsidRPr="00862632">
        <w:rPr>
          <w:lang w:val="es-ES"/>
        </w:rPr>
        <w:t>ie</w:t>
      </w:r>
      <w:r w:rsidRPr="00862632">
        <w:rPr>
          <w:lang w:val="es-ES"/>
        </w:rPr>
        <w:t xml:space="preserve">sgo de </w:t>
      </w:r>
      <w:r w:rsidR="009554F1" w:rsidRPr="00862632">
        <w:rPr>
          <w:lang w:val="es-ES"/>
        </w:rPr>
        <w:t>que una multitud de monopolios aparezca en el mercado de los nuevos gTLD</w:t>
      </w:r>
      <w:r w:rsidR="009554F1" w:rsidRPr="00862632">
        <w:rPr>
          <w:rStyle w:val="FootnoteReference"/>
          <w:lang w:val="es-ES"/>
        </w:rPr>
        <w:footnoteReference w:id="153"/>
      </w:r>
      <w:r w:rsidR="009554F1" w:rsidRPr="00862632">
        <w:rPr>
          <w:lang w:val="es-ES"/>
        </w:rPr>
        <w:t>, debido en particular a la existencia de titularidades comunes en los registros y registradores</w:t>
      </w:r>
      <w:r w:rsidR="009554F1" w:rsidRPr="00862632">
        <w:rPr>
          <w:rStyle w:val="FootnoteReference"/>
          <w:lang w:val="es-ES"/>
        </w:rPr>
        <w:footnoteReference w:id="154"/>
      </w:r>
      <w:r w:rsidR="009554F1" w:rsidRPr="00862632">
        <w:rPr>
          <w:lang w:val="es-ES"/>
        </w:rPr>
        <w:t>, mientras que otros dicen que los nuevos gTLD son una etapa importante para fomentar la competencia en el mercado de los nombres de dominio</w:t>
      </w:r>
      <w:r w:rsidRPr="00862632">
        <w:rPr>
          <w:rStyle w:val="FootnoteReference"/>
          <w:lang w:val="es-ES"/>
        </w:rPr>
        <w:footnoteReference w:id="155"/>
      </w:r>
      <w:r w:rsidR="009554F1" w:rsidRPr="00862632">
        <w:rPr>
          <w:lang w:val="es-ES"/>
        </w:rPr>
        <w:t>. Otro</w:t>
      </w:r>
      <w:r w:rsidRPr="00862632">
        <w:rPr>
          <w:lang w:val="es-ES"/>
        </w:rPr>
        <w:t xml:space="preserve"> posible problema es que</w:t>
      </w:r>
      <w:r w:rsidR="009554F1" w:rsidRPr="00862632">
        <w:rPr>
          <w:lang w:val="es-ES"/>
        </w:rPr>
        <w:t xml:space="preserve"> las actuales disposiciones que rigen el DNS </w:t>
      </w:r>
      <w:r w:rsidRPr="00862632">
        <w:rPr>
          <w:lang w:val="es-ES"/>
        </w:rPr>
        <w:t xml:space="preserve">pueden hacer que no haya </w:t>
      </w:r>
      <w:r w:rsidR="009554F1" w:rsidRPr="00862632">
        <w:rPr>
          <w:lang w:val="es-ES"/>
        </w:rPr>
        <w:t>bastante competencia en el mercado de los nombres de dominio en general</w:t>
      </w:r>
      <w:r w:rsidR="009554F1" w:rsidRPr="00862632">
        <w:rPr>
          <w:rStyle w:val="FootnoteReference"/>
          <w:lang w:val="es-ES"/>
        </w:rPr>
        <w:footnoteReference w:id="156"/>
      </w:r>
      <w:r w:rsidR="009554F1" w:rsidRPr="00862632">
        <w:rPr>
          <w:lang w:val="es-ES"/>
        </w:rPr>
        <w:t>.</w:t>
      </w:r>
      <w:r w:rsidRPr="00862632">
        <w:rPr>
          <w:lang w:val="es-ES"/>
        </w:rPr>
        <w:t xml:space="preserve"> La ICANN realizó dos estudios antes de lanzar el nuevo programa gTLD, donde se indica que los resultados de la primera ronda de gTLD ofrecerán importante información sobre la competencia y otros factores económicos</w:t>
      </w:r>
      <w:r w:rsidRPr="00862632">
        <w:rPr>
          <w:rStyle w:val="FootnoteReference"/>
          <w:lang w:val="es-ES"/>
        </w:rPr>
        <w:footnoteReference w:id="157"/>
      </w:r>
      <w:r w:rsidRPr="00862632">
        <w:rPr>
          <w:lang w:val="es-ES"/>
        </w:rPr>
        <w:t xml:space="preserve"> [origen: </w:t>
      </w:r>
      <w:hyperlink r:id="rId90" w:history="1">
        <w:r w:rsidR="00A26E96" w:rsidRPr="00A26E96">
          <w:rPr>
            <w:rStyle w:val="Hyperlink"/>
            <w:lang w:val="es-ES"/>
          </w:rPr>
          <w:t>EE.UU.</w:t>
        </w:r>
      </w:hyperlink>
      <w:r w:rsidRPr="00862632">
        <w:rPr>
          <w:rStyle w:val="FootnoteReference"/>
          <w:lang w:val="es-ES"/>
        </w:rPr>
        <w:footnoteReference w:id="158"/>
      </w:r>
      <w:r w:rsidRPr="00862632">
        <w:rPr>
          <w:lang w:val="es-ES"/>
        </w:rPr>
        <w:t>].</w:t>
      </w:r>
    </w:p>
    <w:p w:rsidR="009554F1" w:rsidRPr="00862632" w:rsidRDefault="001B01B4" w:rsidP="0016466E">
      <w:pPr>
        <w:pStyle w:val="enumlev1"/>
        <w:rPr>
          <w:lang w:val="es-ES"/>
        </w:rPr>
      </w:pPr>
      <w:r w:rsidRPr="00862632">
        <w:rPr>
          <w:lang w:val="es-ES"/>
        </w:rPr>
        <w:t>h</w:t>
      </w:r>
      <w:r w:rsidR="00EF2436" w:rsidRPr="00862632">
        <w:rPr>
          <w:lang w:val="es-ES"/>
        </w:rPr>
        <w:t>)</w:t>
      </w:r>
      <w:r w:rsidR="00EF2436" w:rsidRPr="00862632">
        <w:rPr>
          <w:lang w:val="es-ES"/>
        </w:rPr>
        <w:tab/>
      </w:r>
      <w:r w:rsidR="003635CE" w:rsidRPr="00862632">
        <w:rPr>
          <w:lang w:val="es-ES"/>
        </w:rPr>
        <w:t>También hay</w:t>
      </w:r>
      <w:r w:rsidR="009554F1" w:rsidRPr="00862632">
        <w:rPr>
          <w:lang w:val="es-ES"/>
        </w:rPr>
        <w:t xml:space="preserve"> preocupaciones sobre las consecuencias de la existencia de varios nuevos gTLD para los titulares o derechohabientes de marcas registradas, especialmente de países en desarrollo, que </w:t>
      </w:r>
      <w:r w:rsidR="003635CE" w:rsidRPr="00862632">
        <w:rPr>
          <w:lang w:val="es-ES"/>
        </w:rPr>
        <w:t>podrán verse obligados a</w:t>
      </w:r>
      <w:r w:rsidR="009554F1" w:rsidRPr="00862632">
        <w:rPr>
          <w:lang w:val="es-ES"/>
        </w:rPr>
        <w:t xml:space="preserve"> asumir los costes elevados que representa la posible proliferación de </w:t>
      </w:r>
      <w:r w:rsidR="00BC5045">
        <w:rPr>
          <w:lang w:val="es-ES"/>
        </w:rPr>
        <w:t>"</w:t>
      </w:r>
      <w:r w:rsidR="009554F1" w:rsidRPr="00862632">
        <w:rPr>
          <w:lang w:val="es-ES"/>
        </w:rPr>
        <w:t>ciberokupas</w:t>
      </w:r>
      <w:r w:rsidR="00BC5045">
        <w:rPr>
          <w:lang w:val="es-ES"/>
        </w:rPr>
        <w:t>"</w:t>
      </w:r>
      <w:r w:rsidR="009554F1" w:rsidRPr="00862632">
        <w:rPr>
          <w:lang w:val="es-ES"/>
        </w:rPr>
        <w:t xml:space="preserve"> que explotan un número ilimitado de nuevos gTLD</w:t>
      </w:r>
      <w:r w:rsidR="009554F1" w:rsidRPr="00862632">
        <w:rPr>
          <w:rStyle w:val="FootnoteReference"/>
          <w:lang w:val="es-ES"/>
        </w:rPr>
        <w:footnoteReference w:id="159"/>
      </w:r>
      <w:r w:rsidR="009554F1" w:rsidRPr="00862632">
        <w:rPr>
          <w:lang w:val="es-ES"/>
        </w:rPr>
        <w:t xml:space="preserve">. Por ejemplo, habida cuenta de que un nombre de dominio </w:t>
      </w:r>
      <w:r w:rsidR="003635CE" w:rsidRPr="00862632">
        <w:rPr>
          <w:lang w:val="es-ES"/>
        </w:rPr>
        <w:t>suele utilizarse en la URL del</w:t>
      </w:r>
      <w:r w:rsidR="009554F1" w:rsidRPr="00862632">
        <w:rPr>
          <w:lang w:val="es-ES"/>
        </w:rPr>
        <w:t xml:space="preserve"> sitio web de determinada empresa u organización, aumentan las posibilidades de que usurpadores de marcas registradas utilicen nuevos gTLD con nombres protegidos por una marca registrada o nombres similares que puedan orientar a los usuarios/consumidores hacia sitios web falsificados (</w:t>
      </w:r>
      <w:r w:rsidR="00BC5045">
        <w:rPr>
          <w:lang w:val="es-ES"/>
        </w:rPr>
        <w:t>"</w:t>
      </w:r>
      <w:r w:rsidR="009554F1" w:rsidRPr="00862632">
        <w:rPr>
          <w:lang w:val="es-ES"/>
        </w:rPr>
        <w:t>usurpación de identidad</w:t>
      </w:r>
      <w:r w:rsidR="00BC5045">
        <w:rPr>
          <w:lang w:val="es-ES"/>
        </w:rPr>
        <w:t>"</w:t>
      </w:r>
      <w:r w:rsidR="009554F1" w:rsidRPr="00862632">
        <w:rPr>
          <w:lang w:val="es-ES"/>
        </w:rPr>
        <w:t>) o sitios web de empresas rivales (</w:t>
      </w:r>
      <w:r w:rsidR="00BC5045">
        <w:rPr>
          <w:lang w:val="es-ES"/>
        </w:rPr>
        <w:t>"</w:t>
      </w:r>
      <w:r w:rsidR="009554F1" w:rsidRPr="00862632">
        <w:rPr>
          <w:lang w:val="es-ES"/>
        </w:rPr>
        <w:t>polizones</w:t>
      </w:r>
      <w:r w:rsidR="00BC5045">
        <w:rPr>
          <w:lang w:val="es-ES"/>
        </w:rPr>
        <w:t>"</w:t>
      </w:r>
      <w:r w:rsidR="009554F1" w:rsidRPr="00862632">
        <w:rPr>
          <w:lang w:val="es-ES"/>
        </w:rPr>
        <w:t xml:space="preserve">). Por consiguiente, es posible que el propietario del nombre de dominio </w:t>
      </w:r>
      <w:r w:rsidR="00BC5045">
        <w:rPr>
          <w:lang w:val="es-ES"/>
        </w:rPr>
        <w:t>"</w:t>
      </w:r>
      <w:r w:rsidR="009554F1" w:rsidRPr="00862632">
        <w:rPr>
          <w:lang w:val="es-ES"/>
        </w:rPr>
        <w:t>www.A.com</w:t>
      </w:r>
      <w:r w:rsidR="00BC5045">
        <w:rPr>
          <w:lang w:val="es-ES"/>
        </w:rPr>
        <w:t>"</w:t>
      </w:r>
      <w:r w:rsidR="009554F1" w:rsidRPr="00862632">
        <w:rPr>
          <w:lang w:val="es-ES"/>
        </w:rPr>
        <w:t xml:space="preserve"> deba registrar el mismo nombre de dominio en todos los demás gTLD, como </w:t>
      </w:r>
      <w:r w:rsidR="00BC5045">
        <w:rPr>
          <w:lang w:val="es-ES"/>
        </w:rPr>
        <w:t>"</w:t>
      </w:r>
      <w:r w:rsidR="009554F1" w:rsidRPr="00862632">
        <w:rPr>
          <w:lang w:val="es-ES"/>
        </w:rPr>
        <w:t>A.info</w:t>
      </w:r>
      <w:r w:rsidR="00BC5045">
        <w:rPr>
          <w:lang w:val="es-ES"/>
        </w:rPr>
        <w:t>"</w:t>
      </w:r>
      <w:r w:rsidR="009554F1" w:rsidRPr="00862632">
        <w:rPr>
          <w:lang w:val="es-ES"/>
        </w:rPr>
        <w:t xml:space="preserve">, </w:t>
      </w:r>
      <w:r w:rsidR="00BC5045">
        <w:rPr>
          <w:lang w:val="es-ES"/>
        </w:rPr>
        <w:t>"</w:t>
      </w:r>
      <w:r w:rsidR="009554F1" w:rsidRPr="00862632">
        <w:rPr>
          <w:lang w:val="es-ES"/>
        </w:rPr>
        <w:t>A.biz</w:t>
      </w:r>
      <w:r w:rsidR="00BC5045">
        <w:rPr>
          <w:lang w:val="es-ES"/>
        </w:rPr>
        <w:t>"</w:t>
      </w:r>
      <w:r w:rsidR="009554F1" w:rsidRPr="00862632">
        <w:rPr>
          <w:lang w:val="es-ES"/>
        </w:rPr>
        <w:t xml:space="preserve">, </w:t>
      </w:r>
      <w:r w:rsidR="00BC5045">
        <w:rPr>
          <w:lang w:val="es-ES"/>
        </w:rPr>
        <w:t>"</w:t>
      </w:r>
      <w:r w:rsidR="009554F1" w:rsidRPr="00862632">
        <w:rPr>
          <w:lang w:val="es-ES"/>
        </w:rPr>
        <w:t>A.mobi</w:t>
      </w:r>
      <w:r w:rsidR="00BC5045">
        <w:rPr>
          <w:lang w:val="es-ES"/>
        </w:rPr>
        <w:t>"</w:t>
      </w:r>
      <w:r w:rsidR="009554F1" w:rsidRPr="00862632">
        <w:rPr>
          <w:lang w:val="es-ES"/>
        </w:rPr>
        <w:t xml:space="preserve"> y </w:t>
      </w:r>
      <w:r w:rsidR="00BC5045">
        <w:rPr>
          <w:lang w:val="es-ES"/>
        </w:rPr>
        <w:t>"</w:t>
      </w:r>
      <w:r w:rsidR="009554F1" w:rsidRPr="00862632">
        <w:rPr>
          <w:lang w:val="es-ES"/>
        </w:rPr>
        <w:t>A.(todos los demás nuevos gTLD)</w:t>
      </w:r>
      <w:r w:rsidR="00BC5045">
        <w:rPr>
          <w:lang w:val="es-ES"/>
        </w:rPr>
        <w:t>"</w:t>
      </w:r>
      <w:r w:rsidR="009554F1" w:rsidRPr="00862632">
        <w:rPr>
          <w:lang w:val="es-ES"/>
        </w:rPr>
        <w:t xml:space="preserve"> para proteger la marca registrada </w:t>
      </w:r>
      <w:r w:rsidR="00BC5045">
        <w:rPr>
          <w:lang w:val="es-ES"/>
        </w:rPr>
        <w:t>"</w:t>
      </w:r>
      <w:r w:rsidR="009554F1" w:rsidRPr="00862632">
        <w:rPr>
          <w:lang w:val="es-ES"/>
        </w:rPr>
        <w:t>A</w:t>
      </w:r>
      <w:r w:rsidR="00BC5045">
        <w:rPr>
          <w:lang w:val="es-ES"/>
        </w:rPr>
        <w:t>"</w:t>
      </w:r>
      <w:r w:rsidR="009554F1" w:rsidRPr="00862632">
        <w:rPr>
          <w:lang w:val="es-ES"/>
        </w:rPr>
        <w:t xml:space="preserve">. Habida cuenta de la propuesta tendente a desplegar simultáneamente gTLD multilingües (IDN), </w:t>
      </w:r>
      <w:r w:rsidR="003635CE" w:rsidRPr="00862632">
        <w:rPr>
          <w:lang w:val="es-ES"/>
        </w:rPr>
        <w:t>hay quienes</w:t>
      </w:r>
      <w:r w:rsidR="009554F1" w:rsidRPr="00862632">
        <w:rPr>
          <w:lang w:val="es-ES"/>
        </w:rPr>
        <w:t xml:space="preserve"> señalan que los solicitantes podrían verse obligados a pagar varias veces los derechos de registro para varios nombres de dominio en distintos idiomas</w:t>
      </w:r>
      <w:r w:rsidR="003635CE" w:rsidRPr="00862632">
        <w:rPr>
          <w:lang w:val="es-ES"/>
        </w:rPr>
        <w:t xml:space="preserve">, lo que </w:t>
      </w:r>
      <w:r w:rsidR="009554F1" w:rsidRPr="00862632">
        <w:rPr>
          <w:lang w:val="es-ES"/>
        </w:rPr>
        <w:t>podría generar una carga financiera significativa, especialmente para los solicitantes procedentes de países en desarrollo</w:t>
      </w:r>
      <w:r w:rsidR="009554F1" w:rsidRPr="00862632">
        <w:rPr>
          <w:rStyle w:val="FootnoteReference"/>
          <w:lang w:val="es-ES"/>
        </w:rPr>
        <w:footnoteReference w:id="160"/>
      </w:r>
      <w:r w:rsidR="009554F1" w:rsidRPr="00862632">
        <w:rPr>
          <w:lang w:val="es-ES"/>
        </w:rPr>
        <w:t>.</w:t>
      </w:r>
    </w:p>
    <w:p w:rsidR="00344D10" w:rsidRPr="00862632" w:rsidRDefault="003635CE" w:rsidP="00A26E96">
      <w:pPr>
        <w:pStyle w:val="enumlev1"/>
        <w:rPr>
          <w:lang w:val="es-ES"/>
        </w:rPr>
      </w:pPr>
      <w:r w:rsidRPr="00862632">
        <w:rPr>
          <w:lang w:val="es-ES"/>
        </w:rPr>
        <w:t>i</w:t>
      </w:r>
      <w:r w:rsidR="00EF2436" w:rsidRPr="00862632">
        <w:rPr>
          <w:lang w:val="es-ES"/>
        </w:rPr>
        <w:t>)</w:t>
      </w:r>
      <w:r w:rsidR="00EF2436" w:rsidRPr="00862632">
        <w:rPr>
          <w:lang w:val="es-ES"/>
        </w:rPr>
        <w:tab/>
      </w:r>
      <w:r w:rsidRPr="00862632">
        <w:rPr>
          <w:lang w:val="es-ES"/>
        </w:rPr>
        <w:t xml:space="preserve">El Applicant Guidebook de la </w:t>
      </w:r>
      <w:r w:rsidR="009554F1" w:rsidRPr="00862632">
        <w:rPr>
          <w:lang w:val="es-ES"/>
        </w:rPr>
        <w:t xml:space="preserve">ICANN </w:t>
      </w:r>
      <w:r w:rsidRPr="00862632">
        <w:rPr>
          <w:lang w:val="es-ES"/>
        </w:rPr>
        <w:t>contiene nuevos mecanismos de protección de derechos para solucionar algunos de estos problemas</w:t>
      </w:r>
      <w:r w:rsidRPr="00862632">
        <w:rPr>
          <w:rStyle w:val="FootnoteReference"/>
          <w:lang w:val="es-ES"/>
        </w:rPr>
        <w:footnoteReference w:id="161"/>
      </w:r>
      <w:r w:rsidRPr="00862632">
        <w:rPr>
          <w:lang w:val="es-ES"/>
        </w:rPr>
        <w:t xml:space="preserve"> [origen: </w:t>
      </w:r>
      <w:hyperlink r:id="rId91" w:history="1">
        <w:r w:rsidR="00A26E96" w:rsidRPr="00A26E96">
          <w:rPr>
            <w:rStyle w:val="Hyperlink"/>
            <w:lang w:val="es-ES"/>
          </w:rPr>
          <w:t>EE.UU.</w:t>
        </w:r>
      </w:hyperlink>
      <w:r w:rsidRPr="00862632">
        <w:rPr>
          <w:rStyle w:val="FootnoteReference"/>
          <w:lang w:val="es-ES"/>
        </w:rPr>
        <w:footnoteReference w:id="162"/>
      </w:r>
      <w:r w:rsidRPr="00862632">
        <w:rPr>
          <w:lang w:val="es-ES"/>
        </w:rPr>
        <w:t>], como un centro de resolución de marcas</w:t>
      </w:r>
      <w:r w:rsidR="005F0B86" w:rsidRPr="00862632">
        <w:rPr>
          <w:lang w:val="es-ES"/>
        </w:rPr>
        <w:t xml:space="preserve"> y un sistema uniforme de suspensión rápida</w:t>
      </w:r>
      <w:r w:rsidR="009554F1" w:rsidRPr="00862632">
        <w:rPr>
          <w:lang w:val="es-ES"/>
        </w:rPr>
        <w:t xml:space="preserve"> para resolver</w:t>
      </w:r>
      <w:r w:rsidR="005F0B86" w:rsidRPr="00862632">
        <w:rPr>
          <w:lang w:val="es-ES"/>
        </w:rPr>
        <w:t xml:space="preserve"> </w:t>
      </w:r>
      <w:r w:rsidR="009554F1" w:rsidRPr="00862632">
        <w:rPr>
          <w:lang w:val="es-ES"/>
        </w:rPr>
        <w:t xml:space="preserve">las </w:t>
      </w:r>
      <w:r w:rsidR="005F0B86" w:rsidRPr="00862632">
        <w:rPr>
          <w:lang w:val="es-ES"/>
        </w:rPr>
        <w:t xml:space="preserve">controversias </w:t>
      </w:r>
      <w:r w:rsidR="009554F1" w:rsidRPr="00862632">
        <w:rPr>
          <w:lang w:val="es-ES"/>
        </w:rPr>
        <w:t>a medida que se planteen</w:t>
      </w:r>
      <w:r w:rsidR="005F0B86" w:rsidRPr="00862632">
        <w:rPr>
          <w:lang w:val="es-ES"/>
        </w:rPr>
        <w:t>. Sin embargo</w:t>
      </w:r>
      <w:r w:rsidR="009554F1" w:rsidRPr="00862632">
        <w:rPr>
          <w:lang w:val="es-ES"/>
        </w:rPr>
        <w:t xml:space="preserve">, algunos </w:t>
      </w:r>
      <w:r w:rsidR="005F0B86" w:rsidRPr="00862632">
        <w:rPr>
          <w:lang w:val="es-ES"/>
        </w:rPr>
        <w:t>sostienen</w:t>
      </w:r>
      <w:r w:rsidR="009554F1" w:rsidRPr="00862632">
        <w:rPr>
          <w:lang w:val="es-ES"/>
        </w:rPr>
        <w:t xml:space="preserve"> que todavía quedan diversos problemas de política general</w:t>
      </w:r>
      <w:r w:rsidR="009554F1" w:rsidRPr="00862632">
        <w:rPr>
          <w:rStyle w:val="FootnoteReference"/>
          <w:lang w:val="es-ES"/>
        </w:rPr>
        <w:footnoteReference w:id="163"/>
      </w:r>
      <w:r w:rsidR="009554F1" w:rsidRPr="00862632">
        <w:rPr>
          <w:lang w:val="es-ES"/>
        </w:rPr>
        <w:t>. Uno de los ejemplos mencionados es la protección contra la posible utilización engañosa de los nombres y siglas de organizaciones intergubernamentales (OIG)</w:t>
      </w:r>
      <w:r w:rsidR="005F0B86" w:rsidRPr="00862632">
        <w:rPr>
          <w:lang w:val="es-ES"/>
        </w:rPr>
        <w:t xml:space="preserve"> y se está debatiendo la manera de solucionarlo</w:t>
      </w:r>
      <w:r w:rsidR="009554F1" w:rsidRPr="00862632">
        <w:rPr>
          <w:lang w:val="es-ES"/>
        </w:rPr>
        <w:t>. En la ICANN se ha reconocido que los derechos de los gobiernos y las autoridades públicas, cuando se trata de los derechos del Estado soberano o del territorio que representan, no pueden limitarse a ningún procedimiento que pueda introducir la ICANN para nuevos gTLD, ni estar condicionados por ellos y, por lo tanto, la ICANN debería evitar los nombres de países, territorios o lugares, o denominaciones corrientes de idiomas o poblaciones con connotaciones nacionales, territoriales o regionales, salvo acuerdo con los gobiernos o autoridades públicas interesados</w:t>
      </w:r>
      <w:r w:rsidR="009554F1" w:rsidRPr="00862632">
        <w:rPr>
          <w:rStyle w:val="FootnoteReference"/>
          <w:lang w:val="es-ES"/>
        </w:rPr>
        <w:footnoteReference w:id="164"/>
      </w:r>
      <w:r w:rsidR="009554F1" w:rsidRPr="00862632">
        <w:rPr>
          <w:lang w:val="es-ES"/>
        </w:rPr>
        <w:t>.</w:t>
      </w:r>
    </w:p>
    <w:p w:rsidR="005F0B86" w:rsidRPr="00862632" w:rsidRDefault="00B859D8" w:rsidP="00A26E96">
      <w:pPr>
        <w:pStyle w:val="enumlev1"/>
        <w:rPr>
          <w:lang w:val="es-ES"/>
        </w:rPr>
      </w:pPr>
      <w:r w:rsidRPr="00862632">
        <w:rPr>
          <w:lang w:val="es-ES"/>
        </w:rPr>
        <w:t>j)</w:t>
      </w:r>
      <w:r w:rsidRPr="00862632">
        <w:rPr>
          <w:lang w:val="es-ES"/>
        </w:rPr>
        <w:tab/>
      </w:r>
      <w:r w:rsidR="00454D1D" w:rsidRPr="00862632">
        <w:rPr>
          <w:lang w:val="es-ES"/>
        </w:rPr>
        <w:t xml:space="preserve">Tras reconocer los problemas relativos a la competencia, protección del consumidor, seguridad y marcas, después de la primera ronda de solicitudes de nuevos gTLD, la ICANN se ha comprometido a organizar </w:t>
      </w:r>
      <w:r w:rsidR="00BF0A06">
        <w:rPr>
          <w:lang w:val="es-ES"/>
        </w:rPr>
        <w:t xml:space="preserve">un </w:t>
      </w:r>
      <w:r w:rsidR="00454D1D" w:rsidRPr="00862632">
        <w:rPr>
          <w:lang w:val="es-ES"/>
        </w:rPr>
        <w:t>proceso de examen de la medida en que la introducción o ampliación de los gTLD ha fomentado la competencia, la confianza y capacidad de elección de los consu</w:t>
      </w:r>
      <w:r w:rsidR="00BF0A06">
        <w:rPr>
          <w:lang w:val="es-ES"/>
        </w:rPr>
        <w:t xml:space="preserve">midores, así como el efecto de </w:t>
      </w:r>
      <w:r w:rsidR="00454D1D" w:rsidRPr="00862632">
        <w:rPr>
          <w:lang w:val="es-ES"/>
        </w:rPr>
        <w:t>a) el proces</w:t>
      </w:r>
      <w:r w:rsidR="00BF0A06">
        <w:rPr>
          <w:lang w:val="es-ES"/>
        </w:rPr>
        <w:t xml:space="preserve">o de solicitud y evaluación, y </w:t>
      </w:r>
      <w:r w:rsidR="00454D1D" w:rsidRPr="00862632">
        <w:rPr>
          <w:lang w:val="es-ES"/>
        </w:rPr>
        <w:t>b) las salvaguardias creadas para reducir los problemas causados por la introducción o la ampliación</w:t>
      </w:r>
      <w:r w:rsidR="00454D1D" w:rsidRPr="00862632">
        <w:rPr>
          <w:rStyle w:val="FootnoteReference"/>
          <w:lang w:val="es-ES"/>
        </w:rPr>
        <w:footnoteReference w:id="165"/>
      </w:r>
      <w:r w:rsidR="00454D1D" w:rsidRPr="00862632">
        <w:rPr>
          <w:lang w:val="es-ES"/>
        </w:rPr>
        <w:t>. La ICANN tiene previsto organizar otro proceso de examen de la ejecución de los compromisos contraídos dos años después de realizado el primero, del que se ocuparán miembros de la comunidad voluntarios y un equipo de examen, cuya composición acordarán conjuntamente el Presidente del GAC y el Director Ejecutivo de la ICANN</w:t>
      </w:r>
      <w:r w:rsidR="00454D1D" w:rsidRPr="00862632">
        <w:rPr>
          <w:rStyle w:val="FootnoteReference"/>
          <w:lang w:val="es-ES"/>
        </w:rPr>
        <w:footnoteReference w:id="166"/>
      </w:r>
      <w:r w:rsidR="00454D1D" w:rsidRPr="00862632">
        <w:rPr>
          <w:lang w:val="es-ES"/>
        </w:rPr>
        <w:t>. Estos exámenes podrían ofrecer a todos los interesados a nivel internacional, incluidos los gobiernos, la oportunidad de presentar observaciones y aportar mejoras al nuevo programa de gTLD</w:t>
      </w:r>
      <w:r w:rsidR="00454D1D" w:rsidRPr="00862632">
        <w:rPr>
          <w:rStyle w:val="FootnoteReference"/>
          <w:lang w:val="es-ES"/>
        </w:rPr>
        <w:footnoteReference w:id="167"/>
      </w:r>
      <w:r w:rsidR="00830E5C">
        <w:rPr>
          <w:lang w:val="es-ES"/>
        </w:rPr>
        <w:t xml:space="preserve"> </w:t>
      </w:r>
      <w:r w:rsidR="00454D1D" w:rsidRPr="00862632">
        <w:rPr>
          <w:lang w:val="es-ES"/>
        </w:rPr>
        <w:t xml:space="preserve">[origen: </w:t>
      </w:r>
      <w:hyperlink r:id="rId92" w:history="1">
        <w:r w:rsidR="00A26E96" w:rsidRPr="00A26E96">
          <w:rPr>
            <w:rStyle w:val="Hyperlink"/>
            <w:lang w:val="es-ES"/>
          </w:rPr>
          <w:t>EE.UU.</w:t>
        </w:r>
      </w:hyperlink>
      <w:r w:rsidR="00454D1D" w:rsidRPr="00862632">
        <w:rPr>
          <w:rStyle w:val="FootnoteReference"/>
          <w:lang w:val="es-ES"/>
        </w:rPr>
        <w:footnoteReference w:id="168"/>
      </w:r>
      <w:r w:rsidR="00454D1D" w:rsidRPr="00862632">
        <w:rPr>
          <w:lang w:val="es-ES"/>
        </w:rPr>
        <w:t xml:space="preserve">]. </w:t>
      </w:r>
    </w:p>
    <w:p w:rsidR="00344D10" w:rsidRPr="00C64ABF" w:rsidRDefault="009554F1" w:rsidP="00C64ABF">
      <w:pPr>
        <w:rPr>
          <w:b/>
          <w:bCs/>
          <w:lang w:val="es-ES"/>
        </w:rPr>
      </w:pPr>
      <w:r w:rsidRPr="00C64ABF">
        <w:rPr>
          <w:b/>
          <w:bCs/>
          <w:lang w:val="es-ES"/>
        </w:rPr>
        <w:t>2.3.4.2</w:t>
      </w:r>
      <w:r w:rsidRPr="00C64ABF">
        <w:rPr>
          <w:b/>
          <w:bCs/>
          <w:lang w:val="es-ES"/>
        </w:rPr>
        <w:tab/>
        <w:t>Dominios de nivel superior de indicativo de país (ccTLD) en el marco del sistema DNS</w:t>
      </w:r>
    </w:p>
    <w:p w:rsidR="00BC6F41" w:rsidRPr="00862632" w:rsidRDefault="00BC6F41" w:rsidP="0016466E">
      <w:pPr>
        <w:pStyle w:val="enumlev1"/>
        <w:rPr>
          <w:lang w:val="es-ES"/>
        </w:rPr>
      </w:pPr>
      <w:r w:rsidRPr="00862632">
        <w:rPr>
          <w:szCs w:val="22"/>
          <w:lang w:val="es-ES"/>
        </w:rPr>
        <w:t>a)</w:t>
      </w:r>
      <w:r w:rsidRPr="00862632">
        <w:rPr>
          <w:szCs w:val="22"/>
          <w:lang w:val="es-ES"/>
        </w:rPr>
        <w:tab/>
        <w:t xml:space="preserve">En el </w:t>
      </w:r>
      <w:r w:rsidRPr="00862632">
        <w:rPr>
          <w:i/>
          <w:iCs/>
          <w:szCs w:val="22"/>
          <w:lang w:val="es-ES"/>
        </w:rPr>
        <w:t>Plan de Acción de la CMSI</w:t>
      </w:r>
      <w:r w:rsidRPr="00862632">
        <w:rPr>
          <w:szCs w:val="22"/>
          <w:lang w:val="es-ES"/>
        </w:rPr>
        <w:t xml:space="preserve"> (2003) se invita a los </w:t>
      </w:r>
      <w:r w:rsidR="00BC5045">
        <w:rPr>
          <w:szCs w:val="22"/>
          <w:lang w:val="es-ES"/>
        </w:rPr>
        <w:t>"</w:t>
      </w:r>
      <w:r w:rsidRPr="00862632">
        <w:rPr>
          <w:szCs w:val="22"/>
          <w:lang w:val="es-ES"/>
        </w:rPr>
        <w:t xml:space="preserve">Gobiernos a </w:t>
      </w:r>
      <w:r w:rsidRPr="00862632">
        <w:rPr>
          <w:lang w:val="es-ES"/>
        </w:rPr>
        <w:t>dirigir o supervisar, llegado el caso, sus respectivos nombres de dominio de nivel superior de código de país</w:t>
      </w:r>
      <w:r w:rsidR="00BC5045">
        <w:rPr>
          <w:lang w:val="es-ES"/>
        </w:rPr>
        <w:t>"</w:t>
      </w:r>
      <w:r w:rsidRPr="00862632">
        <w:rPr>
          <w:lang w:val="es-ES"/>
        </w:rPr>
        <w:t xml:space="preserve">. Cualquier intervención de este tipo se habrá de apoyar en las leyes y políticas nacionales. Se recomienda que los gobiernos trabajen con los interesados a nivel local a la hora de decidir cómo trabajar con el Registro ccTLD [origen: </w:t>
      </w:r>
      <w:hyperlink r:id="rId93" w:history="1">
        <w:r w:rsidRPr="00BF0A06">
          <w:rPr>
            <w:rStyle w:val="Hyperlink"/>
            <w:lang w:val="es-ES"/>
          </w:rPr>
          <w:t>Grupo ad hoc, segunda Reunión del IEG</w:t>
        </w:r>
      </w:hyperlink>
      <w:r w:rsidRPr="00862632">
        <w:rPr>
          <w:rStyle w:val="FootnoteReference"/>
          <w:lang w:val="es-ES"/>
        </w:rPr>
        <w:footnoteReference w:id="169"/>
      </w:r>
      <w:r w:rsidRPr="00862632">
        <w:rPr>
          <w:lang w:val="es-ES"/>
        </w:rPr>
        <w:t>].</w:t>
      </w:r>
    </w:p>
    <w:p w:rsidR="00BC6F41" w:rsidRPr="00862632" w:rsidRDefault="00BC6F41" w:rsidP="00830E5C">
      <w:pPr>
        <w:pStyle w:val="enumlev1"/>
        <w:rPr>
          <w:lang w:val="es-ES"/>
        </w:rPr>
      </w:pPr>
      <w:r w:rsidRPr="00862632">
        <w:rPr>
          <w:lang w:val="es-ES"/>
        </w:rPr>
        <w:t>b)</w:t>
      </w:r>
      <w:r w:rsidRPr="00862632">
        <w:rPr>
          <w:lang w:val="es-ES"/>
        </w:rPr>
        <w:tab/>
        <w:t xml:space="preserve">Como se dice en los </w:t>
      </w:r>
      <w:r w:rsidRPr="00862632">
        <w:rPr>
          <w:i/>
          <w:iCs/>
          <w:lang w:val="es-ES"/>
        </w:rPr>
        <w:t>Principles and Guidelines for the Delegation and Administration of country code Top-Level Domains</w:t>
      </w:r>
      <w:r w:rsidRPr="00862632">
        <w:rPr>
          <w:lang w:val="es-ES"/>
        </w:rPr>
        <w:t xml:space="preserve"> del GAC, la política de ccTLD debe fijarle a nivel local, a menos que se demuestre que el problema tiene repercusiones mundiales y se ha de resolver en un marco internacional. La mayoría de los problemas de política de ccTLD son de orden local y, por tanto, han de resolverlos los grupos inter</w:t>
      </w:r>
      <w:r w:rsidR="00862632">
        <w:rPr>
          <w:lang w:val="es-ES"/>
        </w:rPr>
        <w:t>e</w:t>
      </w:r>
      <w:r w:rsidRPr="00862632">
        <w:rPr>
          <w:lang w:val="es-ES"/>
        </w:rPr>
        <w:t>sados locales, de conformidad con la ley nacional [origen:</w:t>
      </w:r>
      <w:r w:rsidR="00830E5C">
        <w:rPr>
          <w:lang w:val="es-ES"/>
        </w:rPr>
        <w:t> </w:t>
      </w:r>
      <w:r w:rsidRPr="00862632">
        <w:rPr>
          <w:lang w:val="es-ES"/>
        </w:rPr>
        <w:t>Grupo ad hoc, segunda Reunión del IEG</w:t>
      </w:r>
      <w:r w:rsidRPr="00862632">
        <w:rPr>
          <w:rStyle w:val="FootnoteReference"/>
          <w:lang w:val="es-ES"/>
        </w:rPr>
        <w:footnoteReference w:id="170"/>
      </w:r>
      <w:r w:rsidRPr="00862632">
        <w:rPr>
          <w:lang w:val="es-ES"/>
        </w:rPr>
        <w:t>].</w:t>
      </w:r>
    </w:p>
    <w:p w:rsidR="009554F1" w:rsidRPr="00862632" w:rsidRDefault="00BC6F41" w:rsidP="0016466E">
      <w:pPr>
        <w:pStyle w:val="enumlev1"/>
        <w:rPr>
          <w:lang w:val="es-ES"/>
        </w:rPr>
      </w:pPr>
      <w:r w:rsidRPr="00862632">
        <w:rPr>
          <w:lang w:val="es-ES"/>
        </w:rPr>
        <w:t>c</w:t>
      </w:r>
      <w:r w:rsidR="00EF2436" w:rsidRPr="00862632">
        <w:rPr>
          <w:lang w:val="es-ES"/>
        </w:rPr>
        <w:t>)</w:t>
      </w:r>
      <w:r w:rsidR="00EF2436" w:rsidRPr="00862632">
        <w:rPr>
          <w:lang w:val="es-ES"/>
        </w:rPr>
        <w:tab/>
      </w:r>
      <w:r w:rsidR="009554F1" w:rsidRPr="00862632">
        <w:rPr>
          <w:lang w:val="es-ES"/>
        </w:rPr>
        <w:t>Los ccTLD se utilizan o reservan generalmente para un país, territorio o zona de interés geográfico. Sus subdivisiones se identifican en la norma ISO 3166</w:t>
      </w:r>
      <w:r w:rsidR="009554F1" w:rsidRPr="00862632">
        <w:rPr>
          <w:lang w:val="es-ES"/>
        </w:rPr>
        <w:noBreakHyphen/>
        <w:t>1</w:t>
      </w:r>
      <w:r w:rsidRPr="00862632">
        <w:rPr>
          <w:rStyle w:val="FootnoteReference"/>
          <w:lang w:val="es-ES"/>
        </w:rPr>
        <w:footnoteReference w:id="171"/>
      </w:r>
      <w:r w:rsidR="009554F1" w:rsidRPr="00862632">
        <w:rPr>
          <w:lang w:val="es-ES"/>
        </w:rPr>
        <w:t xml:space="preserve"> y se representan con dos caracteres US</w:t>
      </w:r>
      <w:r w:rsidR="00B740D0" w:rsidRPr="00862632">
        <w:rPr>
          <w:lang w:val="es-ES"/>
        </w:rPr>
        <w:noBreakHyphen/>
      </w:r>
      <w:r w:rsidR="009554F1" w:rsidRPr="00862632">
        <w:rPr>
          <w:lang w:val="es-ES"/>
        </w:rPr>
        <w:t>ASCII. Las dos letras elegidas para cada ccTLD se toman directamente de la lista ISO 3166</w:t>
      </w:r>
      <w:r w:rsidR="009554F1" w:rsidRPr="00862632">
        <w:rPr>
          <w:lang w:val="es-ES"/>
        </w:rPr>
        <w:noBreakHyphen/>
        <w:t>1 o de la lista de elementos de código Alpha-2 reservados definidos por el organismo de mantenimiento ISO</w:t>
      </w:r>
      <w:r w:rsidR="00EF2436" w:rsidRPr="00862632">
        <w:rPr>
          <w:lang w:val="es-ES"/>
        </w:rPr>
        <w:t> </w:t>
      </w:r>
      <w:r w:rsidR="009554F1" w:rsidRPr="00862632">
        <w:rPr>
          <w:lang w:val="es-ES"/>
        </w:rPr>
        <w:t>3166.</w:t>
      </w:r>
    </w:p>
    <w:p w:rsidR="009554F1" w:rsidRPr="00862632" w:rsidRDefault="00BC6F41" w:rsidP="0016466E">
      <w:pPr>
        <w:pStyle w:val="enumlev1"/>
        <w:rPr>
          <w:lang w:val="es-ES"/>
        </w:rPr>
      </w:pPr>
      <w:r w:rsidRPr="00862632">
        <w:rPr>
          <w:lang w:val="es-ES"/>
        </w:rPr>
        <w:t>d</w:t>
      </w:r>
      <w:r w:rsidR="00EF2436" w:rsidRPr="00862632">
        <w:rPr>
          <w:lang w:val="es-ES"/>
        </w:rPr>
        <w:t>)</w:t>
      </w:r>
      <w:r w:rsidR="00EF2436" w:rsidRPr="00862632">
        <w:rPr>
          <w:lang w:val="es-ES"/>
        </w:rPr>
        <w:tab/>
      </w:r>
      <w:r w:rsidR="009554F1" w:rsidRPr="00862632">
        <w:rPr>
          <w:lang w:val="es-ES"/>
        </w:rPr>
        <w:t>El IANA está encargado de delegar o redelegar la gestión de cada ccTLD a un administrador apropiado, pero no es responsable de las inscripciones que figuran en la lista ISO 3166</w:t>
      </w:r>
      <w:r w:rsidR="009554F1" w:rsidRPr="00862632">
        <w:rPr>
          <w:lang w:val="es-ES"/>
        </w:rPr>
        <w:noBreakHyphen/>
        <w:t>1. A partir de la lista de ccTLD, la autoridad sobre cada ccTLD se delega a un administrador responsable de la explotación del dominio y de las políticas correspondientes.</w:t>
      </w:r>
    </w:p>
    <w:p w:rsidR="009554F1" w:rsidRPr="00862632" w:rsidRDefault="00BC6F41" w:rsidP="00BA1F3F">
      <w:pPr>
        <w:pStyle w:val="enumlev1"/>
        <w:rPr>
          <w:lang w:val="es-ES"/>
        </w:rPr>
      </w:pPr>
      <w:r w:rsidRPr="00862632">
        <w:rPr>
          <w:lang w:val="es-ES"/>
        </w:rPr>
        <w:t>e</w:t>
      </w:r>
      <w:r w:rsidR="00EF2436" w:rsidRPr="00862632">
        <w:rPr>
          <w:lang w:val="es-ES"/>
        </w:rPr>
        <w:t>)</w:t>
      </w:r>
      <w:r w:rsidR="00EF2436" w:rsidRPr="00862632">
        <w:rPr>
          <w:lang w:val="es-ES"/>
        </w:rPr>
        <w:tab/>
      </w:r>
      <w:r w:rsidR="009554F1" w:rsidRPr="00862632">
        <w:rPr>
          <w:lang w:val="es-ES"/>
        </w:rPr>
        <w:t xml:space="preserve">Habida cuenta de que los ccTLD se basan en un </w:t>
      </w:r>
      <w:r w:rsidR="00BC5045">
        <w:rPr>
          <w:lang w:val="es-ES"/>
        </w:rPr>
        <w:t>"</w:t>
      </w:r>
      <w:r w:rsidR="009554F1" w:rsidRPr="00862632">
        <w:rPr>
          <w:lang w:val="es-ES"/>
        </w:rPr>
        <w:t>territorio</w:t>
      </w:r>
      <w:r w:rsidR="00BC5045">
        <w:rPr>
          <w:lang w:val="es-ES"/>
        </w:rPr>
        <w:t>"</w:t>
      </w:r>
      <w:r w:rsidR="009554F1" w:rsidRPr="00862632">
        <w:rPr>
          <w:lang w:val="es-ES"/>
        </w:rPr>
        <w:t xml:space="preserve">, los debates sobre los ccTLD se refieren a menudo a la relación entre una cadena TLD y un </w:t>
      </w:r>
      <w:r w:rsidR="00BC5045">
        <w:rPr>
          <w:lang w:val="es-ES"/>
        </w:rPr>
        <w:t>"</w:t>
      </w:r>
      <w:r w:rsidR="009554F1" w:rsidRPr="00862632">
        <w:rPr>
          <w:lang w:val="es-ES"/>
        </w:rPr>
        <w:t>territorio</w:t>
      </w:r>
      <w:r w:rsidR="00BC5045">
        <w:rPr>
          <w:lang w:val="es-ES"/>
        </w:rPr>
        <w:t>"</w:t>
      </w:r>
      <w:r w:rsidR="009554F1" w:rsidRPr="00862632">
        <w:rPr>
          <w:lang w:val="es-ES"/>
        </w:rPr>
        <w:t xml:space="preserve"> (conforme a la lista ISO 3166</w:t>
      </w:r>
      <w:r w:rsidR="009554F1" w:rsidRPr="00862632">
        <w:rPr>
          <w:lang w:val="es-ES"/>
        </w:rPr>
        <w:noBreakHyphen/>
        <w:t>1). Concretamente, puede plantearse la cuestión de determinar si una cadena TLD corresponde exactamente al territorio que figura en la lista ISO 3166</w:t>
      </w:r>
      <w:r w:rsidR="009554F1" w:rsidRPr="00862632">
        <w:rPr>
          <w:lang w:val="es-ES"/>
        </w:rPr>
        <w:noBreakHyphen/>
        <w:t>1, si el ccTLD representa fácilmente el nombre del territorio, cuántos ccTLD se pueden utilizar para un solo territorio que figura en la lista, etc.</w:t>
      </w:r>
      <w:r w:rsidR="009554F1" w:rsidRPr="00862632">
        <w:rPr>
          <w:rStyle w:val="FootnoteReference"/>
          <w:lang w:val="es-ES"/>
        </w:rPr>
        <w:footnoteReference w:id="172"/>
      </w:r>
      <w:r w:rsidR="009554F1" w:rsidRPr="00862632">
        <w:rPr>
          <w:lang w:val="es-ES"/>
        </w:rPr>
        <w:t xml:space="preserve"> Por ejemplo,</w:t>
      </w:r>
      <w:r w:rsidR="00D63346" w:rsidRPr="00862632">
        <w:rPr>
          <w:lang w:val="es-ES"/>
        </w:rPr>
        <w:t xml:space="preserve"> desde un principio, el Reino Unido de Gran Bretaña e Irlanda del Norte utiliza el código</w:t>
      </w:r>
      <w:r w:rsidR="009554F1" w:rsidRPr="00862632">
        <w:rPr>
          <w:lang w:val="es-ES"/>
        </w:rPr>
        <w:t xml:space="preserve"> reservado excepcionalmente </w:t>
      </w:r>
      <w:r w:rsidR="00BC5045">
        <w:rPr>
          <w:lang w:val="es-ES"/>
        </w:rPr>
        <w:t>"</w:t>
      </w:r>
      <w:r w:rsidR="00D63346" w:rsidRPr="00862632">
        <w:rPr>
          <w:lang w:val="es-ES"/>
        </w:rPr>
        <w:t>UK</w:t>
      </w:r>
      <w:r w:rsidR="00BC5045">
        <w:rPr>
          <w:lang w:val="es-ES"/>
        </w:rPr>
        <w:t>"</w:t>
      </w:r>
      <w:r w:rsidR="00D63346" w:rsidRPr="00862632">
        <w:rPr>
          <w:lang w:val="es-ES"/>
        </w:rPr>
        <w:t xml:space="preserve"> de la tab</w:t>
      </w:r>
      <w:r w:rsidR="00B01478">
        <w:rPr>
          <w:lang w:val="es-ES"/>
        </w:rPr>
        <w:t>l</w:t>
      </w:r>
      <w:r w:rsidR="00D63346" w:rsidRPr="00862632">
        <w:rPr>
          <w:lang w:val="es-ES"/>
        </w:rPr>
        <w:t xml:space="preserve">a de descodificación ISO 3166-1 para sus ccTLD, en lugar del código primario </w:t>
      </w:r>
      <w:r w:rsidR="00BC5045">
        <w:rPr>
          <w:lang w:val="es-ES"/>
        </w:rPr>
        <w:t>"</w:t>
      </w:r>
      <w:r w:rsidR="00D63346" w:rsidRPr="00862632">
        <w:rPr>
          <w:lang w:val="es-ES"/>
        </w:rPr>
        <w:t>GB</w:t>
      </w:r>
      <w:r w:rsidR="00BC5045">
        <w:rPr>
          <w:lang w:val="es-ES"/>
        </w:rPr>
        <w:t>"</w:t>
      </w:r>
      <w:r w:rsidR="00D63346" w:rsidRPr="00862632">
        <w:rPr>
          <w:lang w:val="es-ES"/>
        </w:rPr>
        <w:t xml:space="preserve">. El Gobierno del Reino Unido sigue manteniendo la delegación para </w:t>
      </w:r>
      <w:r w:rsidR="00BC5045">
        <w:rPr>
          <w:lang w:val="es-ES"/>
        </w:rPr>
        <w:t>"</w:t>
      </w:r>
      <w:r w:rsidR="00D63346" w:rsidRPr="00862632">
        <w:rPr>
          <w:lang w:val="es-ES"/>
        </w:rPr>
        <w:t>.gb</w:t>
      </w:r>
      <w:r w:rsidR="00BC5045">
        <w:rPr>
          <w:lang w:val="es-ES"/>
        </w:rPr>
        <w:t>"</w:t>
      </w:r>
      <w:r w:rsidR="00D63346" w:rsidRPr="00862632">
        <w:rPr>
          <w:lang w:val="es-ES"/>
        </w:rPr>
        <w:t>, que no puede atribuirse a ningún otro</w:t>
      </w:r>
      <w:r w:rsidR="009554F1" w:rsidRPr="00862632">
        <w:rPr>
          <w:lang w:val="es-ES"/>
        </w:rPr>
        <w:t xml:space="preserve"> país.</w:t>
      </w:r>
      <w:r w:rsidR="00D63346" w:rsidRPr="00862632">
        <w:rPr>
          <w:lang w:val="es-ES"/>
        </w:rPr>
        <w:t xml:space="preserve"> Además,</w:t>
      </w:r>
      <w:r w:rsidR="00BA1F3F">
        <w:rPr>
          <w:lang w:val="es-ES"/>
        </w:rPr>
        <w:t xml:space="preserve"> </w:t>
      </w:r>
      <w:r w:rsidR="00BC5045">
        <w:rPr>
          <w:lang w:val="es-ES"/>
        </w:rPr>
        <w:t>"</w:t>
      </w:r>
      <w:r w:rsidR="009554F1" w:rsidRPr="00862632">
        <w:rPr>
          <w:lang w:val="es-ES"/>
        </w:rPr>
        <w:t>.ax</w:t>
      </w:r>
      <w:r w:rsidR="00BC5045">
        <w:rPr>
          <w:lang w:val="es-ES"/>
        </w:rPr>
        <w:t>"</w:t>
      </w:r>
      <w:r w:rsidR="009554F1" w:rsidRPr="00862632">
        <w:rPr>
          <w:lang w:val="es-ES"/>
        </w:rPr>
        <w:t xml:space="preserve"> está reservado para las Islas Åland a petición de Finlandia, y </w:t>
      </w:r>
      <w:r w:rsidR="00BC5045">
        <w:rPr>
          <w:lang w:val="es-ES"/>
        </w:rPr>
        <w:t>"</w:t>
      </w:r>
      <w:r w:rsidR="009554F1" w:rsidRPr="00862632">
        <w:rPr>
          <w:lang w:val="es-ES"/>
        </w:rPr>
        <w:t>.fx</w:t>
      </w:r>
      <w:r w:rsidR="00BC5045">
        <w:rPr>
          <w:lang w:val="es-ES"/>
        </w:rPr>
        <w:t>"</w:t>
      </w:r>
      <w:r w:rsidR="009554F1" w:rsidRPr="00862632">
        <w:rPr>
          <w:lang w:val="es-ES"/>
        </w:rPr>
        <w:t xml:space="preserve"> está reservado para Francia Metropolitana a petición de Francia</w:t>
      </w:r>
      <w:r w:rsidR="009554F1" w:rsidRPr="004366E5">
        <w:rPr>
          <w:rStyle w:val="FootnoteReference"/>
        </w:rPr>
        <w:footnoteReference w:id="173"/>
      </w:r>
      <w:r w:rsidR="009554F1" w:rsidRPr="00862632">
        <w:rPr>
          <w:lang w:val="es-ES"/>
        </w:rPr>
        <w:t>.</w:t>
      </w:r>
    </w:p>
    <w:p w:rsidR="009554F1" w:rsidRPr="00862632" w:rsidRDefault="000D0D0C" w:rsidP="0016466E">
      <w:pPr>
        <w:pStyle w:val="enumlev1"/>
        <w:rPr>
          <w:lang w:val="es-ES"/>
        </w:rPr>
      </w:pPr>
      <w:r w:rsidRPr="00862632">
        <w:rPr>
          <w:lang w:val="es-ES"/>
        </w:rPr>
        <w:t>f</w:t>
      </w:r>
      <w:r w:rsidR="00EF2436" w:rsidRPr="00862632">
        <w:rPr>
          <w:lang w:val="es-ES"/>
        </w:rPr>
        <w:t>)</w:t>
      </w:r>
      <w:r w:rsidR="00EF2436" w:rsidRPr="00862632">
        <w:rPr>
          <w:lang w:val="es-ES"/>
        </w:rPr>
        <w:tab/>
      </w:r>
      <w:r w:rsidR="009554F1" w:rsidRPr="00862632">
        <w:rPr>
          <w:lang w:val="es-ES"/>
        </w:rPr>
        <w:t>El proceso actual de delegación o relegación de un ccTLD comprende varias etapas en las cuales intervienen numerosos actores diferentes, a saber</w:t>
      </w:r>
      <w:r w:rsidR="009554F1" w:rsidRPr="00862632">
        <w:rPr>
          <w:rStyle w:val="FootnoteReference"/>
          <w:lang w:val="es-ES"/>
        </w:rPr>
        <w:footnoteReference w:id="174"/>
      </w:r>
      <w:r w:rsidR="00F262D9" w:rsidRPr="00F262D9">
        <w:rPr>
          <w:rStyle w:val="FootnoteReference"/>
        </w:rPr>
        <w:t>,</w:t>
      </w:r>
      <w:r w:rsidRPr="00862632">
        <w:rPr>
          <w:rStyle w:val="FootnoteReference"/>
          <w:lang w:val="es-ES"/>
        </w:rPr>
        <w:footnoteReference w:id="175"/>
      </w:r>
      <w:r w:rsidR="009554F1" w:rsidRPr="00862632">
        <w:rPr>
          <w:lang w:val="es-ES"/>
        </w:rPr>
        <w:t>:</w:t>
      </w:r>
    </w:p>
    <w:p w:rsidR="009554F1" w:rsidRPr="00862632" w:rsidRDefault="009568A8" w:rsidP="0016466E">
      <w:pPr>
        <w:pStyle w:val="enumlev2"/>
        <w:rPr>
          <w:rFonts w:eastAsiaTheme="minorEastAsia"/>
          <w:lang w:val="es-ES" w:eastAsia="zh-CN"/>
        </w:rPr>
      </w:pPr>
      <w:r w:rsidRPr="00862632">
        <w:rPr>
          <w:rFonts w:eastAsiaTheme="minorEastAsia"/>
          <w:lang w:val="es-ES" w:eastAsia="zh-CN"/>
        </w:rPr>
        <w:t>i)</w:t>
      </w:r>
      <w:r w:rsidRPr="00862632">
        <w:rPr>
          <w:rFonts w:eastAsiaTheme="minorEastAsia"/>
          <w:lang w:val="es-ES" w:eastAsia="zh-CN"/>
        </w:rPr>
        <w:tab/>
      </w:r>
      <w:r w:rsidR="009554F1" w:rsidRPr="00862632">
        <w:rPr>
          <w:rFonts w:eastAsiaTheme="minorEastAsia"/>
          <w:lang w:val="es-ES" w:eastAsia="zh-CN"/>
        </w:rPr>
        <w:t>un nuevo operador propuesto solicita un nombre en un ccTLD;</w:t>
      </w:r>
    </w:p>
    <w:p w:rsidR="009554F1" w:rsidRPr="00862632" w:rsidRDefault="009568A8" w:rsidP="0016466E">
      <w:pPr>
        <w:pStyle w:val="enumlev2"/>
        <w:rPr>
          <w:rFonts w:eastAsiaTheme="minorEastAsia"/>
          <w:lang w:val="es-ES" w:eastAsia="zh-CN"/>
        </w:rPr>
      </w:pPr>
      <w:r w:rsidRPr="00862632">
        <w:rPr>
          <w:rFonts w:eastAsiaTheme="minorEastAsia"/>
          <w:lang w:val="es-ES" w:eastAsia="zh-CN"/>
        </w:rPr>
        <w:t>ii)</w:t>
      </w:r>
      <w:r w:rsidRPr="00862632">
        <w:rPr>
          <w:rFonts w:eastAsiaTheme="minorEastAsia"/>
          <w:lang w:val="es-ES" w:eastAsia="zh-CN"/>
        </w:rPr>
        <w:tab/>
      </w:r>
      <w:r w:rsidR="009554F1" w:rsidRPr="00862632">
        <w:rPr>
          <w:rFonts w:eastAsiaTheme="minorEastAsia"/>
          <w:lang w:val="es-ES" w:eastAsia="zh-CN"/>
        </w:rPr>
        <w:t>el operador existente confirma que el cambio es apropiado, en caso de una solicitud de redelegación;</w:t>
      </w:r>
    </w:p>
    <w:p w:rsidR="009554F1" w:rsidRPr="00862632" w:rsidRDefault="009568A8" w:rsidP="0016466E">
      <w:pPr>
        <w:pStyle w:val="enumlev2"/>
        <w:rPr>
          <w:rFonts w:eastAsiaTheme="minorEastAsia"/>
          <w:lang w:val="es-ES" w:eastAsia="zh-CN"/>
        </w:rPr>
      </w:pPr>
      <w:r w:rsidRPr="00862632">
        <w:rPr>
          <w:rFonts w:eastAsiaTheme="minorEastAsia"/>
          <w:lang w:val="es-ES" w:eastAsia="zh-CN"/>
        </w:rPr>
        <w:t>iii)</w:t>
      </w:r>
      <w:r w:rsidRPr="00862632">
        <w:rPr>
          <w:rFonts w:eastAsiaTheme="minorEastAsia"/>
          <w:lang w:val="es-ES" w:eastAsia="zh-CN"/>
        </w:rPr>
        <w:tab/>
      </w:r>
      <w:r w:rsidR="009554F1" w:rsidRPr="00862632">
        <w:rPr>
          <w:rFonts w:eastAsiaTheme="minorEastAsia"/>
          <w:lang w:val="es-ES" w:eastAsia="zh-CN"/>
        </w:rPr>
        <w:t>en muchos casos, se pide a un gobierno nacional asociado con el ccTLD que compruebe que la redelegación es apoyada por la organización que la propone;</w:t>
      </w:r>
    </w:p>
    <w:p w:rsidR="009554F1" w:rsidRPr="00862632" w:rsidRDefault="009568A8" w:rsidP="0016466E">
      <w:pPr>
        <w:pStyle w:val="enumlev2"/>
        <w:rPr>
          <w:rFonts w:eastAsiaTheme="minorEastAsia"/>
          <w:lang w:val="es-ES" w:eastAsia="zh-CN"/>
        </w:rPr>
      </w:pPr>
      <w:r w:rsidRPr="00862632">
        <w:rPr>
          <w:rFonts w:eastAsiaTheme="minorEastAsia"/>
          <w:lang w:val="es-ES" w:eastAsia="zh-CN"/>
        </w:rPr>
        <w:t>iv)</w:t>
      </w:r>
      <w:r w:rsidRPr="00862632">
        <w:rPr>
          <w:rFonts w:eastAsiaTheme="minorEastAsia"/>
          <w:lang w:val="es-ES" w:eastAsia="zh-CN"/>
        </w:rPr>
        <w:tab/>
      </w:r>
      <w:r w:rsidR="009554F1" w:rsidRPr="00862632">
        <w:rPr>
          <w:rFonts w:eastAsiaTheme="minorEastAsia"/>
          <w:lang w:val="es-ES" w:eastAsia="zh-CN"/>
        </w:rPr>
        <w:t>se pide a las partes que se benefician del ccTLD que demuestren que apoyan la solicitud y que ésta corresponde a los intereses y necesidades de la comunidad Internet local;</w:t>
      </w:r>
    </w:p>
    <w:p w:rsidR="009554F1" w:rsidRPr="00862632" w:rsidRDefault="009568A8" w:rsidP="0016466E">
      <w:pPr>
        <w:pStyle w:val="enumlev2"/>
        <w:rPr>
          <w:rFonts w:eastAsiaTheme="minorEastAsia"/>
          <w:lang w:val="es-ES" w:eastAsia="zh-CN"/>
        </w:rPr>
      </w:pPr>
      <w:r w:rsidRPr="00862632">
        <w:rPr>
          <w:rFonts w:eastAsiaTheme="minorEastAsia"/>
          <w:lang w:val="es-ES" w:eastAsia="zh-CN"/>
        </w:rPr>
        <w:t>v)</w:t>
      </w:r>
      <w:r w:rsidRPr="00862632">
        <w:rPr>
          <w:rFonts w:eastAsiaTheme="minorEastAsia"/>
          <w:lang w:val="es-ES" w:eastAsia="zh-CN"/>
        </w:rPr>
        <w:tab/>
      </w:r>
      <w:r w:rsidR="009554F1" w:rsidRPr="00862632">
        <w:rPr>
          <w:rFonts w:eastAsiaTheme="minorEastAsia"/>
          <w:lang w:val="es-ES" w:eastAsia="zh-CN"/>
        </w:rPr>
        <w:t xml:space="preserve">el IANA, que ejerce las funciones de coordinador y analiza la solicitud, estudiando en particular los detalles de la misma, sometiendo una recomendación al Consejo de </w:t>
      </w:r>
      <w:r w:rsidR="00B740D0" w:rsidRPr="00862632">
        <w:rPr>
          <w:rFonts w:eastAsiaTheme="minorEastAsia"/>
          <w:lang w:val="es-ES" w:eastAsia="zh-CN"/>
        </w:rPr>
        <w:t>A</w:t>
      </w:r>
      <w:r w:rsidR="009554F1" w:rsidRPr="00862632">
        <w:rPr>
          <w:rFonts w:eastAsiaTheme="minorEastAsia"/>
          <w:lang w:val="es-ES" w:eastAsia="zh-CN"/>
        </w:rPr>
        <w:t>dministración de la ICANN, y atendiendo a la solicitud, si ésta es aprobada;</w:t>
      </w:r>
    </w:p>
    <w:p w:rsidR="009554F1" w:rsidRPr="00862632" w:rsidRDefault="009568A8" w:rsidP="0016466E">
      <w:pPr>
        <w:pStyle w:val="enumlev2"/>
        <w:rPr>
          <w:rFonts w:eastAsiaTheme="minorEastAsia"/>
          <w:lang w:val="es-ES" w:eastAsia="zh-CN"/>
        </w:rPr>
      </w:pPr>
      <w:r w:rsidRPr="00862632">
        <w:rPr>
          <w:rFonts w:eastAsiaTheme="minorEastAsia"/>
          <w:lang w:val="es-ES" w:eastAsia="zh-CN"/>
        </w:rPr>
        <w:t>vi)</w:t>
      </w:r>
      <w:r w:rsidRPr="00862632">
        <w:rPr>
          <w:rFonts w:eastAsiaTheme="minorEastAsia"/>
          <w:lang w:val="es-ES" w:eastAsia="zh-CN"/>
        </w:rPr>
        <w:tab/>
      </w:r>
      <w:r w:rsidR="009554F1" w:rsidRPr="00862632">
        <w:rPr>
          <w:rFonts w:eastAsiaTheme="minorEastAsia"/>
          <w:lang w:val="es-ES" w:eastAsia="zh-CN"/>
        </w:rPr>
        <w:t>el Consejo de administración de la ICANN estudia la recomendación del IANA y se pronuncia sobre si procede seguir atendiendo a la solicitud;</w:t>
      </w:r>
    </w:p>
    <w:p w:rsidR="009554F1" w:rsidRPr="00862632" w:rsidRDefault="009568A8" w:rsidP="0016466E">
      <w:pPr>
        <w:pStyle w:val="enumlev2"/>
        <w:rPr>
          <w:rFonts w:eastAsiaTheme="minorEastAsia"/>
          <w:lang w:val="es-ES" w:eastAsia="zh-CN"/>
        </w:rPr>
      </w:pPr>
      <w:r w:rsidRPr="00862632">
        <w:rPr>
          <w:rFonts w:eastAsiaTheme="minorEastAsia"/>
          <w:lang w:val="es-ES" w:eastAsia="zh-CN"/>
        </w:rPr>
        <w:t>vii)</w:t>
      </w:r>
      <w:r w:rsidRPr="00862632">
        <w:rPr>
          <w:rFonts w:eastAsiaTheme="minorEastAsia"/>
          <w:lang w:val="es-ES" w:eastAsia="zh-CN"/>
        </w:rPr>
        <w:tab/>
      </w:r>
      <w:r w:rsidR="009554F1" w:rsidRPr="00862632">
        <w:rPr>
          <w:rFonts w:eastAsiaTheme="minorEastAsia"/>
          <w:lang w:val="es-ES" w:eastAsia="zh-CN"/>
        </w:rPr>
        <w:t xml:space="preserve">por último, el </w:t>
      </w:r>
      <w:r w:rsidR="00B740D0" w:rsidRPr="00862632">
        <w:rPr>
          <w:rFonts w:eastAsiaTheme="minorEastAsia"/>
          <w:lang w:val="es-ES" w:eastAsia="zh-CN"/>
        </w:rPr>
        <w:t>G</w:t>
      </w:r>
      <w:r w:rsidR="009554F1" w:rsidRPr="00862632">
        <w:rPr>
          <w:rFonts w:eastAsiaTheme="minorEastAsia"/>
          <w:lang w:val="es-ES" w:eastAsia="zh-CN"/>
        </w:rPr>
        <w:t>obierno de EE.UU. evalúa un informe sobre la solicitud preparado por el IANA.</w:t>
      </w:r>
    </w:p>
    <w:p w:rsidR="009554F1" w:rsidRPr="00862632" w:rsidRDefault="000D0D0C" w:rsidP="007C1231">
      <w:pPr>
        <w:pStyle w:val="enumlev1"/>
        <w:rPr>
          <w:lang w:val="es-ES"/>
        </w:rPr>
      </w:pPr>
      <w:r w:rsidRPr="00862632">
        <w:rPr>
          <w:lang w:val="es-ES"/>
        </w:rPr>
        <w:t>g</w:t>
      </w:r>
      <w:r w:rsidR="009568A8" w:rsidRPr="00862632">
        <w:rPr>
          <w:lang w:val="es-ES"/>
        </w:rPr>
        <w:t>)</w:t>
      </w:r>
      <w:r w:rsidR="009568A8" w:rsidRPr="00862632">
        <w:rPr>
          <w:lang w:val="es-ES"/>
        </w:rPr>
        <w:tab/>
      </w:r>
      <w:r w:rsidRPr="00862632">
        <w:rPr>
          <w:lang w:val="es-ES"/>
        </w:rPr>
        <w:t>C</w:t>
      </w:r>
      <w:r w:rsidR="009554F1" w:rsidRPr="00862632">
        <w:rPr>
          <w:lang w:val="es-ES"/>
        </w:rPr>
        <w:t xml:space="preserve">ada vez </w:t>
      </w:r>
      <w:r w:rsidRPr="00862632">
        <w:rPr>
          <w:lang w:val="es-ES"/>
        </w:rPr>
        <w:t xml:space="preserve">se reconoce </w:t>
      </w:r>
      <w:r w:rsidR="009554F1" w:rsidRPr="00862632">
        <w:rPr>
          <w:lang w:val="es-ES"/>
        </w:rPr>
        <w:t>más el potencial socioeconómico de un ccTLD</w:t>
      </w:r>
      <w:r w:rsidRPr="00862632">
        <w:rPr>
          <w:lang w:val="es-ES"/>
        </w:rPr>
        <w:t>. Mientras tanto</w:t>
      </w:r>
      <w:r w:rsidR="009554F1" w:rsidRPr="00862632">
        <w:rPr>
          <w:lang w:val="es-ES"/>
        </w:rPr>
        <w:t>, se ha observado un flujo constante de solicitudes de redelegación [</w:t>
      </w:r>
      <w:r w:rsidR="007C1231">
        <w:rPr>
          <w:lang w:val="es-ES"/>
        </w:rPr>
        <w:t>origen</w:t>
      </w:r>
      <w:r w:rsidR="009554F1" w:rsidRPr="00862632">
        <w:rPr>
          <w:lang w:val="es-ES"/>
        </w:rPr>
        <w:t xml:space="preserve">: </w:t>
      </w:r>
      <w:hyperlink r:id="rId94" w:history="1">
        <w:r w:rsidR="009000A3" w:rsidRPr="009000A3">
          <w:rPr>
            <w:rStyle w:val="Hyperlink"/>
            <w:lang w:val="es-ES"/>
          </w:rPr>
          <w:t>Reino Unido</w:t>
        </w:r>
      </w:hyperlink>
      <w:r w:rsidR="009554F1" w:rsidRPr="00862632">
        <w:rPr>
          <w:rStyle w:val="FootnoteReference"/>
          <w:lang w:val="es-ES"/>
        </w:rPr>
        <w:footnoteReference w:id="176"/>
      </w:r>
      <w:r w:rsidR="009554F1" w:rsidRPr="00862632">
        <w:rPr>
          <w:lang w:val="es-ES"/>
        </w:rPr>
        <w:t xml:space="preserve">]. Algunos señalan que ya se han planteado problemas con respecto a la autoridad </w:t>
      </w:r>
      <w:r w:rsidRPr="00862632">
        <w:rPr>
          <w:lang w:val="es-ES"/>
        </w:rPr>
        <w:t xml:space="preserve">nacional </w:t>
      </w:r>
      <w:r w:rsidR="009554F1" w:rsidRPr="00862632">
        <w:rPr>
          <w:lang w:val="es-ES"/>
        </w:rPr>
        <w:t>para delegar y administrar los ccTLD</w:t>
      </w:r>
      <w:r w:rsidR="009554F1" w:rsidRPr="00862632">
        <w:rPr>
          <w:rStyle w:val="FootnoteReference"/>
          <w:lang w:val="es-ES"/>
        </w:rPr>
        <w:footnoteReference w:id="177"/>
      </w:r>
      <w:r w:rsidR="009554F1" w:rsidRPr="00862632">
        <w:rPr>
          <w:lang w:val="es-ES"/>
        </w:rPr>
        <w:t xml:space="preserve">. En realidad, algunos gobiernos han recabado asistencia al sistema de las Naciones Unidas para recuperar sus propios ccTLD o han tratado de recurrir a la legislación nacional para reclamar ccTLD a administradores titulares de ccTLD. Por ejemplo, la solicitud de redelegación del ccTLD </w:t>
      </w:r>
      <w:r w:rsidR="00BC5045">
        <w:rPr>
          <w:lang w:val="es-ES"/>
        </w:rPr>
        <w:t>"</w:t>
      </w:r>
      <w:r w:rsidR="009554F1" w:rsidRPr="00862632">
        <w:rPr>
          <w:lang w:val="es-ES"/>
        </w:rPr>
        <w:t>.so</w:t>
      </w:r>
      <w:r w:rsidR="00BC5045">
        <w:rPr>
          <w:lang w:val="es-ES"/>
        </w:rPr>
        <w:t>"</w:t>
      </w:r>
      <w:r w:rsidR="009554F1" w:rsidRPr="00862632">
        <w:rPr>
          <w:lang w:val="es-ES"/>
        </w:rPr>
        <w:t xml:space="preserve"> fue aceptada por el Consejo de </w:t>
      </w:r>
      <w:r w:rsidR="00B740D0" w:rsidRPr="00862632">
        <w:rPr>
          <w:lang w:val="es-ES"/>
        </w:rPr>
        <w:t>A</w:t>
      </w:r>
      <w:r w:rsidR="009554F1" w:rsidRPr="00862632">
        <w:rPr>
          <w:lang w:val="es-ES"/>
        </w:rPr>
        <w:t xml:space="preserve">dministración de la ICANN en febrero de 2009. El TLD </w:t>
      </w:r>
      <w:r w:rsidR="00BC5045">
        <w:rPr>
          <w:lang w:val="es-ES"/>
        </w:rPr>
        <w:t>"</w:t>
      </w:r>
      <w:r w:rsidR="009554F1" w:rsidRPr="00862632">
        <w:rPr>
          <w:lang w:val="es-ES"/>
        </w:rPr>
        <w:t>.so</w:t>
      </w:r>
      <w:r w:rsidR="00BC5045">
        <w:rPr>
          <w:lang w:val="es-ES"/>
        </w:rPr>
        <w:t>"</w:t>
      </w:r>
      <w:r w:rsidR="009554F1" w:rsidRPr="00862632">
        <w:rPr>
          <w:lang w:val="es-ES"/>
        </w:rPr>
        <w:t xml:space="preserve"> está destinado a Somalia en la norma ISO 3166</w:t>
      </w:r>
      <w:r w:rsidR="009554F1" w:rsidRPr="00862632">
        <w:rPr>
          <w:lang w:val="es-ES"/>
        </w:rPr>
        <w:noBreakHyphen/>
        <w:t xml:space="preserve">1, pero el TLD </w:t>
      </w:r>
      <w:r w:rsidR="00BC5045">
        <w:rPr>
          <w:lang w:val="es-ES"/>
        </w:rPr>
        <w:t>"</w:t>
      </w:r>
      <w:r w:rsidR="009554F1" w:rsidRPr="00862632">
        <w:rPr>
          <w:lang w:val="es-ES"/>
        </w:rPr>
        <w:t>.so</w:t>
      </w:r>
      <w:r w:rsidR="00BC5045">
        <w:rPr>
          <w:lang w:val="es-ES"/>
        </w:rPr>
        <w:t>"</w:t>
      </w:r>
      <w:r w:rsidR="009554F1" w:rsidRPr="00862632">
        <w:rPr>
          <w:lang w:val="es-ES"/>
        </w:rPr>
        <w:t xml:space="preserve"> se deleg</w:t>
      </w:r>
      <w:r w:rsidR="00B740D0" w:rsidRPr="00862632">
        <w:rPr>
          <w:lang w:val="es-ES"/>
        </w:rPr>
        <w:t>ó</w:t>
      </w:r>
      <w:r w:rsidR="009554F1" w:rsidRPr="00862632">
        <w:rPr>
          <w:lang w:val="es-ES"/>
        </w:rPr>
        <w:t xml:space="preserve"> inicialmente en 1997 a la empresa World Class Domains, que tiene su sede en EE.UU. La solicitud de redelegación del TLD </w:t>
      </w:r>
      <w:r w:rsidR="00BC5045">
        <w:rPr>
          <w:lang w:val="es-ES"/>
        </w:rPr>
        <w:t>"</w:t>
      </w:r>
      <w:r w:rsidR="009554F1" w:rsidRPr="00862632">
        <w:rPr>
          <w:lang w:val="es-ES"/>
        </w:rPr>
        <w:t>.so</w:t>
      </w:r>
      <w:r w:rsidR="00BC5045">
        <w:rPr>
          <w:lang w:val="es-ES"/>
        </w:rPr>
        <w:t>"</w:t>
      </w:r>
      <w:r w:rsidR="009554F1" w:rsidRPr="00862632">
        <w:rPr>
          <w:lang w:val="es-ES"/>
        </w:rPr>
        <w:t xml:space="preserve"> </w:t>
      </w:r>
      <w:r w:rsidRPr="00862632">
        <w:rPr>
          <w:lang w:val="es-ES"/>
        </w:rPr>
        <w:t>fue</w:t>
      </w:r>
      <w:r w:rsidR="009554F1" w:rsidRPr="00862632">
        <w:rPr>
          <w:lang w:val="es-ES"/>
        </w:rPr>
        <w:t xml:space="preserve"> sometida por la UIT y, finalmente, el TLD </w:t>
      </w:r>
      <w:r w:rsidR="00BC5045">
        <w:rPr>
          <w:lang w:val="es-ES"/>
        </w:rPr>
        <w:t>"</w:t>
      </w:r>
      <w:r w:rsidR="009554F1" w:rsidRPr="00862632">
        <w:rPr>
          <w:lang w:val="es-ES"/>
        </w:rPr>
        <w:t>.so</w:t>
      </w:r>
      <w:r w:rsidR="00BC5045">
        <w:rPr>
          <w:lang w:val="es-ES"/>
        </w:rPr>
        <w:t>"</w:t>
      </w:r>
      <w:r w:rsidR="009554F1" w:rsidRPr="00862632">
        <w:rPr>
          <w:lang w:val="es-ES"/>
        </w:rPr>
        <w:t xml:space="preserve"> fue relegado al Ministerio de Correos y Telecomunicaciones del Gobierno Federal de Transición de Somalia en 2009</w:t>
      </w:r>
      <w:r w:rsidR="009554F1" w:rsidRPr="00862632">
        <w:rPr>
          <w:rStyle w:val="FootnoteReference"/>
          <w:lang w:val="es-ES"/>
        </w:rPr>
        <w:footnoteReference w:id="178"/>
      </w:r>
      <w:r w:rsidR="009554F1" w:rsidRPr="00862632">
        <w:rPr>
          <w:lang w:val="es-ES"/>
        </w:rPr>
        <w:t>.</w:t>
      </w:r>
    </w:p>
    <w:p w:rsidR="00344D10" w:rsidRPr="00862632" w:rsidRDefault="000D0D0C" w:rsidP="0016466E">
      <w:pPr>
        <w:pStyle w:val="enumlev1"/>
        <w:rPr>
          <w:lang w:val="es-ES"/>
        </w:rPr>
      </w:pPr>
      <w:r w:rsidRPr="00862632">
        <w:rPr>
          <w:lang w:val="es-ES"/>
        </w:rPr>
        <w:t>h</w:t>
      </w:r>
      <w:r w:rsidR="009568A8" w:rsidRPr="00862632">
        <w:rPr>
          <w:lang w:val="es-ES"/>
        </w:rPr>
        <w:t>)</w:t>
      </w:r>
      <w:r w:rsidR="009568A8" w:rsidRPr="00862632">
        <w:rPr>
          <w:lang w:val="es-ES"/>
        </w:rPr>
        <w:tab/>
      </w:r>
      <w:r w:rsidR="00A756BB">
        <w:rPr>
          <w:lang w:val="es-ES"/>
        </w:rPr>
        <w:t>Co</w:t>
      </w:r>
      <w:r w:rsidRPr="00862632">
        <w:rPr>
          <w:lang w:val="es-ES"/>
        </w:rPr>
        <w:t xml:space="preserve">mo se prevé en la </w:t>
      </w:r>
      <w:r w:rsidRPr="00862632">
        <w:rPr>
          <w:i/>
          <w:iCs/>
          <w:lang w:val="es-ES"/>
        </w:rPr>
        <w:t>Agenda de Túnez,</w:t>
      </w:r>
      <w:r w:rsidRPr="00862632">
        <w:rPr>
          <w:lang w:val="es-ES"/>
        </w:rPr>
        <w:t xml:space="preserve"> </w:t>
      </w:r>
      <w:r w:rsidR="00A756BB" w:rsidRPr="00862632">
        <w:rPr>
          <w:lang w:val="es-ES"/>
        </w:rPr>
        <w:t xml:space="preserve">los </w:t>
      </w:r>
      <w:r w:rsidR="009554F1" w:rsidRPr="00862632">
        <w:rPr>
          <w:lang w:val="es-ES"/>
        </w:rPr>
        <w:t>Estados Miembros representan los intereses de la población del país o territorio para el cual se ha delegado un ccTLD</w:t>
      </w:r>
      <w:r w:rsidR="009554F1" w:rsidRPr="00862632">
        <w:rPr>
          <w:rStyle w:val="FootnoteReference"/>
          <w:lang w:val="es-ES"/>
        </w:rPr>
        <w:footnoteReference w:id="179"/>
      </w:r>
      <w:r w:rsidR="009554F1" w:rsidRPr="00862632">
        <w:rPr>
          <w:lang w:val="es-ES"/>
        </w:rPr>
        <w:t>. En el §</w:t>
      </w:r>
      <w:r w:rsidR="00B740D0" w:rsidRPr="00862632">
        <w:rPr>
          <w:lang w:val="es-ES"/>
        </w:rPr>
        <w:t xml:space="preserve"> </w:t>
      </w:r>
      <w:r w:rsidR="009554F1" w:rsidRPr="00862632">
        <w:rPr>
          <w:lang w:val="es-ES"/>
        </w:rPr>
        <w:t>63 de</w:t>
      </w:r>
      <w:r w:rsidR="00B740D0" w:rsidRPr="00862632">
        <w:rPr>
          <w:lang w:val="es-ES"/>
        </w:rPr>
        <w:t xml:space="preserve"> </w:t>
      </w:r>
      <w:r w:rsidR="009554F1" w:rsidRPr="00862632">
        <w:rPr>
          <w:lang w:val="es-ES"/>
        </w:rPr>
        <w:t>l</w:t>
      </w:r>
      <w:r w:rsidR="00B740D0" w:rsidRPr="00862632">
        <w:rPr>
          <w:lang w:val="es-ES"/>
        </w:rPr>
        <w:t>a</w:t>
      </w:r>
      <w:r w:rsidR="009554F1" w:rsidRPr="00862632">
        <w:rPr>
          <w:lang w:val="es-ES"/>
        </w:rPr>
        <w:t xml:space="preserve"> </w:t>
      </w:r>
      <w:r w:rsidR="009554F1" w:rsidRPr="00862632">
        <w:rPr>
          <w:i/>
          <w:iCs/>
          <w:lang w:val="es-ES"/>
        </w:rPr>
        <w:t>Agenda de Túnez</w:t>
      </w:r>
      <w:r w:rsidR="009554F1" w:rsidRPr="00862632">
        <w:rPr>
          <w:lang w:val="es-ES"/>
        </w:rPr>
        <w:t xml:space="preserve"> se indica que los países no deben involucrarse en las decisiones relativas a los ccTLD de otros países y que </w:t>
      </w:r>
      <w:r w:rsidR="00A65B91">
        <w:rPr>
          <w:lang w:val="es-ES"/>
        </w:rPr>
        <w:t>"</w:t>
      </w:r>
      <w:r w:rsidR="009554F1" w:rsidRPr="00862632">
        <w:rPr>
          <w:lang w:val="es-ES"/>
        </w:rPr>
        <w:t>sus legítimos intereses, expresados y definidos por cada país, en diversas formas, en relación con las decisiones que afectan a sus ccTLD, deben ser respetados, apoyados y tratados a través de marcos y mecanismos mejorado</w:t>
      </w:r>
      <w:r w:rsidR="00A65B91">
        <w:rPr>
          <w:lang w:val="es-ES"/>
        </w:rPr>
        <w:t>s y flexibles</w:t>
      </w:r>
      <w:r w:rsidR="00BC5045">
        <w:rPr>
          <w:lang w:val="es-ES"/>
        </w:rPr>
        <w:t>"</w:t>
      </w:r>
      <w:r w:rsidR="00A65B91">
        <w:rPr>
          <w:lang w:val="es-ES"/>
        </w:rPr>
        <w:t>.</w:t>
      </w:r>
    </w:p>
    <w:p w:rsidR="00344D10" w:rsidRPr="00C64ABF" w:rsidRDefault="009554F1" w:rsidP="00C64ABF">
      <w:pPr>
        <w:rPr>
          <w:b/>
          <w:bCs/>
          <w:lang w:val="es-ES"/>
        </w:rPr>
      </w:pPr>
      <w:r w:rsidRPr="00C64ABF">
        <w:rPr>
          <w:b/>
          <w:bCs/>
          <w:lang w:val="es-ES"/>
        </w:rPr>
        <w:t>2.3.4.3</w:t>
      </w:r>
      <w:r w:rsidRPr="00C64ABF">
        <w:rPr>
          <w:b/>
          <w:bCs/>
          <w:lang w:val="es-ES"/>
        </w:rPr>
        <w:tab/>
        <w:t>Seguridad del sistema DNS</w:t>
      </w:r>
    </w:p>
    <w:p w:rsidR="00E345D4" w:rsidRPr="00862632" w:rsidRDefault="009568A8" w:rsidP="00CD7920">
      <w:pPr>
        <w:pStyle w:val="enumlev1"/>
        <w:rPr>
          <w:lang w:val="es-ES"/>
        </w:rPr>
      </w:pPr>
      <w:r w:rsidRPr="00862632">
        <w:rPr>
          <w:lang w:val="es-ES"/>
        </w:rPr>
        <w:t>a)</w:t>
      </w:r>
      <w:r w:rsidRPr="00862632">
        <w:rPr>
          <w:lang w:val="es-ES"/>
        </w:rPr>
        <w:tab/>
      </w:r>
      <w:r w:rsidR="009554F1" w:rsidRPr="00862632">
        <w:rPr>
          <w:lang w:val="es-ES"/>
        </w:rPr>
        <w:t>El DNS</w:t>
      </w:r>
      <w:r w:rsidR="007E328E" w:rsidRPr="00862632">
        <w:rPr>
          <w:lang w:val="es-ES"/>
        </w:rPr>
        <w:t>, el sistema de direccionamiento de Internet, no se diseñó en un principio pensando en la seguridad. Por consiguiente,</w:t>
      </w:r>
      <w:r w:rsidR="00BA1F3F">
        <w:rPr>
          <w:lang w:val="es-ES"/>
        </w:rPr>
        <w:t xml:space="preserve"> </w:t>
      </w:r>
      <w:r w:rsidR="009554F1" w:rsidRPr="00862632">
        <w:rPr>
          <w:lang w:val="es-ES"/>
        </w:rPr>
        <w:t>tiene fallos de seguridad que</w:t>
      </w:r>
      <w:r w:rsidR="007E328E" w:rsidRPr="00862632">
        <w:rPr>
          <w:lang w:val="es-ES"/>
        </w:rPr>
        <w:t xml:space="preserve"> lo hacen vulnerable a amenazas como, por ejemplo, los</w:t>
      </w:r>
      <w:r w:rsidR="009554F1" w:rsidRPr="00862632">
        <w:rPr>
          <w:lang w:val="es-ES"/>
        </w:rPr>
        <w:t xml:space="preserve"> ataques </w:t>
      </w:r>
      <w:r w:rsidR="00BC5045">
        <w:rPr>
          <w:lang w:val="es-ES"/>
        </w:rPr>
        <w:t>"</w:t>
      </w:r>
      <w:r w:rsidR="009554F1" w:rsidRPr="00862632">
        <w:rPr>
          <w:lang w:val="es-ES"/>
        </w:rPr>
        <w:t>man-in-the-middle</w:t>
      </w:r>
      <w:r w:rsidR="00BC5045">
        <w:rPr>
          <w:lang w:val="es-ES"/>
        </w:rPr>
        <w:t>"</w:t>
      </w:r>
      <w:r w:rsidR="009554F1" w:rsidRPr="00862632">
        <w:rPr>
          <w:lang w:val="es-ES"/>
        </w:rPr>
        <w:t xml:space="preserve"> (un tercero malintencionado </w:t>
      </w:r>
      <w:r w:rsidR="007E328E" w:rsidRPr="00862632">
        <w:rPr>
          <w:lang w:val="es-ES"/>
        </w:rPr>
        <w:t xml:space="preserve">puede </w:t>
      </w:r>
      <w:r w:rsidR="009554F1" w:rsidRPr="00862632">
        <w:rPr>
          <w:lang w:val="es-ES"/>
        </w:rPr>
        <w:t>intercepta</w:t>
      </w:r>
      <w:r w:rsidR="007E328E" w:rsidRPr="00862632">
        <w:rPr>
          <w:lang w:val="es-ES"/>
        </w:rPr>
        <w:t>r</w:t>
      </w:r>
      <w:r w:rsidR="009554F1" w:rsidRPr="00862632">
        <w:rPr>
          <w:lang w:val="es-ES"/>
        </w:rPr>
        <w:t xml:space="preserve"> una solicitud, envía una respuesta falsa y redirecciona al usuario hacia su propio sitio) o </w:t>
      </w:r>
      <w:r w:rsidR="00BC5045">
        <w:rPr>
          <w:lang w:val="es-ES"/>
        </w:rPr>
        <w:t>"</w:t>
      </w:r>
      <w:r w:rsidR="009554F1" w:rsidRPr="00862632">
        <w:rPr>
          <w:lang w:val="es-ES"/>
        </w:rPr>
        <w:t>cache poisoning</w:t>
      </w:r>
      <w:r w:rsidR="00BC5045">
        <w:rPr>
          <w:lang w:val="es-ES"/>
        </w:rPr>
        <w:t>"</w:t>
      </w:r>
      <w:r w:rsidR="009554F1" w:rsidRPr="00862632">
        <w:rPr>
          <w:lang w:val="es-ES"/>
        </w:rPr>
        <w:t xml:space="preserve"> (introducción de datos DNS falsos en la cache almacenada en los servidores DNS). Estos ataques</w:t>
      </w:r>
      <w:r w:rsidR="007E328E" w:rsidRPr="00862632">
        <w:rPr>
          <w:lang w:val="es-ES"/>
        </w:rPr>
        <w:t xml:space="preserve"> pueden aprovecharse para redireccionar el tráfico Internet hacia sitios fraudulentos y direcciones imprevistas, </w:t>
      </w:r>
      <w:r w:rsidR="00E345D4" w:rsidRPr="00862632">
        <w:rPr>
          <w:lang w:val="es-ES"/>
        </w:rPr>
        <w:t xml:space="preserve">permitiendo así </w:t>
      </w:r>
      <w:r w:rsidR="009554F1" w:rsidRPr="00862632">
        <w:rPr>
          <w:lang w:val="es-ES"/>
        </w:rPr>
        <w:t>robo</w:t>
      </w:r>
      <w:r w:rsidR="00E345D4" w:rsidRPr="00862632">
        <w:rPr>
          <w:lang w:val="es-ES"/>
        </w:rPr>
        <w:t>s</w:t>
      </w:r>
      <w:r w:rsidR="009554F1" w:rsidRPr="00862632">
        <w:rPr>
          <w:lang w:val="es-ES"/>
        </w:rPr>
        <w:t xml:space="preserve"> de identidad</w:t>
      </w:r>
      <w:r w:rsidR="00E345D4" w:rsidRPr="00862632">
        <w:rPr>
          <w:lang w:val="es-ES"/>
        </w:rPr>
        <w:t xml:space="preserve">, suplantaciones de identidad, escuchas de comunicaciones, informaciones engañosas o introducciones de software malignos [origen: </w:t>
      </w:r>
      <w:hyperlink r:id="rId95" w:history="1">
        <w:r w:rsidR="00CD7920" w:rsidRPr="00CD7920">
          <w:rPr>
            <w:rStyle w:val="Hyperlink"/>
            <w:lang w:val="es-ES"/>
          </w:rPr>
          <w:t>Nominet</w:t>
        </w:r>
      </w:hyperlink>
      <w:r w:rsidR="00E345D4" w:rsidRPr="00862632">
        <w:rPr>
          <w:rStyle w:val="FootnoteReference"/>
          <w:lang w:val="es-ES"/>
        </w:rPr>
        <w:footnoteReference w:id="180"/>
      </w:r>
      <w:r w:rsidR="00E345D4" w:rsidRPr="00862632">
        <w:rPr>
          <w:lang w:val="es-ES"/>
        </w:rPr>
        <w:t>]. Estos ataques</w:t>
      </w:r>
      <w:r w:rsidR="009554F1" w:rsidRPr="00862632">
        <w:rPr>
          <w:lang w:val="es-ES"/>
        </w:rPr>
        <w:t xml:space="preserve"> amenazan la </w:t>
      </w:r>
      <w:r w:rsidR="00BC5045">
        <w:rPr>
          <w:lang w:val="es-ES"/>
        </w:rPr>
        <w:t>"</w:t>
      </w:r>
      <w:r w:rsidR="009554F1" w:rsidRPr="00862632">
        <w:rPr>
          <w:lang w:val="es-ES"/>
        </w:rPr>
        <w:t>confianza</w:t>
      </w:r>
      <w:r w:rsidR="00BC5045">
        <w:rPr>
          <w:lang w:val="es-ES"/>
        </w:rPr>
        <w:t>"</w:t>
      </w:r>
      <w:r w:rsidR="009554F1" w:rsidRPr="00862632">
        <w:rPr>
          <w:lang w:val="es-ES"/>
        </w:rPr>
        <w:t xml:space="preserve"> de los usuarios </w:t>
      </w:r>
      <w:r w:rsidR="00E345D4" w:rsidRPr="00862632">
        <w:rPr>
          <w:lang w:val="es-ES"/>
        </w:rPr>
        <w:t>de</w:t>
      </w:r>
      <w:r w:rsidR="009554F1" w:rsidRPr="00862632">
        <w:rPr>
          <w:lang w:val="es-ES"/>
        </w:rPr>
        <w:t xml:space="preserve"> Internet</w:t>
      </w:r>
      <w:r w:rsidR="00E345D4" w:rsidRPr="00862632">
        <w:rPr>
          <w:lang w:val="es-ES"/>
        </w:rPr>
        <w:t>.</w:t>
      </w:r>
    </w:p>
    <w:p w:rsidR="00E345D4" w:rsidRPr="00862632" w:rsidRDefault="00E345D4" w:rsidP="003C33B9">
      <w:pPr>
        <w:pStyle w:val="enumlev1"/>
        <w:rPr>
          <w:lang w:val="es-ES"/>
        </w:rPr>
      </w:pPr>
      <w:r w:rsidRPr="00862632">
        <w:rPr>
          <w:lang w:val="es-ES"/>
        </w:rPr>
        <w:t>b)</w:t>
      </w:r>
      <w:r w:rsidRPr="00862632">
        <w:rPr>
          <w:lang w:val="es-ES"/>
        </w:rPr>
        <w:tab/>
        <w:t>Algunas aplicaciones y servicios funcionan sin tener demasiado en cuenta la seguridad, mientras que otros requieren marcos fiables y mecanismos de seguridad que no existen en los protocolos básicos de Internet. Hay una amplia gama de aplicaciones y servicios que utilizan certificados fiables (UIT-T X.509) para establecer sus identidades al comunicar por canales seguros, como la capa de zócalo segura (SSL)</w:t>
      </w:r>
      <w:r w:rsidRPr="00862632">
        <w:rPr>
          <w:rStyle w:val="FootnoteReference"/>
          <w:lang w:val="es-ES"/>
        </w:rPr>
        <w:footnoteReference w:id="181"/>
      </w:r>
      <w:r w:rsidRPr="00862632">
        <w:rPr>
          <w:lang w:val="es-ES"/>
        </w:rPr>
        <w:t xml:space="preserve"> y la seguridad de capa de transporte (TLS)</w:t>
      </w:r>
      <w:r w:rsidRPr="00862632">
        <w:rPr>
          <w:rStyle w:val="FootnoteReference"/>
          <w:lang w:val="es-ES"/>
        </w:rPr>
        <w:footnoteReference w:id="182"/>
      </w:r>
      <w:r w:rsidRPr="00862632">
        <w:rPr>
          <w:lang w:val="es-ES"/>
        </w:rPr>
        <w:t>, aunque hay</w:t>
      </w:r>
      <w:r w:rsidR="00A65B91">
        <w:rPr>
          <w:lang w:val="es-ES"/>
        </w:rPr>
        <w:t>an</w:t>
      </w:r>
      <w:r w:rsidRPr="00862632">
        <w:rPr>
          <w:lang w:val="es-ES"/>
        </w:rPr>
        <w:t xml:space="preserve"> surgido ciertos problemas en relación con la utilización de certificados de seguridad [origen: </w:t>
      </w:r>
      <w:hyperlink r:id="rId96" w:history="1">
        <w:r w:rsidR="003C33B9" w:rsidRPr="003C33B9">
          <w:rPr>
            <w:rStyle w:val="Hyperlink"/>
            <w:rFonts w:eastAsiaTheme="minorEastAsia"/>
            <w:lang w:val="es-ES" w:eastAsia="zh-CN"/>
          </w:rPr>
          <w:t>PayPal</w:t>
        </w:r>
      </w:hyperlink>
      <w:r w:rsidRPr="00862632">
        <w:rPr>
          <w:rStyle w:val="FootnoteReference"/>
          <w:lang w:val="es-ES"/>
        </w:rPr>
        <w:footnoteReference w:id="183"/>
      </w:r>
      <w:r w:rsidRPr="00862632">
        <w:rPr>
          <w:lang w:val="es-ES"/>
        </w:rPr>
        <w:t>]. Algunos han pedido mejores normas, prácticas idóneas y procedimientos operativos al respecto. La confianza en el ecosistema de certificados exige confiar en todas las partes del sistema, limitándose la mayor confianza al eslabón más débil de la cadena. Dada su posición central en la estructura de seguridad de Internet, los certificados, y en particular su emisión, exigen la cooperación y colaboración internacional para garantizar que los emisores cumplen con las normas más estrictas y funcionan de conformidad con los principios y normas acordados.</w:t>
      </w:r>
    </w:p>
    <w:p w:rsidR="009554F1" w:rsidRPr="00862632" w:rsidRDefault="00E345D4" w:rsidP="0016466E">
      <w:pPr>
        <w:pStyle w:val="enumlev1"/>
        <w:rPr>
          <w:lang w:val="es-ES"/>
        </w:rPr>
      </w:pPr>
      <w:r w:rsidRPr="00862632">
        <w:rPr>
          <w:lang w:val="es-ES"/>
        </w:rPr>
        <w:t>c)</w:t>
      </w:r>
      <w:r w:rsidRPr="00862632">
        <w:rPr>
          <w:lang w:val="es-ES"/>
        </w:rPr>
        <w:tab/>
        <w:t>S</w:t>
      </w:r>
      <w:r w:rsidR="009554F1" w:rsidRPr="00862632">
        <w:rPr>
          <w:lang w:val="es-ES"/>
        </w:rPr>
        <w:t>e ha desarrollado un conjunto de extensiones de seguridad del DNS, llamado DNSSEC</w:t>
      </w:r>
      <w:r w:rsidR="009554F1" w:rsidRPr="00862632">
        <w:rPr>
          <w:rStyle w:val="FootnoteReference"/>
          <w:lang w:val="es-ES"/>
        </w:rPr>
        <w:footnoteReference w:id="184"/>
      </w:r>
      <w:r w:rsidR="009554F1" w:rsidRPr="00862632">
        <w:rPr>
          <w:lang w:val="es-ES"/>
        </w:rPr>
        <w:t>, para autenti</w:t>
      </w:r>
      <w:r w:rsidRPr="00862632">
        <w:rPr>
          <w:lang w:val="es-ES"/>
        </w:rPr>
        <w:t>fi</w:t>
      </w:r>
      <w:r w:rsidR="009554F1" w:rsidRPr="00862632">
        <w:rPr>
          <w:lang w:val="es-ES"/>
        </w:rPr>
        <w:t>car el origen y validar la integridad de los datos DNS a los clientes DNS, un mecanismo que ofrece una capa adicional de garantía de que la entidad que responde (servidor de nombre) es realmente lo que pretende ser.</w:t>
      </w:r>
    </w:p>
    <w:p w:rsidR="009554F1" w:rsidRPr="00862632" w:rsidRDefault="00E345D4" w:rsidP="0016466E">
      <w:pPr>
        <w:pStyle w:val="enumlev1"/>
        <w:rPr>
          <w:lang w:val="es-ES"/>
        </w:rPr>
      </w:pPr>
      <w:r w:rsidRPr="00862632">
        <w:rPr>
          <w:lang w:val="es-ES"/>
        </w:rPr>
        <w:t>d</w:t>
      </w:r>
      <w:r w:rsidR="009568A8" w:rsidRPr="00862632">
        <w:rPr>
          <w:lang w:val="es-ES"/>
        </w:rPr>
        <w:t>)</w:t>
      </w:r>
      <w:r w:rsidR="009568A8" w:rsidRPr="00862632">
        <w:rPr>
          <w:lang w:val="es-ES"/>
        </w:rPr>
        <w:tab/>
      </w:r>
      <w:r w:rsidR="009554F1" w:rsidRPr="00862632">
        <w:rPr>
          <w:lang w:val="es-ES"/>
        </w:rPr>
        <w:t xml:space="preserve">El DNSSEC permite proporcionar firmas criptográficas con las que las partes pueden comprobar que las respuestas DNS son auténticas. El proceso de resolución garantiza la </w:t>
      </w:r>
      <w:r w:rsidR="00BC5045">
        <w:rPr>
          <w:lang w:val="es-ES"/>
        </w:rPr>
        <w:t>"</w:t>
      </w:r>
      <w:r w:rsidR="009554F1" w:rsidRPr="00862632">
        <w:rPr>
          <w:lang w:val="es-ES"/>
        </w:rPr>
        <w:t>autenti</w:t>
      </w:r>
      <w:r w:rsidRPr="00862632">
        <w:rPr>
          <w:lang w:val="es-ES"/>
        </w:rPr>
        <w:t>fi</w:t>
      </w:r>
      <w:r w:rsidR="009554F1" w:rsidRPr="00862632">
        <w:rPr>
          <w:lang w:val="es-ES"/>
        </w:rPr>
        <w:t>cación de origen de los datos DNS</w:t>
      </w:r>
      <w:r w:rsidR="00BC5045">
        <w:rPr>
          <w:lang w:val="es-ES"/>
        </w:rPr>
        <w:t>"</w:t>
      </w:r>
      <w:r w:rsidR="009554F1" w:rsidRPr="00862632">
        <w:rPr>
          <w:lang w:val="es-ES"/>
        </w:rPr>
        <w:t xml:space="preserve"> estableciendo una </w:t>
      </w:r>
      <w:r w:rsidR="00BC5045">
        <w:rPr>
          <w:lang w:val="es-ES"/>
        </w:rPr>
        <w:t>"</w:t>
      </w:r>
      <w:r w:rsidR="009554F1" w:rsidRPr="00862632">
        <w:rPr>
          <w:lang w:val="es-ES"/>
        </w:rPr>
        <w:t>cadena de confianza</w:t>
      </w:r>
      <w:r w:rsidR="00BC5045">
        <w:rPr>
          <w:lang w:val="es-ES"/>
        </w:rPr>
        <w:t>"</w:t>
      </w:r>
      <w:r w:rsidR="009554F1" w:rsidRPr="00862632">
        <w:rPr>
          <w:lang w:val="es-ES"/>
        </w:rPr>
        <w:t xml:space="preserve"> ininterrumpida. La característica esencial de esta cadena de confianza es que cada zona </w:t>
      </w:r>
      <w:r w:rsidR="00BC5045">
        <w:rPr>
          <w:lang w:val="es-ES"/>
        </w:rPr>
        <w:t>"</w:t>
      </w:r>
      <w:r w:rsidR="009554F1" w:rsidRPr="00862632">
        <w:rPr>
          <w:lang w:val="es-ES"/>
        </w:rPr>
        <w:t>madre</w:t>
      </w:r>
      <w:r w:rsidR="00BC5045">
        <w:rPr>
          <w:lang w:val="es-ES"/>
        </w:rPr>
        <w:t>"</w:t>
      </w:r>
      <w:r w:rsidR="009554F1" w:rsidRPr="00862632">
        <w:rPr>
          <w:lang w:val="es-ES"/>
        </w:rPr>
        <w:t xml:space="preserve"> responde por su zona </w:t>
      </w:r>
      <w:r w:rsidR="00BC5045">
        <w:rPr>
          <w:lang w:val="es-ES"/>
        </w:rPr>
        <w:t>"</w:t>
      </w:r>
      <w:r w:rsidR="009554F1" w:rsidRPr="00862632">
        <w:rPr>
          <w:lang w:val="es-ES"/>
        </w:rPr>
        <w:t>vástago</w:t>
      </w:r>
      <w:r w:rsidR="00BC5045">
        <w:rPr>
          <w:lang w:val="es-ES"/>
        </w:rPr>
        <w:t>"</w:t>
      </w:r>
      <w:r w:rsidR="009554F1" w:rsidRPr="00862632">
        <w:rPr>
          <w:lang w:val="es-ES"/>
        </w:rPr>
        <w:t>. Si la cadena de autenti</w:t>
      </w:r>
      <w:r w:rsidR="007A2DED" w:rsidRPr="00862632">
        <w:rPr>
          <w:lang w:val="es-ES"/>
        </w:rPr>
        <w:t>fi</w:t>
      </w:r>
      <w:r w:rsidR="009554F1" w:rsidRPr="00862632">
        <w:rPr>
          <w:lang w:val="es-ES"/>
        </w:rPr>
        <w:t>cación se rompe en alguna parte debido a una respuesta recibida de una entidad no reconocida, la resolución de esa dirección no se lleva a cabo.</w:t>
      </w:r>
    </w:p>
    <w:p w:rsidR="009554F1" w:rsidRPr="00862632" w:rsidRDefault="007A2DED" w:rsidP="00A26E96">
      <w:pPr>
        <w:pStyle w:val="enumlev1"/>
        <w:rPr>
          <w:lang w:val="es-ES"/>
        </w:rPr>
      </w:pPr>
      <w:r w:rsidRPr="00862632">
        <w:rPr>
          <w:lang w:val="es-ES"/>
        </w:rPr>
        <w:t>e</w:t>
      </w:r>
      <w:r w:rsidR="009568A8" w:rsidRPr="00862632">
        <w:rPr>
          <w:lang w:val="es-ES"/>
        </w:rPr>
        <w:t>)</w:t>
      </w:r>
      <w:r w:rsidR="009568A8" w:rsidRPr="00862632">
        <w:rPr>
          <w:lang w:val="es-ES"/>
        </w:rPr>
        <w:tab/>
      </w:r>
      <w:r w:rsidR="009554F1" w:rsidRPr="00862632">
        <w:rPr>
          <w:lang w:val="es-ES"/>
        </w:rPr>
        <w:t xml:space="preserve">Para poder funcionar, la </w:t>
      </w:r>
      <w:r w:rsidR="00BC5045">
        <w:rPr>
          <w:lang w:val="es-ES"/>
        </w:rPr>
        <w:t>"</w:t>
      </w:r>
      <w:r w:rsidR="009554F1" w:rsidRPr="00862632">
        <w:rPr>
          <w:lang w:val="es-ES"/>
        </w:rPr>
        <w:t>cadena de confianza</w:t>
      </w:r>
      <w:r w:rsidR="00BC5045">
        <w:rPr>
          <w:lang w:val="es-ES"/>
        </w:rPr>
        <w:t>"</w:t>
      </w:r>
      <w:r w:rsidR="009554F1" w:rsidRPr="00862632">
        <w:rPr>
          <w:lang w:val="es-ES"/>
        </w:rPr>
        <w:t xml:space="preserve"> del protocolo DNSSEC necesita un origen único de confianza (en la raíz), es decir, un punto de anclaje de confianza en que los usuarios pueden confiar y a partir del cual se puede establecer la cadena de confianza.</w:t>
      </w:r>
      <w:r w:rsidR="00BA1F3F">
        <w:rPr>
          <w:lang w:val="es-ES"/>
        </w:rPr>
        <w:t xml:space="preserve"> </w:t>
      </w:r>
      <w:r w:rsidR="006B2177" w:rsidRPr="00862632">
        <w:rPr>
          <w:lang w:val="es-ES"/>
        </w:rPr>
        <w:t xml:space="preserve">Esto exige la creación, utilización y gestión de claves criptográficas. El Departamento de Comercio de Estados Unidos ha determinado que el mantenimiento de las claves criptográficas raíz se divide entre los socios de gestión de la zona raíz actuales, que son el operador de funciones del IANA (ICANN) y el mantenedor de la zona raíz (VeriSign). Es decir, que la ICANN es responsable de la gestión de las claves de firma de claves (KSK) </w:t>
      </w:r>
      <w:r w:rsidR="00862632">
        <w:rPr>
          <w:lang w:val="es-ES"/>
        </w:rPr>
        <w:t>y VeriSign (</w:t>
      </w:r>
      <w:r w:rsidR="006B2177" w:rsidRPr="00862632">
        <w:rPr>
          <w:lang w:val="es-ES"/>
        </w:rPr>
        <w:t xml:space="preserve">organización privada) se ocupa de las claves de firma de zona (ZSK). La KSK es la clave principal que se requiere para firmar periódicamente la ZSK para entonces firmar la zona raíz. La ICANN también se ocupa de la publicación del punto de anclaje de confianza [origen: </w:t>
      </w:r>
      <w:hyperlink r:id="rId97" w:history="1">
        <w:r w:rsidR="00A26E96" w:rsidRPr="00A26E96">
          <w:rPr>
            <w:rStyle w:val="Hyperlink"/>
            <w:lang w:val="es-ES"/>
          </w:rPr>
          <w:t>EE.UU.</w:t>
        </w:r>
      </w:hyperlink>
      <w:r w:rsidR="006B2177" w:rsidRPr="00862632">
        <w:rPr>
          <w:rStyle w:val="FootnoteReference"/>
          <w:lang w:val="es-ES"/>
        </w:rPr>
        <w:footnoteReference w:id="185"/>
      </w:r>
      <w:r w:rsidR="006B2177" w:rsidRPr="00862632">
        <w:rPr>
          <w:lang w:val="es-ES"/>
        </w:rPr>
        <w:t>].</w:t>
      </w:r>
    </w:p>
    <w:p w:rsidR="00344D10" w:rsidRPr="00862632" w:rsidRDefault="006B2177" w:rsidP="00830E5C">
      <w:pPr>
        <w:pStyle w:val="enumlev1"/>
        <w:rPr>
          <w:lang w:val="es-ES"/>
        </w:rPr>
      </w:pPr>
      <w:r w:rsidRPr="00862632">
        <w:rPr>
          <w:lang w:val="es-ES"/>
        </w:rPr>
        <w:t>f</w:t>
      </w:r>
      <w:r w:rsidR="009568A8" w:rsidRPr="00862632">
        <w:rPr>
          <w:lang w:val="es-ES"/>
        </w:rPr>
        <w:t>)</w:t>
      </w:r>
      <w:r w:rsidR="009568A8" w:rsidRPr="00862632">
        <w:rPr>
          <w:lang w:val="es-ES"/>
        </w:rPr>
        <w:tab/>
      </w:r>
      <w:r w:rsidR="009554F1" w:rsidRPr="00862632">
        <w:rPr>
          <w:lang w:val="es-ES"/>
        </w:rPr>
        <w:t>Si bien algunos formulan reservas sobre las disposiciones adoptadas para llevar a cabo esta función esencial</w:t>
      </w:r>
      <w:r w:rsidR="009554F1" w:rsidRPr="00862632">
        <w:rPr>
          <w:rStyle w:val="FootnoteReference"/>
          <w:lang w:val="es-ES"/>
        </w:rPr>
        <w:footnoteReference w:id="186"/>
      </w:r>
      <w:r w:rsidR="009554F1" w:rsidRPr="00862632">
        <w:rPr>
          <w:rStyle w:val="FootnoteReference"/>
          <w:lang w:val="es-ES"/>
        </w:rPr>
        <w:t>,</w:t>
      </w:r>
      <w:r w:rsidR="009568A8" w:rsidRPr="00862632">
        <w:rPr>
          <w:rStyle w:val="FootnoteReference"/>
          <w:lang w:val="es-ES"/>
        </w:rPr>
        <w:t xml:space="preserve"> </w:t>
      </w:r>
      <w:r w:rsidR="009554F1" w:rsidRPr="00862632">
        <w:rPr>
          <w:rStyle w:val="FootnoteReference"/>
          <w:lang w:val="es-ES"/>
        </w:rPr>
        <w:footnoteReference w:id="187"/>
      </w:r>
      <w:r w:rsidR="009554F1" w:rsidRPr="00862632">
        <w:rPr>
          <w:rStyle w:val="FootnoteReference"/>
          <w:lang w:val="es-ES"/>
        </w:rPr>
        <w:t>,</w:t>
      </w:r>
      <w:r w:rsidR="009568A8" w:rsidRPr="00862632">
        <w:rPr>
          <w:rStyle w:val="FootnoteReference"/>
          <w:lang w:val="es-ES"/>
        </w:rPr>
        <w:t xml:space="preserve"> </w:t>
      </w:r>
      <w:r w:rsidR="009554F1" w:rsidRPr="00862632">
        <w:rPr>
          <w:rStyle w:val="FootnoteReference"/>
          <w:lang w:val="es-ES"/>
        </w:rPr>
        <w:footnoteReference w:id="188"/>
      </w:r>
      <w:r w:rsidR="009554F1" w:rsidRPr="00862632">
        <w:rPr>
          <w:lang w:val="es-ES"/>
        </w:rPr>
        <w:t>, otros han señalado que confían en esas disposiciones y en los procesos previstos, y declaran que la National Telecommunications Industry Association (NTIA) de EE.UU.</w:t>
      </w:r>
      <w:r w:rsidR="00A65B91">
        <w:rPr>
          <w:lang w:val="es-ES"/>
        </w:rPr>
        <w:t>,</w:t>
      </w:r>
      <w:r w:rsidR="009554F1" w:rsidRPr="00862632">
        <w:rPr>
          <w:lang w:val="es-ES"/>
        </w:rPr>
        <w:t xml:space="preserve"> la ICANN y VeriSign se han concertado con las comunidades de denominación y seguridad para que el proceso sea </w:t>
      </w:r>
      <w:r w:rsidR="00BC5045">
        <w:rPr>
          <w:lang w:val="es-ES"/>
        </w:rPr>
        <w:t>"</w:t>
      </w:r>
      <w:r w:rsidR="009554F1" w:rsidRPr="00862632">
        <w:rPr>
          <w:lang w:val="es-ES"/>
        </w:rPr>
        <w:t>transparente, sometido a una auditoría independiente, y eficaz</w:t>
      </w:r>
      <w:r w:rsidR="00BC5045">
        <w:rPr>
          <w:lang w:val="es-ES"/>
        </w:rPr>
        <w:t>"</w:t>
      </w:r>
      <w:r w:rsidR="009554F1" w:rsidRPr="00862632">
        <w:rPr>
          <w:lang w:val="es-ES"/>
        </w:rPr>
        <w:t xml:space="preserve"> [</w:t>
      </w:r>
      <w:r w:rsidR="007C1231">
        <w:rPr>
          <w:lang w:val="es-ES"/>
        </w:rPr>
        <w:t>origen</w:t>
      </w:r>
      <w:r w:rsidR="009554F1" w:rsidRPr="00862632">
        <w:rPr>
          <w:lang w:val="es-ES"/>
        </w:rPr>
        <w:t>:</w:t>
      </w:r>
      <w:r w:rsidR="00830E5C">
        <w:rPr>
          <w:lang w:val="es-ES"/>
        </w:rPr>
        <w:t> </w:t>
      </w:r>
      <w:hyperlink r:id="rId98" w:history="1">
        <w:r w:rsidR="0023443F" w:rsidRPr="009000A3">
          <w:rPr>
            <w:rStyle w:val="Hyperlink"/>
            <w:lang w:val="es-ES"/>
          </w:rPr>
          <w:t>Reino</w:t>
        </w:r>
        <w:r w:rsidR="00830E5C">
          <w:rPr>
            <w:rStyle w:val="Hyperlink"/>
            <w:lang w:val="es-ES"/>
          </w:rPr>
          <w:t> </w:t>
        </w:r>
        <w:r w:rsidR="0023443F" w:rsidRPr="009000A3">
          <w:rPr>
            <w:rStyle w:val="Hyperlink"/>
            <w:lang w:val="es-ES"/>
          </w:rPr>
          <w:t>Unido</w:t>
        </w:r>
      </w:hyperlink>
      <w:r w:rsidR="009554F1" w:rsidRPr="00862632">
        <w:rPr>
          <w:lang w:val="es-ES"/>
        </w:rPr>
        <w:t xml:space="preserve">, </w:t>
      </w:r>
      <w:hyperlink r:id="rId99" w:history="1">
        <w:r w:rsidR="009000A3" w:rsidRPr="00862632">
          <w:rPr>
            <w:rStyle w:val="Hyperlink"/>
            <w:rFonts w:eastAsiaTheme="minorEastAsia" w:cstheme="minorHAnsi"/>
            <w:szCs w:val="24"/>
            <w:lang w:val="es-ES" w:eastAsia="zh-CN"/>
          </w:rPr>
          <w:t>ISOC</w:t>
        </w:r>
      </w:hyperlink>
      <w:r w:rsidR="009554F1" w:rsidRPr="00862632">
        <w:rPr>
          <w:rStyle w:val="FootnoteReference"/>
          <w:lang w:val="es-ES"/>
        </w:rPr>
        <w:footnoteReference w:id="189"/>
      </w:r>
      <w:r w:rsidR="009554F1" w:rsidRPr="00862632">
        <w:rPr>
          <w:lang w:val="es-ES"/>
        </w:rPr>
        <w:t>].</w:t>
      </w:r>
      <w:r w:rsidRPr="00862632">
        <w:rPr>
          <w:lang w:val="es-ES"/>
        </w:rPr>
        <w:t xml:space="preserve"> Los que así piensan señalan que la ICANN depende de la participación directa de todos los interesados en la gestión de KSK a través de veintiún </w:t>
      </w:r>
      <w:r w:rsidR="00BC5045">
        <w:rPr>
          <w:lang w:val="es-ES"/>
        </w:rPr>
        <w:t>"</w:t>
      </w:r>
      <w:r w:rsidRPr="00862632">
        <w:rPr>
          <w:lang w:val="es-ES"/>
        </w:rPr>
        <w:t>representantes de la comunidad fiables</w:t>
      </w:r>
      <w:r w:rsidR="00BC5045">
        <w:rPr>
          <w:lang w:val="es-ES"/>
        </w:rPr>
        <w:t>"</w:t>
      </w:r>
      <w:r w:rsidRPr="00862632">
        <w:rPr>
          <w:lang w:val="es-ES"/>
        </w:rPr>
        <w:t xml:space="preserve"> (TCR). Los TCR son expertos de 17 países de diversas zonas geográficas que desempeñan un papel esencial en la generación de claves raíz, las copias de seguridad y el proceso de firma a fin de garantizar la neutralidad, la transparencia y la seguridad [origen:</w:t>
      </w:r>
      <w:r w:rsidR="00830E5C">
        <w:rPr>
          <w:lang w:val="es-ES"/>
        </w:rPr>
        <w:t> </w:t>
      </w:r>
      <w:hyperlink r:id="rId100" w:history="1">
        <w:r w:rsidR="00A26E96" w:rsidRPr="00A26E96">
          <w:rPr>
            <w:rStyle w:val="Hyperlink"/>
            <w:lang w:val="es-ES"/>
          </w:rPr>
          <w:t>EE.UU.</w:t>
        </w:r>
      </w:hyperlink>
      <w:r w:rsidRPr="00862632">
        <w:rPr>
          <w:rStyle w:val="FootnoteReference"/>
          <w:lang w:val="es-ES"/>
        </w:rPr>
        <w:footnoteReference w:id="190"/>
      </w:r>
      <w:r w:rsidRPr="00862632">
        <w:rPr>
          <w:lang w:val="es-ES"/>
        </w:rPr>
        <w:t>].</w:t>
      </w:r>
      <w:r w:rsidR="009554F1" w:rsidRPr="00862632">
        <w:rPr>
          <w:lang w:val="es-ES"/>
        </w:rPr>
        <w:t xml:space="preserve"> </w:t>
      </w:r>
    </w:p>
    <w:p w:rsidR="00344D10" w:rsidRPr="00862632" w:rsidRDefault="009568A8" w:rsidP="0016466E">
      <w:pPr>
        <w:pStyle w:val="Heading3"/>
        <w:rPr>
          <w:lang w:val="es-ES"/>
        </w:rPr>
      </w:pPr>
      <w:r w:rsidRPr="00862632">
        <w:rPr>
          <w:lang w:val="es-ES"/>
        </w:rPr>
        <w:t>2.3.5</w:t>
      </w:r>
      <w:r w:rsidRPr="00862632">
        <w:rPr>
          <w:lang w:val="es-ES"/>
        </w:rPr>
        <w:tab/>
      </w:r>
      <w:r w:rsidR="009554F1" w:rsidRPr="00862632">
        <w:rPr>
          <w:lang w:val="es-ES"/>
        </w:rPr>
        <w:t>Función de las Administraciones de los Estados Miembros en la gestión de los nombres de dominio internacionalizados (plurilingües)</w:t>
      </w:r>
      <w:r w:rsidR="009554F1" w:rsidRPr="002B2F01">
        <w:rPr>
          <w:rStyle w:val="FootnoteReference"/>
          <w:b w:val="0"/>
          <w:bCs/>
        </w:rPr>
        <w:footnoteReference w:id="191"/>
      </w:r>
    </w:p>
    <w:p w:rsidR="009554F1" w:rsidRPr="00862632" w:rsidRDefault="009568A8" w:rsidP="0016466E">
      <w:pPr>
        <w:pStyle w:val="enumlev1"/>
        <w:rPr>
          <w:lang w:val="es-ES"/>
        </w:rPr>
      </w:pPr>
      <w:r w:rsidRPr="00862632">
        <w:rPr>
          <w:lang w:val="es-ES"/>
        </w:rPr>
        <w:t>a)</w:t>
      </w:r>
      <w:r w:rsidRPr="00862632">
        <w:rPr>
          <w:lang w:val="es-ES"/>
        </w:rPr>
        <w:tab/>
      </w:r>
      <w:r w:rsidR="009554F1" w:rsidRPr="00862632">
        <w:rPr>
          <w:lang w:val="es-ES"/>
        </w:rPr>
        <w:t>En la Resolución 133 (Rev. Guadalajara, 2010) se reconoce lo siguiente con respecto a la gestión de los nombres de dominio internacionalizados (plurilingües):</w:t>
      </w:r>
    </w:p>
    <w:p w:rsidR="009554F1" w:rsidRPr="00862632" w:rsidRDefault="009568A8" w:rsidP="0016466E">
      <w:pPr>
        <w:pStyle w:val="enumlev2"/>
        <w:rPr>
          <w:rFonts w:eastAsiaTheme="minorEastAsia"/>
          <w:lang w:val="es-ES" w:eastAsia="zh-CN"/>
        </w:rPr>
      </w:pPr>
      <w:r w:rsidRPr="00862632">
        <w:rPr>
          <w:rFonts w:eastAsiaTheme="minorEastAsia"/>
          <w:lang w:val="es-ES" w:eastAsia="zh-CN"/>
        </w:rPr>
        <w:t>i)</w:t>
      </w:r>
      <w:r w:rsidRPr="00862632">
        <w:rPr>
          <w:rFonts w:eastAsiaTheme="minorEastAsia"/>
          <w:lang w:val="es-ES" w:eastAsia="zh-CN"/>
        </w:rPr>
        <w:tab/>
      </w:r>
      <w:r w:rsidR="009554F1" w:rsidRPr="00862632">
        <w:rPr>
          <w:rFonts w:eastAsiaTheme="minorEastAsia"/>
          <w:lang w:val="es-ES" w:eastAsia="zh-CN"/>
        </w:rPr>
        <w:t xml:space="preserve">El compromiso establecido en la </w:t>
      </w:r>
      <w:r w:rsidR="009554F1" w:rsidRPr="00862632">
        <w:rPr>
          <w:rFonts w:eastAsiaTheme="minorEastAsia"/>
          <w:i/>
          <w:iCs/>
          <w:lang w:val="es-ES" w:eastAsia="zh-CN"/>
        </w:rPr>
        <w:t>Agenda de Túnez para la Sociedad de la Información</w:t>
      </w:r>
      <w:r w:rsidR="009554F1" w:rsidRPr="00862632">
        <w:rPr>
          <w:rFonts w:eastAsiaTheme="minorEastAsia"/>
          <w:lang w:val="es-ES" w:eastAsia="zh-CN"/>
        </w:rPr>
        <w:t xml:space="preserve"> adoptada por la Cumbre Mundial de la Sociedad de la Información (CMSI), de impulsar el proceso de introducción del plurilingüismo en distintos campos, incluidos los nombres de dominio, las direcciones de correo electrónico</w:t>
      </w:r>
      <w:r w:rsidR="005922C5" w:rsidRPr="00862632">
        <w:rPr>
          <w:rFonts w:eastAsiaTheme="minorEastAsia"/>
          <w:lang w:val="es-ES" w:eastAsia="zh-CN"/>
        </w:rPr>
        <w:t>, direcciones de Internet</w:t>
      </w:r>
      <w:r w:rsidR="009554F1" w:rsidRPr="00862632">
        <w:rPr>
          <w:rFonts w:eastAsiaTheme="minorEastAsia"/>
          <w:lang w:val="es-ES" w:eastAsia="zh-CN"/>
        </w:rPr>
        <w:t xml:space="preserve"> y la búsqueda por palabras clave</w:t>
      </w:r>
      <w:r w:rsidR="005922C5" w:rsidRPr="00862632">
        <w:rPr>
          <w:rFonts w:eastAsiaTheme="minorEastAsia"/>
          <w:lang w:val="es-ES" w:eastAsia="zh-CN"/>
        </w:rPr>
        <w:t>.</w:t>
      </w:r>
    </w:p>
    <w:p w:rsidR="009554F1" w:rsidRPr="00862632" w:rsidRDefault="009568A8" w:rsidP="0016466E">
      <w:pPr>
        <w:pStyle w:val="enumlev2"/>
        <w:rPr>
          <w:rFonts w:eastAsiaTheme="minorEastAsia"/>
          <w:lang w:val="es-ES" w:eastAsia="zh-CN"/>
        </w:rPr>
      </w:pPr>
      <w:r w:rsidRPr="00862632">
        <w:rPr>
          <w:rFonts w:eastAsiaTheme="minorEastAsia"/>
          <w:lang w:val="es-ES" w:eastAsia="zh-CN"/>
        </w:rPr>
        <w:t>ii)</w:t>
      </w:r>
      <w:r w:rsidRPr="00862632">
        <w:rPr>
          <w:rFonts w:eastAsiaTheme="minorEastAsia"/>
          <w:lang w:val="es-ES" w:eastAsia="zh-CN"/>
        </w:rPr>
        <w:tab/>
      </w:r>
      <w:r w:rsidR="009554F1" w:rsidRPr="00862632">
        <w:rPr>
          <w:rFonts w:eastAsiaTheme="minorEastAsia"/>
          <w:lang w:val="es-ES" w:eastAsia="zh-CN"/>
        </w:rPr>
        <w:t>La necesidad de fomentar la creación de servidores de dominio de nivel superior regionales (véase el punto 2.3.5.2) y la utilización de nombres de dominio internacionalizados para salvar los obstáculos lingüísticos al acceso a Internet</w:t>
      </w:r>
      <w:r w:rsidR="005922C5" w:rsidRPr="00862632">
        <w:rPr>
          <w:rFonts w:eastAsiaTheme="minorEastAsia"/>
          <w:lang w:val="es-ES" w:eastAsia="zh-CN"/>
        </w:rPr>
        <w:t>.</w:t>
      </w:r>
    </w:p>
    <w:p w:rsidR="009554F1" w:rsidRPr="00862632" w:rsidRDefault="009568A8" w:rsidP="0016466E">
      <w:pPr>
        <w:pStyle w:val="enumlev2"/>
        <w:rPr>
          <w:rFonts w:eastAsiaTheme="minorEastAsia"/>
          <w:lang w:val="es-ES" w:eastAsia="zh-CN"/>
        </w:rPr>
      </w:pPr>
      <w:r w:rsidRPr="00862632">
        <w:rPr>
          <w:rFonts w:eastAsiaTheme="minorEastAsia"/>
          <w:lang w:val="es-ES" w:eastAsia="zh-CN"/>
        </w:rPr>
        <w:t>iii)</w:t>
      </w:r>
      <w:r w:rsidRPr="00862632">
        <w:rPr>
          <w:rFonts w:eastAsiaTheme="minorEastAsia"/>
          <w:lang w:val="es-ES" w:eastAsia="zh-CN"/>
        </w:rPr>
        <w:tab/>
      </w:r>
      <w:r w:rsidR="009554F1" w:rsidRPr="00862632">
        <w:rPr>
          <w:rFonts w:eastAsiaTheme="minorEastAsia"/>
          <w:lang w:val="es-ES" w:eastAsia="zh-CN"/>
        </w:rPr>
        <w:t>Considerando lo que se sigue avanzando hacia la integración de las telecomunicaciones y de Internet, y que en general los usuarios de Internet pueden consultar la información y hacer búsquedas más fácilmente en su propio idioma, es necesario que Internet (</w:t>
      </w:r>
      <w:r w:rsidR="005922C5" w:rsidRPr="00862632">
        <w:rPr>
          <w:rFonts w:eastAsiaTheme="minorEastAsia"/>
          <w:lang w:val="es-ES" w:eastAsia="zh-CN"/>
        </w:rPr>
        <w:t>s</w:t>
      </w:r>
      <w:r w:rsidR="009554F1" w:rsidRPr="00862632">
        <w:rPr>
          <w:rFonts w:eastAsiaTheme="minorEastAsia"/>
          <w:lang w:val="es-ES" w:eastAsia="zh-CN"/>
        </w:rPr>
        <w:t>istema DNS) esté disponible en caracteres no latinos para que el sistema admita un mayor número de usuarios</w:t>
      </w:r>
      <w:r w:rsidR="005922C5" w:rsidRPr="00862632">
        <w:rPr>
          <w:rFonts w:eastAsiaTheme="minorEastAsia"/>
          <w:lang w:val="es-ES" w:eastAsia="zh-CN"/>
        </w:rPr>
        <w:t>,</w:t>
      </w:r>
      <w:r w:rsidR="009554F1" w:rsidRPr="00862632">
        <w:rPr>
          <w:rFonts w:eastAsiaTheme="minorEastAsia"/>
          <w:lang w:val="es-ES" w:eastAsia="zh-CN"/>
        </w:rPr>
        <w:t xml:space="preserve"> teniendo en cuenta los progresos recientemente logrados al respecto.</w:t>
      </w:r>
    </w:p>
    <w:p w:rsidR="009554F1" w:rsidRPr="00862632" w:rsidRDefault="009568A8" w:rsidP="0016466E">
      <w:pPr>
        <w:pStyle w:val="enumlev2"/>
        <w:rPr>
          <w:rFonts w:eastAsiaTheme="minorEastAsia"/>
          <w:lang w:val="es-ES" w:eastAsia="zh-CN"/>
        </w:rPr>
      </w:pPr>
      <w:r w:rsidRPr="00862632">
        <w:rPr>
          <w:rFonts w:eastAsiaTheme="minorEastAsia"/>
          <w:lang w:val="es-ES" w:eastAsia="zh-CN"/>
        </w:rPr>
        <w:t>iv)</w:t>
      </w:r>
      <w:r w:rsidRPr="00862632">
        <w:rPr>
          <w:rFonts w:eastAsiaTheme="minorEastAsia"/>
          <w:lang w:val="es-ES" w:eastAsia="zh-CN"/>
        </w:rPr>
        <w:tab/>
      </w:r>
      <w:r w:rsidR="009554F1" w:rsidRPr="00862632">
        <w:rPr>
          <w:rFonts w:eastAsiaTheme="minorEastAsia"/>
          <w:lang w:val="es-ES" w:eastAsia="zh-CN"/>
        </w:rPr>
        <w:t>Como quedó consignado en los resultados de la CMSI, debe alcanzarse un compromiso respecto de la necesidad de trabajar seriamente para lograr el plurilingüismo en Internet, como parte de un proceso multilateral, transparente y democrático en el que intervengan los gobiernos y todas las partes interesadas, en sus respectivos papeles.</w:t>
      </w:r>
    </w:p>
    <w:p w:rsidR="009554F1" w:rsidRPr="00862632" w:rsidRDefault="009568A8" w:rsidP="0016466E">
      <w:pPr>
        <w:pStyle w:val="enumlev2"/>
        <w:rPr>
          <w:rFonts w:eastAsiaTheme="minorEastAsia"/>
          <w:lang w:val="es-ES" w:eastAsia="zh-CN"/>
        </w:rPr>
      </w:pPr>
      <w:r w:rsidRPr="00862632">
        <w:rPr>
          <w:rFonts w:eastAsiaTheme="minorEastAsia"/>
          <w:lang w:val="es-ES" w:eastAsia="zh-CN"/>
        </w:rPr>
        <w:t>v)</w:t>
      </w:r>
      <w:r w:rsidRPr="00862632">
        <w:rPr>
          <w:rFonts w:eastAsiaTheme="minorEastAsia"/>
          <w:lang w:val="es-ES" w:eastAsia="zh-CN"/>
        </w:rPr>
        <w:tab/>
      </w:r>
      <w:r w:rsidR="009554F1" w:rsidRPr="00862632">
        <w:rPr>
          <w:rFonts w:eastAsiaTheme="minorEastAsia"/>
          <w:lang w:val="es-ES" w:eastAsia="zh-CN"/>
        </w:rPr>
        <w:t>El actual sistema de nombres de dominio no refleja enteramente la diversidad y las crecientes necesidades de utilización de idiomas de todos los usuarios.</w:t>
      </w:r>
    </w:p>
    <w:p w:rsidR="009554F1" w:rsidRPr="00862632" w:rsidRDefault="009568A8" w:rsidP="0016466E">
      <w:pPr>
        <w:pStyle w:val="enumlev2"/>
        <w:rPr>
          <w:rFonts w:eastAsiaTheme="minorEastAsia"/>
          <w:lang w:val="es-ES" w:eastAsia="zh-CN"/>
        </w:rPr>
      </w:pPr>
      <w:r w:rsidRPr="00862632">
        <w:rPr>
          <w:rFonts w:eastAsiaTheme="minorEastAsia"/>
          <w:lang w:val="es-ES" w:eastAsia="zh-CN"/>
        </w:rPr>
        <w:t>vi)</w:t>
      </w:r>
      <w:r w:rsidRPr="00862632">
        <w:rPr>
          <w:rFonts w:eastAsiaTheme="minorEastAsia"/>
          <w:lang w:val="es-ES" w:eastAsia="zh-CN"/>
        </w:rPr>
        <w:tab/>
      </w:r>
      <w:r w:rsidR="009554F1" w:rsidRPr="00862632">
        <w:rPr>
          <w:rFonts w:eastAsiaTheme="minorEastAsia"/>
          <w:lang w:val="es-ES" w:eastAsia="zh-CN"/>
        </w:rPr>
        <w:t>Los nombres de dominio internacionalizados en Internet y, en general las TIC e Internet, deben estar más fácilmente accesibles para todos los ciudadanos sin distinción de sexo, raza, religión, país de residencia o idioma.</w:t>
      </w:r>
    </w:p>
    <w:p w:rsidR="009554F1" w:rsidRPr="00862632" w:rsidRDefault="009568A8" w:rsidP="0016466E">
      <w:pPr>
        <w:pStyle w:val="enumlev2"/>
        <w:rPr>
          <w:rFonts w:eastAsiaTheme="minorEastAsia"/>
          <w:lang w:val="es-ES" w:eastAsia="zh-CN"/>
        </w:rPr>
      </w:pPr>
      <w:r w:rsidRPr="00862632">
        <w:rPr>
          <w:rFonts w:eastAsiaTheme="minorEastAsia"/>
          <w:lang w:val="es-ES" w:eastAsia="zh-CN"/>
        </w:rPr>
        <w:t>vii)</w:t>
      </w:r>
      <w:r w:rsidRPr="00862632">
        <w:rPr>
          <w:rFonts w:eastAsiaTheme="minorEastAsia"/>
          <w:lang w:val="es-ES" w:eastAsia="zh-CN"/>
        </w:rPr>
        <w:tab/>
      </w:r>
      <w:r w:rsidR="009554F1" w:rsidRPr="00862632">
        <w:rPr>
          <w:rFonts w:eastAsiaTheme="minorEastAsia"/>
          <w:lang w:val="es-ES" w:eastAsia="zh-CN"/>
        </w:rPr>
        <w:t>Los nombres de dominio de Internet no deben dar preferencia a ningún país o región del mundo en detrimento de los demás, y deben reflejar la diversidad de idiomas del mundo.</w:t>
      </w:r>
    </w:p>
    <w:p w:rsidR="009554F1" w:rsidRPr="00862632" w:rsidRDefault="00485F57" w:rsidP="0016466E">
      <w:pPr>
        <w:pStyle w:val="enumlev2"/>
        <w:rPr>
          <w:rFonts w:eastAsiaTheme="minorEastAsia"/>
          <w:lang w:val="es-ES" w:eastAsia="zh-CN"/>
        </w:rPr>
      </w:pPr>
      <w:r w:rsidRPr="00862632">
        <w:rPr>
          <w:rFonts w:eastAsiaTheme="minorEastAsia"/>
          <w:lang w:val="es-ES" w:eastAsia="zh-CN"/>
        </w:rPr>
        <w:t>viii)</w:t>
      </w:r>
      <w:r w:rsidRPr="00862632">
        <w:rPr>
          <w:rFonts w:eastAsiaTheme="minorEastAsia"/>
          <w:lang w:val="es-ES" w:eastAsia="zh-CN"/>
        </w:rPr>
        <w:tab/>
      </w:r>
      <w:r w:rsidR="009554F1" w:rsidRPr="00862632">
        <w:rPr>
          <w:rFonts w:eastAsiaTheme="minorEastAsia"/>
          <w:lang w:val="es-ES" w:eastAsia="zh-CN"/>
        </w:rPr>
        <w:t>De conformidad con los resultados de la CMSI y las necesidades de los grupos lingüísticos, hay una necesidad urgente de:</w:t>
      </w:r>
    </w:p>
    <w:p w:rsidR="009554F1" w:rsidRPr="00862632" w:rsidRDefault="0016466E" w:rsidP="0016466E">
      <w:pPr>
        <w:pStyle w:val="enumlev3"/>
        <w:rPr>
          <w:lang w:val="es-ES"/>
        </w:rPr>
      </w:pPr>
      <w:r w:rsidRPr="0016466E">
        <w:rPr>
          <w:lang w:val="es-ES"/>
        </w:rPr>
        <w:t>•</w:t>
      </w:r>
      <w:r>
        <w:rPr>
          <w:lang w:val="es-ES"/>
        </w:rPr>
        <w:tab/>
      </w:r>
      <w:r w:rsidR="009554F1" w:rsidRPr="00862632">
        <w:rPr>
          <w:lang w:val="es-ES"/>
        </w:rPr>
        <w:t>impulsar el proceso de introducción del plurilingüismo en distintos campos, incluidos los nombres de dominio, las direcciones de correo electrónico y la búsqueda por palabras clave</w:t>
      </w:r>
      <w:r w:rsidR="005922C5" w:rsidRPr="00862632">
        <w:rPr>
          <w:lang w:val="es-ES"/>
        </w:rPr>
        <w:t>;</w:t>
      </w:r>
    </w:p>
    <w:p w:rsidR="009554F1" w:rsidRPr="00862632" w:rsidRDefault="0016466E" w:rsidP="0016466E">
      <w:pPr>
        <w:pStyle w:val="enumlev3"/>
        <w:rPr>
          <w:rFonts w:cstheme="minorHAnsi"/>
          <w:szCs w:val="24"/>
          <w:lang w:val="es-ES"/>
        </w:rPr>
      </w:pPr>
      <w:r w:rsidRPr="0016466E">
        <w:rPr>
          <w:lang w:val="es-ES"/>
        </w:rPr>
        <w:t>•</w:t>
      </w:r>
      <w:r>
        <w:rPr>
          <w:lang w:val="es-ES"/>
        </w:rPr>
        <w:tab/>
      </w:r>
      <w:r w:rsidR="009554F1" w:rsidRPr="0016466E">
        <w:rPr>
          <w:lang w:val="es-ES"/>
        </w:rPr>
        <w:t>implementar</w:t>
      </w:r>
      <w:r w:rsidR="009554F1" w:rsidRPr="00862632">
        <w:rPr>
          <w:rFonts w:cstheme="minorHAnsi"/>
          <w:szCs w:val="24"/>
          <w:lang w:val="es-ES"/>
        </w:rPr>
        <w:t xml:space="preserve"> programas que permitan la presencia de nombres de dominio y contenido multilingüe en Internet y la utilización de varios modelos de software para combatir la brecha digital lingüística y asegurar la participación de todos</w:t>
      </w:r>
      <w:r w:rsidR="005922C5" w:rsidRPr="00862632">
        <w:rPr>
          <w:rFonts w:cstheme="minorHAnsi"/>
          <w:szCs w:val="24"/>
          <w:lang w:val="es-ES"/>
        </w:rPr>
        <w:t xml:space="preserve"> en la nueva sociedad emergente;</w:t>
      </w:r>
    </w:p>
    <w:p w:rsidR="009554F1" w:rsidRPr="00862632" w:rsidRDefault="0016466E" w:rsidP="0016466E">
      <w:pPr>
        <w:pStyle w:val="enumlev3"/>
        <w:rPr>
          <w:rFonts w:cstheme="minorHAnsi"/>
          <w:szCs w:val="24"/>
          <w:lang w:val="es-ES"/>
        </w:rPr>
      </w:pPr>
      <w:r w:rsidRPr="0016466E">
        <w:rPr>
          <w:lang w:val="es-ES"/>
        </w:rPr>
        <w:t>•</w:t>
      </w:r>
      <w:r>
        <w:rPr>
          <w:lang w:val="es-ES"/>
        </w:rPr>
        <w:tab/>
      </w:r>
      <w:r w:rsidR="009554F1" w:rsidRPr="0016466E">
        <w:rPr>
          <w:lang w:val="es-ES"/>
        </w:rPr>
        <w:t>fortalecer</w:t>
      </w:r>
      <w:r w:rsidR="009554F1" w:rsidRPr="00862632">
        <w:rPr>
          <w:rFonts w:cstheme="minorHAnsi"/>
          <w:szCs w:val="24"/>
          <w:lang w:val="es-ES"/>
        </w:rPr>
        <w:t xml:space="preserve"> la cooperación entre los organismos pertinentes para seguir desarrollando las normas técnicas e impulsar su utilización en todo el mundo.</w:t>
      </w:r>
    </w:p>
    <w:p w:rsidR="009554F1" w:rsidRPr="00862632" w:rsidRDefault="00485F57" w:rsidP="0016466E">
      <w:pPr>
        <w:pStyle w:val="enumlev2"/>
        <w:rPr>
          <w:rFonts w:eastAsiaTheme="minorEastAsia"/>
          <w:lang w:val="es-ES" w:eastAsia="zh-CN"/>
        </w:rPr>
      </w:pPr>
      <w:r w:rsidRPr="00862632">
        <w:rPr>
          <w:rFonts w:eastAsiaTheme="minorEastAsia"/>
          <w:lang w:val="es-ES" w:eastAsia="zh-CN"/>
        </w:rPr>
        <w:t>ix)</w:t>
      </w:r>
      <w:r w:rsidRPr="00862632">
        <w:rPr>
          <w:rFonts w:eastAsiaTheme="minorEastAsia"/>
          <w:lang w:val="es-ES" w:eastAsia="zh-CN"/>
        </w:rPr>
        <w:tab/>
      </w:r>
      <w:r w:rsidR="009554F1" w:rsidRPr="00862632">
        <w:rPr>
          <w:rFonts w:eastAsiaTheme="minorEastAsia"/>
          <w:lang w:val="es-ES" w:eastAsia="zh-CN"/>
        </w:rPr>
        <w:t xml:space="preserve">Las </w:t>
      </w:r>
      <w:r w:rsidR="009554F1" w:rsidRPr="0016466E">
        <w:rPr>
          <w:rFonts w:eastAsiaTheme="minorEastAsia"/>
        </w:rPr>
        <w:t>cuestiones</w:t>
      </w:r>
      <w:r w:rsidR="009554F1" w:rsidRPr="00862632">
        <w:rPr>
          <w:rFonts w:eastAsiaTheme="minorEastAsia"/>
          <w:lang w:val="es-ES" w:eastAsia="zh-CN"/>
        </w:rPr>
        <w:t xml:space="preserve"> de propiedad intelectual y adopción de nombres de dominio internacionalizados plantean algunas dificultades, y es necesario encontrar soluciones apropiadas.</w:t>
      </w:r>
    </w:p>
    <w:p w:rsidR="009554F1" w:rsidRPr="00862632" w:rsidRDefault="00485F57" w:rsidP="0016466E">
      <w:pPr>
        <w:pStyle w:val="enumlev2"/>
        <w:rPr>
          <w:rFonts w:eastAsiaTheme="minorEastAsia"/>
          <w:lang w:val="es-ES" w:eastAsia="zh-CN"/>
        </w:rPr>
      </w:pPr>
      <w:r w:rsidRPr="00862632">
        <w:rPr>
          <w:rFonts w:eastAsiaTheme="minorEastAsia"/>
          <w:lang w:val="es-ES" w:eastAsia="zh-CN"/>
        </w:rPr>
        <w:t>x)</w:t>
      </w:r>
      <w:r w:rsidRPr="00862632">
        <w:rPr>
          <w:rFonts w:eastAsiaTheme="minorEastAsia"/>
          <w:lang w:val="es-ES" w:eastAsia="zh-CN"/>
        </w:rPr>
        <w:tab/>
      </w:r>
      <w:r w:rsidR="009554F1" w:rsidRPr="00862632">
        <w:rPr>
          <w:rFonts w:eastAsiaTheme="minorEastAsia"/>
          <w:lang w:val="es-ES" w:eastAsia="zh-CN"/>
        </w:rPr>
        <w:t>La función que desempeña la Organización Mundial de la Propiedad Intelectual (OMPI) en la solución de controversias sobre nombres de dominio y la que desempeña la Organización de las Naciones Unidas para la Educación, la Ciencia y la Cultura (UNESCO) en relación con la promoción de la diversidad y la identidad culturales, la diversidad lingüística y el contenido local. También se reconoce la estrecha cooperación que la UIT mantiene con la OMPI y la UNESCO.</w:t>
      </w:r>
    </w:p>
    <w:p w:rsidR="009554F1" w:rsidRPr="00862632" w:rsidRDefault="00485F57" w:rsidP="0016466E">
      <w:pPr>
        <w:pStyle w:val="enumlev2"/>
        <w:rPr>
          <w:rFonts w:eastAsiaTheme="minorEastAsia"/>
          <w:lang w:val="es-ES" w:eastAsia="zh-CN"/>
        </w:rPr>
      </w:pPr>
      <w:r w:rsidRPr="00862632">
        <w:rPr>
          <w:rFonts w:eastAsiaTheme="minorEastAsia"/>
          <w:lang w:val="es-ES" w:eastAsia="zh-CN"/>
        </w:rPr>
        <w:t>xi)</w:t>
      </w:r>
      <w:r w:rsidRPr="00862632">
        <w:rPr>
          <w:rFonts w:eastAsiaTheme="minorEastAsia"/>
          <w:lang w:val="es-ES" w:eastAsia="zh-CN"/>
        </w:rPr>
        <w:tab/>
      </w:r>
      <w:r w:rsidR="009554F1" w:rsidRPr="00862632">
        <w:rPr>
          <w:rFonts w:eastAsiaTheme="minorEastAsia"/>
          <w:lang w:val="es-ES" w:eastAsia="zh-CN"/>
        </w:rPr>
        <w:t>Es fundamental mantener la compatibilidad en el contexto mundial si se amplían los nombres de dominio con nuevos caracteres no latinos.</w:t>
      </w:r>
    </w:p>
    <w:p w:rsidR="00344D10" w:rsidRPr="00862632" w:rsidRDefault="00485F57" w:rsidP="00CD7920">
      <w:pPr>
        <w:pStyle w:val="enumlev1"/>
        <w:rPr>
          <w:lang w:val="es-ES"/>
        </w:rPr>
      </w:pPr>
      <w:r w:rsidRPr="00862632">
        <w:rPr>
          <w:lang w:val="es-ES"/>
        </w:rPr>
        <w:t>b)</w:t>
      </w:r>
      <w:r w:rsidRPr="00862632">
        <w:rPr>
          <w:lang w:val="es-ES"/>
        </w:rPr>
        <w:tab/>
      </w:r>
      <w:r w:rsidR="009554F1" w:rsidRPr="00862632">
        <w:rPr>
          <w:lang w:val="es-ES"/>
        </w:rPr>
        <w:t xml:space="preserve">Si bien todos reconocemos la necesidad e importancia de Internet plurilingüe, se observan divergencias sobre la urgencia de la necesidad de </w:t>
      </w:r>
      <w:r w:rsidR="009554F1" w:rsidRPr="0016466E">
        <w:t>acelerar</w:t>
      </w:r>
      <w:r w:rsidR="009554F1" w:rsidRPr="00862632">
        <w:rPr>
          <w:lang w:val="es-ES"/>
        </w:rPr>
        <w:t xml:space="preserve"> el proceso de adopción del plurilingüismo y llevar a cabo programas al respecto. Algunos consideran que la introducción de nombres de dominio internacionalizados (IDN) en el DNS (véase el punto 2.3.5.1) ha progresado notablemente en el marco del proceso actual establecido por la ICANN y, por lo tanto, ese proceso permite atender a la urgencia reconocida anteriormente [</w:t>
      </w:r>
      <w:r w:rsidR="007C1231">
        <w:rPr>
          <w:lang w:val="es-ES"/>
        </w:rPr>
        <w:t>origen</w:t>
      </w:r>
      <w:r w:rsidR="009554F1" w:rsidRPr="00862632">
        <w:rPr>
          <w:lang w:val="es-ES"/>
        </w:rPr>
        <w:t xml:space="preserve">: </w:t>
      </w:r>
      <w:hyperlink r:id="rId101" w:history="1">
        <w:r w:rsidR="0023443F" w:rsidRPr="009000A3">
          <w:rPr>
            <w:rStyle w:val="Hyperlink"/>
            <w:lang w:val="es-ES"/>
          </w:rPr>
          <w:t>Reino Unido</w:t>
        </w:r>
      </w:hyperlink>
      <w:r w:rsidR="009554F1" w:rsidRPr="00862632">
        <w:rPr>
          <w:rStyle w:val="FootnoteReference"/>
          <w:lang w:val="es-ES"/>
        </w:rPr>
        <w:footnoteReference w:id="192"/>
      </w:r>
      <w:r w:rsidR="009554F1" w:rsidRPr="00862632">
        <w:rPr>
          <w:lang w:val="es-ES"/>
        </w:rPr>
        <w:t xml:space="preserve">]. Otros dicen que, si bien es posible utilizar IDN, todavía queda mucho por hacer con respecto a las búsquedas por palabra clave. Según ellos, la adopción actual de los IDN equivale </w:t>
      </w:r>
      <w:r w:rsidR="00BC5045">
        <w:rPr>
          <w:lang w:val="es-ES"/>
        </w:rPr>
        <w:t>"</w:t>
      </w:r>
      <w:r w:rsidR="009554F1" w:rsidRPr="00862632">
        <w:rPr>
          <w:lang w:val="es-ES"/>
        </w:rPr>
        <w:t>en realidad a adaptar un sistema basado en los caracteres ASCII y el sistema DNS sólo reflejará adecuadamente el plurilingüismo cuando haya sido concebido para hacerlo</w:t>
      </w:r>
      <w:r w:rsidR="00BC5045">
        <w:rPr>
          <w:lang w:val="es-ES"/>
        </w:rPr>
        <w:t>"</w:t>
      </w:r>
      <w:r w:rsidR="009554F1" w:rsidRPr="00862632">
        <w:rPr>
          <w:lang w:val="es-ES"/>
        </w:rPr>
        <w:t xml:space="preserve"> [</w:t>
      </w:r>
      <w:r w:rsidR="007C1231">
        <w:rPr>
          <w:lang w:val="es-ES"/>
        </w:rPr>
        <w:t>origen</w:t>
      </w:r>
      <w:r w:rsidR="009554F1" w:rsidRPr="00862632">
        <w:rPr>
          <w:lang w:val="es-ES"/>
        </w:rPr>
        <w:t xml:space="preserve">: </w:t>
      </w:r>
      <w:hyperlink r:id="rId102" w:history="1">
        <w:r w:rsidR="009554F1" w:rsidRPr="00862632">
          <w:rPr>
            <w:rStyle w:val="Hyperlink"/>
            <w:rFonts w:cstheme="minorHAnsi"/>
            <w:szCs w:val="22"/>
            <w:lang w:val="es-ES"/>
          </w:rPr>
          <w:t>Arabia Saudita y Sudán</w:t>
        </w:r>
      </w:hyperlink>
      <w:r w:rsidR="009554F1" w:rsidRPr="00862632">
        <w:rPr>
          <w:lang w:val="es-ES"/>
        </w:rPr>
        <w:t xml:space="preserve">, </w:t>
      </w:r>
      <w:hyperlink r:id="rId103" w:history="1">
        <w:r w:rsidR="009554F1" w:rsidRPr="00862632">
          <w:rPr>
            <w:rStyle w:val="Hyperlink"/>
            <w:rFonts w:cstheme="minorHAnsi"/>
            <w:szCs w:val="22"/>
            <w:lang w:val="es-ES"/>
          </w:rPr>
          <w:t>Argelia</w:t>
        </w:r>
      </w:hyperlink>
      <w:r w:rsidR="009554F1" w:rsidRPr="00862632">
        <w:rPr>
          <w:rStyle w:val="FootnoteReference"/>
          <w:lang w:val="es-ES"/>
        </w:rPr>
        <w:footnoteReference w:id="193"/>
      </w:r>
      <w:r w:rsidR="009554F1" w:rsidRPr="00862632">
        <w:rPr>
          <w:lang w:val="es-ES"/>
        </w:rPr>
        <w:t>].</w:t>
      </w:r>
      <w:r w:rsidR="00C22FBF" w:rsidRPr="00862632">
        <w:rPr>
          <w:lang w:val="es-ES"/>
        </w:rPr>
        <w:t xml:space="preserve"> La imple</w:t>
      </w:r>
      <w:r w:rsidR="00E36D69" w:rsidRPr="00862632">
        <w:rPr>
          <w:lang w:val="es-ES"/>
        </w:rPr>
        <w:t>me</w:t>
      </w:r>
      <w:r w:rsidR="00C22FBF" w:rsidRPr="00862632">
        <w:rPr>
          <w:lang w:val="es-ES"/>
        </w:rPr>
        <w:t>ntación de IDN definida en las RFC 5890, 5891, 5892, 5893, 5894 y las RFC 3743, 4185, 4690 informativas, que se basa en Unicode (ISO/CEI 10646) es básicamente un parche</w:t>
      </w:r>
      <w:r w:rsidR="00C22FBF" w:rsidRPr="00862632">
        <w:rPr>
          <w:rStyle w:val="FootnoteReference"/>
          <w:lang w:val="es-ES"/>
        </w:rPr>
        <w:footnoteReference w:id="194"/>
      </w:r>
      <w:r w:rsidR="00C22FBF" w:rsidRPr="00862632">
        <w:rPr>
          <w:lang w:val="es-ES"/>
        </w:rPr>
        <w:t xml:space="preserve">. Sin embargo, otros sostienen que no es un parche en el sistema de nombre de dominio ASCII (al igual que IPv6 y DNSSEC no son parches), y que no es posible tener un soporte </w:t>
      </w:r>
      <w:r w:rsidR="00BC5045">
        <w:rPr>
          <w:lang w:val="es-ES"/>
        </w:rPr>
        <w:t>"</w:t>
      </w:r>
      <w:r w:rsidR="00C22FBF" w:rsidRPr="00862632">
        <w:rPr>
          <w:lang w:val="es-ES"/>
        </w:rPr>
        <w:t>nativo</w:t>
      </w:r>
      <w:r w:rsidR="00BC5045">
        <w:rPr>
          <w:lang w:val="es-ES"/>
        </w:rPr>
        <w:t>"</w:t>
      </w:r>
      <w:r w:rsidR="00C22FBF" w:rsidRPr="00862632">
        <w:rPr>
          <w:lang w:val="es-ES"/>
        </w:rPr>
        <w:t xml:space="preserve"> de IDN sin confundir los servidores, intérpretes y clientes de nombre, y que todos los alfabetos pueden soportarse y codificarse para ajustarse a un nombre de dominio ASCII, pues no hay ninguna restricción real [origen: </w:t>
      </w:r>
      <w:hyperlink r:id="rId104" w:history="1">
        <w:r w:rsidR="00CD7920" w:rsidRPr="00CD7920">
          <w:rPr>
            <w:rStyle w:val="Hyperlink"/>
            <w:lang w:val="es-ES"/>
          </w:rPr>
          <w:t>Nominet</w:t>
        </w:r>
      </w:hyperlink>
      <w:r w:rsidR="00C22FBF" w:rsidRPr="00862632">
        <w:rPr>
          <w:rStyle w:val="FootnoteReference"/>
          <w:lang w:val="es-ES"/>
        </w:rPr>
        <w:footnoteReference w:id="195"/>
      </w:r>
      <w:r w:rsidR="00C22FBF" w:rsidRPr="00862632">
        <w:rPr>
          <w:lang w:val="es-ES"/>
        </w:rPr>
        <w:t>].</w:t>
      </w:r>
    </w:p>
    <w:p w:rsidR="00C22FBF" w:rsidRPr="00862632" w:rsidRDefault="00C22FBF" w:rsidP="003C33B9">
      <w:pPr>
        <w:pStyle w:val="enumlev1"/>
        <w:rPr>
          <w:lang w:val="es-ES"/>
        </w:rPr>
      </w:pPr>
      <w:r w:rsidRPr="00862632">
        <w:rPr>
          <w:lang w:val="es-ES"/>
        </w:rPr>
        <w:t>c)</w:t>
      </w:r>
      <w:r w:rsidRPr="00862632">
        <w:rPr>
          <w:lang w:val="es-ES"/>
        </w:rPr>
        <w:tab/>
      </w:r>
      <w:r w:rsidR="009F0FF9" w:rsidRPr="00862632">
        <w:rPr>
          <w:lang w:val="es-ES"/>
        </w:rPr>
        <w:t xml:space="preserve">En </w:t>
      </w:r>
      <w:r w:rsidRPr="00862632">
        <w:rPr>
          <w:lang w:val="es-ES"/>
        </w:rPr>
        <w:t xml:space="preserve">la actualidad los esfuerzos se concentran en la elaboración de normas, tecnologías y prácticas que permitan a Internet soportar IDN compatibles sin anular o interrumpir los servidores raíz y sus espejos, otros intérpretes DNS y servicios de nivel de aplicación [origen: </w:t>
      </w:r>
      <w:hyperlink r:id="rId105" w:history="1">
        <w:r w:rsidR="003C33B9" w:rsidRPr="003C33B9">
          <w:rPr>
            <w:rStyle w:val="Hyperlink"/>
            <w:rFonts w:eastAsiaTheme="minorEastAsia"/>
            <w:lang w:val="es-ES" w:eastAsia="zh-CN"/>
          </w:rPr>
          <w:t>PayPal</w:t>
        </w:r>
      </w:hyperlink>
      <w:r w:rsidRPr="00862632">
        <w:rPr>
          <w:rStyle w:val="FootnoteReference"/>
          <w:lang w:val="es-ES"/>
        </w:rPr>
        <w:footnoteReference w:id="196"/>
      </w:r>
      <w:r w:rsidRPr="00862632">
        <w:rPr>
          <w:lang w:val="es-ES"/>
        </w:rPr>
        <w:t>].</w:t>
      </w:r>
    </w:p>
    <w:p w:rsidR="00344D10" w:rsidRPr="00C64ABF" w:rsidRDefault="00485F57" w:rsidP="00C64ABF">
      <w:pPr>
        <w:rPr>
          <w:b/>
          <w:bCs/>
          <w:lang w:val="es-ES"/>
        </w:rPr>
      </w:pPr>
      <w:r w:rsidRPr="00C64ABF">
        <w:rPr>
          <w:b/>
          <w:bCs/>
          <w:lang w:val="es-ES"/>
        </w:rPr>
        <w:t>2.3.5.1</w:t>
      </w:r>
      <w:r w:rsidRPr="00C64ABF">
        <w:rPr>
          <w:b/>
          <w:bCs/>
          <w:lang w:val="es-ES"/>
        </w:rPr>
        <w:tab/>
      </w:r>
      <w:r w:rsidR="009554F1" w:rsidRPr="00C64ABF">
        <w:rPr>
          <w:b/>
          <w:bCs/>
          <w:lang w:val="es-ES"/>
        </w:rPr>
        <w:t>Nombres de dominio internacionalizados (IDN) en el marco del sistema DNS</w:t>
      </w:r>
    </w:p>
    <w:p w:rsidR="009554F1" w:rsidRPr="00862632" w:rsidRDefault="00485F57" w:rsidP="0016466E">
      <w:pPr>
        <w:pStyle w:val="enumlev1"/>
        <w:rPr>
          <w:lang w:val="es-ES"/>
        </w:rPr>
      </w:pPr>
      <w:r w:rsidRPr="00862632">
        <w:rPr>
          <w:lang w:val="es-ES"/>
        </w:rPr>
        <w:t>a)</w:t>
      </w:r>
      <w:r w:rsidRPr="00862632">
        <w:rPr>
          <w:lang w:val="es-ES"/>
        </w:rPr>
        <w:tab/>
      </w:r>
      <w:r w:rsidR="009554F1" w:rsidRPr="00862632">
        <w:rPr>
          <w:lang w:val="es-ES"/>
        </w:rPr>
        <w:t>Al principio, la zona raíz del DNS estaba limitada a un conjunto de caracteres conformes al código US-ASCII o a caracteres del alfabeto latino. La situación ha cambiado con la introducción de IDN, que permiten componer TLD con caracteres de varios alfabetos (por ejemplo, caracteres árabes, chinos, cirílico</w:t>
      </w:r>
      <w:r w:rsidR="00322852" w:rsidRPr="00862632">
        <w:rPr>
          <w:lang w:val="es-ES"/>
        </w:rPr>
        <w:t>s o</w:t>
      </w:r>
      <w:r w:rsidR="009554F1" w:rsidRPr="00862632">
        <w:rPr>
          <w:lang w:val="es-ES"/>
        </w:rPr>
        <w:t xml:space="preserve"> surcoreanos), y por lo tanto facilita el acceso de los usuarios de Internet a nombres de dominio en su propio idioma.</w:t>
      </w:r>
    </w:p>
    <w:p w:rsidR="009554F1" w:rsidRPr="00862632" w:rsidRDefault="00485F57" w:rsidP="0016466E">
      <w:pPr>
        <w:pStyle w:val="enumlev1"/>
        <w:rPr>
          <w:lang w:val="es-ES"/>
        </w:rPr>
      </w:pPr>
      <w:r w:rsidRPr="00862632">
        <w:rPr>
          <w:lang w:val="es-ES"/>
        </w:rPr>
        <w:t>b)</w:t>
      </w:r>
      <w:r w:rsidRPr="00862632">
        <w:rPr>
          <w:lang w:val="es-ES"/>
        </w:rPr>
        <w:tab/>
      </w:r>
      <w:r w:rsidR="009554F1" w:rsidRPr="00862632">
        <w:rPr>
          <w:lang w:val="es-ES"/>
        </w:rPr>
        <w:t xml:space="preserve">La adopción del multilingüismo en el sistema DNS gracias a los IDN ha progresado notablemente desde 2010. Gracias al proceso acelerado ccTLD IDN aprobado por el Consejo de </w:t>
      </w:r>
      <w:r w:rsidR="00322852" w:rsidRPr="00862632">
        <w:rPr>
          <w:lang w:val="es-ES"/>
        </w:rPr>
        <w:t>A</w:t>
      </w:r>
      <w:r w:rsidR="009554F1" w:rsidRPr="00862632">
        <w:rPr>
          <w:lang w:val="es-ES"/>
        </w:rPr>
        <w:t>dministración de la ICANN en su reunión anual en Seúl (Corea</w:t>
      </w:r>
      <w:r w:rsidR="00322852" w:rsidRPr="00862632">
        <w:rPr>
          <w:lang w:val="es-ES"/>
        </w:rPr>
        <w:t xml:space="preserve"> del Sur</w:t>
      </w:r>
      <w:r w:rsidR="009554F1" w:rsidRPr="00862632">
        <w:rPr>
          <w:lang w:val="es-ES"/>
        </w:rPr>
        <w:t>) en octubre de 2009, los países y territorios han podido someter a la ICANN solicitudes de registro de ese ccTLD IDN que representan el nombre de su país o territorios respectivos en alfabetos que utilizan caracteres distintos de los caracteres US</w:t>
      </w:r>
      <w:r w:rsidRPr="00862632">
        <w:rPr>
          <w:lang w:val="es-ES"/>
        </w:rPr>
        <w:noBreakHyphen/>
      </w:r>
      <w:r w:rsidR="009554F1" w:rsidRPr="00862632">
        <w:rPr>
          <w:lang w:val="es-ES"/>
        </w:rPr>
        <w:t>ASCII.</w:t>
      </w:r>
    </w:p>
    <w:p w:rsidR="009554F1" w:rsidRPr="00862632" w:rsidRDefault="00485F57" w:rsidP="0016466E">
      <w:pPr>
        <w:pStyle w:val="enumlev1"/>
        <w:rPr>
          <w:lang w:val="es-ES"/>
        </w:rPr>
      </w:pPr>
      <w:r w:rsidRPr="00862632">
        <w:rPr>
          <w:lang w:val="es-ES"/>
        </w:rPr>
        <w:t>c)</w:t>
      </w:r>
      <w:r w:rsidRPr="00862632">
        <w:rPr>
          <w:lang w:val="es-ES"/>
        </w:rPr>
        <w:tab/>
      </w:r>
      <w:r w:rsidR="009554F1" w:rsidRPr="00862632">
        <w:rPr>
          <w:lang w:val="es-ES"/>
        </w:rPr>
        <w:t>La adopción de IDN en el nuevo programa de gTLD y la adopción de ccTLD IDN plantean problemas complejos, por ejemplo en lo que concierne a la definición de políticas aplicables a los alfabetos que los registros pueden aceptar, o el acuerdo sobre el tipo y los números de caracteres que componen la cadena, etc.</w:t>
      </w:r>
      <w:r w:rsidR="009554F1" w:rsidRPr="00862632">
        <w:rPr>
          <w:rStyle w:val="FootnoteReference"/>
          <w:lang w:val="es-ES"/>
        </w:rPr>
        <w:footnoteReference w:id="197"/>
      </w:r>
    </w:p>
    <w:p w:rsidR="009554F1" w:rsidRPr="00862632" w:rsidRDefault="00485F57" w:rsidP="0016466E">
      <w:pPr>
        <w:pStyle w:val="enumlev1"/>
        <w:rPr>
          <w:lang w:val="es-ES"/>
        </w:rPr>
      </w:pPr>
      <w:r w:rsidRPr="00862632">
        <w:rPr>
          <w:lang w:val="es-ES"/>
        </w:rPr>
        <w:t>d)</w:t>
      </w:r>
      <w:r w:rsidRPr="00862632">
        <w:rPr>
          <w:lang w:val="es-ES"/>
        </w:rPr>
        <w:tab/>
      </w:r>
      <w:r w:rsidR="009554F1" w:rsidRPr="00862632">
        <w:rPr>
          <w:lang w:val="es-ES"/>
        </w:rPr>
        <w:t>En junio de 2012, las solicitudes de 30 países/territorios habían dado lugar a una evaluación positiva de la cadena. De esos países/territorios, 21 (representados por 31 ccTLD IDN) tienen una delegación en la zona raíz DNS, y los demás están preparándose para solicitar, o solicitando, la delegación de su cadena</w:t>
      </w:r>
      <w:r w:rsidR="009554F1" w:rsidRPr="00862632">
        <w:rPr>
          <w:rStyle w:val="FootnoteReference"/>
          <w:lang w:val="es-ES"/>
        </w:rPr>
        <w:footnoteReference w:id="198"/>
      </w:r>
      <w:r w:rsidR="009554F1" w:rsidRPr="00862632">
        <w:rPr>
          <w:lang w:val="es-ES"/>
        </w:rPr>
        <w:t>.</w:t>
      </w:r>
    </w:p>
    <w:p w:rsidR="00344D10" w:rsidRPr="00C64ABF" w:rsidRDefault="009554F1" w:rsidP="00C64ABF">
      <w:pPr>
        <w:rPr>
          <w:b/>
          <w:bCs/>
          <w:lang w:val="es-ES"/>
        </w:rPr>
      </w:pPr>
      <w:r w:rsidRPr="00C64ABF">
        <w:rPr>
          <w:b/>
          <w:bCs/>
          <w:lang w:val="es-ES"/>
        </w:rPr>
        <w:t>2.3.5.</w:t>
      </w:r>
      <w:r w:rsidR="00485F57" w:rsidRPr="00C64ABF">
        <w:rPr>
          <w:b/>
          <w:bCs/>
          <w:lang w:val="es-ES"/>
        </w:rPr>
        <w:t>2</w:t>
      </w:r>
      <w:r w:rsidRPr="00C64ABF">
        <w:rPr>
          <w:b/>
          <w:bCs/>
          <w:lang w:val="es-ES"/>
        </w:rPr>
        <w:tab/>
        <w:t>Servidores de dominio de nivel superior regionales</w:t>
      </w:r>
    </w:p>
    <w:p w:rsidR="00344D10" w:rsidRPr="00862632" w:rsidRDefault="00485F57" w:rsidP="0016466E">
      <w:pPr>
        <w:pStyle w:val="enumlev1"/>
        <w:rPr>
          <w:lang w:val="es-ES"/>
        </w:rPr>
      </w:pPr>
      <w:r w:rsidRPr="00862632">
        <w:rPr>
          <w:lang w:val="es-ES"/>
        </w:rPr>
        <w:t>a)</w:t>
      </w:r>
      <w:r w:rsidRPr="00862632">
        <w:rPr>
          <w:lang w:val="es-ES"/>
        </w:rPr>
        <w:tab/>
      </w:r>
      <w:r w:rsidR="009554F1" w:rsidRPr="00862632">
        <w:rPr>
          <w:lang w:val="es-ES"/>
        </w:rPr>
        <w:t xml:space="preserve">El DNS asocia direcciones IP con nombres de dominio semánticamente significantes asignados a computadores. Cuando un usuario escribe </w:t>
      </w:r>
      <w:r w:rsidR="00BC5045">
        <w:rPr>
          <w:lang w:val="es-ES"/>
        </w:rPr>
        <w:t>"</w:t>
      </w:r>
      <w:r w:rsidR="009554F1" w:rsidRPr="00862632">
        <w:rPr>
          <w:lang w:val="es-ES"/>
        </w:rPr>
        <w:t>www.itu.int</w:t>
      </w:r>
      <w:r w:rsidR="00BC5045">
        <w:rPr>
          <w:lang w:val="es-ES"/>
        </w:rPr>
        <w:t>"</w:t>
      </w:r>
      <w:r w:rsidR="009554F1" w:rsidRPr="00862632">
        <w:rPr>
          <w:lang w:val="es-ES"/>
        </w:rPr>
        <w:t>, el DNS resuelve esta dirección de derecha a izquierda yendo primero a un servidor de dominio de nivel superior (</w:t>
      </w:r>
      <w:r w:rsidR="00BC5045">
        <w:rPr>
          <w:lang w:val="es-ES"/>
        </w:rPr>
        <w:t>"</w:t>
      </w:r>
      <w:r w:rsidR="009554F1" w:rsidRPr="00862632">
        <w:rPr>
          <w:lang w:val="es-ES"/>
        </w:rPr>
        <w:t>.</w:t>
      </w:r>
      <w:r w:rsidR="00BC5045">
        <w:rPr>
          <w:lang w:val="es-ES"/>
        </w:rPr>
        <w:t>"</w:t>
      </w:r>
      <w:r w:rsidR="009554F1" w:rsidRPr="00862632">
        <w:rPr>
          <w:lang w:val="es-ES"/>
        </w:rPr>
        <w:t xml:space="preserve">), que lo orienta hacia un servidor de nombres </w:t>
      </w:r>
      <w:r w:rsidR="00BC5045">
        <w:rPr>
          <w:lang w:val="es-ES"/>
        </w:rPr>
        <w:t>"</w:t>
      </w:r>
      <w:r w:rsidR="009554F1" w:rsidRPr="00862632">
        <w:rPr>
          <w:lang w:val="es-ES"/>
        </w:rPr>
        <w:t>.int</w:t>
      </w:r>
      <w:r w:rsidR="00BC5045">
        <w:rPr>
          <w:lang w:val="es-ES"/>
        </w:rPr>
        <w:t>"</w:t>
      </w:r>
      <w:r w:rsidR="009554F1" w:rsidRPr="00862632">
        <w:rPr>
          <w:lang w:val="es-ES"/>
        </w:rPr>
        <w:t xml:space="preserve">, que lo orienta a su vez hacia un servidor de nombres </w:t>
      </w:r>
      <w:r w:rsidR="00BC5045">
        <w:rPr>
          <w:lang w:val="es-ES"/>
        </w:rPr>
        <w:t>"</w:t>
      </w:r>
      <w:r w:rsidR="009554F1" w:rsidRPr="00862632">
        <w:rPr>
          <w:lang w:val="es-ES"/>
        </w:rPr>
        <w:t>itu.int</w:t>
      </w:r>
      <w:r w:rsidR="00BC5045">
        <w:rPr>
          <w:lang w:val="es-ES"/>
        </w:rPr>
        <w:t>"</w:t>
      </w:r>
      <w:r w:rsidR="009554F1" w:rsidRPr="00862632">
        <w:rPr>
          <w:lang w:val="es-ES"/>
        </w:rPr>
        <w:t xml:space="preserve">. En este caso, </w:t>
      </w:r>
      <w:r w:rsidR="00322852" w:rsidRPr="00862632">
        <w:rPr>
          <w:lang w:val="es-ES"/>
        </w:rPr>
        <w:t>un</w:t>
      </w:r>
      <w:r w:rsidR="009554F1" w:rsidRPr="00862632">
        <w:rPr>
          <w:lang w:val="es-ES"/>
        </w:rPr>
        <w:t xml:space="preserve"> servidor de nombres raíz es un servidor DNS que responde a solicitudes relativas a la zona raíz DNS y, a partir de los nombres de un dominio TLD particular, reorienta hacia los servidores de nombre correspondientes. Actualmente, 12 operadores explotan 13 servidores de dominio de nivel superior cuyos nombres están especificados en la forma </w:t>
      </w:r>
      <w:r w:rsidR="00BC5045">
        <w:rPr>
          <w:lang w:val="es-ES"/>
        </w:rPr>
        <w:t>"</w:t>
      </w:r>
      <w:r w:rsidR="009554F1" w:rsidRPr="00862632">
        <w:rPr>
          <w:lang w:val="es-ES"/>
        </w:rPr>
        <w:t>letra. servidores de dominio de nivel superior.net</w:t>
      </w:r>
      <w:r w:rsidR="00BC5045">
        <w:rPr>
          <w:lang w:val="es-ES"/>
        </w:rPr>
        <w:t>"</w:t>
      </w:r>
      <w:r w:rsidR="009554F1" w:rsidRPr="00862632">
        <w:rPr>
          <w:lang w:val="es-ES"/>
        </w:rPr>
        <w:t>, en los que la letra va de A a M. Los servidores A, C, E, F, G, I, J, K, L y M están presentes ahora en múltiples publicaciones en distintos continentes para proporcionar un servicio descentralizado</w:t>
      </w:r>
      <w:r w:rsidR="009554F1" w:rsidRPr="004366E5">
        <w:rPr>
          <w:rStyle w:val="FootnoteReference"/>
        </w:rPr>
        <w:footnoteReference w:id="199"/>
      </w:r>
      <w:r w:rsidR="009554F1" w:rsidRPr="00862632">
        <w:rPr>
          <w:lang w:val="es-ES"/>
        </w:rPr>
        <w:t>.</w:t>
      </w:r>
    </w:p>
    <w:p w:rsidR="009554F1" w:rsidRPr="00862632" w:rsidRDefault="009554F1" w:rsidP="0016466E">
      <w:pPr>
        <w:pStyle w:val="TabletitleBR"/>
        <w:spacing w:before="240"/>
        <w:rPr>
          <w:lang w:val="es-ES"/>
        </w:rPr>
      </w:pPr>
      <w:r w:rsidRPr="00862632">
        <w:rPr>
          <w:lang w:val="es-ES"/>
        </w:rPr>
        <w:t>Cuadro 2: Operadores y servidores de dominio de nivel superior</w:t>
      </w:r>
    </w:p>
    <w:tbl>
      <w:tblPr>
        <w:tblStyle w:val="TableGrid"/>
        <w:tblW w:w="0" w:type="auto"/>
        <w:jc w:val="center"/>
        <w:tblInd w:w="247" w:type="dxa"/>
        <w:tblLook w:val="04A0" w:firstRow="1" w:lastRow="0" w:firstColumn="1" w:lastColumn="0" w:noHBand="0" w:noVBand="1"/>
      </w:tblPr>
      <w:tblGrid>
        <w:gridCol w:w="912"/>
        <w:gridCol w:w="3049"/>
        <w:gridCol w:w="3537"/>
        <w:gridCol w:w="2110"/>
      </w:tblGrid>
      <w:tr w:rsidR="004E5F1B" w:rsidRPr="00862632" w:rsidTr="009F0FF9">
        <w:trPr>
          <w:jc w:val="center"/>
        </w:trPr>
        <w:tc>
          <w:tcPr>
            <w:tcW w:w="912" w:type="dxa"/>
            <w:shd w:val="clear" w:color="auto" w:fill="D9D9D9" w:themeFill="background1" w:themeFillShade="D9"/>
          </w:tcPr>
          <w:p w:rsidR="004E5F1B" w:rsidRPr="009F0FF9" w:rsidRDefault="004E5F1B" w:rsidP="008A296E">
            <w:pPr>
              <w:pStyle w:val="Tablehead"/>
              <w:rPr>
                <w:sz w:val="20"/>
                <w:szCs w:val="20"/>
                <w:lang w:val="es-ES"/>
              </w:rPr>
            </w:pPr>
            <w:r w:rsidRPr="009F0FF9">
              <w:rPr>
                <w:sz w:val="20"/>
                <w:szCs w:val="20"/>
                <w:lang w:val="es-ES"/>
              </w:rPr>
              <w:t>Servidor</w:t>
            </w:r>
          </w:p>
        </w:tc>
        <w:tc>
          <w:tcPr>
            <w:tcW w:w="3049" w:type="dxa"/>
            <w:shd w:val="clear" w:color="auto" w:fill="D9D9D9" w:themeFill="background1" w:themeFillShade="D9"/>
          </w:tcPr>
          <w:p w:rsidR="004E5F1B" w:rsidRPr="009F0FF9" w:rsidRDefault="004E5F1B" w:rsidP="008A296E">
            <w:pPr>
              <w:pStyle w:val="Tablehead"/>
              <w:rPr>
                <w:sz w:val="20"/>
                <w:szCs w:val="20"/>
                <w:lang w:val="es-ES"/>
              </w:rPr>
            </w:pPr>
            <w:r w:rsidRPr="009F0FF9">
              <w:rPr>
                <w:sz w:val="20"/>
                <w:szCs w:val="20"/>
                <w:lang w:val="es-ES"/>
              </w:rPr>
              <w:t>Operador</w:t>
            </w:r>
          </w:p>
        </w:tc>
        <w:tc>
          <w:tcPr>
            <w:tcW w:w="3537" w:type="dxa"/>
            <w:shd w:val="clear" w:color="auto" w:fill="D9D9D9" w:themeFill="background1" w:themeFillShade="D9"/>
          </w:tcPr>
          <w:p w:rsidR="004E5F1B" w:rsidRPr="009F0FF9" w:rsidRDefault="004E5F1B" w:rsidP="008A296E">
            <w:pPr>
              <w:pStyle w:val="Tablehead"/>
              <w:rPr>
                <w:sz w:val="20"/>
                <w:szCs w:val="20"/>
                <w:lang w:val="es-ES"/>
              </w:rPr>
            </w:pPr>
            <w:r w:rsidRPr="009F0FF9">
              <w:rPr>
                <w:sz w:val="20"/>
                <w:szCs w:val="20"/>
                <w:lang w:val="es-ES"/>
              </w:rPr>
              <w:t>Ubicación</w:t>
            </w:r>
          </w:p>
        </w:tc>
        <w:tc>
          <w:tcPr>
            <w:tcW w:w="2110" w:type="dxa"/>
            <w:shd w:val="clear" w:color="auto" w:fill="D9D9D9" w:themeFill="background1" w:themeFillShade="D9"/>
          </w:tcPr>
          <w:p w:rsidR="004E5F1B" w:rsidRPr="009F0FF9" w:rsidRDefault="004E5F1B" w:rsidP="008A296E">
            <w:pPr>
              <w:pStyle w:val="Tablehead"/>
              <w:rPr>
                <w:sz w:val="20"/>
                <w:szCs w:val="20"/>
                <w:lang w:val="es-ES"/>
              </w:rPr>
            </w:pPr>
            <w:r w:rsidRPr="009F0FF9">
              <w:rPr>
                <w:sz w:val="20"/>
                <w:szCs w:val="20"/>
                <w:lang w:val="es-ES"/>
              </w:rPr>
              <w:t>Número de instancias</w:t>
            </w:r>
          </w:p>
        </w:tc>
      </w:tr>
      <w:tr w:rsidR="004E5F1B" w:rsidRPr="00862632" w:rsidTr="009F0FF9">
        <w:trPr>
          <w:jc w:val="center"/>
        </w:trPr>
        <w:tc>
          <w:tcPr>
            <w:tcW w:w="912" w:type="dxa"/>
          </w:tcPr>
          <w:p w:rsidR="004E5F1B" w:rsidRPr="009F0FF9" w:rsidRDefault="004E5F1B" w:rsidP="0016466E">
            <w:pPr>
              <w:pStyle w:val="Tabletext"/>
              <w:keepNext/>
              <w:jc w:val="center"/>
              <w:rPr>
                <w:sz w:val="20"/>
                <w:szCs w:val="20"/>
                <w:lang w:val="es-ES"/>
              </w:rPr>
            </w:pPr>
            <w:r w:rsidRPr="009F0FF9">
              <w:rPr>
                <w:sz w:val="20"/>
                <w:szCs w:val="20"/>
                <w:lang w:val="es-ES"/>
              </w:rPr>
              <w:t>A</w:t>
            </w:r>
          </w:p>
        </w:tc>
        <w:tc>
          <w:tcPr>
            <w:tcW w:w="3049" w:type="dxa"/>
          </w:tcPr>
          <w:p w:rsidR="004E5F1B" w:rsidRPr="009F0FF9" w:rsidRDefault="004E5F1B" w:rsidP="0016466E">
            <w:pPr>
              <w:pStyle w:val="Tabletext"/>
              <w:keepNext/>
              <w:rPr>
                <w:sz w:val="20"/>
                <w:szCs w:val="20"/>
                <w:lang w:val="es-ES"/>
              </w:rPr>
            </w:pPr>
            <w:r w:rsidRPr="009F0FF9">
              <w:rPr>
                <w:sz w:val="20"/>
                <w:szCs w:val="20"/>
                <w:lang w:val="es-ES"/>
              </w:rPr>
              <w:t>VeriSign, Inc.</w:t>
            </w:r>
          </w:p>
        </w:tc>
        <w:tc>
          <w:tcPr>
            <w:tcW w:w="3537" w:type="dxa"/>
          </w:tcPr>
          <w:p w:rsidR="004E5F1B" w:rsidRPr="009F0FF9" w:rsidRDefault="004E5F1B" w:rsidP="0016466E">
            <w:pPr>
              <w:pStyle w:val="Tabletext"/>
              <w:keepNext/>
              <w:rPr>
                <w:sz w:val="20"/>
                <w:szCs w:val="20"/>
                <w:lang w:val="es-ES"/>
              </w:rPr>
            </w:pPr>
            <w:r w:rsidRPr="009F0FF9">
              <w:rPr>
                <w:sz w:val="20"/>
                <w:szCs w:val="20"/>
                <w:lang w:val="es-ES"/>
              </w:rPr>
              <w:t xml:space="preserve">Distribuido con la tecnología anycast </w:t>
            </w:r>
          </w:p>
        </w:tc>
        <w:tc>
          <w:tcPr>
            <w:tcW w:w="2110" w:type="dxa"/>
          </w:tcPr>
          <w:p w:rsidR="004E5F1B" w:rsidRPr="009F0FF9" w:rsidRDefault="004E5F1B" w:rsidP="009F0FF9">
            <w:pPr>
              <w:pStyle w:val="Tabletext"/>
              <w:keepNext/>
              <w:jc w:val="center"/>
              <w:rPr>
                <w:sz w:val="20"/>
                <w:szCs w:val="20"/>
                <w:lang w:val="es-ES"/>
              </w:rPr>
            </w:pPr>
            <w:r w:rsidRPr="009F0FF9">
              <w:rPr>
                <w:sz w:val="20"/>
                <w:szCs w:val="20"/>
                <w:lang w:val="es-ES"/>
              </w:rPr>
              <w:t>6</w:t>
            </w:r>
          </w:p>
        </w:tc>
      </w:tr>
      <w:tr w:rsidR="004E5F1B" w:rsidRPr="00862632" w:rsidTr="009F0FF9">
        <w:trPr>
          <w:jc w:val="center"/>
        </w:trPr>
        <w:tc>
          <w:tcPr>
            <w:tcW w:w="912" w:type="dxa"/>
          </w:tcPr>
          <w:p w:rsidR="004E5F1B" w:rsidRPr="009F0FF9" w:rsidRDefault="004E5F1B" w:rsidP="009723BC">
            <w:pPr>
              <w:pStyle w:val="Tabletext"/>
              <w:jc w:val="center"/>
              <w:rPr>
                <w:sz w:val="20"/>
                <w:szCs w:val="20"/>
                <w:lang w:val="es-ES"/>
              </w:rPr>
            </w:pPr>
            <w:r w:rsidRPr="009F0FF9">
              <w:rPr>
                <w:sz w:val="20"/>
                <w:szCs w:val="20"/>
                <w:lang w:val="es-ES"/>
              </w:rPr>
              <w:t>B</w:t>
            </w:r>
          </w:p>
        </w:tc>
        <w:tc>
          <w:tcPr>
            <w:tcW w:w="3049" w:type="dxa"/>
          </w:tcPr>
          <w:p w:rsidR="004E5F1B" w:rsidRPr="009F0FF9" w:rsidRDefault="004E5F1B" w:rsidP="009723BC">
            <w:pPr>
              <w:pStyle w:val="Tabletext"/>
              <w:rPr>
                <w:sz w:val="20"/>
                <w:szCs w:val="20"/>
                <w:lang w:val="es-ES"/>
              </w:rPr>
            </w:pPr>
            <w:r w:rsidRPr="009F0FF9">
              <w:rPr>
                <w:sz w:val="20"/>
                <w:szCs w:val="20"/>
                <w:lang w:val="es-ES"/>
              </w:rPr>
              <w:t xml:space="preserve">Information Sciences Institute </w:t>
            </w:r>
          </w:p>
        </w:tc>
        <w:tc>
          <w:tcPr>
            <w:tcW w:w="3537" w:type="dxa"/>
          </w:tcPr>
          <w:p w:rsidR="004E5F1B" w:rsidRPr="009F0FF9" w:rsidRDefault="004E5F1B" w:rsidP="009723BC">
            <w:pPr>
              <w:pStyle w:val="Tabletext"/>
              <w:rPr>
                <w:sz w:val="20"/>
                <w:szCs w:val="20"/>
                <w:lang w:val="es-ES"/>
              </w:rPr>
            </w:pPr>
            <w:r w:rsidRPr="009F0FF9">
              <w:rPr>
                <w:sz w:val="20"/>
                <w:szCs w:val="20"/>
                <w:lang w:val="es-ES"/>
              </w:rPr>
              <w:t>Marina Del Rey, California (EE.UU.)</w:t>
            </w:r>
          </w:p>
        </w:tc>
        <w:tc>
          <w:tcPr>
            <w:tcW w:w="2110" w:type="dxa"/>
          </w:tcPr>
          <w:p w:rsidR="004E5F1B" w:rsidRPr="009F0FF9" w:rsidRDefault="004E5F1B" w:rsidP="009F0FF9">
            <w:pPr>
              <w:pStyle w:val="Tabletext"/>
              <w:jc w:val="center"/>
              <w:rPr>
                <w:sz w:val="20"/>
                <w:szCs w:val="20"/>
                <w:lang w:val="es-ES"/>
              </w:rPr>
            </w:pPr>
            <w:r w:rsidRPr="009F0FF9">
              <w:rPr>
                <w:sz w:val="20"/>
                <w:szCs w:val="20"/>
                <w:lang w:val="es-ES"/>
              </w:rPr>
              <w:t>1</w:t>
            </w:r>
          </w:p>
        </w:tc>
      </w:tr>
      <w:tr w:rsidR="004E5F1B" w:rsidRPr="00862632" w:rsidTr="009F0FF9">
        <w:trPr>
          <w:jc w:val="center"/>
        </w:trPr>
        <w:tc>
          <w:tcPr>
            <w:tcW w:w="912" w:type="dxa"/>
          </w:tcPr>
          <w:p w:rsidR="004E5F1B" w:rsidRPr="009F0FF9" w:rsidRDefault="004E5F1B" w:rsidP="009723BC">
            <w:pPr>
              <w:pStyle w:val="Tabletext"/>
              <w:jc w:val="center"/>
              <w:rPr>
                <w:sz w:val="20"/>
                <w:szCs w:val="20"/>
                <w:lang w:val="es-ES"/>
              </w:rPr>
            </w:pPr>
            <w:r w:rsidRPr="009F0FF9">
              <w:rPr>
                <w:sz w:val="20"/>
                <w:szCs w:val="20"/>
                <w:lang w:val="es-ES"/>
              </w:rPr>
              <w:t>C</w:t>
            </w:r>
          </w:p>
        </w:tc>
        <w:tc>
          <w:tcPr>
            <w:tcW w:w="3049" w:type="dxa"/>
          </w:tcPr>
          <w:p w:rsidR="004E5F1B" w:rsidRPr="009F0FF9" w:rsidRDefault="004E5F1B" w:rsidP="009723BC">
            <w:pPr>
              <w:pStyle w:val="Tabletext"/>
              <w:rPr>
                <w:sz w:val="20"/>
                <w:szCs w:val="20"/>
                <w:lang w:val="es-ES"/>
              </w:rPr>
            </w:pPr>
            <w:r w:rsidRPr="009F0FF9">
              <w:rPr>
                <w:sz w:val="20"/>
                <w:szCs w:val="20"/>
                <w:lang w:val="es-ES"/>
              </w:rPr>
              <w:t>Cogent Communications</w:t>
            </w:r>
          </w:p>
        </w:tc>
        <w:tc>
          <w:tcPr>
            <w:tcW w:w="3537" w:type="dxa"/>
          </w:tcPr>
          <w:p w:rsidR="004E5F1B" w:rsidRPr="009F0FF9" w:rsidRDefault="004E5F1B" w:rsidP="009723BC">
            <w:pPr>
              <w:pStyle w:val="Tabletext"/>
              <w:rPr>
                <w:sz w:val="20"/>
                <w:szCs w:val="20"/>
                <w:lang w:val="es-ES"/>
              </w:rPr>
            </w:pPr>
            <w:r w:rsidRPr="009F0FF9">
              <w:rPr>
                <w:sz w:val="20"/>
                <w:szCs w:val="20"/>
                <w:lang w:val="es-ES"/>
              </w:rPr>
              <w:t>Distribuido con la tecnología anycast</w:t>
            </w:r>
          </w:p>
        </w:tc>
        <w:tc>
          <w:tcPr>
            <w:tcW w:w="2110" w:type="dxa"/>
          </w:tcPr>
          <w:p w:rsidR="004E5F1B" w:rsidRPr="009F0FF9" w:rsidRDefault="004E5F1B" w:rsidP="009F0FF9">
            <w:pPr>
              <w:pStyle w:val="Tabletext"/>
              <w:jc w:val="center"/>
              <w:rPr>
                <w:sz w:val="20"/>
                <w:szCs w:val="20"/>
                <w:lang w:val="es-ES"/>
              </w:rPr>
            </w:pPr>
            <w:r w:rsidRPr="009F0FF9">
              <w:rPr>
                <w:sz w:val="20"/>
                <w:szCs w:val="20"/>
                <w:lang w:val="es-ES"/>
              </w:rPr>
              <w:t>6</w:t>
            </w:r>
          </w:p>
        </w:tc>
      </w:tr>
      <w:tr w:rsidR="004E5F1B" w:rsidRPr="00862632" w:rsidTr="009F0FF9">
        <w:trPr>
          <w:jc w:val="center"/>
        </w:trPr>
        <w:tc>
          <w:tcPr>
            <w:tcW w:w="912" w:type="dxa"/>
          </w:tcPr>
          <w:p w:rsidR="004E5F1B" w:rsidRPr="009F0FF9" w:rsidRDefault="004E5F1B" w:rsidP="009723BC">
            <w:pPr>
              <w:pStyle w:val="Tabletext"/>
              <w:jc w:val="center"/>
              <w:rPr>
                <w:sz w:val="20"/>
                <w:szCs w:val="20"/>
                <w:lang w:val="es-ES"/>
              </w:rPr>
            </w:pPr>
            <w:r w:rsidRPr="009F0FF9">
              <w:rPr>
                <w:sz w:val="20"/>
                <w:szCs w:val="20"/>
                <w:lang w:val="es-ES"/>
              </w:rPr>
              <w:t>D</w:t>
            </w:r>
          </w:p>
        </w:tc>
        <w:tc>
          <w:tcPr>
            <w:tcW w:w="3049" w:type="dxa"/>
          </w:tcPr>
          <w:p w:rsidR="004E5F1B" w:rsidRPr="009F0FF9" w:rsidRDefault="004E5F1B" w:rsidP="009723BC">
            <w:pPr>
              <w:pStyle w:val="Tabletext"/>
              <w:rPr>
                <w:sz w:val="20"/>
                <w:szCs w:val="20"/>
                <w:lang w:val="es-ES"/>
              </w:rPr>
            </w:pPr>
            <w:r w:rsidRPr="009F0FF9">
              <w:rPr>
                <w:sz w:val="20"/>
                <w:szCs w:val="20"/>
                <w:lang w:val="es-ES"/>
              </w:rPr>
              <w:t>Universidad de Maryland</w:t>
            </w:r>
          </w:p>
        </w:tc>
        <w:tc>
          <w:tcPr>
            <w:tcW w:w="3537" w:type="dxa"/>
          </w:tcPr>
          <w:p w:rsidR="004E5F1B" w:rsidRPr="009F0FF9" w:rsidRDefault="004E5F1B" w:rsidP="009723BC">
            <w:pPr>
              <w:pStyle w:val="Tabletext"/>
              <w:rPr>
                <w:sz w:val="20"/>
                <w:szCs w:val="20"/>
                <w:lang w:val="es-ES"/>
              </w:rPr>
            </w:pPr>
            <w:r w:rsidRPr="009F0FF9">
              <w:rPr>
                <w:sz w:val="20"/>
                <w:szCs w:val="20"/>
                <w:lang w:val="es-ES"/>
              </w:rPr>
              <w:t>College Park, Maryland (EE.UU.)</w:t>
            </w:r>
          </w:p>
        </w:tc>
        <w:tc>
          <w:tcPr>
            <w:tcW w:w="2110" w:type="dxa"/>
          </w:tcPr>
          <w:p w:rsidR="004E5F1B" w:rsidRPr="009F0FF9" w:rsidRDefault="004E5F1B" w:rsidP="009F0FF9">
            <w:pPr>
              <w:pStyle w:val="Tabletext"/>
              <w:jc w:val="center"/>
              <w:rPr>
                <w:sz w:val="20"/>
                <w:szCs w:val="20"/>
                <w:lang w:val="es-ES"/>
              </w:rPr>
            </w:pPr>
            <w:r w:rsidRPr="009F0FF9">
              <w:rPr>
                <w:sz w:val="20"/>
                <w:szCs w:val="20"/>
                <w:lang w:val="es-ES"/>
              </w:rPr>
              <w:t>1</w:t>
            </w:r>
          </w:p>
        </w:tc>
      </w:tr>
      <w:tr w:rsidR="004E5F1B" w:rsidRPr="00862632" w:rsidTr="009F0FF9">
        <w:trPr>
          <w:jc w:val="center"/>
        </w:trPr>
        <w:tc>
          <w:tcPr>
            <w:tcW w:w="912" w:type="dxa"/>
          </w:tcPr>
          <w:p w:rsidR="004E5F1B" w:rsidRPr="009F0FF9" w:rsidRDefault="004E5F1B" w:rsidP="009723BC">
            <w:pPr>
              <w:pStyle w:val="Tabletext"/>
              <w:jc w:val="center"/>
              <w:rPr>
                <w:sz w:val="20"/>
                <w:szCs w:val="20"/>
                <w:lang w:val="es-ES"/>
              </w:rPr>
            </w:pPr>
            <w:r w:rsidRPr="009F0FF9">
              <w:rPr>
                <w:sz w:val="20"/>
                <w:szCs w:val="20"/>
                <w:lang w:val="es-ES"/>
              </w:rPr>
              <w:t>E</w:t>
            </w:r>
          </w:p>
        </w:tc>
        <w:tc>
          <w:tcPr>
            <w:tcW w:w="3049" w:type="dxa"/>
          </w:tcPr>
          <w:p w:rsidR="004E5F1B" w:rsidRPr="009F0FF9" w:rsidRDefault="004E5F1B" w:rsidP="009723BC">
            <w:pPr>
              <w:pStyle w:val="Tabletext"/>
              <w:rPr>
                <w:sz w:val="20"/>
                <w:szCs w:val="20"/>
                <w:lang w:val="es-ES"/>
              </w:rPr>
            </w:pPr>
            <w:r w:rsidRPr="009F0FF9">
              <w:rPr>
                <w:sz w:val="20"/>
                <w:szCs w:val="20"/>
                <w:lang w:val="es-ES"/>
              </w:rPr>
              <w:t>NASA Ames Research Center</w:t>
            </w:r>
          </w:p>
        </w:tc>
        <w:tc>
          <w:tcPr>
            <w:tcW w:w="3537" w:type="dxa"/>
          </w:tcPr>
          <w:p w:rsidR="004E5F1B" w:rsidRPr="009F0FF9" w:rsidRDefault="004E5F1B" w:rsidP="009723BC">
            <w:pPr>
              <w:pStyle w:val="Tabletext"/>
              <w:rPr>
                <w:sz w:val="20"/>
                <w:szCs w:val="20"/>
                <w:lang w:val="es-ES"/>
              </w:rPr>
            </w:pPr>
            <w:r w:rsidRPr="009F0FF9">
              <w:rPr>
                <w:sz w:val="20"/>
                <w:szCs w:val="20"/>
                <w:lang w:val="es-ES"/>
              </w:rPr>
              <w:t>Distribuido con la tecnología anycast</w:t>
            </w:r>
          </w:p>
        </w:tc>
        <w:tc>
          <w:tcPr>
            <w:tcW w:w="2110" w:type="dxa"/>
          </w:tcPr>
          <w:p w:rsidR="004E5F1B" w:rsidRPr="009F0FF9" w:rsidRDefault="004E5F1B" w:rsidP="009F0FF9">
            <w:pPr>
              <w:pStyle w:val="Tabletext"/>
              <w:jc w:val="center"/>
              <w:rPr>
                <w:sz w:val="20"/>
                <w:szCs w:val="20"/>
                <w:lang w:val="es-ES"/>
              </w:rPr>
            </w:pPr>
            <w:r w:rsidRPr="009F0FF9">
              <w:rPr>
                <w:sz w:val="20"/>
                <w:szCs w:val="20"/>
                <w:lang w:val="es-ES"/>
              </w:rPr>
              <w:t>12</w:t>
            </w:r>
          </w:p>
        </w:tc>
      </w:tr>
      <w:tr w:rsidR="004E5F1B" w:rsidRPr="00862632" w:rsidTr="009F0FF9">
        <w:trPr>
          <w:jc w:val="center"/>
        </w:trPr>
        <w:tc>
          <w:tcPr>
            <w:tcW w:w="912" w:type="dxa"/>
          </w:tcPr>
          <w:p w:rsidR="004E5F1B" w:rsidRPr="009F0FF9" w:rsidRDefault="004E5F1B" w:rsidP="009723BC">
            <w:pPr>
              <w:pStyle w:val="Tabletext"/>
              <w:jc w:val="center"/>
              <w:rPr>
                <w:sz w:val="20"/>
                <w:szCs w:val="20"/>
                <w:lang w:val="es-ES"/>
              </w:rPr>
            </w:pPr>
            <w:r w:rsidRPr="009F0FF9">
              <w:rPr>
                <w:sz w:val="20"/>
                <w:szCs w:val="20"/>
                <w:lang w:val="es-ES"/>
              </w:rPr>
              <w:t>F</w:t>
            </w:r>
          </w:p>
        </w:tc>
        <w:tc>
          <w:tcPr>
            <w:tcW w:w="3049" w:type="dxa"/>
          </w:tcPr>
          <w:p w:rsidR="004E5F1B" w:rsidRPr="009F0FF9" w:rsidRDefault="004E5F1B" w:rsidP="009723BC">
            <w:pPr>
              <w:pStyle w:val="Tabletext"/>
              <w:rPr>
                <w:sz w:val="20"/>
                <w:szCs w:val="20"/>
                <w:lang w:val="es-ES"/>
              </w:rPr>
            </w:pPr>
            <w:r w:rsidRPr="009F0FF9">
              <w:rPr>
                <w:sz w:val="20"/>
                <w:szCs w:val="20"/>
                <w:lang w:val="es-ES"/>
              </w:rPr>
              <w:t>Internet Systems Consortium, Inc.</w:t>
            </w:r>
          </w:p>
        </w:tc>
        <w:tc>
          <w:tcPr>
            <w:tcW w:w="3537" w:type="dxa"/>
          </w:tcPr>
          <w:p w:rsidR="004E5F1B" w:rsidRPr="009F0FF9" w:rsidRDefault="004E5F1B" w:rsidP="009723BC">
            <w:pPr>
              <w:pStyle w:val="Tabletext"/>
              <w:rPr>
                <w:sz w:val="20"/>
                <w:szCs w:val="20"/>
                <w:lang w:val="es-ES"/>
              </w:rPr>
            </w:pPr>
            <w:r w:rsidRPr="009F0FF9">
              <w:rPr>
                <w:sz w:val="20"/>
                <w:szCs w:val="20"/>
                <w:lang w:val="es-ES"/>
              </w:rPr>
              <w:t>Distribuido con la tecnología anycast</w:t>
            </w:r>
          </w:p>
        </w:tc>
        <w:tc>
          <w:tcPr>
            <w:tcW w:w="2110" w:type="dxa"/>
          </w:tcPr>
          <w:p w:rsidR="004E5F1B" w:rsidRPr="009F0FF9" w:rsidRDefault="004E5F1B" w:rsidP="009F0FF9">
            <w:pPr>
              <w:pStyle w:val="Tabletext"/>
              <w:jc w:val="center"/>
              <w:rPr>
                <w:sz w:val="20"/>
                <w:szCs w:val="20"/>
                <w:lang w:val="es-ES"/>
              </w:rPr>
            </w:pPr>
            <w:r w:rsidRPr="009F0FF9">
              <w:rPr>
                <w:sz w:val="20"/>
                <w:szCs w:val="20"/>
                <w:lang w:val="es-ES"/>
              </w:rPr>
              <w:t>49</w:t>
            </w:r>
          </w:p>
        </w:tc>
      </w:tr>
      <w:tr w:rsidR="004E5F1B" w:rsidRPr="00862632" w:rsidTr="009F0FF9">
        <w:trPr>
          <w:jc w:val="center"/>
        </w:trPr>
        <w:tc>
          <w:tcPr>
            <w:tcW w:w="912" w:type="dxa"/>
          </w:tcPr>
          <w:p w:rsidR="004E5F1B" w:rsidRPr="009F0FF9" w:rsidRDefault="004E5F1B" w:rsidP="009723BC">
            <w:pPr>
              <w:pStyle w:val="Tabletext"/>
              <w:jc w:val="center"/>
              <w:rPr>
                <w:sz w:val="20"/>
                <w:szCs w:val="20"/>
                <w:lang w:val="es-ES"/>
              </w:rPr>
            </w:pPr>
            <w:r w:rsidRPr="009F0FF9">
              <w:rPr>
                <w:sz w:val="20"/>
                <w:szCs w:val="20"/>
                <w:lang w:val="es-ES"/>
              </w:rPr>
              <w:t>G</w:t>
            </w:r>
          </w:p>
        </w:tc>
        <w:tc>
          <w:tcPr>
            <w:tcW w:w="3049" w:type="dxa"/>
          </w:tcPr>
          <w:p w:rsidR="004E5F1B" w:rsidRPr="009F0FF9" w:rsidRDefault="004E5F1B" w:rsidP="009723BC">
            <w:pPr>
              <w:pStyle w:val="Tabletext"/>
              <w:rPr>
                <w:sz w:val="20"/>
                <w:szCs w:val="20"/>
                <w:lang w:val="es-ES"/>
              </w:rPr>
            </w:pPr>
            <w:r w:rsidRPr="009F0FF9">
              <w:rPr>
                <w:sz w:val="20"/>
                <w:szCs w:val="20"/>
                <w:lang w:val="es-ES"/>
              </w:rPr>
              <w:t>U.S.[A.] DOD Network Information Center</w:t>
            </w:r>
          </w:p>
        </w:tc>
        <w:tc>
          <w:tcPr>
            <w:tcW w:w="3537" w:type="dxa"/>
          </w:tcPr>
          <w:p w:rsidR="004E5F1B" w:rsidRPr="009F0FF9" w:rsidRDefault="004E5F1B" w:rsidP="009723BC">
            <w:pPr>
              <w:pStyle w:val="Tabletext"/>
              <w:rPr>
                <w:sz w:val="20"/>
                <w:szCs w:val="20"/>
                <w:lang w:val="es-ES"/>
              </w:rPr>
            </w:pPr>
            <w:r w:rsidRPr="009F0FF9">
              <w:rPr>
                <w:sz w:val="20"/>
                <w:szCs w:val="20"/>
                <w:lang w:val="es-ES"/>
              </w:rPr>
              <w:t>Distribuido con la tecnología anycast</w:t>
            </w:r>
          </w:p>
        </w:tc>
        <w:tc>
          <w:tcPr>
            <w:tcW w:w="2110" w:type="dxa"/>
          </w:tcPr>
          <w:p w:rsidR="004E5F1B" w:rsidRPr="009F0FF9" w:rsidRDefault="004E5F1B" w:rsidP="009F0FF9">
            <w:pPr>
              <w:pStyle w:val="Tabletext"/>
              <w:jc w:val="center"/>
              <w:rPr>
                <w:sz w:val="20"/>
                <w:szCs w:val="20"/>
                <w:lang w:val="es-ES"/>
              </w:rPr>
            </w:pPr>
            <w:r w:rsidRPr="009F0FF9">
              <w:rPr>
                <w:sz w:val="20"/>
                <w:szCs w:val="20"/>
                <w:lang w:val="es-ES"/>
              </w:rPr>
              <w:t>6</w:t>
            </w:r>
          </w:p>
        </w:tc>
      </w:tr>
      <w:tr w:rsidR="004E5F1B" w:rsidRPr="00862632" w:rsidTr="009F0FF9">
        <w:trPr>
          <w:jc w:val="center"/>
        </w:trPr>
        <w:tc>
          <w:tcPr>
            <w:tcW w:w="912" w:type="dxa"/>
          </w:tcPr>
          <w:p w:rsidR="004E5F1B" w:rsidRPr="009F0FF9" w:rsidRDefault="004E5F1B" w:rsidP="009723BC">
            <w:pPr>
              <w:pStyle w:val="Tabletext"/>
              <w:jc w:val="center"/>
              <w:rPr>
                <w:sz w:val="20"/>
                <w:szCs w:val="20"/>
                <w:lang w:val="es-ES"/>
              </w:rPr>
            </w:pPr>
            <w:r w:rsidRPr="009F0FF9">
              <w:rPr>
                <w:sz w:val="20"/>
                <w:szCs w:val="20"/>
                <w:lang w:val="es-ES"/>
              </w:rPr>
              <w:t>H</w:t>
            </w:r>
          </w:p>
        </w:tc>
        <w:tc>
          <w:tcPr>
            <w:tcW w:w="3049" w:type="dxa"/>
          </w:tcPr>
          <w:p w:rsidR="004E5F1B" w:rsidRPr="009F0FF9" w:rsidRDefault="004E5F1B" w:rsidP="009723BC">
            <w:pPr>
              <w:pStyle w:val="Tabletext"/>
              <w:rPr>
                <w:sz w:val="20"/>
                <w:szCs w:val="20"/>
                <w:lang w:val="es-ES"/>
              </w:rPr>
            </w:pPr>
            <w:r w:rsidRPr="009F0FF9">
              <w:rPr>
                <w:sz w:val="20"/>
                <w:szCs w:val="20"/>
                <w:lang w:val="es-ES"/>
              </w:rPr>
              <w:t>U.S.[A.] Army Research Lab</w:t>
            </w:r>
          </w:p>
        </w:tc>
        <w:tc>
          <w:tcPr>
            <w:tcW w:w="3537" w:type="dxa"/>
          </w:tcPr>
          <w:p w:rsidR="004E5F1B" w:rsidRPr="009F0FF9" w:rsidRDefault="004E5F1B" w:rsidP="009723BC">
            <w:pPr>
              <w:pStyle w:val="Tabletext"/>
              <w:rPr>
                <w:sz w:val="20"/>
                <w:szCs w:val="20"/>
                <w:lang w:val="es-ES"/>
              </w:rPr>
            </w:pPr>
            <w:r w:rsidRPr="009F0FF9">
              <w:rPr>
                <w:sz w:val="20"/>
                <w:szCs w:val="20"/>
                <w:lang w:val="es-ES"/>
              </w:rPr>
              <w:t>Distribuido con la tecnología anycast en EE.UU.</w:t>
            </w:r>
          </w:p>
        </w:tc>
        <w:tc>
          <w:tcPr>
            <w:tcW w:w="2110" w:type="dxa"/>
          </w:tcPr>
          <w:p w:rsidR="004E5F1B" w:rsidRPr="009F0FF9" w:rsidRDefault="004E5F1B" w:rsidP="009F0FF9">
            <w:pPr>
              <w:pStyle w:val="Tabletext"/>
              <w:jc w:val="center"/>
              <w:rPr>
                <w:sz w:val="20"/>
                <w:szCs w:val="20"/>
                <w:lang w:val="es-ES"/>
              </w:rPr>
            </w:pPr>
            <w:r w:rsidRPr="009F0FF9">
              <w:rPr>
                <w:sz w:val="20"/>
                <w:szCs w:val="20"/>
                <w:lang w:val="es-ES"/>
              </w:rPr>
              <w:t>2</w:t>
            </w:r>
          </w:p>
        </w:tc>
      </w:tr>
      <w:tr w:rsidR="004E5F1B" w:rsidRPr="00862632" w:rsidTr="009F0FF9">
        <w:trPr>
          <w:jc w:val="center"/>
        </w:trPr>
        <w:tc>
          <w:tcPr>
            <w:tcW w:w="912" w:type="dxa"/>
          </w:tcPr>
          <w:p w:rsidR="004E5F1B" w:rsidRPr="009F0FF9" w:rsidRDefault="004E5F1B" w:rsidP="009723BC">
            <w:pPr>
              <w:pStyle w:val="Tabletext"/>
              <w:jc w:val="center"/>
              <w:rPr>
                <w:sz w:val="20"/>
                <w:szCs w:val="20"/>
                <w:lang w:val="es-ES"/>
              </w:rPr>
            </w:pPr>
            <w:r w:rsidRPr="009F0FF9">
              <w:rPr>
                <w:sz w:val="20"/>
                <w:szCs w:val="20"/>
                <w:lang w:val="es-ES"/>
              </w:rPr>
              <w:t>I</w:t>
            </w:r>
          </w:p>
        </w:tc>
        <w:tc>
          <w:tcPr>
            <w:tcW w:w="3049" w:type="dxa"/>
          </w:tcPr>
          <w:p w:rsidR="004E5F1B" w:rsidRPr="009F0FF9" w:rsidRDefault="004E5F1B" w:rsidP="009723BC">
            <w:pPr>
              <w:pStyle w:val="Tabletext"/>
              <w:rPr>
                <w:sz w:val="20"/>
                <w:szCs w:val="20"/>
                <w:lang w:val="es-ES"/>
              </w:rPr>
            </w:pPr>
            <w:r w:rsidRPr="009F0FF9">
              <w:rPr>
                <w:sz w:val="20"/>
                <w:szCs w:val="20"/>
                <w:lang w:val="es-ES"/>
              </w:rPr>
              <w:t>Netnod (antiguamente Autonomica)</w:t>
            </w:r>
          </w:p>
        </w:tc>
        <w:tc>
          <w:tcPr>
            <w:tcW w:w="3537" w:type="dxa"/>
          </w:tcPr>
          <w:p w:rsidR="004E5F1B" w:rsidRPr="009F0FF9" w:rsidRDefault="004E5F1B" w:rsidP="009723BC">
            <w:pPr>
              <w:pStyle w:val="Tabletext"/>
              <w:rPr>
                <w:sz w:val="20"/>
                <w:szCs w:val="20"/>
                <w:lang w:val="es-ES"/>
              </w:rPr>
            </w:pPr>
            <w:r w:rsidRPr="009F0FF9">
              <w:rPr>
                <w:sz w:val="20"/>
                <w:szCs w:val="20"/>
                <w:lang w:val="es-ES"/>
              </w:rPr>
              <w:t>Distribuido con la tecnología anycast</w:t>
            </w:r>
          </w:p>
        </w:tc>
        <w:tc>
          <w:tcPr>
            <w:tcW w:w="2110" w:type="dxa"/>
          </w:tcPr>
          <w:p w:rsidR="004E5F1B" w:rsidRPr="009F0FF9" w:rsidRDefault="004E5F1B" w:rsidP="009F0FF9">
            <w:pPr>
              <w:pStyle w:val="Tabletext"/>
              <w:jc w:val="center"/>
              <w:rPr>
                <w:sz w:val="20"/>
                <w:szCs w:val="20"/>
                <w:lang w:val="es-ES"/>
              </w:rPr>
            </w:pPr>
            <w:r w:rsidRPr="009F0FF9">
              <w:rPr>
                <w:sz w:val="20"/>
                <w:szCs w:val="20"/>
                <w:lang w:val="es-ES"/>
              </w:rPr>
              <w:t>43</w:t>
            </w:r>
          </w:p>
        </w:tc>
      </w:tr>
      <w:tr w:rsidR="004E5F1B" w:rsidRPr="00862632" w:rsidTr="009F0FF9">
        <w:trPr>
          <w:jc w:val="center"/>
        </w:trPr>
        <w:tc>
          <w:tcPr>
            <w:tcW w:w="912" w:type="dxa"/>
          </w:tcPr>
          <w:p w:rsidR="004E5F1B" w:rsidRPr="009F0FF9" w:rsidRDefault="004E5F1B" w:rsidP="009723BC">
            <w:pPr>
              <w:pStyle w:val="Tabletext"/>
              <w:jc w:val="center"/>
              <w:rPr>
                <w:sz w:val="20"/>
                <w:szCs w:val="20"/>
                <w:lang w:val="es-ES"/>
              </w:rPr>
            </w:pPr>
            <w:r w:rsidRPr="009F0FF9">
              <w:rPr>
                <w:sz w:val="20"/>
                <w:szCs w:val="20"/>
                <w:lang w:val="es-ES"/>
              </w:rPr>
              <w:t>J</w:t>
            </w:r>
          </w:p>
        </w:tc>
        <w:tc>
          <w:tcPr>
            <w:tcW w:w="3049" w:type="dxa"/>
          </w:tcPr>
          <w:p w:rsidR="004E5F1B" w:rsidRPr="009F0FF9" w:rsidRDefault="004E5F1B" w:rsidP="009723BC">
            <w:pPr>
              <w:pStyle w:val="Tabletext"/>
              <w:rPr>
                <w:sz w:val="20"/>
                <w:szCs w:val="20"/>
                <w:lang w:val="es-ES"/>
              </w:rPr>
            </w:pPr>
            <w:r w:rsidRPr="009F0FF9">
              <w:rPr>
                <w:sz w:val="20"/>
                <w:szCs w:val="20"/>
                <w:lang w:val="es-ES"/>
              </w:rPr>
              <w:t>VeriSign, Inc.</w:t>
            </w:r>
          </w:p>
        </w:tc>
        <w:tc>
          <w:tcPr>
            <w:tcW w:w="3537" w:type="dxa"/>
          </w:tcPr>
          <w:p w:rsidR="004E5F1B" w:rsidRPr="009F0FF9" w:rsidRDefault="004E5F1B" w:rsidP="009723BC">
            <w:pPr>
              <w:pStyle w:val="Tabletext"/>
              <w:rPr>
                <w:sz w:val="20"/>
                <w:szCs w:val="20"/>
                <w:lang w:val="es-ES"/>
              </w:rPr>
            </w:pPr>
            <w:r w:rsidRPr="009F0FF9">
              <w:rPr>
                <w:sz w:val="20"/>
                <w:szCs w:val="20"/>
                <w:lang w:val="es-ES"/>
              </w:rPr>
              <w:t>Distribuido con la tecnología anycast</w:t>
            </w:r>
          </w:p>
        </w:tc>
        <w:tc>
          <w:tcPr>
            <w:tcW w:w="2110" w:type="dxa"/>
          </w:tcPr>
          <w:p w:rsidR="004E5F1B" w:rsidRPr="009F0FF9" w:rsidRDefault="004E5F1B" w:rsidP="009F0FF9">
            <w:pPr>
              <w:pStyle w:val="Tabletext"/>
              <w:jc w:val="center"/>
              <w:rPr>
                <w:sz w:val="20"/>
                <w:szCs w:val="20"/>
                <w:lang w:val="es-ES"/>
              </w:rPr>
            </w:pPr>
            <w:r w:rsidRPr="009F0FF9">
              <w:rPr>
                <w:sz w:val="20"/>
                <w:szCs w:val="20"/>
                <w:lang w:val="es-ES"/>
              </w:rPr>
              <w:t>70</w:t>
            </w:r>
          </w:p>
        </w:tc>
      </w:tr>
      <w:tr w:rsidR="004E5F1B" w:rsidRPr="00862632" w:rsidTr="009F0FF9">
        <w:trPr>
          <w:jc w:val="center"/>
        </w:trPr>
        <w:tc>
          <w:tcPr>
            <w:tcW w:w="912" w:type="dxa"/>
          </w:tcPr>
          <w:p w:rsidR="004E5F1B" w:rsidRPr="009F0FF9" w:rsidRDefault="004E5F1B" w:rsidP="009723BC">
            <w:pPr>
              <w:pStyle w:val="Tabletext"/>
              <w:jc w:val="center"/>
              <w:rPr>
                <w:sz w:val="20"/>
                <w:szCs w:val="20"/>
                <w:lang w:val="es-ES"/>
              </w:rPr>
            </w:pPr>
            <w:r w:rsidRPr="009F0FF9">
              <w:rPr>
                <w:sz w:val="20"/>
                <w:szCs w:val="20"/>
                <w:lang w:val="es-ES"/>
              </w:rPr>
              <w:t>K</w:t>
            </w:r>
          </w:p>
        </w:tc>
        <w:tc>
          <w:tcPr>
            <w:tcW w:w="3049" w:type="dxa"/>
          </w:tcPr>
          <w:p w:rsidR="004E5F1B" w:rsidRPr="009F0FF9" w:rsidRDefault="004E5F1B" w:rsidP="009723BC">
            <w:pPr>
              <w:pStyle w:val="Tabletext"/>
              <w:rPr>
                <w:sz w:val="20"/>
                <w:szCs w:val="20"/>
                <w:lang w:val="es-ES"/>
              </w:rPr>
            </w:pPr>
            <w:r w:rsidRPr="009F0FF9">
              <w:rPr>
                <w:sz w:val="20"/>
                <w:szCs w:val="20"/>
                <w:lang w:val="es-ES"/>
              </w:rPr>
              <w:t>RIPE NCC</w:t>
            </w:r>
          </w:p>
        </w:tc>
        <w:tc>
          <w:tcPr>
            <w:tcW w:w="3537" w:type="dxa"/>
          </w:tcPr>
          <w:p w:rsidR="004E5F1B" w:rsidRPr="009F0FF9" w:rsidRDefault="004E5F1B" w:rsidP="009723BC">
            <w:pPr>
              <w:pStyle w:val="Tabletext"/>
              <w:rPr>
                <w:sz w:val="20"/>
                <w:szCs w:val="20"/>
                <w:lang w:val="es-ES"/>
              </w:rPr>
            </w:pPr>
            <w:r w:rsidRPr="009F0FF9">
              <w:rPr>
                <w:sz w:val="20"/>
                <w:szCs w:val="20"/>
                <w:lang w:val="es-ES"/>
              </w:rPr>
              <w:t>Distribuido con la tecnología anycast</w:t>
            </w:r>
          </w:p>
        </w:tc>
        <w:tc>
          <w:tcPr>
            <w:tcW w:w="2110" w:type="dxa"/>
          </w:tcPr>
          <w:p w:rsidR="004E5F1B" w:rsidRPr="009F0FF9" w:rsidRDefault="004E5F1B" w:rsidP="009F0FF9">
            <w:pPr>
              <w:pStyle w:val="Tabletext"/>
              <w:jc w:val="center"/>
              <w:rPr>
                <w:sz w:val="20"/>
                <w:szCs w:val="20"/>
                <w:lang w:val="es-ES"/>
              </w:rPr>
            </w:pPr>
            <w:r w:rsidRPr="009F0FF9">
              <w:rPr>
                <w:sz w:val="20"/>
                <w:szCs w:val="20"/>
                <w:lang w:val="es-ES"/>
              </w:rPr>
              <w:t>18</w:t>
            </w:r>
          </w:p>
        </w:tc>
      </w:tr>
      <w:tr w:rsidR="004E5F1B" w:rsidRPr="00862632" w:rsidTr="009F0FF9">
        <w:trPr>
          <w:trHeight w:val="62"/>
          <w:jc w:val="center"/>
        </w:trPr>
        <w:tc>
          <w:tcPr>
            <w:tcW w:w="912" w:type="dxa"/>
          </w:tcPr>
          <w:p w:rsidR="004E5F1B" w:rsidRPr="009F0FF9" w:rsidRDefault="004E5F1B" w:rsidP="009723BC">
            <w:pPr>
              <w:pStyle w:val="Tabletext"/>
              <w:jc w:val="center"/>
              <w:rPr>
                <w:sz w:val="20"/>
                <w:szCs w:val="20"/>
                <w:lang w:val="es-ES"/>
              </w:rPr>
            </w:pPr>
            <w:r w:rsidRPr="009F0FF9">
              <w:rPr>
                <w:sz w:val="20"/>
                <w:szCs w:val="20"/>
                <w:lang w:val="es-ES"/>
              </w:rPr>
              <w:t>L</w:t>
            </w:r>
          </w:p>
        </w:tc>
        <w:tc>
          <w:tcPr>
            <w:tcW w:w="3049" w:type="dxa"/>
          </w:tcPr>
          <w:p w:rsidR="004E5F1B" w:rsidRPr="009F0FF9" w:rsidRDefault="004E5F1B" w:rsidP="009723BC">
            <w:pPr>
              <w:pStyle w:val="Tabletext"/>
              <w:rPr>
                <w:sz w:val="20"/>
                <w:szCs w:val="20"/>
                <w:lang w:val="es-ES"/>
              </w:rPr>
            </w:pPr>
            <w:r w:rsidRPr="009F0FF9">
              <w:rPr>
                <w:sz w:val="20"/>
                <w:szCs w:val="20"/>
                <w:lang w:val="es-ES"/>
              </w:rPr>
              <w:t>ICANN</w:t>
            </w:r>
          </w:p>
        </w:tc>
        <w:tc>
          <w:tcPr>
            <w:tcW w:w="3537" w:type="dxa"/>
          </w:tcPr>
          <w:p w:rsidR="004E5F1B" w:rsidRPr="009F0FF9" w:rsidRDefault="004E5F1B" w:rsidP="009723BC">
            <w:pPr>
              <w:pStyle w:val="Tabletext"/>
              <w:rPr>
                <w:sz w:val="20"/>
                <w:szCs w:val="20"/>
                <w:lang w:val="es-ES"/>
              </w:rPr>
            </w:pPr>
            <w:r w:rsidRPr="009F0FF9">
              <w:rPr>
                <w:sz w:val="20"/>
                <w:szCs w:val="20"/>
                <w:lang w:val="es-ES"/>
              </w:rPr>
              <w:t>Distribuido con la tecnología anycast</w:t>
            </w:r>
          </w:p>
        </w:tc>
        <w:tc>
          <w:tcPr>
            <w:tcW w:w="2110" w:type="dxa"/>
          </w:tcPr>
          <w:p w:rsidR="004E5F1B" w:rsidRPr="009F0FF9" w:rsidRDefault="004E5F1B" w:rsidP="009F0FF9">
            <w:pPr>
              <w:pStyle w:val="Tabletext"/>
              <w:jc w:val="center"/>
              <w:rPr>
                <w:sz w:val="20"/>
                <w:szCs w:val="20"/>
                <w:lang w:val="es-ES"/>
              </w:rPr>
            </w:pPr>
            <w:r w:rsidRPr="009F0FF9">
              <w:rPr>
                <w:sz w:val="20"/>
                <w:szCs w:val="20"/>
                <w:lang w:val="es-ES"/>
              </w:rPr>
              <w:t>121</w:t>
            </w:r>
          </w:p>
        </w:tc>
      </w:tr>
      <w:tr w:rsidR="004E5F1B" w:rsidRPr="00862632" w:rsidTr="009F0FF9">
        <w:trPr>
          <w:trHeight w:val="62"/>
          <w:jc w:val="center"/>
        </w:trPr>
        <w:tc>
          <w:tcPr>
            <w:tcW w:w="912" w:type="dxa"/>
          </w:tcPr>
          <w:p w:rsidR="004E5F1B" w:rsidRPr="009F0FF9" w:rsidRDefault="004E5F1B" w:rsidP="009723BC">
            <w:pPr>
              <w:pStyle w:val="Tabletext"/>
              <w:jc w:val="center"/>
              <w:rPr>
                <w:sz w:val="20"/>
                <w:szCs w:val="20"/>
                <w:lang w:val="es-ES"/>
              </w:rPr>
            </w:pPr>
            <w:r w:rsidRPr="009F0FF9">
              <w:rPr>
                <w:sz w:val="20"/>
                <w:szCs w:val="20"/>
                <w:lang w:val="es-ES"/>
              </w:rPr>
              <w:t>M</w:t>
            </w:r>
          </w:p>
        </w:tc>
        <w:tc>
          <w:tcPr>
            <w:tcW w:w="3049" w:type="dxa"/>
          </w:tcPr>
          <w:p w:rsidR="004E5F1B" w:rsidRPr="009F0FF9" w:rsidRDefault="004E5F1B" w:rsidP="009723BC">
            <w:pPr>
              <w:pStyle w:val="Tabletext"/>
              <w:rPr>
                <w:sz w:val="20"/>
                <w:szCs w:val="20"/>
                <w:lang w:val="es-ES"/>
              </w:rPr>
            </w:pPr>
            <w:r w:rsidRPr="009F0FF9">
              <w:rPr>
                <w:sz w:val="20"/>
                <w:szCs w:val="20"/>
                <w:lang w:val="es-ES"/>
              </w:rPr>
              <w:t>WIDE Project</w:t>
            </w:r>
          </w:p>
        </w:tc>
        <w:tc>
          <w:tcPr>
            <w:tcW w:w="3537" w:type="dxa"/>
          </w:tcPr>
          <w:p w:rsidR="004E5F1B" w:rsidRPr="009F0FF9" w:rsidRDefault="004E5F1B" w:rsidP="009723BC">
            <w:pPr>
              <w:pStyle w:val="Tabletext"/>
              <w:rPr>
                <w:sz w:val="20"/>
                <w:szCs w:val="20"/>
                <w:lang w:val="es-ES"/>
              </w:rPr>
            </w:pPr>
            <w:r w:rsidRPr="009F0FF9">
              <w:rPr>
                <w:sz w:val="20"/>
                <w:szCs w:val="20"/>
                <w:lang w:val="es-ES"/>
              </w:rPr>
              <w:t>Distribuido con la tecnología anycast</w:t>
            </w:r>
          </w:p>
        </w:tc>
        <w:tc>
          <w:tcPr>
            <w:tcW w:w="2110" w:type="dxa"/>
          </w:tcPr>
          <w:p w:rsidR="004E5F1B" w:rsidRPr="009F0FF9" w:rsidRDefault="004E5F1B" w:rsidP="009F0FF9">
            <w:pPr>
              <w:pStyle w:val="Tabletext"/>
              <w:jc w:val="center"/>
              <w:rPr>
                <w:sz w:val="20"/>
                <w:szCs w:val="20"/>
                <w:lang w:val="es-ES"/>
              </w:rPr>
            </w:pPr>
            <w:r w:rsidRPr="009F0FF9">
              <w:rPr>
                <w:sz w:val="20"/>
                <w:szCs w:val="20"/>
                <w:lang w:val="es-ES"/>
              </w:rPr>
              <w:t>6</w:t>
            </w:r>
          </w:p>
        </w:tc>
      </w:tr>
    </w:tbl>
    <w:p w:rsidR="009554F1" w:rsidRPr="00862632" w:rsidRDefault="009554F1" w:rsidP="00062C65">
      <w:pPr>
        <w:spacing w:before="0"/>
        <w:rPr>
          <w:rFonts w:asciiTheme="minorHAnsi" w:hAnsiTheme="minorHAnsi" w:cstheme="minorHAnsi"/>
          <w:lang w:val="es-ES"/>
        </w:rPr>
      </w:pPr>
    </w:p>
    <w:p w:rsidR="009554F1" w:rsidRPr="00862632" w:rsidRDefault="00485F57" w:rsidP="0016466E">
      <w:pPr>
        <w:pStyle w:val="enumlev1"/>
        <w:rPr>
          <w:lang w:val="es-ES"/>
        </w:rPr>
      </w:pPr>
      <w:r w:rsidRPr="00862632">
        <w:rPr>
          <w:lang w:val="es-ES"/>
        </w:rPr>
        <w:t>b)</w:t>
      </w:r>
      <w:r w:rsidRPr="00862632">
        <w:rPr>
          <w:lang w:val="es-ES"/>
        </w:rPr>
        <w:tab/>
      </w:r>
      <w:r w:rsidR="009554F1" w:rsidRPr="00862632">
        <w:rPr>
          <w:lang w:val="es-ES"/>
        </w:rPr>
        <w:t>Los 12 operadores gestionan el sistema utilizado para publicar la zona raíz administrada por el IANA y para la cual la firma criptográfica es distribuida por VeriSign, que se encarga de poner al día la zona a raíz.</w:t>
      </w:r>
    </w:p>
    <w:p w:rsidR="009554F1" w:rsidRPr="00862632" w:rsidRDefault="00485F57" w:rsidP="00062C65">
      <w:pPr>
        <w:pStyle w:val="enumlev1"/>
        <w:rPr>
          <w:lang w:val="es-ES"/>
        </w:rPr>
      </w:pPr>
      <w:r w:rsidRPr="00862632">
        <w:rPr>
          <w:lang w:val="es-ES"/>
        </w:rPr>
        <w:t>c)</w:t>
      </w:r>
      <w:r w:rsidRPr="00862632">
        <w:rPr>
          <w:lang w:val="es-ES"/>
        </w:rPr>
        <w:tab/>
      </w:r>
      <w:r w:rsidR="009554F1" w:rsidRPr="00862632">
        <w:rPr>
          <w:lang w:val="es-ES"/>
        </w:rPr>
        <w:t>Desde un punto de vista geográfico, sólo tres operadores de servidores de dominio de nivel superior tienen sedes administrativas fuera de EE.UU. (Países Bajos, Suecia y Japón). No obstante, la mayoría de los operadores de servidores de dominio de nivel superior han desplegado en todo el mundo copias espejo de servidores de dominio de nivel superior existentes</w:t>
      </w:r>
      <w:r w:rsidR="004E5F1B" w:rsidRPr="00862632">
        <w:rPr>
          <w:lang w:val="es-ES"/>
        </w:rPr>
        <w:t>, por lo que ahora hay 341 instancias de servidores raíz y espejos</w:t>
      </w:r>
      <w:r w:rsidR="009554F1" w:rsidRPr="00862632">
        <w:rPr>
          <w:lang w:val="es-ES"/>
        </w:rPr>
        <w:t>. Por ejemplo, mientras que su sede está en California (EE.UU.), la ICANN proporciona el servicio correspondiente al servidor L</w:t>
      </w:r>
      <w:r w:rsidR="00062C65">
        <w:rPr>
          <w:lang w:val="es-ES"/>
        </w:rPr>
        <w:t> </w:t>
      </w:r>
      <w:r w:rsidR="009554F1" w:rsidRPr="00862632">
        <w:rPr>
          <w:lang w:val="es-ES"/>
        </w:rPr>
        <w:t>ROOT</w:t>
      </w:r>
      <w:r w:rsidR="00062C65">
        <w:rPr>
          <w:lang w:val="es-ES"/>
        </w:rPr>
        <w:noBreakHyphen/>
      </w:r>
      <w:r w:rsidR="009554F1" w:rsidRPr="00862632">
        <w:rPr>
          <w:lang w:val="es-ES"/>
        </w:rPr>
        <w:t>SERVERS.NET a través de copias (instancias) espejo situadas en 112 ubicaciones en 49</w:t>
      </w:r>
      <w:r w:rsidR="00062C65">
        <w:rPr>
          <w:lang w:val="es-ES"/>
        </w:rPr>
        <w:t> </w:t>
      </w:r>
      <w:r w:rsidR="009554F1" w:rsidRPr="00862632">
        <w:rPr>
          <w:lang w:val="es-ES"/>
        </w:rPr>
        <w:t>países.</w:t>
      </w:r>
    </w:p>
    <w:p w:rsidR="00554A3D" w:rsidRPr="00862632" w:rsidRDefault="00485F57" w:rsidP="009F0FF9">
      <w:pPr>
        <w:pStyle w:val="enumlev1"/>
        <w:rPr>
          <w:lang w:val="es-ES"/>
        </w:rPr>
      </w:pPr>
      <w:r w:rsidRPr="00862632">
        <w:rPr>
          <w:lang w:val="es-ES"/>
        </w:rPr>
        <w:t>d)</w:t>
      </w:r>
      <w:r w:rsidRPr="00862632">
        <w:rPr>
          <w:lang w:val="es-ES"/>
        </w:rPr>
        <w:tab/>
      </w:r>
      <w:r w:rsidR="009331AD" w:rsidRPr="00862632">
        <w:rPr>
          <w:lang w:val="es-ES"/>
        </w:rPr>
        <w:t>Hay quien opina qu</w:t>
      </w:r>
      <w:r w:rsidR="00E36D69" w:rsidRPr="00862632">
        <w:rPr>
          <w:lang w:val="es-ES"/>
        </w:rPr>
        <w:t>e</w:t>
      </w:r>
      <w:r w:rsidR="009554F1" w:rsidRPr="00862632">
        <w:rPr>
          <w:lang w:val="es-ES"/>
        </w:rPr>
        <w:t xml:space="preserve"> la distribución geográfica de los servidores de dominio de nivel superior (y espejos) DNS</w:t>
      </w:r>
      <w:r w:rsidR="009554F1" w:rsidRPr="00862632">
        <w:rPr>
          <w:rStyle w:val="FootnoteReference"/>
          <w:lang w:val="es-ES"/>
        </w:rPr>
        <w:footnoteReference w:id="200"/>
      </w:r>
      <w:r w:rsidR="009331AD" w:rsidRPr="00862632">
        <w:rPr>
          <w:lang w:val="es-ES"/>
        </w:rPr>
        <w:t xml:space="preserve"> está desequilibrada</w:t>
      </w:r>
      <w:r w:rsidR="009554F1" w:rsidRPr="00862632">
        <w:rPr>
          <w:lang w:val="es-ES"/>
        </w:rPr>
        <w:t xml:space="preserve">. En la Figura 3 se destacan las diferencias entre </w:t>
      </w:r>
      <w:r w:rsidR="009331AD" w:rsidRPr="00862632">
        <w:rPr>
          <w:lang w:val="es-ES"/>
        </w:rPr>
        <w:t>la</w:t>
      </w:r>
      <w:r w:rsidR="009554F1" w:rsidRPr="00862632">
        <w:rPr>
          <w:lang w:val="es-ES"/>
        </w:rPr>
        <w:t xml:space="preserve"> distribución geográfica</w:t>
      </w:r>
      <w:r w:rsidR="009331AD" w:rsidRPr="00862632">
        <w:rPr>
          <w:lang w:val="es-ES"/>
        </w:rPr>
        <w:t xml:space="preserve"> de los servidores raíz</w:t>
      </w:r>
      <w:r w:rsidR="009554F1" w:rsidRPr="00862632">
        <w:rPr>
          <w:lang w:val="es-ES"/>
        </w:rPr>
        <w:t xml:space="preserve"> y la distribución mundial de usuarios de Internet</w:t>
      </w:r>
      <w:r w:rsidR="009331AD" w:rsidRPr="00862632">
        <w:rPr>
          <w:lang w:val="es-ES"/>
        </w:rPr>
        <w:t>, mientras que en la Figura 4 se muestra su ubicación</w:t>
      </w:r>
      <w:r w:rsidR="009554F1" w:rsidRPr="00862632">
        <w:rPr>
          <w:lang w:val="es-ES"/>
        </w:rPr>
        <w:t xml:space="preserve">. En la Resolución 133 (Rev. Guadalajara, 2010), los </w:t>
      </w:r>
      <w:r w:rsidR="00322852" w:rsidRPr="00862632">
        <w:rPr>
          <w:lang w:val="es-ES"/>
        </w:rPr>
        <w:t>M</w:t>
      </w:r>
      <w:r w:rsidR="009554F1" w:rsidRPr="00862632">
        <w:rPr>
          <w:lang w:val="es-ES"/>
        </w:rPr>
        <w:t>iembros de la UIT han destacado la necesidad de promover servidores de dominio de nivel superior regionales.</w:t>
      </w:r>
      <w:r w:rsidR="009F0FF9">
        <w:rPr>
          <w:lang w:val="es-ES"/>
        </w:rPr>
        <w:t xml:space="preserve"> </w:t>
      </w:r>
      <w:r w:rsidR="00E36D69" w:rsidRPr="00862632">
        <w:rPr>
          <w:lang w:val="es-ES"/>
        </w:rPr>
        <w:t>Sin</w:t>
      </w:r>
      <w:r w:rsidR="00554A3D" w:rsidRPr="00862632">
        <w:rPr>
          <w:lang w:val="es-ES"/>
        </w:rPr>
        <w:t xml:space="preserve"> embargo, otros piensan que la relación </w:t>
      </w:r>
      <w:r w:rsidR="00BC5045">
        <w:rPr>
          <w:lang w:val="es-ES"/>
        </w:rPr>
        <w:t>"</w:t>
      </w:r>
      <w:r w:rsidR="00554A3D" w:rsidRPr="00862632">
        <w:rPr>
          <w:lang w:val="es-ES"/>
        </w:rPr>
        <w:t>número de usuarios por servidor raíz</w:t>
      </w:r>
      <w:r w:rsidR="00BC5045">
        <w:rPr>
          <w:lang w:val="es-ES"/>
        </w:rPr>
        <w:t>"</w:t>
      </w:r>
      <w:r w:rsidR="00554A3D" w:rsidRPr="00862632">
        <w:rPr>
          <w:lang w:val="es-ES"/>
        </w:rPr>
        <w:t xml:space="preserve"> no es necesariamente significativa. Habida cuenta de la naturaleza de la interconexión de redes y de los conceptos de relación entre pares, encaminamiento y selección de servidor DN</w:t>
      </w:r>
      <w:r w:rsidR="00E36D69" w:rsidRPr="00862632">
        <w:rPr>
          <w:lang w:val="es-ES"/>
        </w:rPr>
        <w:t>S</w:t>
      </w:r>
      <w:r w:rsidR="00554A3D" w:rsidRPr="00862632">
        <w:rPr>
          <w:lang w:val="es-ES"/>
        </w:rPr>
        <w:t xml:space="preserve">, simplemente no es posible garantizar que, por ejemplo, los usuarios de Internet de Australia necesariamente utilizarán los servidores raíz ubicados físicamente en Australia [origen: </w:t>
      </w:r>
      <w:hyperlink r:id="rId106" w:history="1">
        <w:r w:rsidR="00CD7920" w:rsidRPr="00CD7920">
          <w:rPr>
            <w:rStyle w:val="Hyperlink"/>
            <w:lang w:val="es-ES"/>
          </w:rPr>
          <w:t>Nominet</w:t>
        </w:r>
      </w:hyperlink>
      <w:r w:rsidR="00554A3D" w:rsidRPr="00862632">
        <w:rPr>
          <w:rStyle w:val="FootnoteReference"/>
          <w:lang w:val="es-ES"/>
        </w:rPr>
        <w:footnoteReference w:id="201"/>
      </w:r>
      <w:r w:rsidR="00554A3D" w:rsidRPr="00862632">
        <w:rPr>
          <w:lang w:val="es-ES"/>
        </w:rPr>
        <w:t>]. Los servidores raíz son el nivel superior de la cadena de delegación, que se guarda en memoria unos dos días, de media. Un usuario utilizará su servidor de memoria PSI, que debería encontrarse cer</w:t>
      </w:r>
      <w:r w:rsidR="009F0FF9">
        <w:rPr>
          <w:lang w:val="es-ES"/>
        </w:rPr>
        <w:t>c</w:t>
      </w:r>
      <w:r w:rsidR="00554A3D" w:rsidRPr="00862632">
        <w:rPr>
          <w:lang w:val="es-ES"/>
        </w:rPr>
        <w:t>a (en términos de topología), mientras que la memorización preventiva también contribuye a reducir la probabilidad de latencias largas. El conjunto de servidores raíz aumenta constantemente [origen:</w:t>
      </w:r>
      <w:r w:rsidR="009F0FF9">
        <w:rPr>
          <w:lang w:val="es-ES"/>
        </w:rPr>
        <w:t> </w:t>
      </w:r>
      <w:hyperlink r:id="rId107" w:history="1">
        <w:r w:rsidR="00CD7920" w:rsidRPr="00CD7920">
          <w:rPr>
            <w:rStyle w:val="Hyperlink"/>
            <w:lang w:val="es-ES"/>
          </w:rPr>
          <w:t>Nominet</w:t>
        </w:r>
      </w:hyperlink>
      <w:r w:rsidR="00554A3D" w:rsidRPr="00862632">
        <w:rPr>
          <w:rStyle w:val="FootnoteReference"/>
          <w:lang w:val="es-ES"/>
        </w:rPr>
        <w:footnoteReference w:id="202"/>
      </w:r>
      <w:r w:rsidR="00554A3D" w:rsidRPr="00862632">
        <w:rPr>
          <w:lang w:val="es-ES"/>
        </w:rPr>
        <w:t>].</w:t>
      </w:r>
    </w:p>
    <w:p w:rsidR="00344D10" w:rsidRPr="00862632" w:rsidRDefault="00554A3D" w:rsidP="0023443F">
      <w:pPr>
        <w:pStyle w:val="enumlev1"/>
        <w:rPr>
          <w:lang w:val="es-ES"/>
        </w:rPr>
      </w:pPr>
      <w:r w:rsidRPr="00862632">
        <w:rPr>
          <w:lang w:val="es-ES"/>
        </w:rPr>
        <w:t>e)</w:t>
      </w:r>
      <w:r w:rsidRPr="00862632">
        <w:rPr>
          <w:lang w:val="es-ES"/>
        </w:rPr>
        <w:tab/>
        <w:t xml:space="preserve">Los que así opinan dicen </w:t>
      </w:r>
      <w:r w:rsidR="009554F1" w:rsidRPr="00862632">
        <w:rPr>
          <w:lang w:val="es-ES"/>
        </w:rPr>
        <w:t>que el sistema existente ha demostrado su capacidad para facilitar una mayor distribución de servidores de dominio de nivel superior, y que no es necesario modificar la estructura administrativa del sistema de servidores de dominio de nivel superior modificando la responsabilidad de los servidores de ese tipo existentes o añadiendo otros nuevos para alcanzar ese objetivo [</w:t>
      </w:r>
      <w:r w:rsidR="007C1231">
        <w:rPr>
          <w:lang w:val="es-ES"/>
        </w:rPr>
        <w:t>origen</w:t>
      </w:r>
      <w:r w:rsidR="009554F1" w:rsidRPr="00862632">
        <w:rPr>
          <w:lang w:val="es-ES"/>
        </w:rPr>
        <w:t xml:space="preserve">: </w:t>
      </w:r>
      <w:hyperlink r:id="rId108" w:history="1">
        <w:r w:rsidR="0023443F" w:rsidRPr="009000A3">
          <w:rPr>
            <w:rStyle w:val="Hyperlink"/>
            <w:lang w:val="es-ES"/>
          </w:rPr>
          <w:t>Reino Unido</w:t>
        </w:r>
      </w:hyperlink>
      <w:r w:rsidR="009554F1" w:rsidRPr="00862632">
        <w:rPr>
          <w:rStyle w:val="FootnoteReference"/>
          <w:lang w:val="es-ES"/>
        </w:rPr>
        <w:footnoteReference w:id="203"/>
      </w:r>
      <w:r w:rsidR="009554F1" w:rsidRPr="00862632">
        <w:rPr>
          <w:lang w:val="es-ES"/>
        </w:rPr>
        <w:t>].</w:t>
      </w:r>
    </w:p>
    <w:p w:rsidR="009554F1" w:rsidRPr="00862632" w:rsidRDefault="009554F1" w:rsidP="00062C65">
      <w:pPr>
        <w:pStyle w:val="FigureNotitle"/>
        <w:spacing w:before="200" w:after="0"/>
        <w:rPr>
          <w:lang w:val="es-ES"/>
        </w:rPr>
      </w:pPr>
      <w:r w:rsidRPr="00862632">
        <w:rPr>
          <w:lang w:val="es-ES"/>
        </w:rPr>
        <w:t>Figura 3</w:t>
      </w:r>
      <w:r w:rsidR="00485F57" w:rsidRPr="00862632">
        <w:rPr>
          <w:lang w:val="es-ES"/>
        </w:rPr>
        <w:t xml:space="preserve"> –</w:t>
      </w:r>
      <w:r w:rsidRPr="00862632">
        <w:rPr>
          <w:lang w:val="es-ES"/>
        </w:rPr>
        <w:t xml:space="preserve"> Distribución geográfica de los servidores de dominio de nivel superior del DNS</w:t>
      </w:r>
      <w:r w:rsidRPr="00862632">
        <w:rPr>
          <w:lang w:val="es-ES"/>
        </w:rPr>
        <w:br/>
        <w:t xml:space="preserve"> y de los usuarios de Internet, 2011</w:t>
      </w:r>
      <w:r w:rsidRPr="009A726A">
        <w:rPr>
          <w:rStyle w:val="FootnoteReference"/>
          <w:b w:val="0"/>
          <w:bCs/>
        </w:rPr>
        <w:footnoteReference w:id="204"/>
      </w:r>
    </w:p>
    <w:p w:rsidR="00344D10" w:rsidRPr="00862632" w:rsidRDefault="009554F1" w:rsidP="00062C65">
      <w:pPr>
        <w:spacing w:before="0"/>
        <w:jc w:val="center"/>
        <w:rPr>
          <w:lang w:val="es-ES"/>
        </w:rPr>
      </w:pPr>
      <w:r w:rsidRPr="00862632">
        <w:rPr>
          <w:lang w:val="es-ES"/>
        </w:rPr>
        <w:t>Distribución geográfica de los servidores de dominio de nivel superior del DNS (gráfico iz</w:t>
      </w:r>
      <w:r w:rsidR="00633AD5" w:rsidRPr="00862632">
        <w:rPr>
          <w:lang w:val="es-ES"/>
        </w:rPr>
        <w:t>quier</w:t>
      </w:r>
      <w:r w:rsidRPr="00862632">
        <w:rPr>
          <w:lang w:val="es-ES"/>
        </w:rPr>
        <w:t>do)</w:t>
      </w:r>
      <w:r w:rsidRPr="00862632">
        <w:rPr>
          <w:lang w:val="es-ES"/>
        </w:rPr>
        <w:br/>
        <w:t xml:space="preserve"> y de los usuarios de Internet (gráfico dcho.)</w:t>
      </w:r>
    </w:p>
    <w:p w:rsidR="009554F1" w:rsidRPr="00862632" w:rsidRDefault="009554F1" w:rsidP="00344D10">
      <w:pPr>
        <w:ind w:left="709" w:hanging="709"/>
        <w:jc w:val="center"/>
        <w:rPr>
          <w:rFonts w:asciiTheme="minorHAnsi" w:hAnsiTheme="minorHAnsi" w:cstheme="minorHAnsi"/>
          <w:szCs w:val="24"/>
          <w:lang w:val="es-ES"/>
        </w:rPr>
      </w:pPr>
      <w:r w:rsidRPr="00862632">
        <w:rPr>
          <w:rFonts w:asciiTheme="minorHAnsi" w:hAnsiTheme="minorHAnsi" w:cstheme="minorHAnsi"/>
          <w:noProof/>
          <w:szCs w:val="24"/>
          <w:lang w:val="en-US" w:eastAsia="zh-CN"/>
        </w:rPr>
        <w:drawing>
          <wp:inline distT="0" distB="0" distL="0" distR="0" wp14:anchorId="0403CF93" wp14:editId="213EF85F">
            <wp:extent cx="4874150" cy="1962097"/>
            <wp:effectExtent l="19050" t="0" r="2650" b="0"/>
            <wp:docPr id="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9" cstate="print"/>
                    <a:srcRect/>
                    <a:stretch>
                      <a:fillRect/>
                    </a:stretch>
                  </pic:blipFill>
                  <pic:spPr bwMode="auto">
                    <a:xfrm>
                      <a:off x="0" y="0"/>
                      <a:ext cx="4892552" cy="1969505"/>
                    </a:xfrm>
                    <a:prstGeom prst="rect">
                      <a:avLst/>
                    </a:prstGeom>
                    <a:noFill/>
                    <a:ln w="9525">
                      <a:noFill/>
                      <a:miter lim="800000"/>
                      <a:headEnd/>
                      <a:tailEnd/>
                    </a:ln>
                  </pic:spPr>
                </pic:pic>
              </a:graphicData>
            </a:graphic>
          </wp:inline>
        </w:drawing>
      </w:r>
    </w:p>
    <w:p w:rsidR="00485F57" w:rsidRDefault="00485F57" w:rsidP="006E533E">
      <w:pPr>
        <w:pStyle w:val="Default"/>
        <w:spacing w:before="120"/>
        <w:ind w:left="425"/>
        <w:rPr>
          <w:rFonts w:asciiTheme="minorHAnsi" w:hAnsiTheme="minorHAnsi" w:cstheme="minorHAnsi"/>
          <w:color w:val="auto"/>
          <w:sz w:val="20"/>
          <w:szCs w:val="20"/>
          <w:lang w:val="es-ES" w:eastAsia="zh-CN"/>
        </w:rPr>
      </w:pPr>
      <w:r w:rsidRPr="006E533E">
        <w:rPr>
          <w:rFonts w:asciiTheme="minorHAnsi" w:hAnsiTheme="minorHAnsi" w:cstheme="minorHAnsi"/>
          <w:color w:val="auto"/>
          <w:sz w:val="20"/>
          <w:szCs w:val="20"/>
          <w:lang w:val="es-ES" w:eastAsia="zh-CN"/>
        </w:rPr>
        <w:t>Leyendas de la figura:</w:t>
      </w:r>
    </w:p>
    <w:tbl>
      <w:tblPr>
        <w:tblStyle w:val="TableGrid"/>
        <w:tblW w:w="0" w:type="auto"/>
        <w:tblInd w:w="4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51"/>
        <w:gridCol w:w="3969"/>
      </w:tblGrid>
      <w:tr w:rsidR="00062C65" w:rsidTr="00062C65">
        <w:tc>
          <w:tcPr>
            <w:tcW w:w="1951" w:type="dxa"/>
          </w:tcPr>
          <w:p w:rsidR="00062C65" w:rsidRPr="006E533E" w:rsidRDefault="00062C65" w:rsidP="00062C65">
            <w:pPr>
              <w:pStyle w:val="Default"/>
              <w:tabs>
                <w:tab w:val="left" w:pos="284"/>
              </w:tabs>
              <w:ind w:left="1"/>
              <w:rPr>
                <w:rFonts w:asciiTheme="minorHAnsi" w:hAnsiTheme="minorHAnsi" w:cstheme="minorHAnsi"/>
                <w:color w:val="auto"/>
                <w:sz w:val="18"/>
                <w:szCs w:val="18"/>
                <w:lang w:val="es-ES" w:eastAsia="zh-CN"/>
              </w:rPr>
            </w:pPr>
            <w:r w:rsidRPr="006E533E">
              <w:rPr>
                <w:rFonts w:asciiTheme="minorHAnsi" w:hAnsiTheme="minorHAnsi" w:cstheme="minorHAnsi"/>
                <w:color w:val="auto"/>
                <w:sz w:val="18"/>
                <w:szCs w:val="18"/>
                <w:lang w:val="es-ES" w:eastAsia="zh-CN"/>
              </w:rPr>
              <w:t>1</w:t>
            </w:r>
            <w:r w:rsidRPr="006E533E">
              <w:rPr>
                <w:rFonts w:asciiTheme="minorHAnsi" w:hAnsiTheme="minorHAnsi" w:cstheme="minorHAnsi"/>
                <w:color w:val="auto"/>
                <w:sz w:val="18"/>
                <w:szCs w:val="18"/>
                <w:lang w:val="es-ES" w:eastAsia="zh-CN"/>
              </w:rPr>
              <w:tab/>
              <w:t>África</w:t>
            </w:r>
          </w:p>
          <w:p w:rsidR="00062C65" w:rsidRPr="006E533E" w:rsidRDefault="00062C65" w:rsidP="00062C65">
            <w:pPr>
              <w:pStyle w:val="Default"/>
              <w:tabs>
                <w:tab w:val="left" w:pos="284"/>
              </w:tabs>
              <w:ind w:left="1"/>
              <w:rPr>
                <w:rFonts w:asciiTheme="minorHAnsi" w:hAnsiTheme="minorHAnsi" w:cstheme="minorHAnsi"/>
                <w:color w:val="auto"/>
                <w:sz w:val="18"/>
                <w:szCs w:val="18"/>
                <w:lang w:val="es-ES" w:eastAsia="zh-CN"/>
              </w:rPr>
            </w:pPr>
            <w:r w:rsidRPr="006E533E">
              <w:rPr>
                <w:rFonts w:asciiTheme="minorHAnsi" w:hAnsiTheme="minorHAnsi" w:cstheme="minorHAnsi"/>
                <w:color w:val="auto"/>
                <w:sz w:val="18"/>
                <w:szCs w:val="18"/>
                <w:lang w:val="es-ES" w:eastAsia="zh-CN"/>
              </w:rPr>
              <w:t>2</w:t>
            </w:r>
            <w:r w:rsidRPr="006E533E">
              <w:rPr>
                <w:rFonts w:asciiTheme="minorHAnsi" w:hAnsiTheme="minorHAnsi" w:cstheme="minorHAnsi"/>
                <w:color w:val="auto"/>
                <w:sz w:val="18"/>
                <w:szCs w:val="18"/>
                <w:lang w:val="es-ES" w:eastAsia="zh-CN"/>
              </w:rPr>
              <w:tab/>
              <w:t>Oriente Medio</w:t>
            </w:r>
          </w:p>
          <w:p w:rsidR="00062C65" w:rsidRPr="006E533E" w:rsidRDefault="00062C65" w:rsidP="00062C65">
            <w:pPr>
              <w:pStyle w:val="Default"/>
              <w:tabs>
                <w:tab w:val="left" w:pos="284"/>
              </w:tabs>
              <w:ind w:left="1"/>
              <w:rPr>
                <w:rFonts w:asciiTheme="minorHAnsi" w:hAnsiTheme="minorHAnsi" w:cstheme="minorHAnsi"/>
                <w:color w:val="auto"/>
                <w:sz w:val="18"/>
                <w:szCs w:val="18"/>
                <w:lang w:val="es-ES" w:eastAsia="zh-CN"/>
              </w:rPr>
            </w:pPr>
            <w:r w:rsidRPr="006E533E">
              <w:rPr>
                <w:rFonts w:asciiTheme="minorHAnsi" w:hAnsiTheme="minorHAnsi" w:cstheme="minorHAnsi"/>
                <w:color w:val="auto"/>
                <w:sz w:val="18"/>
                <w:szCs w:val="18"/>
                <w:lang w:val="es-ES" w:eastAsia="zh-CN"/>
              </w:rPr>
              <w:t>3</w:t>
            </w:r>
            <w:r w:rsidRPr="006E533E">
              <w:rPr>
                <w:rFonts w:asciiTheme="minorHAnsi" w:hAnsiTheme="minorHAnsi" w:cstheme="minorHAnsi"/>
                <w:color w:val="auto"/>
                <w:sz w:val="18"/>
                <w:szCs w:val="18"/>
                <w:lang w:val="es-ES" w:eastAsia="zh-CN"/>
              </w:rPr>
              <w:tab/>
              <w:t>Oceanía</w:t>
            </w:r>
          </w:p>
          <w:p w:rsidR="00062C65" w:rsidRPr="00062C65" w:rsidRDefault="00062C65" w:rsidP="008631F7">
            <w:pPr>
              <w:pStyle w:val="Default"/>
              <w:tabs>
                <w:tab w:val="left" w:pos="284"/>
              </w:tabs>
              <w:ind w:left="1"/>
              <w:rPr>
                <w:rFonts w:asciiTheme="minorHAnsi" w:hAnsiTheme="minorHAnsi" w:cstheme="minorHAnsi"/>
                <w:color w:val="auto"/>
                <w:sz w:val="18"/>
                <w:szCs w:val="18"/>
                <w:lang w:val="es-ES" w:eastAsia="zh-CN"/>
              </w:rPr>
            </w:pPr>
            <w:r w:rsidRPr="006E533E">
              <w:rPr>
                <w:rFonts w:asciiTheme="minorHAnsi" w:hAnsiTheme="minorHAnsi" w:cstheme="minorHAnsi"/>
                <w:color w:val="auto"/>
                <w:sz w:val="18"/>
                <w:szCs w:val="18"/>
                <w:lang w:val="es-ES" w:eastAsia="zh-CN"/>
              </w:rPr>
              <w:t>4</w:t>
            </w:r>
            <w:r w:rsidRPr="006E533E">
              <w:rPr>
                <w:rFonts w:asciiTheme="minorHAnsi" w:hAnsiTheme="minorHAnsi" w:cstheme="minorHAnsi"/>
                <w:color w:val="auto"/>
                <w:sz w:val="18"/>
                <w:szCs w:val="18"/>
                <w:lang w:val="es-ES" w:eastAsia="zh-CN"/>
              </w:rPr>
              <w:tab/>
              <w:t>Sudamérica</w:t>
            </w:r>
          </w:p>
        </w:tc>
        <w:tc>
          <w:tcPr>
            <w:tcW w:w="3969" w:type="dxa"/>
          </w:tcPr>
          <w:p w:rsidR="00062C65" w:rsidRPr="006E533E" w:rsidRDefault="00062C65" w:rsidP="00062C65">
            <w:pPr>
              <w:pStyle w:val="Default"/>
              <w:tabs>
                <w:tab w:val="left" w:pos="284"/>
              </w:tabs>
              <w:ind w:left="1"/>
              <w:rPr>
                <w:rFonts w:asciiTheme="minorHAnsi" w:hAnsiTheme="minorHAnsi" w:cstheme="minorHAnsi"/>
                <w:color w:val="auto"/>
                <w:sz w:val="18"/>
                <w:szCs w:val="18"/>
                <w:lang w:val="es-ES" w:eastAsia="zh-CN"/>
              </w:rPr>
            </w:pPr>
            <w:r w:rsidRPr="006E533E">
              <w:rPr>
                <w:rFonts w:asciiTheme="minorHAnsi" w:hAnsiTheme="minorHAnsi" w:cstheme="minorHAnsi"/>
                <w:color w:val="auto"/>
                <w:sz w:val="18"/>
                <w:szCs w:val="18"/>
                <w:lang w:val="es-ES" w:eastAsia="zh-CN"/>
              </w:rPr>
              <w:t>5</w:t>
            </w:r>
            <w:r w:rsidRPr="006E533E">
              <w:rPr>
                <w:rFonts w:asciiTheme="minorHAnsi" w:hAnsiTheme="minorHAnsi" w:cstheme="minorHAnsi"/>
                <w:color w:val="auto"/>
                <w:sz w:val="18"/>
                <w:szCs w:val="18"/>
                <w:lang w:val="es-ES" w:eastAsia="zh-CN"/>
              </w:rPr>
              <w:tab/>
              <w:t>Europa</w:t>
            </w:r>
          </w:p>
          <w:p w:rsidR="00062C65" w:rsidRPr="006E533E" w:rsidRDefault="00062C65" w:rsidP="00062C65">
            <w:pPr>
              <w:pStyle w:val="Default"/>
              <w:tabs>
                <w:tab w:val="left" w:pos="284"/>
              </w:tabs>
              <w:ind w:left="1"/>
              <w:rPr>
                <w:rFonts w:asciiTheme="minorHAnsi" w:hAnsiTheme="minorHAnsi" w:cstheme="minorHAnsi"/>
                <w:color w:val="auto"/>
                <w:sz w:val="18"/>
                <w:szCs w:val="18"/>
                <w:lang w:val="es-ES" w:eastAsia="zh-CN"/>
              </w:rPr>
            </w:pPr>
            <w:r w:rsidRPr="006E533E">
              <w:rPr>
                <w:rFonts w:asciiTheme="minorHAnsi" w:hAnsiTheme="minorHAnsi" w:cstheme="minorHAnsi"/>
                <w:color w:val="auto"/>
                <w:sz w:val="18"/>
                <w:szCs w:val="18"/>
                <w:lang w:val="es-ES" w:eastAsia="zh-CN"/>
              </w:rPr>
              <w:t>6</w:t>
            </w:r>
            <w:r w:rsidRPr="006E533E">
              <w:rPr>
                <w:rFonts w:asciiTheme="minorHAnsi" w:hAnsiTheme="minorHAnsi" w:cstheme="minorHAnsi"/>
                <w:color w:val="auto"/>
                <w:sz w:val="18"/>
                <w:szCs w:val="18"/>
                <w:lang w:val="es-ES" w:eastAsia="zh-CN"/>
              </w:rPr>
              <w:tab/>
              <w:t>Norteamérica</w:t>
            </w:r>
          </w:p>
          <w:p w:rsidR="00062C65" w:rsidRPr="006E533E" w:rsidRDefault="00062C65" w:rsidP="00062C65">
            <w:pPr>
              <w:pStyle w:val="Default"/>
              <w:tabs>
                <w:tab w:val="left" w:pos="284"/>
              </w:tabs>
              <w:ind w:left="1"/>
              <w:rPr>
                <w:rFonts w:asciiTheme="minorHAnsi" w:hAnsiTheme="minorHAnsi" w:cstheme="minorHAnsi"/>
                <w:color w:val="auto"/>
                <w:sz w:val="18"/>
                <w:szCs w:val="18"/>
                <w:lang w:val="es-ES" w:eastAsia="zh-CN"/>
              </w:rPr>
            </w:pPr>
            <w:r w:rsidRPr="006E533E">
              <w:rPr>
                <w:rFonts w:asciiTheme="minorHAnsi" w:hAnsiTheme="minorHAnsi" w:cstheme="minorHAnsi"/>
                <w:color w:val="auto"/>
                <w:sz w:val="18"/>
                <w:szCs w:val="18"/>
                <w:lang w:val="es-ES" w:eastAsia="zh-CN"/>
              </w:rPr>
              <w:t>7</w:t>
            </w:r>
            <w:r w:rsidRPr="006E533E">
              <w:rPr>
                <w:rFonts w:asciiTheme="minorHAnsi" w:hAnsiTheme="minorHAnsi" w:cstheme="minorHAnsi"/>
                <w:color w:val="auto"/>
                <w:sz w:val="18"/>
                <w:szCs w:val="18"/>
                <w:lang w:val="es-ES" w:eastAsia="zh-CN"/>
              </w:rPr>
              <w:tab/>
              <w:t>Asia</w:t>
            </w:r>
          </w:p>
          <w:p w:rsidR="00062C65" w:rsidRPr="00062C65" w:rsidRDefault="00062C65" w:rsidP="00062C65">
            <w:pPr>
              <w:pStyle w:val="Default"/>
              <w:tabs>
                <w:tab w:val="left" w:pos="284"/>
              </w:tabs>
              <w:ind w:left="1"/>
              <w:rPr>
                <w:rFonts w:asciiTheme="minorHAnsi" w:hAnsiTheme="minorHAnsi" w:cstheme="minorHAnsi"/>
                <w:color w:val="auto"/>
                <w:sz w:val="18"/>
                <w:szCs w:val="18"/>
                <w:lang w:val="es-ES" w:eastAsia="zh-CN"/>
              </w:rPr>
            </w:pPr>
            <w:r w:rsidRPr="006E533E">
              <w:rPr>
                <w:rFonts w:asciiTheme="minorHAnsi" w:hAnsiTheme="minorHAnsi" w:cstheme="minorHAnsi"/>
                <w:color w:val="auto"/>
                <w:sz w:val="18"/>
                <w:szCs w:val="18"/>
                <w:lang w:val="es-ES" w:eastAsia="zh-CN"/>
              </w:rPr>
              <w:t>8</w:t>
            </w:r>
            <w:r w:rsidRPr="006E533E">
              <w:rPr>
                <w:rFonts w:asciiTheme="minorHAnsi" w:hAnsiTheme="minorHAnsi" w:cstheme="minorHAnsi"/>
                <w:color w:val="auto"/>
                <w:sz w:val="18"/>
                <w:szCs w:val="18"/>
                <w:lang w:val="es-ES" w:eastAsia="zh-CN"/>
              </w:rPr>
              <w:tab/>
              <w:t>Origen de los datos: Root-server.org</w:t>
            </w:r>
          </w:p>
        </w:tc>
      </w:tr>
    </w:tbl>
    <w:p w:rsidR="00062C65" w:rsidRPr="006E533E" w:rsidRDefault="00062C65" w:rsidP="00062C65">
      <w:pPr>
        <w:pStyle w:val="Default"/>
        <w:ind w:left="425"/>
        <w:rPr>
          <w:rFonts w:asciiTheme="minorHAnsi" w:hAnsiTheme="minorHAnsi" w:cstheme="minorHAnsi"/>
          <w:color w:val="auto"/>
          <w:sz w:val="20"/>
          <w:szCs w:val="20"/>
          <w:lang w:val="es-ES" w:eastAsia="zh-CN"/>
        </w:rPr>
      </w:pPr>
    </w:p>
    <w:p w:rsidR="00554A3D" w:rsidRPr="00862632" w:rsidRDefault="00554A3D" w:rsidP="00BE0D41">
      <w:pPr>
        <w:pStyle w:val="FigureNotitle"/>
        <w:keepNext/>
        <w:rPr>
          <w:lang w:val="es-ES"/>
        </w:rPr>
      </w:pPr>
      <w:r w:rsidRPr="00862632">
        <w:rPr>
          <w:lang w:val="es-ES"/>
        </w:rPr>
        <w:t>Figura 4</w:t>
      </w:r>
      <w:r w:rsidR="00BE0D41">
        <w:rPr>
          <w:lang w:val="es-ES"/>
        </w:rPr>
        <w:t xml:space="preserve"> –</w:t>
      </w:r>
      <w:r w:rsidRPr="00862632">
        <w:rPr>
          <w:lang w:val="es-ES"/>
        </w:rPr>
        <w:t xml:space="preserve"> Distribución geográfica de servidores raíz DNS y espejos</w:t>
      </w:r>
      <w:r w:rsidRPr="00862632">
        <w:rPr>
          <w:rStyle w:val="FootnoteReference"/>
          <w:lang w:val="es-ES"/>
        </w:rPr>
        <w:footnoteReference w:id="205"/>
      </w:r>
    </w:p>
    <w:p w:rsidR="00223A68" w:rsidRDefault="00223A68" w:rsidP="00223A68">
      <w:pPr>
        <w:ind w:firstLine="709"/>
        <w:rPr>
          <w:b/>
          <w:bCs/>
          <w:sz w:val="24"/>
          <w:szCs w:val="24"/>
        </w:rPr>
      </w:pPr>
      <w:r>
        <w:rPr>
          <w:b/>
          <w:bCs/>
          <w:noProof/>
          <w:sz w:val="24"/>
          <w:szCs w:val="24"/>
          <w:lang w:val="en-US" w:eastAsia="zh-CN"/>
        </w:rPr>
        <w:drawing>
          <wp:inline distT="0" distB="0" distL="0" distR="0" wp14:anchorId="63400AE8" wp14:editId="2AEF48D0">
            <wp:extent cx="5219700" cy="3145142"/>
            <wp:effectExtent l="1905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12-10-13 at 4.56.38 AM.png"/>
                    <pic:cNvPicPr/>
                  </pic:nvPicPr>
                  <pic:blipFill>
                    <a:blip r:embed="rId110" cstate="print">
                      <a:extLst>
                        <a:ext uri="{28A0092B-C50C-407E-A947-70E740481C1C}">
                          <a14:useLocalDpi xmlns:a14="http://schemas.microsoft.com/office/drawing/2010/main" val="0"/>
                        </a:ext>
                      </a:extLst>
                    </a:blip>
                    <a:stretch>
                      <a:fillRect/>
                    </a:stretch>
                  </pic:blipFill>
                  <pic:spPr>
                    <a:xfrm>
                      <a:off x="0" y="0"/>
                      <a:ext cx="5221175" cy="3146031"/>
                    </a:xfrm>
                    <a:prstGeom prst="rect">
                      <a:avLst/>
                    </a:prstGeom>
                  </pic:spPr>
                </pic:pic>
              </a:graphicData>
            </a:graphic>
          </wp:inline>
        </w:drawing>
      </w:r>
    </w:p>
    <w:p w:rsidR="006E533E" w:rsidRPr="006E533E" w:rsidRDefault="006E533E" w:rsidP="006E533E">
      <w:pPr>
        <w:pStyle w:val="Default"/>
        <w:spacing w:before="120"/>
        <w:ind w:left="425"/>
        <w:rPr>
          <w:rFonts w:asciiTheme="minorHAnsi" w:hAnsiTheme="minorHAnsi" w:cstheme="minorHAnsi"/>
          <w:color w:val="auto"/>
          <w:sz w:val="20"/>
          <w:szCs w:val="20"/>
          <w:lang w:val="es-ES" w:eastAsia="zh-CN"/>
        </w:rPr>
      </w:pPr>
      <w:r w:rsidRPr="006E533E">
        <w:rPr>
          <w:rFonts w:asciiTheme="minorHAnsi" w:hAnsiTheme="minorHAnsi" w:cstheme="minorHAnsi"/>
          <w:color w:val="auto"/>
          <w:sz w:val="20"/>
          <w:szCs w:val="20"/>
          <w:lang w:val="es-ES" w:eastAsia="zh-CN"/>
        </w:rPr>
        <w:t>Leyenda</w:t>
      </w:r>
      <w:r w:rsidR="00992517">
        <w:rPr>
          <w:rFonts w:asciiTheme="minorHAnsi" w:hAnsiTheme="minorHAnsi" w:cstheme="minorHAnsi"/>
          <w:color w:val="auto"/>
          <w:sz w:val="20"/>
          <w:szCs w:val="20"/>
          <w:lang w:val="es-ES" w:eastAsia="zh-CN"/>
        </w:rPr>
        <w:t xml:space="preserve">s </w:t>
      </w:r>
      <w:r w:rsidR="00992517" w:rsidRPr="006E533E">
        <w:rPr>
          <w:rFonts w:asciiTheme="minorHAnsi" w:hAnsiTheme="minorHAnsi" w:cstheme="minorHAnsi"/>
          <w:color w:val="auto"/>
          <w:sz w:val="20"/>
          <w:szCs w:val="20"/>
          <w:lang w:val="es-ES" w:eastAsia="zh-CN"/>
        </w:rPr>
        <w:t>de la figura</w:t>
      </w:r>
      <w:r w:rsidR="00554A3D" w:rsidRPr="006E533E">
        <w:rPr>
          <w:rFonts w:asciiTheme="minorHAnsi" w:hAnsiTheme="minorHAnsi" w:cstheme="minorHAnsi"/>
          <w:color w:val="auto"/>
          <w:sz w:val="20"/>
          <w:szCs w:val="20"/>
          <w:lang w:val="es-ES" w:eastAsia="zh-CN"/>
        </w:rPr>
        <w:t xml:space="preserve">: </w:t>
      </w:r>
    </w:p>
    <w:p w:rsidR="006E533E" w:rsidRDefault="00554A3D" w:rsidP="006E533E">
      <w:pPr>
        <w:pStyle w:val="Default"/>
        <w:ind w:left="426"/>
        <w:rPr>
          <w:rFonts w:asciiTheme="minorHAnsi" w:eastAsiaTheme="minorEastAsia" w:hAnsiTheme="minorHAnsi" w:cstheme="minorHAnsi"/>
          <w:color w:val="auto"/>
          <w:sz w:val="18"/>
          <w:szCs w:val="18"/>
          <w:lang w:val="es-ES" w:eastAsia="zh-CN"/>
        </w:rPr>
      </w:pPr>
      <w:r w:rsidRPr="006E533E">
        <w:rPr>
          <w:rFonts w:asciiTheme="minorHAnsi" w:eastAsiaTheme="minorEastAsia" w:hAnsiTheme="minorHAnsi" w:cstheme="minorHAnsi"/>
          <w:color w:val="auto"/>
          <w:sz w:val="18"/>
          <w:szCs w:val="18"/>
          <w:lang w:val="es-ES" w:eastAsia="zh-CN"/>
        </w:rPr>
        <w:t xml:space="preserve">1 </w:t>
      </w:r>
      <w:r w:rsidR="003E1365">
        <w:rPr>
          <w:rFonts w:asciiTheme="minorHAnsi" w:eastAsiaTheme="minorEastAsia" w:hAnsiTheme="minorHAnsi" w:cstheme="minorHAnsi"/>
          <w:color w:val="auto"/>
          <w:sz w:val="18"/>
          <w:szCs w:val="18"/>
          <w:lang w:val="es-ES" w:eastAsia="zh-CN"/>
        </w:rPr>
        <w:tab/>
      </w:r>
      <w:r w:rsidR="006E533E" w:rsidRPr="006E533E">
        <w:rPr>
          <w:rFonts w:asciiTheme="minorHAnsi" w:eastAsiaTheme="minorEastAsia" w:hAnsiTheme="minorHAnsi" w:cstheme="minorHAnsi"/>
          <w:color w:val="auto"/>
          <w:sz w:val="18"/>
          <w:szCs w:val="18"/>
          <w:lang w:val="es-ES" w:eastAsia="zh-CN"/>
        </w:rPr>
        <w:t>Leyenda</w:t>
      </w:r>
    </w:p>
    <w:p w:rsidR="006E533E" w:rsidRDefault="00554A3D" w:rsidP="006E533E">
      <w:pPr>
        <w:pStyle w:val="Default"/>
        <w:ind w:left="426"/>
        <w:rPr>
          <w:rFonts w:asciiTheme="minorHAnsi" w:eastAsiaTheme="minorEastAsia" w:hAnsiTheme="minorHAnsi" w:cstheme="minorHAnsi"/>
          <w:color w:val="auto"/>
          <w:sz w:val="18"/>
          <w:szCs w:val="18"/>
          <w:lang w:val="es-ES" w:eastAsia="zh-CN"/>
        </w:rPr>
      </w:pPr>
      <w:r w:rsidRPr="006E533E">
        <w:rPr>
          <w:rFonts w:asciiTheme="minorHAnsi" w:eastAsiaTheme="minorEastAsia" w:hAnsiTheme="minorHAnsi" w:cstheme="minorHAnsi"/>
          <w:color w:val="auto"/>
          <w:sz w:val="18"/>
          <w:szCs w:val="18"/>
          <w:lang w:val="es-ES" w:eastAsia="zh-CN"/>
        </w:rPr>
        <w:t xml:space="preserve">2 </w:t>
      </w:r>
      <w:r w:rsidR="003E1365">
        <w:rPr>
          <w:rFonts w:asciiTheme="minorHAnsi" w:eastAsiaTheme="minorEastAsia" w:hAnsiTheme="minorHAnsi" w:cstheme="minorHAnsi"/>
          <w:color w:val="auto"/>
          <w:sz w:val="18"/>
          <w:szCs w:val="18"/>
          <w:lang w:val="es-ES" w:eastAsia="zh-CN"/>
        </w:rPr>
        <w:tab/>
      </w:r>
      <w:r w:rsidR="006E533E" w:rsidRPr="006E533E">
        <w:rPr>
          <w:rFonts w:asciiTheme="minorHAnsi" w:eastAsiaTheme="minorEastAsia" w:hAnsiTheme="minorHAnsi" w:cstheme="minorHAnsi"/>
          <w:color w:val="auto"/>
          <w:sz w:val="18"/>
          <w:szCs w:val="18"/>
          <w:lang w:val="es-ES" w:eastAsia="zh-CN"/>
        </w:rPr>
        <w:t xml:space="preserve">Múltiples </w:t>
      </w:r>
      <w:r w:rsidR="005237FE" w:rsidRPr="006E533E">
        <w:rPr>
          <w:rFonts w:asciiTheme="minorHAnsi" w:eastAsiaTheme="minorEastAsia" w:hAnsiTheme="minorHAnsi" w:cstheme="minorHAnsi"/>
          <w:color w:val="auto"/>
          <w:sz w:val="18"/>
          <w:szCs w:val="18"/>
          <w:lang w:val="es-ES" w:eastAsia="zh-CN"/>
        </w:rPr>
        <w:t>instancias</w:t>
      </w:r>
    </w:p>
    <w:p w:rsidR="00554A3D" w:rsidRPr="006E533E" w:rsidRDefault="005237FE" w:rsidP="006E533E">
      <w:pPr>
        <w:pStyle w:val="Default"/>
        <w:ind w:left="426"/>
        <w:rPr>
          <w:rFonts w:asciiTheme="minorHAnsi" w:eastAsiaTheme="minorEastAsia" w:hAnsiTheme="minorHAnsi" w:cstheme="minorHAnsi"/>
          <w:color w:val="auto"/>
          <w:sz w:val="18"/>
          <w:szCs w:val="18"/>
          <w:lang w:val="es-ES" w:eastAsia="zh-CN"/>
        </w:rPr>
      </w:pPr>
      <w:r w:rsidRPr="006E533E">
        <w:rPr>
          <w:rFonts w:asciiTheme="minorHAnsi" w:eastAsiaTheme="minorEastAsia" w:hAnsiTheme="minorHAnsi" w:cstheme="minorHAnsi"/>
          <w:color w:val="auto"/>
          <w:sz w:val="18"/>
          <w:szCs w:val="18"/>
          <w:lang w:val="es-ES" w:eastAsia="zh-CN"/>
        </w:rPr>
        <w:t xml:space="preserve">3 </w:t>
      </w:r>
      <w:r w:rsidR="003E1365">
        <w:rPr>
          <w:rFonts w:asciiTheme="minorHAnsi" w:eastAsiaTheme="minorEastAsia" w:hAnsiTheme="minorHAnsi" w:cstheme="minorHAnsi"/>
          <w:color w:val="auto"/>
          <w:sz w:val="18"/>
          <w:szCs w:val="18"/>
          <w:lang w:val="es-ES" w:eastAsia="zh-CN"/>
        </w:rPr>
        <w:tab/>
      </w:r>
      <w:r w:rsidR="006E533E" w:rsidRPr="006E533E">
        <w:rPr>
          <w:rFonts w:asciiTheme="minorHAnsi" w:eastAsiaTheme="minorEastAsia" w:hAnsiTheme="minorHAnsi" w:cstheme="minorHAnsi"/>
          <w:color w:val="auto"/>
          <w:sz w:val="18"/>
          <w:szCs w:val="18"/>
          <w:lang w:val="es-ES" w:eastAsia="zh-CN"/>
        </w:rPr>
        <w:t xml:space="preserve">Instancia </w:t>
      </w:r>
      <w:r w:rsidRPr="006E533E">
        <w:rPr>
          <w:rFonts w:asciiTheme="minorHAnsi" w:eastAsiaTheme="minorEastAsia" w:hAnsiTheme="minorHAnsi" w:cstheme="minorHAnsi"/>
          <w:color w:val="auto"/>
          <w:sz w:val="18"/>
          <w:szCs w:val="18"/>
          <w:lang w:val="es-ES" w:eastAsia="zh-CN"/>
        </w:rPr>
        <w:t>única.</w:t>
      </w:r>
    </w:p>
    <w:p w:rsidR="00EB1992" w:rsidRPr="00862632" w:rsidRDefault="009554F1" w:rsidP="0016466E">
      <w:pPr>
        <w:rPr>
          <w:lang w:val="es-ES"/>
        </w:rPr>
      </w:pPr>
      <w:r w:rsidRPr="00862632">
        <w:rPr>
          <w:b/>
          <w:bCs/>
          <w:lang w:val="es-ES"/>
        </w:rPr>
        <w:t>2.3.6</w:t>
      </w:r>
      <w:r w:rsidRPr="00862632">
        <w:rPr>
          <w:lang w:val="es-ES"/>
        </w:rPr>
        <w:tab/>
      </w:r>
      <w:r w:rsidR="00EB1992" w:rsidRPr="00862632">
        <w:rPr>
          <w:lang w:val="es-ES"/>
        </w:rPr>
        <w:t xml:space="preserve">Los gobiernos participan en la estructura de la ICANN a </w:t>
      </w:r>
      <w:r w:rsidR="00E36D69" w:rsidRPr="00862632">
        <w:rPr>
          <w:lang w:val="es-ES"/>
        </w:rPr>
        <w:t>través</w:t>
      </w:r>
      <w:r w:rsidR="00EB1992" w:rsidRPr="00862632">
        <w:rPr>
          <w:lang w:val="es-ES"/>
        </w:rPr>
        <w:t xml:space="preserve"> del Grupo Asesor Gubernamental (</w:t>
      </w:r>
      <w:r w:rsidRPr="00862632">
        <w:rPr>
          <w:lang w:val="es-ES"/>
        </w:rPr>
        <w:t>GAC</w:t>
      </w:r>
      <w:r w:rsidR="00EB1992" w:rsidRPr="00862632">
        <w:rPr>
          <w:lang w:val="es-ES"/>
        </w:rPr>
        <w:t xml:space="preserve">), que </w:t>
      </w:r>
      <w:r w:rsidRPr="00862632">
        <w:rPr>
          <w:lang w:val="es-ES"/>
        </w:rPr>
        <w:t>asesor</w:t>
      </w:r>
      <w:r w:rsidR="00EB1992" w:rsidRPr="00862632">
        <w:rPr>
          <w:lang w:val="es-ES"/>
        </w:rPr>
        <w:t>a a</w:t>
      </w:r>
      <w:r w:rsidRPr="00862632">
        <w:rPr>
          <w:lang w:val="es-ES"/>
        </w:rPr>
        <w:t xml:space="preserve"> la ICANN</w:t>
      </w:r>
      <w:r w:rsidR="00EB1992" w:rsidRPr="00862632">
        <w:rPr>
          <w:lang w:val="es-ES"/>
        </w:rPr>
        <w:t xml:space="preserve"> en cuestiones de</w:t>
      </w:r>
      <w:r w:rsidRPr="00862632">
        <w:rPr>
          <w:lang w:val="es-ES"/>
        </w:rPr>
        <w:t xml:space="preserve"> política pública</w:t>
      </w:r>
      <w:r w:rsidR="00EB1992" w:rsidRPr="00862632">
        <w:rPr>
          <w:lang w:val="es-ES"/>
        </w:rPr>
        <w:t>, en particular cuando puede haber una interacción entre las actividades o políticas de la ICANN y las leyes nacionales o los acuerdos internacionales</w:t>
      </w:r>
      <w:r w:rsidR="00EB1992" w:rsidRPr="00862632">
        <w:rPr>
          <w:rStyle w:val="FootnoteReference"/>
          <w:lang w:val="es-ES"/>
        </w:rPr>
        <w:footnoteReference w:id="206"/>
      </w:r>
      <w:r w:rsidRPr="00862632">
        <w:rPr>
          <w:lang w:val="es-ES"/>
        </w:rPr>
        <w:t>.</w:t>
      </w:r>
    </w:p>
    <w:p w:rsidR="00EB1992" w:rsidRPr="00862632" w:rsidRDefault="00EB1992" w:rsidP="00885A78">
      <w:pPr>
        <w:pStyle w:val="enumlev1"/>
        <w:rPr>
          <w:lang w:val="es-ES"/>
        </w:rPr>
      </w:pPr>
      <w:r w:rsidRPr="00862632">
        <w:rPr>
          <w:lang w:val="es-ES"/>
        </w:rPr>
        <w:t>a)</w:t>
      </w:r>
      <w:r w:rsidRPr="00862632">
        <w:rPr>
          <w:lang w:val="es-ES"/>
        </w:rPr>
        <w:tab/>
      </w:r>
      <w:r w:rsidR="009554F1" w:rsidRPr="00862632">
        <w:rPr>
          <w:lang w:val="es-ES"/>
        </w:rPr>
        <w:t xml:space="preserve">Según los reglamentos de la ICANN, </w:t>
      </w:r>
      <w:r w:rsidRPr="00862632">
        <w:rPr>
          <w:lang w:val="es-ES"/>
        </w:rPr>
        <w:t>se</w:t>
      </w:r>
      <w:r w:rsidR="009554F1" w:rsidRPr="00862632">
        <w:rPr>
          <w:lang w:val="es-ES"/>
        </w:rPr>
        <w:t xml:space="preserve"> debe tener en cuenta la opinión del GAC sobre cuestiones de política pública, tanto en </w:t>
      </w:r>
      <w:r w:rsidRPr="00862632">
        <w:rPr>
          <w:lang w:val="es-ES"/>
        </w:rPr>
        <w:t>la</w:t>
      </w:r>
      <w:r w:rsidR="009554F1" w:rsidRPr="00862632">
        <w:rPr>
          <w:lang w:val="es-ES"/>
        </w:rPr>
        <w:t xml:space="preserve"> formulación </w:t>
      </w:r>
      <w:r w:rsidRPr="00862632">
        <w:rPr>
          <w:lang w:val="es-ES"/>
        </w:rPr>
        <w:t xml:space="preserve">de políticas </w:t>
      </w:r>
      <w:r w:rsidR="009554F1" w:rsidRPr="00862632">
        <w:rPr>
          <w:lang w:val="es-ES"/>
        </w:rPr>
        <w:t>como en su adopción</w:t>
      </w:r>
      <w:r w:rsidRPr="00862632">
        <w:rPr>
          <w:lang w:val="es-ES"/>
        </w:rPr>
        <w:t xml:space="preserve"> por el Consejo de Administración de la ICANN. En caso de que el Consejo de Administración de la ICANN decida adoptar medidas incompatibles con el asesoramiento del GAC deberá informar a este último y al Estado de los motivos por los que decide no seguir tal asesoramiento</w:t>
      </w:r>
      <w:r w:rsidRPr="00862632">
        <w:rPr>
          <w:rStyle w:val="FootnoteReference"/>
          <w:lang w:val="es-ES"/>
        </w:rPr>
        <w:footnoteReference w:id="207"/>
      </w:r>
      <w:r w:rsidRPr="00862632">
        <w:rPr>
          <w:lang w:val="es-ES"/>
        </w:rPr>
        <w:t>. El Presidente del GAC ejerce de coordinador sin derecho a voto en el Consejo de Administración de la</w:t>
      </w:r>
      <w:r w:rsidR="009554F1" w:rsidRPr="00862632">
        <w:rPr>
          <w:lang w:val="es-ES"/>
        </w:rPr>
        <w:t xml:space="preserve"> ICANN</w:t>
      </w:r>
      <w:r w:rsidRPr="00862632">
        <w:rPr>
          <w:lang w:val="es-ES"/>
        </w:rPr>
        <w:t xml:space="preserve"> [origen:</w:t>
      </w:r>
      <w:r w:rsidR="00885A78">
        <w:rPr>
          <w:lang w:val="es-ES"/>
        </w:rPr>
        <w:t> </w:t>
      </w:r>
      <w:hyperlink r:id="rId111" w:history="1">
        <w:r w:rsidRPr="005C44EC">
          <w:rPr>
            <w:rStyle w:val="Hyperlink"/>
            <w:lang w:val="es-ES"/>
          </w:rPr>
          <w:t>EE.UU.</w:t>
        </w:r>
      </w:hyperlink>
      <w:r w:rsidRPr="00862632">
        <w:rPr>
          <w:rStyle w:val="FootnoteReference"/>
          <w:lang w:val="es-ES"/>
        </w:rPr>
        <w:footnoteReference w:id="208"/>
      </w:r>
      <w:r w:rsidRPr="00862632">
        <w:rPr>
          <w:lang w:val="es-ES"/>
        </w:rPr>
        <w:t>]</w:t>
      </w:r>
      <w:r w:rsidR="009554F1" w:rsidRPr="00862632">
        <w:rPr>
          <w:lang w:val="es-ES"/>
        </w:rPr>
        <w:t xml:space="preserve">. </w:t>
      </w:r>
    </w:p>
    <w:p w:rsidR="00543D71" w:rsidRPr="00862632" w:rsidRDefault="00EB1992" w:rsidP="0016466E">
      <w:pPr>
        <w:pStyle w:val="enumlev1"/>
        <w:rPr>
          <w:lang w:val="es-ES"/>
        </w:rPr>
      </w:pPr>
      <w:r w:rsidRPr="00862632">
        <w:rPr>
          <w:lang w:val="es-ES"/>
        </w:rPr>
        <w:t>b)</w:t>
      </w:r>
      <w:r w:rsidRPr="00862632">
        <w:rPr>
          <w:lang w:val="es-ES"/>
        </w:rPr>
        <w:tab/>
        <w:t xml:space="preserve">En el GAC pueden participar todos los gobiernos nacionales y </w:t>
      </w:r>
      <w:r w:rsidR="00543D71" w:rsidRPr="00862632">
        <w:rPr>
          <w:lang w:val="es-ES"/>
        </w:rPr>
        <w:t>economías independientes</w:t>
      </w:r>
      <w:r w:rsidRPr="00862632">
        <w:rPr>
          <w:lang w:val="es-ES"/>
        </w:rPr>
        <w:t xml:space="preserve"> reconocidas por los foros internacionales</w:t>
      </w:r>
      <w:r w:rsidR="00543D71" w:rsidRPr="00862632">
        <w:rPr>
          <w:lang w:val="es-ES"/>
        </w:rPr>
        <w:t>.</w:t>
      </w:r>
      <w:r w:rsidRPr="00862632">
        <w:rPr>
          <w:lang w:val="es-ES"/>
        </w:rPr>
        <w:t xml:space="preserve"> </w:t>
      </w:r>
      <w:r w:rsidR="00543D71" w:rsidRPr="00862632">
        <w:rPr>
          <w:lang w:val="es-ES"/>
        </w:rPr>
        <w:t xml:space="preserve">Las organizaciones gubernamentales </w:t>
      </w:r>
      <w:r w:rsidR="00E36D69" w:rsidRPr="00862632">
        <w:rPr>
          <w:lang w:val="es-ES"/>
        </w:rPr>
        <w:t>multinacionales</w:t>
      </w:r>
      <w:r w:rsidR="00543D71" w:rsidRPr="00862632">
        <w:rPr>
          <w:lang w:val="es-ES"/>
        </w:rPr>
        <w:t xml:space="preserve"> y las organizaciones creadas en virtud de tratados internacionales pueden participar en el GAC como observadores [origen: </w:t>
      </w:r>
      <w:hyperlink r:id="rId112" w:history="1">
        <w:r w:rsidR="00543D71" w:rsidRPr="007849C2">
          <w:rPr>
            <w:rStyle w:val="Hyperlink"/>
            <w:lang w:val="es-ES"/>
          </w:rPr>
          <w:t>Reino Unido</w:t>
        </w:r>
      </w:hyperlink>
      <w:r w:rsidR="00543D71" w:rsidRPr="00862632">
        <w:rPr>
          <w:rStyle w:val="FootnoteReference"/>
          <w:lang w:val="es-ES"/>
        </w:rPr>
        <w:footnoteReference w:id="209"/>
      </w:r>
      <w:r w:rsidR="00992517">
        <w:rPr>
          <w:rStyle w:val="Hyperlink"/>
          <w:lang w:val="es-ES"/>
        </w:rPr>
        <w:t>]</w:t>
      </w:r>
      <w:r w:rsidR="00543D71" w:rsidRPr="00862632">
        <w:rPr>
          <w:lang w:val="es-ES"/>
        </w:rPr>
        <w:t>. En la actualidad</w:t>
      </w:r>
      <w:r w:rsidR="009554F1" w:rsidRPr="00862632">
        <w:rPr>
          <w:lang w:val="es-ES"/>
        </w:rPr>
        <w:t xml:space="preserve">, el GAC está integrado por 114 países </w:t>
      </w:r>
      <w:r w:rsidR="00992517" w:rsidRPr="00862632">
        <w:rPr>
          <w:lang w:val="es-ES"/>
        </w:rPr>
        <w:t xml:space="preserve">Miembros </w:t>
      </w:r>
      <w:r w:rsidR="009554F1" w:rsidRPr="00862632">
        <w:rPr>
          <w:lang w:val="es-ES"/>
        </w:rPr>
        <w:t xml:space="preserve">y </w:t>
      </w:r>
      <w:r w:rsidR="00543D71" w:rsidRPr="00862632">
        <w:rPr>
          <w:lang w:val="es-ES"/>
        </w:rPr>
        <w:t>2</w:t>
      </w:r>
      <w:r w:rsidR="009554F1" w:rsidRPr="00862632">
        <w:rPr>
          <w:lang w:val="es-ES"/>
        </w:rPr>
        <w:t xml:space="preserve">7 </w:t>
      </w:r>
      <w:r w:rsidR="00992517" w:rsidRPr="00862632">
        <w:rPr>
          <w:lang w:val="es-ES"/>
        </w:rPr>
        <w:t>Observadores</w:t>
      </w:r>
      <w:r w:rsidR="009554F1" w:rsidRPr="00862632">
        <w:rPr>
          <w:szCs w:val="22"/>
          <w:vertAlign w:val="superscript"/>
          <w:lang w:val="es-ES"/>
        </w:rPr>
        <w:footnoteReference w:id="210"/>
      </w:r>
      <w:r w:rsidR="00543D71" w:rsidRPr="00862632">
        <w:rPr>
          <w:lang w:val="es-ES"/>
        </w:rPr>
        <w:t>.</w:t>
      </w:r>
    </w:p>
    <w:p w:rsidR="00543D71" w:rsidRPr="00862632" w:rsidRDefault="00543D71" w:rsidP="00BA1F3F">
      <w:pPr>
        <w:pStyle w:val="enumlev1"/>
        <w:rPr>
          <w:lang w:val="es-ES"/>
        </w:rPr>
      </w:pPr>
      <w:r w:rsidRPr="00862632">
        <w:rPr>
          <w:lang w:val="es-ES"/>
        </w:rPr>
        <w:t>c)</w:t>
      </w:r>
      <w:r w:rsidRPr="00862632">
        <w:rPr>
          <w:lang w:val="es-ES"/>
        </w:rPr>
        <w:tab/>
        <w:t>Hay quien opina que el GAC</w:t>
      </w:r>
      <w:r w:rsidR="009554F1" w:rsidRPr="00862632">
        <w:rPr>
          <w:lang w:val="es-ES"/>
        </w:rPr>
        <w:t xml:space="preserve"> desempeña un papel limitado por ser únicamente un órgano asesor. </w:t>
      </w:r>
      <w:r w:rsidRPr="00862632">
        <w:rPr>
          <w:lang w:val="es-ES"/>
        </w:rPr>
        <w:t>Además, se ha señalado que una mayor integración del GAC en la elaboración de políticas multipartitas se opone a diversos obstáculos, como la equiparación errónea del GAC con una organización de representantes</w:t>
      </w:r>
      <w:r w:rsidR="00BA1F3F">
        <w:rPr>
          <w:lang w:val="es-ES"/>
        </w:rPr>
        <w:t xml:space="preserve"> </w:t>
      </w:r>
      <w:r w:rsidRPr="00862632">
        <w:rPr>
          <w:lang w:val="es-ES"/>
        </w:rPr>
        <w:t xml:space="preserve">nacionales de los Estados [origen: </w:t>
      </w:r>
      <w:hyperlink r:id="rId113" w:history="1">
        <w:r w:rsidRPr="00885A78">
          <w:rPr>
            <w:rStyle w:val="Hyperlink"/>
            <w:lang w:val="es-ES"/>
          </w:rPr>
          <w:t>Reino Unido</w:t>
        </w:r>
      </w:hyperlink>
      <w:r w:rsidRPr="00862632">
        <w:rPr>
          <w:rStyle w:val="FootnoteReference"/>
          <w:lang w:val="es-ES"/>
        </w:rPr>
        <w:footnoteReference w:id="211"/>
      </w:r>
      <w:r w:rsidRPr="00862632">
        <w:rPr>
          <w:lang w:val="es-ES"/>
        </w:rPr>
        <w:t>]</w:t>
      </w:r>
      <w:r w:rsidR="00992517">
        <w:rPr>
          <w:lang w:val="es-ES"/>
        </w:rPr>
        <w:t>.</w:t>
      </w:r>
      <w:r w:rsidRPr="00862632">
        <w:rPr>
          <w:lang w:val="es-ES"/>
        </w:rPr>
        <w:t xml:space="preserve"> Otros opinan que ampliar la interacción entre el GAC, el Consejo de Administración de la ICANN y otros miembros de la ICANN puede ayudar a resolver los problemas de comprensión [origen: </w:t>
      </w:r>
      <w:hyperlink r:id="rId114" w:history="1">
        <w:r w:rsidRPr="00885A78">
          <w:rPr>
            <w:rStyle w:val="Hyperlink"/>
            <w:lang w:val="es-ES"/>
          </w:rPr>
          <w:t>EE.UU.</w:t>
        </w:r>
      </w:hyperlink>
      <w:r w:rsidRPr="00862632">
        <w:rPr>
          <w:rStyle w:val="FootnoteReference"/>
          <w:lang w:val="es-ES"/>
        </w:rPr>
        <w:footnoteReference w:id="212"/>
      </w:r>
      <w:r w:rsidRPr="00862632">
        <w:rPr>
          <w:lang w:val="es-ES"/>
        </w:rPr>
        <w:t>].</w:t>
      </w:r>
    </w:p>
    <w:p w:rsidR="00344D10" w:rsidRPr="00862632" w:rsidRDefault="00543D71" w:rsidP="00992517">
      <w:pPr>
        <w:pStyle w:val="enumlev1"/>
        <w:rPr>
          <w:lang w:val="es-ES"/>
        </w:rPr>
      </w:pPr>
      <w:r w:rsidRPr="00862632">
        <w:rPr>
          <w:lang w:val="es-ES"/>
        </w:rPr>
        <w:t>d)</w:t>
      </w:r>
      <w:r w:rsidRPr="00862632">
        <w:rPr>
          <w:lang w:val="es-ES"/>
        </w:rPr>
        <w:tab/>
      </w:r>
      <w:r w:rsidR="009554F1" w:rsidRPr="00862632">
        <w:rPr>
          <w:lang w:val="es-ES"/>
        </w:rPr>
        <w:t>En varias ocasiones, el Consejo de Administración de la ICANN no ha solicitado la opinión del GAC, o ha rechazado su asesoramiento</w:t>
      </w:r>
      <w:r w:rsidR="009554F1" w:rsidRPr="00862632">
        <w:rPr>
          <w:szCs w:val="22"/>
          <w:vertAlign w:val="superscript"/>
          <w:lang w:val="es-ES"/>
        </w:rPr>
        <w:t>,</w:t>
      </w:r>
      <w:r w:rsidR="009554F1" w:rsidRPr="00862632">
        <w:rPr>
          <w:lang w:val="es-ES"/>
        </w:rPr>
        <w:t xml:space="preserve"> </w:t>
      </w:r>
      <w:r w:rsidRPr="00862632">
        <w:rPr>
          <w:lang w:val="es-ES"/>
        </w:rPr>
        <w:t>a pesar de que</w:t>
      </w:r>
      <w:r w:rsidR="009554F1" w:rsidRPr="00862632">
        <w:rPr>
          <w:lang w:val="es-ES"/>
        </w:rPr>
        <w:t xml:space="preserve"> las cuestiones abordadas tenían consecuencias de política pública</w:t>
      </w:r>
      <w:r w:rsidRPr="00862632">
        <w:rPr>
          <w:rStyle w:val="FootnoteReference"/>
          <w:lang w:val="es-ES"/>
        </w:rPr>
        <w:footnoteReference w:id="213"/>
      </w:r>
      <w:r w:rsidR="009554F1" w:rsidRPr="00862632">
        <w:rPr>
          <w:lang w:val="es-ES"/>
        </w:rPr>
        <w:t>. El Consejo de Administración de la ICANN y el GAC han colaborado para dar al GAC una función más importante en la estructura de la ICANN</w:t>
      </w:r>
      <w:r w:rsidR="009554F1" w:rsidRPr="00862632">
        <w:rPr>
          <w:szCs w:val="22"/>
          <w:vertAlign w:val="superscript"/>
          <w:lang w:val="es-ES"/>
        </w:rPr>
        <w:footnoteReference w:id="214"/>
      </w:r>
      <w:r w:rsidR="007670C2" w:rsidRPr="00862632">
        <w:rPr>
          <w:lang w:val="es-ES"/>
        </w:rPr>
        <w:t>, esfuerzo al que colaboró el Equipo de examen de la Responsabilidad y la Transparencia (ATRT)</w:t>
      </w:r>
      <w:r w:rsidR="007670C2" w:rsidRPr="00862632">
        <w:rPr>
          <w:rStyle w:val="FootnoteReference"/>
          <w:lang w:val="es-ES"/>
        </w:rPr>
        <w:footnoteReference w:id="215"/>
      </w:r>
      <w:r w:rsidR="007670C2" w:rsidRPr="00862632">
        <w:rPr>
          <w:lang w:val="es-ES"/>
        </w:rPr>
        <w:t xml:space="preserve"> [origen: </w:t>
      </w:r>
      <w:hyperlink r:id="rId115" w:history="1">
        <w:r w:rsidR="00A26E96" w:rsidRPr="00A26E96">
          <w:rPr>
            <w:rStyle w:val="Hyperlink"/>
            <w:lang w:val="es-ES"/>
          </w:rPr>
          <w:t>EE.UU.</w:t>
        </w:r>
      </w:hyperlink>
      <w:r w:rsidR="007670C2" w:rsidRPr="00862632">
        <w:rPr>
          <w:rStyle w:val="FootnoteReference"/>
          <w:lang w:val="es-ES"/>
        </w:rPr>
        <w:footnoteReference w:id="216"/>
      </w:r>
      <w:r w:rsidR="00992517" w:rsidRPr="00992517">
        <w:rPr>
          <w:rStyle w:val="FootnoteReference"/>
        </w:rPr>
        <w:t>,</w:t>
      </w:r>
      <w:r w:rsidR="007670C2" w:rsidRPr="00862632">
        <w:rPr>
          <w:rStyle w:val="FootnoteReference"/>
          <w:lang w:val="es-ES"/>
        </w:rPr>
        <w:footnoteReference w:id="217"/>
      </w:r>
      <w:r w:rsidR="007670C2" w:rsidRPr="00862632">
        <w:rPr>
          <w:lang w:val="es-ES"/>
        </w:rPr>
        <w:t>]. El Informe publicado por el Grupo de Trabajo Mixto (JWG) del Consejo de Administración de la ICANN y el GAC en 2011 contiene varias recomendaciones</w:t>
      </w:r>
      <w:r w:rsidR="009554F1" w:rsidRPr="00862632">
        <w:rPr>
          <w:lang w:val="es-ES"/>
        </w:rPr>
        <w:t>.</w:t>
      </w:r>
    </w:p>
    <w:p w:rsidR="009554F1" w:rsidRPr="00862632" w:rsidRDefault="009554F1" w:rsidP="0065679A">
      <w:pPr>
        <w:rPr>
          <w:rFonts w:asciiTheme="minorHAnsi" w:hAnsiTheme="minorHAnsi" w:cstheme="minorHAnsi"/>
          <w:b/>
          <w:bCs/>
          <w:szCs w:val="24"/>
          <w:lang w:val="es-ES"/>
        </w:rPr>
      </w:pPr>
      <w:r w:rsidRPr="00862632">
        <w:rPr>
          <w:rFonts w:asciiTheme="minorHAnsi" w:hAnsiTheme="minorHAnsi" w:cstheme="minorHAnsi"/>
          <w:b/>
          <w:bCs/>
          <w:szCs w:val="24"/>
          <w:lang w:val="es-ES"/>
        </w:rPr>
        <w:t>3</w:t>
      </w:r>
      <w:r w:rsidRPr="00862632">
        <w:rPr>
          <w:rFonts w:asciiTheme="minorHAnsi" w:hAnsiTheme="minorHAnsi" w:cstheme="minorHAnsi"/>
          <w:b/>
          <w:bCs/>
          <w:szCs w:val="24"/>
          <w:lang w:val="es-ES"/>
        </w:rPr>
        <w:tab/>
        <w:t>Conclusión</w:t>
      </w:r>
    </w:p>
    <w:p w:rsidR="00344D10" w:rsidRDefault="00992517" w:rsidP="0016466E">
      <w:pPr>
        <w:rPr>
          <w:lang w:val="es-ES"/>
        </w:rPr>
      </w:pPr>
      <w:r>
        <w:rPr>
          <w:lang w:val="es-ES"/>
        </w:rPr>
        <w:t xml:space="preserve">El </w:t>
      </w:r>
      <w:r w:rsidRPr="00862632">
        <w:rPr>
          <w:lang w:val="es-ES"/>
        </w:rPr>
        <w:t xml:space="preserve">presente </w:t>
      </w:r>
      <w:r w:rsidR="009554F1" w:rsidRPr="00862632">
        <w:rPr>
          <w:lang w:val="es-ES"/>
        </w:rPr>
        <w:t xml:space="preserve">proyecto de </w:t>
      </w:r>
      <w:r w:rsidR="00633AD5" w:rsidRPr="00862632">
        <w:rPr>
          <w:lang w:val="es-ES"/>
        </w:rPr>
        <w:t>I</w:t>
      </w:r>
      <w:r w:rsidR="009554F1" w:rsidRPr="00862632">
        <w:rPr>
          <w:lang w:val="es-ES"/>
        </w:rPr>
        <w:t>nforme del Secretario General al FMPT-2013 tiene por objeto servir de base de los debates del Foro de Política, ya que contiene las contribuciones de los Estados Miembros y Miembros de Sector de la UIT, y será el único documento de trabajo del Foro sobre las cuestiones fundamentales respecto de las cuales convendría lograr conclusiones (Acuerdo 562 de la reunión de 2011 del Consejo)</w:t>
      </w:r>
      <w:r w:rsidR="00633AD5" w:rsidRPr="00862632">
        <w:rPr>
          <w:lang w:val="es-ES"/>
        </w:rPr>
        <w:t>.</w:t>
      </w:r>
      <w:r w:rsidR="009554F1" w:rsidRPr="00862632">
        <w:rPr>
          <w:lang w:val="es-ES"/>
        </w:rPr>
        <w:t xml:space="preserve"> </w:t>
      </w:r>
    </w:p>
    <w:p w:rsidR="000B0369" w:rsidRDefault="000B0369">
      <w:pPr>
        <w:tabs>
          <w:tab w:val="clear" w:pos="794"/>
          <w:tab w:val="clear" w:pos="1191"/>
          <w:tab w:val="clear" w:pos="1588"/>
          <w:tab w:val="clear" w:pos="1985"/>
        </w:tabs>
        <w:overflowPunct/>
        <w:autoSpaceDE/>
        <w:autoSpaceDN/>
        <w:adjustRightInd/>
        <w:spacing w:before="0"/>
        <w:textAlignment w:val="auto"/>
        <w:rPr>
          <w:lang w:val="es-ES"/>
        </w:rPr>
      </w:pPr>
      <w:r>
        <w:rPr>
          <w:lang w:val="es-ES"/>
        </w:rPr>
        <w:br w:type="page"/>
      </w:r>
    </w:p>
    <w:p w:rsidR="00966363" w:rsidRPr="00862632" w:rsidRDefault="00966363" w:rsidP="0016466E">
      <w:pPr>
        <w:pStyle w:val="AnnexNotitle"/>
        <w:rPr>
          <w:lang w:val="es-ES"/>
        </w:rPr>
      </w:pPr>
      <w:r w:rsidRPr="00862632">
        <w:rPr>
          <w:lang w:val="es-ES"/>
        </w:rPr>
        <w:t>Anexo A: Lista de proyectos de Opinión</w:t>
      </w:r>
    </w:p>
    <w:p w:rsidR="00966363" w:rsidRPr="00862632" w:rsidRDefault="000A5287" w:rsidP="00E31887">
      <w:pPr>
        <w:rPr>
          <w:lang w:val="es-ES"/>
        </w:rPr>
      </w:pPr>
      <w:r w:rsidRPr="00862632">
        <w:rPr>
          <w:lang w:val="es-ES"/>
        </w:rPr>
        <w:t>Hasta la fecha se han recibido seis proyectos de Opinión, que se abordaron brevemente en la segunda Reunión del</w:t>
      </w:r>
      <w:r w:rsidR="00966363" w:rsidRPr="00862632">
        <w:rPr>
          <w:lang w:val="es-ES"/>
        </w:rPr>
        <w:t xml:space="preserve"> IEG</w:t>
      </w:r>
      <w:r w:rsidRPr="00862632">
        <w:rPr>
          <w:lang w:val="es-ES"/>
        </w:rPr>
        <w:t xml:space="preserve"> y se tratarán más a fondo en la tercera Reunión del</w:t>
      </w:r>
      <w:r w:rsidR="00E36D69" w:rsidRPr="00862632">
        <w:rPr>
          <w:lang w:val="es-ES"/>
        </w:rPr>
        <w:t xml:space="preserve"> </w:t>
      </w:r>
      <w:r w:rsidRPr="00862632">
        <w:rPr>
          <w:lang w:val="es-ES"/>
        </w:rPr>
        <w:t>IEG</w:t>
      </w:r>
      <w:r w:rsidR="00966363" w:rsidRPr="00862632">
        <w:rPr>
          <w:lang w:val="es-ES"/>
        </w:rPr>
        <w:t>:</w:t>
      </w:r>
    </w:p>
    <w:p w:rsidR="00966363" w:rsidRPr="00062C65" w:rsidRDefault="0016466E" w:rsidP="0016466E">
      <w:pPr>
        <w:pStyle w:val="enumlev1"/>
        <w:rPr>
          <w:szCs w:val="22"/>
          <w:lang w:val="es-ES"/>
        </w:rPr>
      </w:pPr>
      <w:r w:rsidRPr="00062C65">
        <w:rPr>
          <w:szCs w:val="22"/>
          <w:lang w:val="es-ES"/>
        </w:rPr>
        <w:t>•</w:t>
      </w:r>
      <w:r w:rsidRPr="00062C65">
        <w:rPr>
          <w:szCs w:val="22"/>
          <w:lang w:val="es-ES"/>
        </w:rPr>
        <w:tab/>
      </w:r>
      <w:r w:rsidR="000A5287" w:rsidRPr="00062C65">
        <w:rPr>
          <w:szCs w:val="22"/>
          <w:lang w:val="es-ES"/>
        </w:rPr>
        <w:t>Proyecto de Opinión</w:t>
      </w:r>
      <w:r w:rsidR="00966363" w:rsidRPr="00062C65">
        <w:rPr>
          <w:szCs w:val="22"/>
          <w:lang w:val="es-ES"/>
        </w:rPr>
        <w:t xml:space="preserve"> [1] </w:t>
      </w:r>
      <w:r w:rsidR="000A5287" w:rsidRPr="00062C65">
        <w:rPr>
          <w:szCs w:val="22"/>
          <w:lang w:val="es-ES"/>
        </w:rPr>
        <w:t xml:space="preserve">del </w:t>
      </w:r>
      <w:r w:rsidR="000A5287" w:rsidRPr="00062C65">
        <w:rPr>
          <w:rFonts w:cstheme="minorHAnsi"/>
          <w:szCs w:val="22"/>
          <w:lang w:val="es-ES"/>
        </w:rPr>
        <w:t>Reino</w:t>
      </w:r>
      <w:r w:rsidR="000A5287" w:rsidRPr="00062C65">
        <w:rPr>
          <w:szCs w:val="22"/>
          <w:lang w:val="es-ES"/>
        </w:rPr>
        <w:t xml:space="preserve"> de Arabia Saudita ,</w:t>
      </w:r>
      <w:r w:rsidR="00966363" w:rsidRPr="00062C65">
        <w:rPr>
          <w:szCs w:val="22"/>
          <w:lang w:val="es-ES"/>
        </w:rPr>
        <w:t xml:space="preserve"> </w:t>
      </w:r>
      <w:r w:rsidR="00BC5045" w:rsidRPr="00062C65">
        <w:rPr>
          <w:szCs w:val="22"/>
          <w:lang w:val="es-ES"/>
        </w:rPr>
        <w:t>"</w:t>
      </w:r>
      <w:hyperlink r:id="rId116" w:history="1">
        <w:r w:rsidR="00966363" w:rsidRPr="00062C65">
          <w:rPr>
            <w:rStyle w:val="Hyperlink"/>
            <w:rFonts w:cstheme="minorHAnsi"/>
            <w:szCs w:val="22"/>
            <w:lang w:val="es-ES"/>
          </w:rPr>
          <w:t>Supporting Full Multi-stakeholderism in Internet Governance</w:t>
        </w:r>
      </w:hyperlink>
      <w:r w:rsidR="00BC5045" w:rsidRPr="00062C65">
        <w:rPr>
          <w:szCs w:val="22"/>
          <w:lang w:val="es-ES"/>
        </w:rPr>
        <w:t>"</w:t>
      </w:r>
      <w:r w:rsidR="00966363" w:rsidRPr="00062C65">
        <w:rPr>
          <w:szCs w:val="22"/>
          <w:lang w:val="es-ES"/>
        </w:rPr>
        <w:t>, rec</w:t>
      </w:r>
      <w:r w:rsidR="000A5287" w:rsidRPr="00062C65">
        <w:rPr>
          <w:szCs w:val="22"/>
          <w:lang w:val="es-ES"/>
        </w:rPr>
        <w:t>ibido el 1 de octubre de</w:t>
      </w:r>
      <w:r w:rsidR="00966363" w:rsidRPr="00062C65">
        <w:rPr>
          <w:szCs w:val="22"/>
          <w:lang w:val="es-ES"/>
        </w:rPr>
        <w:t xml:space="preserve"> 2012, </w:t>
      </w:r>
      <w:r w:rsidR="000A5287" w:rsidRPr="00062C65">
        <w:rPr>
          <w:szCs w:val="22"/>
          <w:lang w:val="es-ES"/>
        </w:rPr>
        <w:t>disponible en la dirección</w:t>
      </w:r>
      <w:r w:rsidR="00966363" w:rsidRPr="00062C65">
        <w:rPr>
          <w:szCs w:val="22"/>
          <w:lang w:val="es-ES"/>
        </w:rPr>
        <w:t xml:space="preserve"> </w:t>
      </w:r>
      <w:hyperlink r:id="rId117" w:history="1">
        <w:r w:rsidR="00966363" w:rsidRPr="00062C65">
          <w:rPr>
            <w:rStyle w:val="Hyperlink"/>
            <w:rFonts w:cstheme="minorHAnsi"/>
            <w:szCs w:val="22"/>
            <w:lang w:val="es-ES"/>
          </w:rPr>
          <w:t>www.itu.int/md/S12-WTPF13PREP-C-0027/en</w:t>
        </w:r>
      </w:hyperlink>
      <w:r w:rsidR="00844E6E">
        <w:rPr>
          <w:szCs w:val="22"/>
          <w:lang w:val="es-ES"/>
        </w:rPr>
        <w:t>.</w:t>
      </w:r>
    </w:p>
    <w:p w:rsidR="00966363" w:rsidRPr="00062C65" w:rsidRDefault="0016466E" w:rsidP="00844E6E">
      <w:pPr>
        <w:pStyle w:val="enumlev1"/>
        <w:rPr>
          <w:szCs w:val="22"/>
          <w:lang w:val="es-ES"/>
        </w:rPr>
      </w:pPr>
      <w:r w:rsidRPr="00062C65">
        <w:rPr>
          <w:szCs w:val="22"/>
          <w:lang w:val="es-ES"/>
        </w:rPr>
        <w:t>•</w:t>
      </w:r>
      <w:r w:rsidRPr="00062C65">
        <w:rPr>
          <w:szCs w:val="22"/>
          <w:lang w:val="es-ES"/>
        </w:rPr>
        <w:tab/>
      </w:r>
      <w:r w:rsidR="000A5287" w:rsidRPr="00062C65">
        <w:rPr>
          <w:szCs w:val="22"/>
          <w:lang w:val="es-ES"/>
        </w:rPr>
        <w:t>Proyecto de</w:t>
      </w:r>
      <w:r w:rsidR="00966363" w:rsidRPr="00062C65">
        <w:rPr>
          <w:szCs w:val="22"/>
          <w:lang w:val="es-ES"/>
        </w:rPr>
        <w:t xml:space="preserve"> Opini</w:t>
      </w:r>
      <w:r w:rsidR="000A5287" w:rsidRPr="00062C65">
        <w:rPr>
          <w:szCs w:val="22"/>
          <w:lang w:val="es-ES"/>
        </w:rPr>
        <w:t>ó</w:t>
      </w:r>
      <w:r w:rsidR="00966363" w:rsidRPr="00062C65">
        <w:rPr>
          <w:szCs w:val="22"/>
          <w:lang w:val="es-ES"/>
        </w:rPr>
        <w:t xml:space="preserve">n [2] </w:t>
      </w:r>
      <w:r w:rsidR="000A5287" w:rsidRPr="00062C65">
        <w:rPr>
          <w:szCs w:val="22"/>
          <w:lang w:val="es-ES"/>
        </w:rPr>
        <w:t>del Reino de Arabia Saudita y los Emiratos Árabes Unidos,</w:t>
      </w:r>
      <w:r w:rsidR="00966363" w:rsidRPr="00062C65">
        <w:rPr>
          <w:szCs w:val="22"/>
          <w:lang w:val="es-ES"/>
        </w:rPr>
        <w:t xml:space="preserve"> </w:t>
      </w:r>
      <w:r w:rsidR="00BC5045" w:rsidRPr="00062C65">
        <w:rPr>
          <w:szCs w:val="22"/>
          <w:lang w:val="es-ES"/>
        </w:rPr>
        <w:t>"</w:t>
      </w:r>
      <w:hyperlink r:id="rId118" w:history="1">
        <w:r w:rsidR="00966363" w:rsidRPr="00062C65">
          <w:rPr>
            <w:rStyle w:val="Hyperlink"/>
            <w:rFonts w:cstheme="minorHAnsi"/>
            <w:szCs w:val="22"/>
            <w:lang w:val="es-ES"/>
          </w:rPr>
          <w:t>Support of the Adoption of IPv6 and of Careful Management of the Transition from IPv4</w:t>
        </w:r>
      </w:hyperlink>
      <w:r w:rsidR="00BC5045" w:rsidRPr="00062C65">
        <w:rPr>
          <w:szCs w:val="22"/>
          <w:lang w:val="es-ES"/>
        </w:rPr>
        <w:t>"</w:t>
      </w:r>
      <w:r w:rsidR="00966363" w:rsidRPr="00062C65">
        <w:rPr>
          <w:szCs w:val="22"/>
          <w:lang w:val="es-ES"/>
        </w:rPr>
        <w:t>, rec</w:t>
      </w:r>
      <w:r w:rsidR="000A5287" w:rsidRPr="00062C65">
        <w:rPr>
          <w:szCs w:val="22"/>
          <w:lang w:val="es-ES"/>
        </w:rPr>
        <w:t>ibido el 1 de octubre de</w:t>
      </w:r>
      <w:r w:rsidR="00966363" w:rsidRPr="00062C65">
        <w:rPr>
          <w:szCs w:val="22"/>
          <w:lang w:val="es-ES"/>
        </w:rPr>
        <w:t xml:space="preserve"> 2012,</w:t>
      </w:r>
      <w:r w:rsidR="00BA1F3F" w:rsidRPr="00062C65">
        <w:rPr>
          <w:szCs w:val="22"/>
          <w:lang w:val="es-ES"/>
        </w:rPr>
        <w:t xml:space="preserve"> </w:t>
      </w:r>
      <w:r w:rsidR="000A5287" w:rsidRPr="00062C65">
        <w:rPr>
          <w:szCs w:val="22"/>
          <w:lang w:val="es-ES"/>
        </w:rPr>
        <w:t>disponible en la dirección</w:t>
      </w:r>
      <w:r w:rsidR="00966363" w:rsidRPr="00062C65">
        <w:rPr>
          <w:szCs w:val="22"/>
          <w:lang w:val="es-ES"/>
        </w:rPr>
        <w:t xml:space="preserve"> </w:t>
      </w:r>
      <w:hyperlink r:id="rId119" w:history="1">
        <w:r w:rsidR="00844E6E" w:rsidRPr="00C8562F">
          <w:rPr>
            <w:rStyle w:val="Hyperlink"/>
            <w:szCs w:val="22"/>
            <w:lang w:val="es-ES"/>
          </w:rPr>
          <w:t>www.itu.int/md/S12-WTPF13PREP-C-0028/en</w:t>
        </w:r>
      </w:hyperlink>
      <w:r w:rsidR="00844E6E">
        <w:rPr>
          <w:szCs w:val="22"/>
          <w:lang w:val="es-ES"/>
        </w:rPr>
        <w:t>.</w:t>
      </w:r>
    </w:p>
    <w:p w:rsidR="00966363" w:rsidRPr="00062C65" w:rsidRDefault="0016466E" w:rsidP="0016466E">
      <w:pPr>
        <w:pStyle w:val="enumlev1"/>
        <w:rPr>
          <w:szCs w:val="22"/>
          <w:lang w:val="es-ES"/>
        </w:rPr>
      </w:pPr>
      <w:r w:rsidRPr="00062C65">
        <w:rPr>
          <w:szCs w:val="22"/>
          <w:lang w:val="es-ES"/>
        </w:rPr>
        <w:t>•</w:t>
      </w:r>
      <w:r w:rsidRPr="00062C65">
        <w:rPr>
          <w:szCs w:val="22"/>
          <w:lang w:val="es-ES"/>
        </w:rPr>
        <w:tab/>
      </w:r>
      <w:r w:rsidR="000A5287" w:rsidRPr="00062C65">
        <w:rPr>
          <w:szCs w:val="22"/>
          <w:lang w:val="es-ES"/>
        </w:rPr>
        <w:t>Proyecto de</w:t>
      </w:r>
      <w:r w:rsidR="00966363" w:rsidRPr="00062C65">
        <w:rPr>
          <w:szCs w:val="22"/>
          <w:lang w:val="es-ES"/>
        </w:rPr>
        <w:t xml:space="preserve"> Opini</w:t>
      </w:r>
      <w:r w:rsidR="000A5287" w:rsidRPr="00062C65">
        <w:rPr>
          <w:szCs w:val="22"/>
          <w:lang w:val="es-ES"/>
        </w:rPr>
        <w:t>ó</w:t>
      </w:r>
      <w:r w:rsidR="00966363" w:rsidRPr="00062C65">
        <w:rPr>
          <w:szCs w:val="22"/>
          <w:lang w:val="es-ES"/>
        </w:rPr>
        <w:t xml:space="preserve">n [3] </w:t>
      </w:r>
      <w:r w:rsidR="000A5287" w:rsidRPr="00062C65">
        <w:rPr>
          <w:szCs w:val="22"/>
          <w:lang w:val="es-ES"/>
        </w:rPr>
        <w:t>del Reino de Arabia Saudita,</w:t>
      </w:r>
      <w:r w:rsidR="00966363" w:rsidRPr="00062C65">
        <w:rPr>
          <w:szCs w:val="22"/>
          <w:lang w:val="es-ES"/>
        </w:rPr>
        <w:t xml:space="preserve"> </w:t>
      </w:r>
      <w:r w:rsidR="00BC5045" w:rsidRPr="00062C65">
        <w:rPr>
          <w:szCs w:val="22"/>
          <w:lang w:val="es-ES"/>
        </w:rPr>
        <w:t>"</w:t>
      </w:r>
      <w:hyperlink r:id="rId120" w:history="1">
        <w:r w:rsidR="00966363" w:rsidRPr="00062C65">
          <w:rPr>
            <w:rStyle w:val="Hyperlink"/>
            <w:rFonts w:cstheme="minorHAnsi"/>
            <w:szCs w:val="22"/>
            <w:lang w:val="es-ES"/>
          </w:rPr>
          <w:t>Supporting Operationalizing the Enhanced Cooperation Process</w:t>
        </w:r>
      </w:hyperlink>
      <w:r w:rsidR="00BC5045" w:rsidRPr="00062C65">
        <w:rPr>
          <w:szCs w:val="22"/>
          <w:lang w:val="es-ES"/>
        </w:rPr>
        <w:t>"</w:t>
      </w:r>
      <w:r w:rsidR="00966363" w:rsidRPr="00062C65">
        <w:rPr>
          <w:szCs w:val="22"/>
          <w:lang w:val="es-ES"/>
        </w:rPr>
        <w:t>, rec</w:t>
      </w:r>
      <w:r w:rsidR="000A5287" w:rsidRPr="00062C65">
        <w:rPr>
          <w:szCs w:val="22"/>
          <w:lang w:val="es-ES"/>
        </w:rPr>
        <w:t>ibido el 1 de octubre de</w:t>
      </w:r>
      <w:r w:rsidR="00966363" w:rsidRPr="00062C65">
        <w:rPr>
          <w:szCs w:val="22"/>
          <w:lang w:val="es-ES"/>
        </w:rPr>
        <w:t xml:space="preserve"> 2012, </w:t>
      </w:r>
      <w:r w:rsidR="000A5287" w:rsidRPr="00062C65">
        <w:rPr>
          <w:szCs w:val="22"/>
          <w:lang w:val="es-ES"/>
        </w:rPr>
        <w:t>disponible en la dirección</w:t>
      </w:r>
      <w:r w:rsidR="00966363" w:rsidRPr="00062C65">
        <w:rPr>
          <w:szCs w:val="22"/>
          <w:lang w:val="es-ES"/>
        </w:rPr>
        <w:t xml:space="preserve"> </w:t>
      </w:r>
      <w:hyperlink r:id="rId121" w:history="1">
        <w:r w:rsidR="00966363" w:rsidRPr="00062C65">
          <w:rPr>
            <w:rStyle w:val="Hyperlink"/>
            <w:rFonts w:cstheme="minorHAnsi"/>
            <w:szCs w:val="22"/>
            <w:lang w:val="es-ES"/>
          </w:rPr>
          <w:t>www.itu.int/md/S12-WTPF13PREP-C-0029/en</w:t>
        </w:r>
      </w:hyperlink>
      <w:r w:rsidR="00844E6E">
        <w:rPr>
          <w:szCs w:val="22"/>
          <w:lang w:val="es-ES"/>
        </w:rPr>
        <w:t>.</w:t>
      </w:r>
    </w:p>
    <w:p w:rsidR="00966363" w:rsidRPr="00062C65" w:rsidRDefault="0016466E" w:rsidP="00062C65">
      <w:pPr>
        <w:pStyle w:val="enumlev1"/>
        <w:rPr>
          <w:szCs w:val="22"/>
          <w:lang w:val="es-ES"/>
        </w:rPr>
      </w:pPr>
      <w:r w:rsidRPr="00062C65">
        <w:rPr>
          <w:szCs w:val="22"/>
          <w:lang w:val="es-ES"/>
        </w:rPr>
        <w:t>•</w:t>
      </w:r>
      <w:r w:rsidRPr="00062C65">
        <w:rPr>
          <w:szCs w:val="22"/>
          <w:lang w:val="es-ES"/>
        </w:rPr>
        <w:tab/>
      </w:r>
      <w:r w:rsidR="000A5287" w:rsidRPr="00062C65">
        <w:rPr>
          <w:szCs w:val="22"/>
          <w:lang w:val="es-ES"/>
        </w:rPr>
        <w:t>Proyecto de Opinión</w:t>
      </w:r>
      <w:r w:rsidR="00966363" w:rsidRPr="00062C65">
        <w:rPr>
          <w:szCs w:val="22"/>
          <w:lang w:val="es-ES"/>
        </w:rPr>
        <w:t xml:space="preserve"> [4] </w:t>
      </w:r>
      <w:r w:rsidR="000A5287" w:rsidRPr="00062C65">
        <w:rPr>
          <w:szCs w:val="22"/>
          <w:lang w:val="es-ES"/>
        </w:rPr>
        <w:t>del Reino Unido de Gran Bretaña e Irlanda del Norte,</w:t>
      </w:r>
      <w:r w:rsidR="00966363" w:rsidRPr="00062C65">
        <w:rPr>
          <w:szCs w:val="22"/>
          <w:lang w:val="es-ES"/>
        </w:rPr>
        <w:t> </w:t>
      </w:r>
      <w:r w:rsidR="00BC5045" w:rsidRPr="00062C65">
        <w:rPr>
          <w:szCs w:val="22"/>
          <w:lang w:val="es-ES"/>
        </w:rPr>
        <w:t>"</w:t>
      </w:r>
      <w:hyperlink r:id="rId122" w:history="1">
        <w:r w:rsidR="00966363" w:rsidRPr="00062C65">
          <w:rPr>
            <w:rStyle w:val="Hyperlink"/>
            <w:rFonts w:cstheme="minorHAnsi"/>
            <w:szCs w:val="22"/>
            <w:lang w:val="es-ES"/>
          </w:rPr>
          <w:t>Supporting Capacity Building for the deployment of IPv6</w:t>
        </w:r>
      </w:hyperlink>
      <w:r w:rsidR="00BC5045" w:rsidRPr="00062C65">
        <w:rPr>
          <w:szCs w:val="22"/>
          <w:lang w:val="es-ES"/>
        </w:rPr>
        <w:t>"</w:t>
      </w:r>
      <w:r w:rsidR="00966363" w:rsidRPr="00062C65">
        <w:rPr>
          <w:szCs w:val="22"/>
          <w:lang w:val="es-ES"/>
        </w:rPr>
        <w:t>, rec</w:t>
      </w:r>
      <w:r w:rsidR="000A5287" w:rsidRPr="00062C65">
        <w:rPr>
          <w:szCs w:val="22"/>
          <w:lang w:val="es-ES"/>
        </w:rPr>
        <w:t>ibido el 5 de octubre de</w:t>
      </w:r>
      <w:r w:rsidR="00062C65" w:rsidRPr="00062C65">
        <w:rPr>
          <w:szCs w:val="22"/>
          <w:lang w:val="es-ES"/>
        </w:rPr>
        <w:t> </w:t>
      </w:r>
      <w:r w:rsidR="00966363" w:rsidRPr="00062C65">
        <w:rPr>
          <w:szCs w:val="22"/>
          <w:lang w:val="es-ES"/>
        </w:rPr>
        <w:t xml:space="preserve">2012, </w:t>
      </w:r>
      <w:r w:rsidR="000A5287" w:rsidRPr="00062C65">
        <w:rPr>
          <w:szCs w:val="22"/>
          <w:lang w:val="es-ES"/>
        </w:rPr>
        <w:t>disponible en la dirección</w:t>
      </w:r>
      <w:r w:rsidR="00966363" w:rsidRPr="00062C65">
        <w:rPr>
          <w:szCs w:val="22"/>
          <w:lang w:val="es-ES"/>
        </w:rPr>
        <w:t xml:space="preserve"> </w:t>
      </w:r>
      <w:hyperlink r:id="rId123" w:history="1">
        <w:r w:rsidR="00966363" w:rsidRPr="00062C65">
          <w:rPr>
            <w:rStyle w:val="Hyperlink"/>
            <w:rFonts w:cstheme="minorHAnsi"/>
            <w:szCs w:val="22"/>
            <w:lang w:val="es-ES"/>
          </w:rPr>
          <w:t>www.itu.int/md/S12-WTPF13PREP-C-0034/en</w:t>
        </w:r>
      </w:hyperlink>
      <w:r w:rsidR="00844E6E">
        <w:rPr>
          <w:szCs w:val="22"/>
          <w:lang w:val="es-ES"/>
        </w:rPr>
        <w:t>.</w:t>
      </w:r>
    </w:p>
    <w:p w:rsidR="00966363" w:rsidRPr="00062C65" w:rsidRDefault="0016466E" w:rsidP="00062C65">
      <w:pPr>
        <w:pStyle w:val="enumlev1"/>
        <w:rPr>
          <w:szCs w:val="22"/>
          <w:lang w:val="es-ES"/>
        </w:rPr>
      </w:pPr>
      <w:r w:rsidRPr="00062C65">
        <w:rPr>
          <w:szCs w:val="22"/>
          <w:lang w:val="es-ES"/>
        </w:rPr>
        <w:t>•</w:t>
      </w:r>
      <w:r w:rsidRPr="00062C65">
        <w:rPr>
          <w:szCs w:val="22"/>
          <w:lang w:val="es-ES"/>
        </w:rPr>
        <w:tab/>
      </w:r>
      <w:r w:rsidR="000A5287" w:rsidRPr="00062C65">
        <w:rPr>
          <w:szCs w:val="22"/>
          <w:lang w:val="es-ES"/>
        </w:rPr>
        <w:t>Proyecto de Opinión</w:t>
      </w:r>
      <w:r w:rsidR="00966363" w:rsidRPr="00062C65">
        <w:rPr>
          <w:szCs w:val="22"/>
          <w:lang w:val="es-ES"/>
        </w:rPr>
        <w:t xml:space="preserve"> [5] </w:t>
      </w:r>
      <w:r w:rsidR="000A5287" w:rsidRPr="00062C65">
        <w:rPr>
          <w:szCs w:val="22"/>
          <w:lang w:val="es-ES"/>
        </w:rPr>
        <w:t>del Reino Unido de Gran Bretaña e Irlanda del Norte,</w:t>
      </w:r>
      <w:r w:rsidR="00966363" w:rsidRPr="00062C65">
        <w:rPr>
          <w:szCs w:val="22"/>
          <w:lang w:val="es-ES"/>
        </w:rPr>
        <w:t xml:space="preserve"> </w:t>
      </w:r>
      <w:r w:rsidR="00BC5045" w:rsidRPr="00062C65">
        <w:rPr>
          <w:szCs w:val="22"/>
          <w:lang w:val="es-ES"/>
        </w:rPr>
        <w:t>"</w:t>
      </w:r>
      <w:hyperlink r:id="rId124" w:history="1">
        <w:r w:rsidR="00966363" w:rsidRPr="00062C65">
          <w:rPr>
            <w:rStyle w:val="Hyperlink"/>
            <w:rFonts w:cstheme="minorHAnsi"/>
            <w:szCs w:val="22"/>
            <w:lang w:val="es-ES"/>
          </w:rPr>
          <w:t>Promoting Internet Exchange Points (IXPs) as a long-term solution to advance connectivity</w:t>
        </w:r>
      </w:hyperlink>
      <w:r w:rsidR="00BC5045" w:rsidRPr="00062C65">
        <w:rPr>
          <w:szCs w:val="22"/>
          <w:lang w:val="es-ES"/>
        </w:rPr>
        <w:t>"</w:t>
      </w:r>
      <w:r w:rsidR="00966363" w:rsidRPr="00062C65">
        <w:rPr>
          <w:szCs w:val="22"/>
          <w:lang w:val="es-ES"/>
        </w:rPr>
        <w:t>, rec</w:t>
      </w:r>
      <w:r w:rsidR="000A5287" w:rsidRPr="00062C65">
        <w:rPr>
          <w:szCs w:val="22"/>
          <w:lang w:val="es-ES"/>
        </w:rPr>
        <w:t>ibido el</w:t>
      </w:r>
      <w:r w:rsidR="00062C65" w:rsidRPr="00062C65">
        <w:rPr>
          <w:szCs w:val="22"/>
          <w:lang w:val="es-ES"/>
        </w:rPr>
        <w:t> </w:t>
      </w:r>
      <w:r w:rsidR="000A5287" w:rsidRPr="00062C65">
        <w:rPr>
          <w:szCs w:val="22"/>
          <w:lang w:val="es-ES"/>
        </w:rPr>
        <w:t>5 de octubre de</w:t>
      </w:r>
      <w:r w:rsidR="00966363" w:rsidRPr="00062C65">
        <w:rPr>
          <w:szCs w:val="22"/>
          <w:lang w:val="es-ES"/>
        </w:rPr>
        <w:t xml:space="preserve"> 2012, </w:t>
      </w:r>
      <w:r w:rsidR="000A5287" w:rsidRPr="00062C65">
        <w:rPr>
          <w:szCs w:val="22"/>
          <w:lang w:val="es-ES"/>
        </w:rPr>
        <w:t>disponible en la dirección</w:t>
      </w:r>
      <w:r w:rsidR="00966363" w:rsidRPr="00062C65">
        <w:rPr>
          <w:szCs w:val="22"/>
          <w:lang w:val="es-ES"/>
        </w:rPr>
        <w:t xml:space="preserve"> </w:t>
      </w:r>
      <w:hyperlink r:id="rId125" w:history="1">
        <w:r w:rsidR="00966363" w:rsidRPr="00062C65">
          <w:rPr>
            <w:rStyle w:val="Hyperlink"/>
            <w:rFonts w:cstheme="minorHAnsi"/>
            <w:szCs w:val="22"/>
            <w:lang w:val="es-ES"/>
          </w:rPr>
          <w:t>www.itu.int/md/S12-WTPF13PREP-C-0035/en</w:t>
        </w:r>
      </w:hyperlink>
      <w:r w:rsidR="00844E6E">
        <w:rPr>
          <w:szCs w:val="22"/>
          <w:lang w:val="es-ES"/>
        </w:rPr>
        <w:t>.</w:t>
      </w:r>
    </w:p>
    <w:p w:rsidR="001D67F2" w:rsidRPr="00062C65" w:rsidRDefault="0016466E" w:rsidP="0016466E">
      <w:pPr>
        <w:pStyle w:val="enumlev1"/>
        <w:rPr>
          <w:szCs w:val="22"/>
          <w:lang w:val="es-ES"/>
        </w:rPr>
      </w:pPr>
      <w:r w:rsidRPr="00062C65">
        <w:rPr>
          <w:szCs w:val="22"/>
          <w:lang w:val="es-ES"/>
        </w:rPr>
        <w:t>•</w:t>
      </w:r>
      <w:r w:rsidRPr="00062C65">
        <w:rPr>
          <w:szCs w:val="22"/>
          <w:lang w:val="es-ES"/>
        </w:rPr>
        <w:tab/>
      </w:r>
      <w:r w:rsidR="000A5287" w:rsidRPr="00062C65">
        <w:rPr>
          <w:szCs w:val="22"/>
          <w:lang w:val="es-ES"/>
        </w:rPr>
        <w:t>Proyecto de Opinión</w:t>
      </w:r>
      <w:r w:rsidR="00966363" w:rsidRPr="00062C65">
        <w:rPr>
          <w:szCs w:val="22"/>
          <w:lang w:val="es-ES"/>
        </w:rPr>
        <w:t xml:space="preserve"> [6] </w:t>
      </w:r>
      <w:r w:rsidR="000A5287" w:rsidRPr="00062C65">
        <w:rPr>
          <w:szCs w:val="22"/>
          <w:lang w:val="es-ES"/>
        </w:rPr>
        <w:t>del Reino Unido de Gran Bretaña e Irlanda del Norte,</w:t>
      </w:r>
      <w:r w:rsidR="00966363" w:rsidRPr="00062C65">
        <w:rPr>
          <w:szCs w:val="22"/>
          <w:lang w:val="es-ES"/>
        </w:rPr>
        <w:t xml:space="preserve"> </w:t>
      </w:r>
      <w:r w:rsidR="00BC5045" w:rsidRPr="00062C65">
        <w:rPr>
          <w:szCs w:val="22"/>
          <w:lang w:val="es-ES"/>
        </w:rPr>
        <w:t>"</w:t>
      </w:r>
      <w:hyperlink r:id="rId126" w:history="1">
        <w:r w:rsidR="00966363" w:rsidRPr="00062C65">
          <w:rPr>
            <w:rStyle w:val="Hyperlink"/>
            <w:rFonts w:cstheme="minorHAnsi"/>
            <w:szCs w:val="22"/>
            <w:lang w:val="es-ES"/>
          </w:rPr>
          <w:t>Supporting the inclusivity of communications for all</w:t>
        </w:r>
      </w:hyperlink>
      <w:r w:rsidR="00BC5045" w:rsidRPr="00062C65">
        <w:rPr>
          <w:szCs w:val="22"/>
          <w:lang w:val="es-ES"/>
        </w:rPr>
        <w:t>"</w:t>
      </w:r>
      <w:r w:rsidR="00966363" w:rsidRPr="00062C65">
        <w:rPr>
          <w:szCs w:val="22"/>
          <w:lang w:val="es-ES"/>
        </w:rPr>
        <w:t>, rec</w:t>
      </w:r>
      <w:r w:rsidR="000A5287" w:rsidRPr="00062C65">
        <w:rPr>
          <w:szCs w:val="22"/>
          <w:lang w:val="es-ES"/>
        </w:rPr>
        <w:t>ibido el 5 de octubre de 2012, disponible en la dirección</w:t>
      </w:r>
      <w:r w:rsidR="00966363" w:rsidRPr="00062C65">
        <w:rPr>
          <w:szCs w:val="22"/>
          <w:lang w:val="es-ES"/>
        </w:rPr>
        <w:t xml:space="preserve"> </w:t>
      </w:r>
      <w:hyperlink r:id="rId127" w:history="1">
        <w:r w:rsidR="00966363" w:rsidRPr="00062C65">
          <w:rPr>
            <w:rStyle w:val="Hyperlink"/>
            <w:rFonts w:cstheme="minorHAnsi"/>
            <w:szCs w:val="22"/>
            <w:lang w:val="es-ES"/>
          </w:rPr>
          <w:t>www.itu.int/md/S12-WTPF13PREP-C-0035/en</w:t>
        </w:r>
      </w:hyperlink>
      <w:r w:rsidR="00906BF6" w:rsidRPr="00062C65">
        <w:rPr>
          <w:szCs w:val="22"/>
          <w:lang w:val="es-ES"/>
        </w:rPr>
        <w:t>.</w:t>
      </w:r>
    </w:p>
    <w:p w:rsidR="00322852" w:rsidRPr="00862632" w:rsidRDefault="00322852">
      <w:pPr>
        <w:tabs>
          <w:tab w:val="clear" w:pos="794"/>
          <w:tab w:val="clear" w:pos="1191"/>
          <w:tab w:val="clear" w:pos="1588"/>
          <w:tab w:val="clear" w:pos="1985"/>
        </w:tabs>
        <w:overflowPunct/>
        <w:autoSpaceDE/>
        <w:autoSpaceDN/>
        <w:adjustRightInd/>
        <w:spacing w:before="0"/>
        <w:textAlignment w:val="auto"/>
        <w:rPr>
          <w:rFonts w:asciiTheme="minorHAnsi" w:hAnsiTheme="minorHAnsi" w:cstheme="minorHAnsi"/>
          <w:b/>
          <w:bCs/>
          <w:szCs w:val="24"/>
          <w:lang w:val="es-ES"/>
        </w:rPr>
      </w:pPr>
      <w:r w:rsidRPr="00862632">
        <w:rPr>
          <w:rFonts w:asciiTheme="minorHAnsi" w:hAnsiTheme="minorHAnsi" w:cstheme="minorHAnsi"/>
          <w:b/>
          <w:bCs/>
          <w:szCs w:val="24"/>
          <w:lang w:val="es-ES"/>
        </w:rPr>
        <w:br w:type="page"/>
      </w:r>
    </w:p>
    <w:p w:rsidR="009554F1" w:rsidRPr="00862632" w:rsidRDefault="009554F1" w:rsidP="0016466E">
      <w:pPr>
        <w:pStyle w:val="AnnexNotitle"/>
        <w:rPr>
          <w:lang w:val="es-ES"/>
        </w:rPr>
      </w:pPr>
      <w:r w:rsidRPr="00862632">
        <w:rPr>
          <w:lang w:val="es-ES"/>
        </w:rPr>
        <w:t xml:space="preserve">Anexo </w:t>
      </w:r>
      <w:r w:rsidR="000A5287" w:rsidRPr="00862632">
        <w:rPr>
          <w:lang w:val="es-ES"/>
        </w:rPr>
        <w:t>B</w:t>
      </w:r>
      <w:r w:rsidRPr="00862632">
        <w:rPr>
          <w:lang w:val="es-ES"/>
        </w:rPr>
        <w:t>: Lista de siglas</w:t>
      </w:r>
    </w:p>
    <w:p w:rsidR="00804AEC" w:rsidRPr="00862632" w:rsidRDefault="00804AEC" w:rsidP="0065679A">
      <w:pPr>
        <w:tabs>
          <w:tab w:val="clear" w:pos="794"/>
          <w:tab w:val="clear" w:pos="1191"/>
        </w:tabs>
        <w:rPr>
          <w:rFonts w:asciiTheme="minorHAnsi" w:hAnsiTheme="minorHAnsi" w:cstheme="minorHAnsi"/>
          <w:szCs w:val="22"/>
          <w:lang w:val="es-ES"/>
        </w:rPr>
      </w:pPr>
      <w:r w:rsidRPr="00862632">
        <w:rPr>
          <w:rFonts w:asciiTheme="minorHAnsi" w:hAnsiTheme="minorHAnsi" w:cstheme="minorHAnsi"/>
          <w:szCs w:val="22"/>
          <w:lang w:val="es-ES"/>
        </w:rPr>
        <w:t>AMNT</w:t>
      </w:r>
      <w:r w:rsidRPr="00862632">
        <w:rPr>
          <w:rFonts w:asciiTheme="minorHAnsi" w:hAnsiTheme="minorHAnsi" w:cstheme="minorHAnsi"/>
          <w:szCs w:val="22"/>
          <w:lang w:val="es-ES"/>
        </w:rPr>
        <w:tab/>
        <w:t>Asamblea Mundial de Normalización de las Telecomunicaciones</w:t>
      </w:r>
    </w:p>
    <w:p w:rsidR="00804AEC" w:rsidRPr="00906BF6" w:rsidRDefault="00804AEC" w:rsidP="00906BF6">
      <w:pPr>
        <w:tabs>
          <w:tab w:val="clear" w:pos="794"/>
          <w:tab w:val="clear" w:pos="1191"/>
        </w:tabs>
        <w:rPr>
          <w:rFonts w:asciiTheme="minorHAnsi" w:hAnsiTheme="minorHAnsi" w:cstheme="minorHAnsi"/>
          <w:szCs w:val="22"/>
          <w:lang w:val="es-ES"/>
        </w:rPr>
      </w:pPr>
      <w:r w:rsidRPr="00906BF6">
        <w:rPr>
          <w:rFonts w:asciiTheme="minorHAnsi" w:hAnsiTheme="minorHAnsi" w:cstheme="minorHAnsi"/>
          <w:szCs w:val="22"/>
          <w:lang w:val="es-ES"/>
        </w:rPr>
        <w:t>AP-CERT</w:t>
      </w:r>
      <w:r w:rsidRPr="00906BF6">
        <w:rPr>
          <w:rFonts w:asciiTheme="minorHAnsi" w:hAnsiTheme="minorHAnsi" w:cstheme="minorHAnsi"/>
          <w:szCs w:val="22"/>
          <w:lang w:val="es-ES"/>
        </w:rPr>
        <w:tab/>
        <w:t>Equipo de respuesta para emergencias informáticas de Asia-Pacífico</w:t>
      </w:r>
    </w:p>
    <w:p w:rsidR="00804AEC" w:rsidRPr="00906BF6" w:rsidRDefault="00804AEC" w:rsidP="00906BF6">
      <w:pPr>
        <w:tabs>
          <w:tab w:val="clear" w:pos="794"/>
          <w:tab w:val="clear" w:pos="1191"/>
        </w:tabs>
        <w:rPr>
          <w:rFonts w:asciiTheme="minorHAnsi" w:hAnsiTheme="minorHAnsi" w:cstheme="minorHAnsi"/>
          <w:szCs w:val="22"/>
          <w:lang w:val="es-ES"/>
        </w:rPr>
      </w:pPr>
      <w:r w:rsidRPr="00906BF6">
        <w:rPr>
          <w:rFonts w:asciiTheme="minorHAnsi" w:hAnsiTheme="minorHAnsi" w:cstheme="minorHAnsi"/>
          <w:szCs w:val="22"/>
          <w:lang w:val="es-ES"/>
        </w:rPr>
        <w:t>APEC</w:t>
      </w:r>
      <w:r w:rsidRPr="00906BF6">
        <w:rPr>
          <w:rFonts w:asciiTheme="minorHAnsi" w:hAnsiTheme="minorHAnsi" w:cstheme="minorHAnsi"/>
          <w:szCs w:val="22"/>
          <w:lang w:val="es-ES"/>
        </w:rPr>
        <w:tab/>
        <w:t>Foro de Cooperación Económica Asia-Pacífico</w:t>
      </w:r>
    </w:p>
    <w:p w:rsidR="00804AEC" w:rsidRPr="00862632" w:rsidRDefault="00804AEC" w:rsidP="0065679A">
      <w:pPr>
        <w:tabs>
          <w:tab w:val="clear" w:pos="794"/>
          <w:tab w:val="clear" w:pos="1191"/>
        </w:tabs>
        <w:rPr>
          <w:rFonts w:asciiTheme="minorHAnsi" w:hAnsiTheme="minorHAnsi" w:cstheme="minorHAnsi"/>
          <w:szCs w:val="22"/>
          <w:lang w:val="es-ES"/>
        </w:rPr>
      </w:pPr>
      <w:r w:rsidRPr="00862632">
        <w:rPr>
          <w:rFonts w:asciiTheme="minorHAnsi" w:hAnsiTheme="minorHAnsi" w:cstheme="minorHAnsi"/>
          <w:szCs w:val="22"/>
          <w:lang w:val="es-ES"/>
        </w:rPr>
        <w:t>APNIC</w:t>
      </w:r>
      <w:r w:rsidRPr="00862632">
        <w:rPr>
          <w:rFonts w:asciiTheme="minorHAnsi" w:hAnsiTheme="minorHAnsi" w:cstheme="minorHAnsi"/>
          <w:szCs w:val="22"/>
          <w:lang w:val="es-ES"/>
        </w:rPr>
        <w:tab/>
        <w:t>Asia Pacific Network Information Centre</w:t>
      </w:r>
    </w:p>
    <w:p w:rsidR="00804AEC" w:rsidRPr="00862632" w:rsidRDefault="00804AEC" w:rsidP="0065679A">
      <w:pPr>
        <w:tabs>
          <w:tab w:val="clear" w:pos="794"/>
          <w:tab w:val="clear" w:pos="1191"/>
        </w:tabs>
        <w:rPr>
          <w:rFonts w:asciiTheme="minorHAnsi" w:hAnsiTheme="minorHAnsi" w:cstheme="minorHAnsi"/>
          <w:szCs w:val="22"/>
          <w:lang w:val="es-ES"/>
        </w:rPr>
      </w:pPr>
      <w:r w:rsidRPr="00862632">
        <w:rPr>
          <w:rFonts w:asciiTheme="minorHAnsi" w:hAnsiTheme="minorHAnsi" w:cstheme="minorHAnsi"/>
          <w:szCs w:val="22"/>
          <w:lang w:val="es-ES"/>
        </w:rPr>
        <w:t>ARIN</w:t>
      </w:r>
      <w:r w:rsidRPr="00862632">
        <w:rPr>
          <w:rFonts w:asciiTheme="minorHAnsi" w:hAnsiTheme="minorHAnsi" w:cstheme="minorHAnsi"/>
          <w:szCs w:val="22"/>
          <w:lang w:val="es-ES"/>
        </w:rPr>
        <w:tab/>
        <w:t>Registro americano de números Internet</w:t>
      </w:r>
    </w:p>
    <w:p w:rsidR="00804AEC" w:rsidRPr="00862632" w:rsidRDefault="00804AEC" w:rsidP="0065679A">
      <w:pPr>
        <w:tabs>
          <w:tab w:val="clear" w:pos="794"/>
          <w:tab w:val="clear" w:pos="1191"/>
        </w:tabs>
        <w:rPr>
          <w:rFonts w:asciiTheme="minorHAnsi" w:hAnsiTheme="minorHAnsi" w:cstheme="minorHAnsi"/>
          <w:szCs w:val="22"/>
          <w:lang w:val="es-ES"/>
        </w:rPr>
      </w:pPr>
      <w:r w:rsidRPr="00862632">
        <w:rPr>
          <w:rFonts w:asciiTheme="minorHAnsi" w:hAnsiTheme="minorHAnsi" w:cstheme="minorHAnsi"/>
          <w:szCs w:val="22"/>
          <w:lang w:val="es-ES"/>
        </w:rPr>
        <w:t xml:space="preserve">ARPANET </w:t>
      </w:r>
      <w:r w:rsidRPr="00862632">
        <w:rPr>
          <w:rFonts w:asciiTheme="minorHAnsi" w:hAnsiTheme="minorHAnsi" w:cstheme="minorHAnsi"/>
          <w:szCs w:val="22"/>
          <w:lang w:val="es-ES"/>
        </w:rPr>
        <w:tab/>
        <w:t xml:space="preserve">Advanced Research Projects Agency Network </w:t>
      </w:r>
    </w:p>
    <w:p w:rsidR="00804AEC" w:rsidRPr="00906BF6" w:rsidRDefault="00804AEC" w:rsidP="00906BF6">
      <w:pPr>
        <w:tabs>
          <w:tab w:val="clear" w:pos="794"/>
          <w:tab w:val="clear" w:pos="1191"/>
        </w:tabs>
        <w:rPr>
          <w:rFonts w:asciiTheme="minorHAnsi" w:hAnsiTheme="minorHAnsi" w:cstheme="minorHAnsi"/>
          <w:szCs w:val="22"/>
          <w:lang w:val="es-ES"/>
        </w:rPr>
      </w:pPr>
      <w:r w:rsidRPr="00906BF6">
        <w:rPr>
          <w:rFonts w:asciiTheme="minorHAnsi" w:hAnsiTheme="minorHAnsi" w:cstheme="minorHAnsi"/>
          <w:szCs w:val="22"/>
          <w:lang w:val="es-ES"/>
        </w:rPr>
        <w:t>AS</w:t>
      </w:r>
      <w:r w:rsidRPr="00906BF6">
        <w:rPr>
          <w:rFonts w:asciiTheme="minorHAnsi" w:hAnsiTheme="minorHAnsi" w:cstheme="minorHAnsi"/>
          <w:szCs w:val="22"/>
          <w:lang w:val="es-ES"/>
        </w:rPr>
        <w:tab/>
        <w:t>Sistema autónomo</w:t>
      </w:r>
    </w:p>
    <w:p w:rsidR="00804AEC" w:rsidRPr="00906BF6" w:rsidRDefault="00804AEC" w:rsidP="00906BF6">
      <w:pPr>
        <w:tabs>
          <w:tab w:val="clear" w:pos="794"/>
          <w:tab w:val="clear" w:pos="1191"/>
        </w:tabs>
        <w:ind w:left="1588" w:hanging="1588"/>
        <w:rPr>
          <w:rFonts w:asciiTheme="minorHAnsi" w:hAnsiTheme="minorHAnsi" w:cstheme="minorHAnsi"/>
          <w:szCs w:val="22"/>
          <w:lang w:val="es-ES"/>
        </w:rPr>
      </w:pPr>
      <w:r w:rsidRPr="00906BF6">
        <w:rPr>
          <w:rFonts w:asciiTheme="minorHAnsi" w:hAnsiTheme="minorHAnsi" w:cstheme="minorHAnsi"/>
          <w:szCs w:val="22"/>
          <w:lang w:val="es-ES"/>
        </w:rPr>
        <w:t>BGRD</w:t>
      </w:r>
      <w:r w:rsidRPr="00906BF6">
        <w:rPr>
          <w:rFonts w:asciiTheme="minorHAnsi" w:hAnsiTheme="minorHAnsi" w:cstheme="minorHAnsi"/>
          <w:szCs w:val="22"/>
          <w:lang w:val="es-ES"/>
        </w:rPr>
        <w:tab/>
        <w:t>Grupo de Trabajo sobre la aplicación de las recomendaciones del Consejo de Administración-GAC</w:t>
      </w:r>
    </w:p>
    <w:p w:rsidR="00804AEC" w:rsidRPr="00862632" w:rsidRDefault="00804AEC" w:rsidP="0065679A">
      <w:pPr>
        <w:tabs>
          <w:tab w:val="clear" w:pos="794"/>
          <w:tab w:val="clear" w:pos="1191"/>
        </w:tabs>
        <w:rPr>
          <w:rFonts w:asciiTheme="minorHAnsi" w:hAnsiTheme="minorHAnsi" w:cstheme="minorHAnsi"/>
          <w:szCs w:val="22"/>
          <w:lang w:val="es-ES"/>
        </w:rPr>
      </w:pPr>
      <w:r w:rsidRPr="00862632">
        <w:rPr>
          <w:rFonts w:asciiTheme="minorHAnsi" w:hAnsiTheme="minorHAnsi" w:cstheme="minorHAnsi"/>
          <w:szCs w:val="22"/>
          <w:lang w:val="es-ES"/>
        </w:rPr>
        <w:t>ccTLD</w:t>
      </w:r>
      <w:r w:rsidRPr="00862632">
        <w:rPr>
          <w:rFonts w:asciiTheme="minorHAnsi" w:hAnsiTheme="minorHAnsi" w:cstheme="minorHAnsi"/>
          <w:szCs w:val="22"/>
          <w:lang w:val="es-ES"/>
        </w:rPr>
        <w:tab/>
        <w:t>Dominio de nivel superior de indicativo de país</w:t>
      </w:r>
    </w:p>
    <w:p w:rsidR="00804AEC" w:rsidRPr="00862632" w:rsidRDefault="00804AEC" w:rsidP="0065679A">
      <w:pPr>
        <w:tabs>
          <w:tab w:val="clear" w:pos="794"/>
          <w:tab w:val="clear" w:pos="1191"/>
        </w:tabs>
        <w:rPr>
          <w:rFonts w:asciiTheme="minorHAnsi" w:hAnsiTheme="minorHAnsi" w:cstheme="minorHAnsi"/>
          <w:szCs w:val="22"/>
          <w:lang w:val="es-ES"/>
        </w:rPr>
      </w:pPr>
      <w:r w:rsidRPr="00862632">
        <w:rPr>
          <w:rFonts w:asciiTheme="minorHAnsi" w:hAnsiTheme="minorHAnsi" w:cstheme="minorHAnsi"/>
          <w:szCs w:val="22"/>
          <w:lang w:val="es-ES"/>
        </w:rPr>
        <w:t>CMDT</w:t>
      </w:r>
      <w:r w:rsidRPr="00862632">
        <w:rPr>
          <w:rFonts w:asciiTheme="minorHAnsi" w:hAnsiTheme="minorHAnsi" w:cstheme="minorHAnsi"/>
          <w:szCs w:val="22"/>
          <w:lang w:val="es-ES"/>
        </w:rPr>
        <w:tab/>
        <w:t>Conferencia Mundial de Desarrollo de las Telecomunicaciones</w:t>
      </w:r>
    </w:p>
    <w:p w:rsidR="00804AEC" w:rsidRPr="00862632" w:rsidRDefault="00804AEC" w:rsidP="0065679A">
      <w:pPr>
        <w:tabs>
          <w:tab w:val="clear" w:pos="794"/>
          <w:tab w:val="clear" w:pos="1191"/>
        </w:tabs>
        <w:rPr>
          <w:rFonts w:asciiTheme="minorHAnsi" w:hAnsiTheme="minorHAnsi" w:cstheme="minorHAnsi"/>
          <w:szCs w:val="22"/>
          <w:lang w:val="es-ES"/>
        </w:rPr>
      </w:pPr>
      <w:r w:rsidRPr="00862632">
        <w:rPr>
          <w:rFonts w:asciiTheme="minorHAnsi" w:hAnsiTheme="minorHAnsi" w:cstheme="minorHAnsi"/>
          <w:szCs w:val="22"/>
          <w:lang w:val="es-ES"/>
        </w:rPr>
        <w:t>CMSI</w:t>
      </w:r>
      <w:r w:rsidRPr="00862632">
        <w:rPr>
          <w:rFonts w:asciiTheme="minorHAnsi" w:hAnsiTheme="minorHAnsi" w:cstheme="minorHAnsi"/>
          <w:szCs w:val="22"/>
          <w:lang w:val="es-ES"/>
        </w:rPr>
        <w:tab/>
        <w:t>Cumbre Mundial sobre la Sociedad de la Información</w:t>
      </w:r>
    </w:p>
    <w:p w:rsidR="00804AEC" w:rsidRPr="00862632" w:rsidRDefault="00804AEC" w:rsidP="0065679A">
      <w:pPr>
        <w:tabs>
          <w:tab w:val="clear" w:pos="794"/>
          <w:tab w:val="clear" w:pos="1191"/>
        </w:tabs>
        <w:rPr>
          <w:rFonts w:asciiTheme="minorHAnsi" w:hAnsiTheme="minorHAnsi" w:cstheme="minorHAnsi"/>
          <w:szCs w:val="22"/>
          <w:lang w:val="es-ES"/>
        </w:rPr>
      </w:pPr>
      <w:r w:rsidRPr="00862632">
        <w:rPr>
          <w:rFonts w:asciiTheme="minorHAnsi" w:hAnsiTheme="minorHAnsi" w:cstheme="minorHAnsi"/>
          <w:szCs w:val="22"/>
          <w:lang w:val="es-ES"/>
        </w:rPr>
        <w:t>CWG</w:t>
      </w:r>
      <w:r w:rsidRPr="00862632">
        <w:rPr>
          <w:rFonts w:asciiTheme="minorHAnsi" w:hAnsiTheme="minorHAnsi" w:cstheme="minorHAnsi"/>
          <w:szCs w:val="22"/>
          <w:lang w:val="es-ES"/>
        </w:rPr>
        <w:tab/>
        <w:t>Grupo de Trabajo del Consejo de la UIT</w:t>
      </w:r>
    </w:p>
    <w:p w:rsidR="00804AEC" w:rsidRPr="00862632" w:rsidRDefault="00804AEC" w:rsidP="0065679A">
      <w:pPr>
        <w:tabs>
          <w:tab w:val="clear" w:pos="794"/>
          <w:tab w:val="clear" w:pos="1191"/>
        </w:tabs>
        <w:ind w:left="1588" w:hanging="1588"/>
        <w:rPr>
          <w:rFonts w:asciiTheme="minorHAnsi" w:hAnsiTheme="minorHAnsi" w:cstheme="minorHAnsi"/>
          <w:szCs w:val="22"/>
          <w:lang w:val="es-ES"/>
        </w:rPr>
      </w:pPr>
      <w:r w:rsidRPr="00862632">
        <w:rPr>
          <w:rFonts w:asciiTheme="minorHAnsi" w:hAnsiTheme="minorHAnsi" w:cstheme="minorHAnsi"/>
          <w:szCs w:val="22"/>
          <w:lang w:val="es-ES"/>
        </w:rPr>
        <w:t xml:space="preserve">CWG-Internet </w:t>
      </w:r>
      <w:r w:rsidRPr="00862632">
        <w:rPr>
          <w:rFonts w:asciiTheme="minorHAnsi" w:hAnsiTheme="minorHAnsi" w:cstheme="minorHAnsi"/>
          <w:szCs w:val="22"/>
          <w:lang w:val="es-ES"/>
        </w:rPr>
        <w:tab/>
        <w:t>Grupo de Trabajo del Consejo sobre cuestiones de política pública internacional relacionadas con Internet</w:t>
      </w:r>
    </w:p>
    <w:p w:rsidR="00804AEC" w:rsidRPr="00862632" w:rsidRDefault="00804AEC" w:rsidP="0065679A">
      <w:pPr>
        <w:tabs>
          <w:tab w:val="clear" w:pos="794"/>
          <w:tab w:val="clear" w:pos="1191"/>
        </w:tabs>
        <w:rPr>
          <w:rFonts w:asciiTheme="minorHAnsi" w:hAnsiTheme="minorHAnsi" w:cstheme="minorHAnsi"/>
          <w:szCs w:val="22"/>
          <w:lang w:val="es-ES"/>
        </w:rPr>
      </w:pPr>
      <w:r w:rsidRPr="00862632">
        <w:rPr>
          <w:rFonts w:asciiTheme="minorHAnsi" w:hAnsiTheme="minorHAnsi" w:cstheme="minorHAnsi"/>
          <w:szCs w:val="22"/>
          <w:lang w:val="es-ES"/>
        </w:rPr>
        <w:t>DNS</w:t>
      </w:r>
      <w:r w:rsidRPr="00862632">
        <w:rPr>
          <w:rFonts w:asciiTheme="minorHAnsi" w:hAnsiTheme="minorHAnsi" w:cstheme="minorHAnsi"/>
          <w:szCs w:val="22"/>
          <w:lang w:val="es-ES"/>
        </w:rPr>
        <w:tab/>
        <w:t>Sistema de Nombres de Dominio</w:t>
      </w:r>
    </w:p>
    <w:p w:rsidR="00804AEC" w:rsidRPr="00862632" w:rsidRDefault="00804AEC" w:rsidP="0065679A">
      <w:pPr>
        <w:tabs>
          <w:tab w:val="clear" w:pos="794"/>
          <w:tab w:val="clear" w:pos="1191"/>
        </w:tabs>
        <w:rPr>
          <w:rFonts w:asciiTheme="minorHAnsi" w:hAnsiTheme="minorHAnsi" w:cstheme="minorHAnsi"/>
          <w:szCs w:val="22"/>
          <w:lang w:val="es-ES"/>
        </w:rPr>
      </w:pPr>
      <w:r w:rsidRPr="00862632">
        <w:rPr>
          <w:rFonts w:asciiTheme="minorHAnsi" w:hAnsiTheme="minorHAnsi" w:cstheme="minorHAnsi"/>
          <w:szCs w:val="22"/>
          <w:lang w:val="es-ES"/>
        </w:rPr>
        <w:t>DNSSEC</w:t>
      </w:r>
      <w:r w:rsidRPr="00862632">
        <w:rPr>
          <w:rFonts w:asciiTheme="minorHAnsi" w:hAnsiTheme="minorHAnsi" w:cstheme="minorHAnsi"/>
          <w:szCs w:val="22"/>
          <w:lang w:val="es-ES"/>
        </w:rPr>
        <w:tab/>
        <w:t>Conjunto de extensiones de seguridad del DNS</w:t>
      </w:r>
    </w:p>
    <w:p w:rsidR="00804AEC" w:rsidRPr="00862632" w:rsidRDefault="00804AEC" w:rsidP="0065679A">
      <w:pPr>
        <w:tabs>
          <w:tab w:val="clear" w:pos="794"/>
          <w:tab w:val="clear" w:pos="1191"/>
        </w:tabs>
        <w:rPr>
          <w:rFonts w:asciiTheme="minorHAnsi" w:hAnsiTheme="minorHAnsi" w:cstheme="minorHAnsi"/>
          <w:szCs w:val="22"/>
          <w:lang w:val="es-ES"/>
        </w:rPr>
      </w:pPr>
      <w:r w:rsidRPr="00862632">
        <w:rPr>
          <w:rFonts w:asciiTheme="minorHAnsi" w:hAnsiTheme="minorHAnsi" w:cstheme="minorHAnsi"/>
          <w:szCs w:val="22"/>
          <w:lang w:val="es-ES"/>
        </w:rPr>
        <w:t>DoD</w:t>
      </w:r>
      <w:r w:rsidRPr="00862632">
        <w:rPr>
          <w:rFonts w:asciiTheme="minorHAnsi" w:hAnsiTheme="minorHAnsi" w:cstheme="minorHAnsi"/>
          <w:szCs w:val="22"/>
          <w:lang w:val="es-ES"/>
        </w:rPr>
        <w:tab/>
        <w:t>Departamento de Defensa de EE.UU.</w:t>
      </w:r>
    </w:p>
    <w:p w:rsidR="00804AEC" w:rsidRPr="00862632" w:rsidRDefault="00804AEC" w:rsidP="0065679A">
      <w:pPr>
        <w:tabs>
          <w:tab w:val="clear" w:pos="794"/>
          <w:tab w:val="clear" w:pos="1191"/>
        </w:tabs>
        <w:rPr>
          <w:rFonts w:asciiTheme="minorHAnsi" w:hAnsiTheme="minorHAnsi" w:cstheme="minorHAnsi"/>
          <w:szCs w:val="22"/>
          <w:lang w:val="es-ES"/>
        </w:rPr>
      </w:pPr>
      <w:r w:rsidRPr="00862632">
        <w:rPr>
          <w:rFonts w:asciiTheme="minorHAnsi" w:hAnsiTheme="minorHAnsi" w:cstheme="minorHAnsi"/>
          <w:szCs w:val="22"/>
          <w:lang w:val="es-ES"/>
        </w:rPr>
        <w:t>FGI</w:t>
      </w:r>
      <w:r w:rsidRPr="00862632">
        <w:rPr>
          <w:rFonts w:asciiTheme="minorHAnsi" w:hAnsiTheme="minorHAnsi" w:cstheme="minorHAnsi"/>
          <w:szCs w:val="22"/>
          <w:lang w:val="es-ES"/>
        </w:rPr>
        <w:tab/>
        <w:t>Foro sobre el Gobierno de Internet</w:t>
      </w:r>
    </w:p>
    <w:p w:rsidR="00804AEC" w:rsidRPr="00862632" w:rsidRDefault="00804AEC" w:rsidP="0065679A">
      <w:pPr>
        <w:tabs>
          <w:tab w:val="clear" w:pos="794"/>
          <w:tab w:val="clear" w:pos="1191"/>
        </w:tabs>
        <w:rPr>
          <w:rFonts w:asciiTheme="minorHAnsi" w:hAnsiTheme="minorHAnsi" w:cstheme="minorHAnsi"/>
          <w:szCs w:val="22"/>
          <w:lang w:val="es-ES"/>
        </w:rPr>
      </w:pPr>
      <w:r w:rsidRPr="00862632">
        <w:rPr>
          <w:rFonts w:asciiTheme="minorHAnsi" w:hAnsiTheme="minorHAnsi" w:cstheme="minorHAnsi"/>
          <w:szCs w:val="22"/>
          <w:lang w:val="es-ES"/>
        </w:rPr>
        <w:t>FIND</w:t>
      </w:r>
      <w:r w:rsidRPr="00862632">
        <w:rPr>
          <w:rFonts w:asciiTheme="minorHAnsi" w:hAnsiTheme="minorHAnsi" w:cstheme="minorHAnsi"/>
          <w:szCs w:val="22"/>
          <w:lang w:val="es-ES"/>
        </w:rPr>
        <w:tab/>
        <w:t>Diseño de la Internet futura</w:t>
      </w:r>
    </w:p>
    <w:p w:rsidR="00804AEC" w:rsidRPr="00862632" w:rsidRDefault="00804AEC" w:rsidP="0065679A">
      <w:pPr>
        <w:tabs>
          <w:tab w:val="clear" w:pos="794"/>
          <w:tab w:val="clear" w:pos="1191"/>
        </w:tabs>
        <w:rPr>
          <w:rFonts w:asciiTheme="minorHAnsi" w:hAnsiTheme="minorHAnsi" w:cstheme="minorHAnsi"/>
          <w:szCs w:val="22"/>
          <w:lang w:val="es-ES"/>
        </w:rPr>
      </w:pPr>
      <w:r w:rsidRPr="00862632">
        <w:rPr>
          <w:rFonts w:asciiTheme="minorHAnsi" w:hAnsiTheme="minorHAnsi" w:cstheme="minorHAnsi"/>
          <w:szCs w:val="22"/>
          <w:lang w:val="es-ES"/>
        </w:rPr>
        <w:t>FIRE</w:t>
      </w:r>
      <w:r w:rsidRPr="00862632">
        <w:rPr>
          <w:rFonts w:asciiTheme="minorHAnsi" w:hAnsiTheme="minorHAnsi" w:cstheme="minorHAnsi"/>
          <w:szCs w:val="22"/>
          <w:lang w:val="es-ES"/>
        </w:rPr>
        <w:tab/>
        <w:t>Investigación y experimentación de la futura Internet en la Unión Europea</w:t>
      </w:r>
    </w:p>
    <w:p w:rsidR="00804AEC" w:rsidRPr="00906BF6" w:rsidRDefault="00804AEC" w:rsidP="00906BF6">
      <w:pPr>
        <w:tabs>
          <w:tab w:val="clear" w:pos="794"/>
          <w:tab w:val="clear" w:pos="1191"/>
        </w:tabs>
        <w:rPr>
          <w:rFonts w:asciiTheme="minorHAnsi" w:hAnsiTheme="minorHAnsi" w:cstheme="minorHAnsi"/>
          <w:szCs w:val="22"/>
          <w:lang w:val="es-ES"/>
        </w:rPr>
      </w:pPr>
      <w:r w:rsidRPr="00906BF6">
        <w:rPr>
          <w:rFonts w:asciiTheme="minorHAnsi" w:hAnsiTheme="minorHAnsi" w:cstheme="minorHAnsi"/>
          <w:szCs w:val="22"/>
          <w:lang w:val="es-ES"/>
        </w:rPr>
        <w:t>FIRST</w:t>
      </w:r>
      <w:r w:rsidRPr="00906BF6">
        <w:rPr>
          <w:rFonts w:asciiTheme="minorHAnsi" w:hAnsiTheme="minorHAnsi" w:cstheme="minorHAnsi"/>
          <w:szCs w:val="22"/>
          <w:lang w:val="es-ES"/>
        </w:rPr>
        <w:tab/>
        <w:t>Foro de los equipos de respuesta en caso de incidentes de seguridad</w:t>
      </w:r>
    </w:p>
    <w:p w:rsidR="00804AEC" w:rsidRPr="00862632" w:rsidRDefault="00804AEC" w:rsidP="0065679A">
      <w:pPr>
        <w:tabs>
          <w:tab w:val="clear" w:pos="794"/>
          <w:tab w:val="clear" w:pos="1191"/>
        </w:tabs>
        <w:rPr>
          <w:rFonts w:asciiTheme="minorHAnsi" w:hAnsiTheme="minorHAnsi" w:cstheme="minorHAnsi"/>
          <w:szCs w:val="22"/>
          <w:lang w:val="es-ES"/>
        </w:rPr>
      </w:pPr>
      <w:r w:rsidRPr="00862632">
        <w:rPr>
          <w:rFonts w:asciiTheme="minorHAnsi" w:hAnsiTheme="minorHAnsi" w:cstheme="minorHAnsi"/>
          <w:szCs w:val="22"/>
          <w:lang w:val="es-ES"/>
        </w:rPr>
        <w:t>FMPT</w:t>
      </w:r>
      <w:r w:rsidRPr="00862632">
        <w:rPr>
          <w:rFonts w:asciiTheme="minorHAnsi" w:hAnsiTheme="minorHAnsi" w:cstheme="minorHAnsi"/>
          <w:szCs w:val="22"/>
          <w:lang w:val="es-ES"/>
        </w:rPr>
        <w:tab/>
        <w:t>Foro Mundial de Política de las Telecomunicaciones/TIC</w:t>
      </w:r>
    </w:p>
    <w:p w:rsidR="00804AEC" w:rsidRPr="00862632" w:rsidRDefault="00804AEC" w:rsidP="0065679A">
      <w:pPr>
        <w:tabs>
          <w:tab w:val="clear" w:pos="794"/>
          <w:tab w:val="clear" w:pos="1191"/>
        </w:tabs>
        <w:rPr>
          <w:rFonts w:asciiTheme="minorHAnsi" w:hAnsiTheme="minorHAnsi" w:cstheme="minorHAnsi"/>
          <w:szCs w:val="22"/>
          <w:lang w:val="es-ES"/>
        </w:rPr>
      </w:pPr>
      <w:r w:rsidRPr="00862632">
        <w:rPr>
          <w:rFonts w:asciiTheme="minorHAnsi" w:hAnsiTheme="minorHAnsi" w:cstheme="minorHAnsi"/>
          <w:szCs w:val="22"/>
          <w:lang w:val="es-ES"/>
        </w:rPr>
        <w:t>GAC</w:t>
      </w:r>
      <w:r w:rsidRPr="00862632">
        <w:rPr>
          <w:rFonts w:asciiTheme="minorHAnsi" w:hAnsiTheme="minorHAnsi" w:cstheme="minorHAnsi"/>
          <w:szCs w:val="22"/>
          <w:lang w:val="es-ES"/>
        </w:rPr>
        <w:tab/>
        <w:t>Comité Asesor Gubernamental</w:t>
      </w:r>
    </w:p>
    <w:p w:rsidR="00804AEC" w:rsidRPr="00862632" w:rsidRDefault="00804AEC" w:rsidP="00322852">
      <w:pPr>
        <w:tabs>
          <w:tab w:val="clear" w:pos="794"/>
          <w:tab w:val="clear" w:pos="1191"/>
        </w:tabs>
        <w:rPr>
          <w:rFonts w:asciiTheme="minorHAnsi" w:hAnsiTheme="minorHAnsi" w:cstheme="minorHAnsi"/>
          <w:szCs w:val="22"/>
          <w:lang w:val="es-ES"/>
        </w:rPr>
      </w:pPr>
      <w:r w:rsidRPr="00862632">
        <w:rPr>
          <w:rFonts w:asciiTheme="minorHAnsi" w:hAnsiTheme="minorHAnsi" w:cstheme="minorHAnsi"/>
          <w:szCs w:val="22"/>
          <w:lang w:val="es-ES"/>
        </w:rPr>
        <w:t>GDP</w:t>
      </w:r>
      <w:r w:rsidRPr="00862632">
        <w:rPr>
          <w:rFonts w:asciiTheme="minorHAnsi" w:hAnsiTheme="minorHAnsi" w:cstheme="minorHAnsi"/>
          <w:szCs w:val="22"/>
          <w:lang w:val="es-ES"/>
        </w:rPr>
        <w:tab/>
        <w:t>Gross Domestic Product</w:t>
      </w:r>
    </w:p>
    <w:p w:rsidR="00804AEC" w:rsidRPr="00862632" w:rsidRDefault="00804AEC" w:rsidP="0065679A">
      <w:pPr>
        <w:tabs>
          <w:tab w:val="clear" w:pos="794"/>
          <w:tab w:val="clear" w:pos="1191"/>
        </w:tabs>
        <w:rPr>
          <w:rFonts w:asciiTheme="minorHAnsi" w:hAnsiTheme="minorHAnsi" w:cstheme="minorHAnsi"/>
          <w:szCs w:val="22"/>
          <w:lang w:val="es-ES"/>
        </w:rPr>
      </w:pPr>
      <w:r w:rsidRPr="00862632">
        <w:rPr>
          <w:rFonts w:asciiTheme="minorHAnsi" w:hAnsiTheme="minorHAnsi" w:cstheme="minorHAnsi"/>
          <w:szCs w:val="22"/>
          <w:lang w:val="es-ES"/>
        </w:rPr>
        <w:t>GENI</w:t>
      </w:r>
      <w:r w:rsidRPr="00862632">
        <w:rPr>
          <w:rFonts w:asciiTheme="minorHAnsi" w:hAnsiTheme="minorHAnsi" w:cstheme="minorHAnsi"/>
          <w:szCs w:val="22"/>
          <w:lang w:val="es-ES"/>
        </w:rPr>
        <w:tab/>
        <w:t>Entorno Mundial para las Innovaciones de Red</w:t>
      </w:r>
    </w:p>
    <w:p w:rsidR="00804AEC" w:rsidRPr="00906BF6" w:rsidRDefault="00804AEC" w:rsidP="00906BF6">
      <w:pPr>
        <w:tabs>
          <w:tab w:val="clear" w:pos="794"/>
          <w:tab w:val="clear" w:pos="1191"/>
        </w:tabs>
        <w:rPr>
          <w:rFonts w:asciiTheme="minorHAnsi" w:hAnsiTheme="minorHAnsi" w:cstheme="minorHAnsi"/>
          <w:szCs w:val="22"/>
          <w:lang w:val="es-ES"/>
        </w:rPr>
      </w:pPr>
      <w:r w:rsidRPr="00906BF6">
        <w:rPr>
          <w:rFonts w:asciiTheme="minorHAnsi" w:hAnsiTheme="minorHAnsi" w:cstheme="minorHAnsi"/>
          <w:szCs w:val="22"/>
          <w:lang w:val="es-ES"/>
        </w:rPr>
        <w:t>GGE</w:t>
      </w:r>
      <w:r w:rsidRPr="00906BF6">
        <w:rPr>
          <w:rFonts w:asciiTheme="minorHAnsi" w:hAnsiTheme="minorHAnsi" w:cstheme="minorHAnsi"/>
          <w:szCs w:val="22"/>
          <w:lang w:val="es-ES"/>
        </w:rPr>
        <w:tab/>
        <w:t>Grupo de Expertos Gubernamentales de la Asamblea General de las Naciones Unidas</w:t>
      </w:r>
    </w:p>
    <w:p w:rsidR="00804AEC" w:rsidRPr="00862632" w:rsidRDefault="00804AEC" w:rsidP="0065679A">
      <w:pPr>
        <w:tabs>
          <w:tab w:val="clear" w:pos="794"/>
          <w:tab w:val="clear" w:pos="1191"/>
        </w:tabs>
        <w:rPr>
          <w:rFonts w:asciiTheme="minorHAnsi" w:hAnsiTheme="minorHAnsi" w:cstheme="minorHAnsi"/>
          <w:szCs w:val="22"/>
          <w:lang w:val="es-ES"/>
        </w:rPr>
      </w:pPr>
      <w:r w:rsidRPr="00862632">
        <w:rPr>
          <w:rFonts w:asciiTheme="minorHAnsi" w:hAnsiTheme="minorHAnsi" w:cstheme="minorHAnsi"/>
          <w:szCs w:val="22"/>
          <w:lang w:val="es-ES"/>
        </w:rPr>
        <w:t>GTGI</w:t>
      </w:r>
      <w:r w:rsidRPr="00862632">
        <w:rPr>
          <w:rFonts w:asciiTheme="minorHAnsi" w:hAnsiTheme="minorHAnsi" w:cstheme="minorHAnsi"/>
          <w:szCs w:val="22"/>
          <w:lang w:val="es-ES"/>
        </w:rPr>
        <w:tab/>
        <w:t>Grupo de Trabajo sobre el Gobierno de Internet</w:t>
      </w:r>
    </w:p>
    <w:p w:rsidR="00804AEC" w:rsidRPr="00862632" w:rsidRDefault="00804AEC" w:rsidP="0065679A">
      <w:pPr>
        <w:tabs>
          <w:tab w:val="clear" w:pos="794"/>
          <w:tab w:val="clear" w:pos="1191"/>
        </w:tabs>
        <w:rPr>
          <w:rFonts w:asciiTheme="minorHAnsi" w:hAnsiTheme="minorHAnsi" w:cstheme="minorHAnsi"/>
          <w:szCs w:val="22"/>
          <w:lang w:val="es-ES"/>
        </w:rPr>
      </w:pPr>
      <w:r w:rsidRPr="00862632">
        <w:rPr>
          <w:rFonts w:asciiTheme="minorHAnsi" w:hAnsiTheme="minorHAnsi" w:cstheme="minorHAnsi"/>
          <w:szCs w:val="22"/>
          <w:lang w:val="es-ES"/>
        </w:rPr>
        <w:t>gTLD</w:t>
      </w:r>
      <w:r w:rsidRPr="00862632">
        <w:rPr>
          <w:rFonts w:asciiTheme="minorHAnsi" w:hAnsiTheme="minorHAnsi" w:cstheme="minorHAnsi"/>
          <w:szCs w:val="22"/>
          <w:lang w:val="es-ES"/>
        </w:rPr>
        <w:tab/>
        <w:t>Dominio de nivel superior genérico</w:t>
      </w:r>
    </w:p>
    <w:p w:rsidR="00804AEC" w:rsidRPr="00862632" w:rsidRDefault="00804AEC" w:rsidP="0065679A">
      <w:pPr>
        <w:tabs>
          <w:tab w:val="clear" w:pos="794"/>
          <w:tab w:val="clear" w:pos="1191"/>
        </w:tabs>
        <w:rPr>
          <w:rFonts w:asciiTheme="minorHAnsi" w:hAnsiTheme="minorHAnsi" w:cstheme="minorHAnsi"/>
          <w:szCs w:val="22"/>
          <w:lang w:val="es-ES"/>
        </w:rPr>
      </w:pPr>
      <w:r w:rsidRPr="00862632">
        <w:rPr>
          <w:rFonts w:asciiTheme="minorHAnsi" w:hAnsiTheme="minorHAnsi" w:cstheme="minorHAnsi"/>
          <w:szCs w:val="22"/>
          <w:lang w:val="es-ES"/>
        </w:rPr>
        <w:t>IANA</w:t>
      </w:r>
      <w:r w:rsidRPr="00862632">
        <w:rPr>
          <w:rFonts w:asciiTheme="minorHAnsi" w:hAnsiTheme="minorHAnsi" w:cstheme="minorHAnsi"/>
          <w:szCs w:val="22"/>
          <w:lang w:val="es-ES"/>
        </w:rPr>
        <w:tab/>
        <w:t>Organismo de Asignación de Números Internet</w:t>
      </w:r>
    </w:p>
    <w:p w:rsidR="00804AEC" w:rsidRPr="00862632" w:rsidRDefault="00804AEC" w:rsidP="0065679A">
      <w:pPr>
        <w:tabs>
          <w:tab w:val="clear" w:pos="794"/>
          <w:tab w:val="clear" w:pos="1191"/>
        </w:tabs>
        <w:rPr>
          <w:rFonts w:asciiTheme="minorHAnsi" w:hAnsiTheme="minorHAnsi" w:cstheme="minorHAnsi"/>
          <w:szCs w:val="22"/>
          <w:lang w:val="es-ES"/>
        </w:rPr>
      </w:pPr>
      <w:r w:rsidRPr="00862632">
        <w:rPr>
          <w:rFonts w:asciiTheme="minorHAnsi" w:hAnsiTheme="minorHAnsi" w:cstheme="minorHAnsi"/>
          <w:szCs w:val="22"/>
          <w:lang w:val="es-ES"/>
        </w:rPr>
        <w:t>ICANN</w:t>
      </w:r>
      <w:r w:rsidRPr="00862632">
        <w:rPr>
          <w:rFonts w:asciiTheme="minorHAnsi" w:hAnsiTheme="minorHAnsi" w:cstheme="minorHAnsi"/>
          <w:szCs w:val="22"/>
          <w:lang w:val="es-ES"/>
        </w:rPr>
        <w:tab/>
        <w:t>Corporación de Internet para la Asignación de Nombres y de Números</w:t>
      </w:r>
    </w:p>
    <w:p w:rsidR="00804AEC" w:rsidRPr="00862632" w:rsidRDefault="00804AEC" w:rsidP="0065679A">
      <w:pPr>
        <w:tabs>
          <w:tab w:val="clear" w:pos="794"/>
          <w:tab w:val="clear" w:pos="1191"/>
        </w:tabs>
        <w:rPr>
          <w:rFonts w:asciiTheme="minorHAnsi" w:hAnsiTheme="minorHAnsi" w:cstheme="minorHAnsi"/>
          <w:szCs w:val="22"/>
          <w:lang w:val="es-ES"/>
        </w:rPr>
      </w:pPr>
      <w:r w:rsidRPr="00862632">
        <w:rPr>
          <w:rFonts w:asciiTheme="minorHAnsi" w:hAnsiTheme="minorHAnsi" w:cstheme="minorHAnsi"/>
          <w:szCs w:val="22"/>
          <w:lang w:val="es-ES"/>
        </w:rPr>
        <w:t>IDN</w:t>
      </w:r>
      <w:r w:rsidRPr="00862632">
        <w:rPr>
          <w:rFonts w:asciiTheme="minorHAnsi" w:hAnsiTheme="minorHAnsi" w:cstheme="minorHAnsi"/>
          <w:szCs w:val="22"/>
          <w:lang w:val="es-ES"/>
        </w:rPr>
        <w:tab/>
        <w:t>Nombre de dominio internacionalizado</w:t>
      </w:r>
    </w:p>
    <w:p w:rsidR="00804AEC" w:rsidRPr="00862632" w:rsidRDefault="00804AEC" w:rsidP="0065679A">
      <w:pPr>
        <w:tabs>
          <w:tab w:val="clear" w:pos="794"/>
          <w:tab w:val="clear" w:pos="1191"/>
        </w:tabs>
        <w:rPr>
          <w:rFonts w:asciiTheme="minorHAnsi" w:hAnsiTheme="minorHAnsi" w:cstheme="minorHAnsi"/>
          <w:szCs w:val="22"/>
          <w:lang w:val="es-ES"/>
        </w:rPr>
      </w:pPr>
      <w:r w:rsidRPr="00862632">
        <w:rPr>
          <w:rFonts w:asciiTheme="minorHAnsi" w:hAnsiTheme="minorHAnsi" w:cstheme="minorHAnsi"/>
          <w:szCs w:val="22"/>
          <w:lang w:val="es-ES"/>
        </w:rPr>
        <w:t>IEG</w:t>
      </w:r>
      <w:r w:rsidRPr="00862632">
        <w:rPr>
          <w:rFonts w:asciiTheme="minorHAnsi" w:hAnsiTheme="minorHAnsi" w:cstheme="minorHAnsi"/>
          <w:szCs w:val="22"/>
          <w:lang w:val="es-ES"/>
        </w:rPr>
        <w:tab/>
        <w:t>Grupo Oficioso de Expertos</w:t>
      </w:r>
    </w:p>
    <w:p w:rsidR="00804AEC" w:rsidRPr="00862632" w:rsidRDefault="00804AEC" w:rsidP="0065679A">
      <w:pPr>
        <w:tabs>
          <w:tab w:val="clear" w:pos="794"/>
          <w:tab w:val="clear" w:pos="1191"/>
        </w:tabs>
        <w:rPr>
          <w:rFonts w:asciiTheme="minorHAnsi" w:hAnsiTheme="minorHAnsi" w:cstheme="minorHAnsi"/>
          <w:szCs w:val="22"/>
          <w:lang w:val="es-ES"/>
        </w:rPr>
      </w:pPr>
      <w:r w:rsidRPr="00862632">
        <w:rPr>
          <w:rFonts w:asciiTheme="minorHAnsi" w:hAnsiTheme="minorHAnsi" w:cstheme="minorHAnsi"/>
          <w:szCs w:val="22"/>
          <w:lang w:val="es-ES"/>
        </w:rPr>
        <w:t>IETF</w:t>
      </w:r>
      <w:r w:rsidRPr="00862632">
        <w:rPr>
          <w:rFonts w:asciiTheme="minorHAnsi" w:hAnsiTheme="minorHAnsi" w:cstheme="minorHAnsi"/>
          <w:szCs w:val="22"/>
          <w:lang w:val="es-ES"/>
        </w:rPr>
        <w:tab/>
        <w:t>Grupo Especial sobre Ingeniería de Internet</w:t>
      </w:r>
    </w:p>
    <w:p w:rsidR="00804AEC" w:rsidRPr="00862632" w:rsidRDefault="00804AEC" w:rsidP="0065679A">
      <w:pPr>
        <w:tabs>
          <w:tab w:val="clear" w:pos="794"/>
          <w:tab w:val="clear" w:pos="1191"/>
        </w:tabs>
        <w:rPr>
          <w:rFonts w:asciiTheme="minorHAnsi" w:hAnsiTheme="minorHAnsi" w:cstheme="minorHAnsi"/>
          <w:szCs w:val="22"/>
          <w:lang w:val="es-ES"/>
        </w:rPr>
      </w:pPr>
      <w:r w:rsidRPr="00862632">
        <w:rPr>
          <w:rFonts w:asciiTheme="minorHAnsi" w:hAnsiTheme="minorHAnsi" w:cstheme="minorHAnsi"/>
          <w:szCs w:val="22"/>
          <w:lang w:val="es-ES"/>
        </w:rPr>
        <w:t>IIC</w:t>
      </w:r>
      <w:r w:rsidRPr="00862632">
        <w:rPr>
          <w:rFonts w:asciiTheme="minorHAnsi" w:hAnsiTheme="minorHAnsi" w:cstheme="minorHAnsi"/>
          <w:szCs w:val="22"/>
          <w:lang w:val="es-ES"/>
        </w:rPr>
        <w:tab/>
        <w:t>Conectividad Internet Internacional</w:t>
      </w:r>
    </w:p>
    <w:p w:rsidR="00804AEC" w:rsidRPr="00906BF6" w:rsidRDefault="00804AEC" w:rsidP="00906BF6">
      <w:pPr>
        <w:tabs>
          <w:tab w:val="clear" w:pos="794"/>
          <w:tab w:val="clear" w:pos="1191"/>
        </w:tabs>
        <w:rPr>
          <w:rFonts w:asciiTheme="minorHAnsi" w:hAnsiTheme="minorHAnsi" w:cstheme="minorHAnsi"/>
          <w:szCs w:val="22"/>
          <w:lang w:val="es-ES"/>
        </w:rPr>
      </w:pPr>
      <w:r w:rsidRPr="00906BF6">
        <w:rPr>
          <w:rFonts w:asciiTheme="minorHAnsi" w:hAnsiTheme="minorHAnsi" w:cstheme="minorHAnsi"/>
          <w:szCs w:val="22"/>
          <w:lang w:val="es-ES"/>
        </w:rPr>
        <w:t>INR</w:t>
      </w:r>
      <w:r w:rsidRPr="00906BF6">
        <w:rPr>
          <w:rFonts w:asciiTheme="minorHAnsi" w:hAnsiTheme="minorHAnsi" w:cstheme="minorHAnsi"/>
          <w:szCs w:val="22"/>
          <w:lang w:val="es-ES"/>
        </w:rPr>
        <w:tab/>
        <w:t>Recursos de numeración Internet</w:t>
      </w:r>
    </w:p>
    <w:p w:rsidR="00804AEC" w:rsidRPr="00862632" w:rsidRDefault="00804AEC" w:rsidP="0065679A">
      <w:pPr>
        <w:tabs>
          <w:tab w:val="clear" w:pos="794"/>
          <w:tab w:val="clear" w:pos="1191"/>
        </w:tabs>
        <w:rPr>
          <w:rFonts w:asciiTheme="minorHAnsi" w:hAnsiTheme="minorHAnsi" w:cstheme="minorHAnsi"/>
          <w:szCs w:val="22"/>
          <w:lang w:val="es-ES"/>
        </w:rPr>
      </w:pPr>
      <w:r w:rsidRPr="00862632">
        <w:rPr>
          <w:rFonts w:asciiTheme="minorHAnsi" w:hAnsiTheme="minorHAnsi" w:cstheme="minorHAnsi"/>
          <w:szCs w:val="22"/>
          <w:lang w:val="es-ES"/>
        </w:rPr>
        <w:t>IP</w:t>
      </w:r>
      <w:r w:rsidRPr="00862632">
        <w:rPr>
          <w:rFonts w:asciiTheme="minorHAnsi" w:hAnsiTheme="minorHAnsi" w:cstheme="minorHAnsi"/>
          <w:szCs w:val="22"/>
          <w:lang w:val="es-ES"/>
        </w:rPr>
        <w:tab/>
        <w:t>Protocolo Internet</w:t>
      </w:r>
    </w:p>
    <w:p w:rsidR="00804AEC" w:rsidRPr="00862632" w:rsidRDefault="00804AEC" w:rsidP="0065679A">
      <w:pPr>
        <w:tabs>
          <w:tab w:val="clear" w:pos="794"/>
          <w:tab w:val="clear" w:pos="1191"/>
        </w:tabs>
        <w:rPr>
          <w:rFonts w:asciiTheme="minorHAnsi" w:hAnsiTheme="minorHAnsi" w:cstheme="minorHAnsi"/>
          <w:szCs w:val="22"/>
          <w:lang w:val="es-ES"/>
        </w:rPr>
      </w:pPr>
      <w:r w:rsidRPr="00862632">
        <w:rPr>
          <w:rFonts w:asciiTheme="minorHAnsi" w:hAnsiTheme="minorHAnsi" w:cstheme="minorHAnsi"/>
          <w:szCs w:val="22"/>
          <w:lang w:val="es-ES"/>
        </w:rPr>
        <w:t>IPTV</w:t>
      </w:r>
      <w:r w:rsidRPr="00862632">
        <w:rPr>
          <w:rFonts w:asciiTheme="minorHAnsi" w:hAnsiTheme="minorHAnsi" w:cstheme="minorHAnsi"/>
          <w:szCs w:val="22"/>
          <w:lang w:val="es-ES"/>
        </w:rPr>
        <w:tab/>
        <w:t>Televisión por Protocolo Internet</w:t>
      </w:r>
    </w:p>
    <w:p w:rsidR="00804AEC" w:rsidRPr="00862632" w:rsidRDefault="00804AEC" w:rsidP="0065679A">
      <w:pPr>
        <w:tabs>
          <w:tab w:val="clear" w:pos="794"/>
          <w:tab w:val="clear" w:pos="1191"/>
        </w:tabs>
        <w:rPr>
          <w:rFonts w:asciiTheme="minorHAnsi" w:hAnsiTheme="minorHAnsi" w:cstheme="minorHAnsi"/>
          <w:szCs w:val="22"/>
          <w:lang w:val="es-ES"/>
        </w:rPr>
      </w:pPr>
      <w:r w:rsidRPr="00862632">
        <w:rPr>
          <w:rFonts w:asciiTheme="minorHAnsi" w:hAnsiTheme="minorHAnsi" w:cstheme="minorHAnsi"/>
          <w:szCs w:val="22"/>
          <w:lang w:val="es-ES"/>
        </w:rPr>
        <w:t>IPv4</w:t>
      </w:r>
      <w:r w:rsidRPr="00862632">
        <w:rPr>
          <w:rFonts w:asciiTheme="minorHAnsi" w:hAnsiTheme="minorHAnsi" w:cstheme="minorHAnsi"/>
          <w:szCs w:val="22"/>
          <w:lang w:val="es-ES"/>
        </w:rPr>
        <w:tab/>
        <w:t>Protocolo Internet versión 4</w:t>
      </w:r>
    </w:p>
    <w:p w:rsidR="00804AEC" w:rsidRPr="00862632" w:rsidRDefault="00804AEC" w:rsidP="0065679A">
      <w:pPr>
        <w:tabs>
          <w:tab w:val="clear" w:pos="794"/>
          <w:tab w:val="clear" w:pos="1191"/>
        </w:tabs>
        <w:rPr>
          <w:rFonts w:asciiTheme="minorHAnsi" w:hAnsiTheme="minorHAnsi" w:cstheme="minorHAnsi"/>
          <w:szCs w:val="22"/>
          <w:lang w:val="es-ES"/>
        </w:rPr>
      </w:pPr>
      <w:r w:rsidRPr="00862632">
        <w:rPr>
          <w:rFonts w:asciiTheme="minorHAnsi" w:hAnsiTheme="minorHAnsi" w:cstheme="minorHAnsi"/>
          <w:szCs w:val="22"/>
          <w:lang w:val="es-ES"/>
        </w:rPr>
        <w:t>IPv6</w:t>
      </w:r>
      <w:r w:rsidRPr="00862632">
        <w:rPr>
          <w:rFonts w:asciiTheme="minorHAnsi" w:hAnsiTheme="minorHAnsi" w:cstheme="minorHAnsi"/>
          <w:szCs w:val="22"/>
          <w:lang w:val="es-ES"/>
        </w:rPr>
        <w:tab/>
        <w:t>Protocolo Internet versión 6</w:t>
      </w:r>
    </w:p>
    <w:p w:rsidR="00804AEC" w:rsidRPr="00862632" w:rsidRDefault="00804AEC" w:rsidP="0065679A">
      <w:pPr>
        <w:tabs>
          <w:tab w:val="clear" w:pos="794"/>
          <w:tab w:val="clear" w:pos="1191"/>
        </w:tabs>
        <w:rPr>
          <w:rFonts w:asciiTheme="minorHAnsi" w:hAnsiTheme="minorHAnsi" w:cstheme="minorHAnsi"/>
          <w:szCs w:val="22"/>
          <w:lang w:val="es-ES"/>
        </w:rPr>
      </w:pPr>
      <w:r w:rsidRPr="00862632">
        <w:rPr>
          <w:rFonts w:asciiTheme="minorHAnsi" w:hAnsiTheme="minorHAnsi" w:cstheme="minorHAnsi"/>
          <w:szCs w:val="22"/>
          <w:lang w:val="es-ES"/>
        </w:rPr>
        <w:t>ISOC</w:t>
      </w:r>
      <w:r w:rsidRPr="00862632">
        <w:rPr>
          <w:rFonts w:asciiTheme="minorHAnsi" w:hAnsiTheme="minorHAnsi" w:cstheme="minorHAnsi"/>
          <w:szCs w:val="22"/>
          <w:lang w:val="es-ES"/>
        </w:rPr>
        <w:tab/>
        <w:t>Internet Society</w:t>
      </w:r>
    </w:p>
    <w:p w:rsidR="00804AEC" w:rsidRPr="00862632" w:rsidRDefault="00804AEC" w:rsidP="0065679A">
      <w:pPr>
        <w:tabs>
          <w:tab w:val="clear" w:pos="794"/>
          <w:tab w:val="clear" w:pos="1191"/>
        </w:tabs>
        <w:rPr>
          <w:rFonts w:asciiTheme="minorHAnsi" w:hAnsiTheme="minorHAnsi" w:cstheme="minorHAnsi"/>
          <w:szCs w:val="22"/>
          <w:lang w:val="es-ES"/>
        </w:rPr>
      </w:pPr>
      <w:r w:rsidRPr="00862632">
        <w:rPr>
          <w:rFonts w:asciiTheme="minorHAnsi" w:hAnsiTheme="minorHAnsi" w:cstheme="minorHAnsi"/>
          <w:szCs w:val="22"/>
          <w:lang w:val="es-ES"/>
        </w:rPr>
        <w:t>IXP</w:t>
      </w:r>
      <w:r w:rsidRPr="00862632">
        <w:rPr>
          <w:rFonts w:asciiTheme="minorHAnsi" w:hAnsiTheme="minorHAnsi" w:cstheme="minorHAnsi"/>
          <w:szCs w:val="22"/>
          <w:lang w:val="es-ES"/>
        </w:rPr>
        <w:tab/>
        <w:t>Central Internet</w:t>
      </w:r>
    </w:p>
    <w:p w:rsidR="00804AEC" w:rsidRPr="00862632" w:rsidRDefault="00804AEC" w:rsidP="0065679A">
      <w:pPr>
        <w:tabs>
          <w:tab w:val="clear" w:pos="794"/>
          <w:tab w:val="clear" w:pos="1191"/>
        </w:tabs>
        <w:rPr>
          <w:rFonts w:asciiTheme="minorHAnsi" w:hAnsiTheme="minorHAnsi" w:cstheme="minorHAnsi"/>
          <w:szCs w:val="22"/>
          <w:lang w:val="es-ES"/>
        </w:rPr>
      </w:pPr>
      <w:r w:rsidRPr="00862632">
        <w:rPr>
          <w:rFonts w:asciiTheme="minorHAnsi" w:hAnsiTheme="minorHAnsi" w:cstheme="minorHAnsi"/>
          <w:szCs w:val="22"/>
          <w:lang w:val="es-ES"/>
        </w:rPr>
        <w:t>JWG</w:t>
      </w:r>
      <w:r w:rsidRPr="00862632">
        <w:rPr>
          <w:rFonts w:asciiTheme="minorHAnsi" w:hAnsiTheme="minorHAnsi" w:cstheme="minorHAnsi"/>
          <w:szCs w:val="22"/>
          <w:lang w:val="es-ES"/>
        </w:rPr>
        <w:tab/>
        <w:t>Grupo de Trabajo mixto de la ICANN</w:t>
      </w:r>
    </w:p>
    <w:p w:rsidR="00804AEC" w:rsidRPr="00906BF6" w:rsidRDefault="00804AEC" w:rsidP="00906BF6">
      <w:pPr>
        <w:tabs>
          <w:tab w:val="clear" w:pos="794"/>
          <w:tab w:val="clear" w:pos="1191"/>
        </w:tabs>
        <w:rPr>
          <w:rFonts w:asciiTheme="minorHAnsi" w:hAnsiTheme="minorHAnsi" w:cstheme="minorHAnsi"/>
          <w:szCs w:val="22"/>
          <w:lang w:val="es-ES"/>
        </w:rPr>
      </w:pPr>
      <w:r w:rsidRPr="00906BF6">
        <w:rPr>
          <w:rFonts w:asciiTheme="minorHAnsi" w:hAnsiTheme="minorHAnsi" w:cstheme="minorHAnsi"/>
          <w:szCs w:val="22"/>
          <w:lang w:val="es-ES"/>
        </w:rPr>
        <w:t>KSK</w:t>
      </w:r>
      <w:r w:rsidRPr="00906BF6">
        <w:rPr>
          <w:rFonts w:asciiTheme="minorHAnsi" w:hAnsiTheme="minorHAnsi" w:cstheme="minorHAnsi"/>
          <w:szCs w:val="22"/>
          <w:lang w:val="es-ES"/>
        </w:rPr>
        <w:tab/>
        <w:t>Clave de firma de claves</w:t>
      </w:r>
    </w:p>
    <w:p w:rsidR="00804AEC" w:rsidRPr="00906BF6" w:rsidRDefault="00804AEC" w:rsidP="00906BF6">
      <w:pPr>
        <w:tabs>
          <w:tab w:val="clear" w:pos="794"/>
          <w:tab w:val="clear" w:pos="1191"/>
        </w:tabs>
        <w:rPr>
          <w:rFonts w:asciiTheme="minorHAnsi" w:hAnsiTheme="minorHAnsi" w:cstheme="minorHAnsi"/>
          <w:szCs w:val="22"/>
          <w:lang w:val="es-ES"/>
        </w:rPr>
      </w:pPr>
      <w:r w:rsidRPr="00906BF6">
        <w:rPr>
          <w:rFonts w:asciiTheme="minorHAnsi" w:hAnsiTheme="minorHAnsi" w:cstheme="minorHAnsi"/>
          <w:szCs w:val="22"/>
          <w:lang w:val="es-ES"/>
        </w:rPr>
        <w:t>MAAWG</w:t>
      </w:r>
      <w:r w:rsidRPr="00906BF6">
        <w:rPr>
          <w:rFonts w:asciiTheme="minorHAnsi" w:hAnsiTheme="minorHAnsi" w:cstheme="minorHAnsi"/>
          <w:szCs w:val="22"/>
          <w:lang w:val="es-ES"/>
        </w:rPr>
        <w:tab/>
        <w:t>Grupo de Trabajo contra los abusos en la mensajería</w:t>
      </w:r>
    </w:p>
    <w:p w:rsidR="00804AEC" w:rsidRPr="00862632" w:rsidRDefault="00804AEC" w:rsidP="0065679A">
      <w:pPr>
        <w:tabs>
          <w:tab w:val="clear" w:pos="794"/>
          <w:tab w:val="clear" w:pos="1191"/>
        </w:tabs>
        <w:rPr>
          <w:rFonts w:asciiTheme="minorHAnsi" w:hAnsiTheme="minorHAnsi" w:cstheme="minorHAnsi"/>
          <w:szCs w:val="22"/>
          <w:lang w:val="es-ES"/>
        </w:rPr>
      </w:pPr>
      <w:r w:rsidRPr="00862632">
        <w:rPr>
          <w:rFonts w:asciiTheme="minorHAnsi" w:hAnsiTheme="minorHAnsi" w:cstheme="minorHAnsi"/>
          <w:szCs w:val="22"/>
          <w:lang w:val="es-ES"/>
        </w:rPr>
        <w:t>NASA</w:t>
      </w:r>
      <w:r w:rsidRPr="00862632">
        <w:rPr>
          <w:rFonts w:asciiTheme="minorHAnsi" w:hAnsiTheme="minorHAnsi" w:cstheme="minorHAnsi"/>
          <w:szCs w:val="22"/>
          <w:lang w:val="es-ES"/>
        </w:rPr>
        <w:tab/>
        <w:t>National Aeronautics and Space Administration (EE.UU.)</w:t>
      </w:r>
    </w:p>
    <w:p w:rsidR="00804AEC" w:rsidRPr="00862632" w:rsidRDefault="00804AEC" w:rsidP="0065679A">
      <w:pPr>
        <w:tabs>
          <w:tab w:val="clear" w:pos="794"/>
          <w:tab w:val="clear" w:pos="1191"/>
        </w:tabs>
        <w:rPr>
          <w:rFonts w:asciiTheme="minorHAnsi" w:hAnsiTheme="minorHAnsi" w:cstheme="minorHAnsi"/>
          <w:szCs w:val="22"/>
          <w:lang w:val="es-ES"/>
        </w:rPr>
      </w:pPr>
      <w:r w:rsidRPr="00862632">
        <w:rPr>
          <w:rFonts w:asciiTheme="minorHAnsi" w:hAnsiTheme="minorHAnsi" w:cstheme="minorHAnsi"/>
          <w:szCs w:val="22"/>
          <w:lang w:val="es-ES"/>
        </w:rPr>
        <w:t>NGN</w:t>
      </w:r>
      <w:r w:rsidRPr="00862632">
        <w:rPr>
          <w:rFonts w:asciiTheme="minorHAnsi" w:hAnsiTheme="minorHAnsi" w:cstheme="minorHAnsi"/>
          <w:szCs w:val="22"/>
          <w:lang w:val="es-ES"/>
        </w:rPr>
        <w:tab/>
        <w:t>Red de la próxima generación</w:t>
      </w:r>
    </w:p>
    <w:p w:rsidR="00804AEC" w:rsidRPr="00862632" w:rsidRDefault="00804AEC" w:rsidP="0065679A">
      <w:pPr>
        <w:tabs>
          <w:tab w:val="clear" w:pos="794"/>
          <w:tab w:val="clear" w:pos="1191"/>
        </w:tabs>
        <w:rPr>
          <w:rFonts w:asciiTheme="minorHAnsi" w:hAnsiTheme="minorHAnsi" w:cstheme="minorHAnsi"/>
          <w:szCs w:val="22"/>
          <w:lang w:val="es-ES"/>
        </w:rPr>
      </w:pPr>
      <w:r w:rsidRPr="00862632">
        <w:rPr>
          <w:rFonts w:asciiTheme="minorHAnsi" w:hAnsiTheme="minorHAnsi" w:cstheme="minorHAnsi"/>
          <w:szCs w:val="22"/>
          <w:lang w:val="es-ES"/>
        </w:rPr>
        <w:t>NICT</w:t>
      </w:r>
      <w:r w:rsidRPr="00862632">
        <w:rPr>
          <w:rFonts w:asciiTheme="minorHAnsi" w:hAnsiTheme="minorHAnsi" w:cstheme="minorHAnsi"/>
          <w:szCs w:val="22"/>
          <w:lang w:val="es-ES"/>
        </w:rPr>
        <w:tab/>
        <w:t>Instituto Nacional japonés de las TIC</w:t>
      </w:r>
    </w:p>
    <w:p w:rsidR="00804AEC" w:rsidRPr="00862632" w:rsidRDefault="00804AEC" w:rsidP="0065679A">
      <w:pPr>
        <w:tabs>
          <w:tab w:val="clear" w:pos="794"/>
          <w:tab w:val="clear" w:pos="1191"/>
        </w:tabs>
        <w:rPr>
          <w:rFonts w:asciiTheme="minorHAnsi" w:hAnsiTheme="minorHAnsi" w:cstheme="minorHAnsi"/>
          <w:szCs w:val="22"/>
          <w:lang w:val="es-ES"/>
        </w:rPr>
      </w:pPr>
      <w:r w:rsidRPr="00862632">
        <w:rPr>
          <w:rFonts w:asciiTheme="minorHAnsi" w:hAnsiTheme="minorHAnsi" w:cstheme="minorHAnsi"/>
          <w:szCs w:val="22"/>
          <w:lang w:val="es-ES"/>
        </w:rPr>
        <w:t>NSF</w:t>
      </w:r>
      <w:r w:rsidRPr="00862632">
        <w:rPr>
          <w:rFonts w:asciiTheme="minorHAnsi" w:hAnsiTheme="minorHAnsi" w:cstheme="minorHAnsi"/>
          <w:szCs w:val="22"/>
          <w:lang w:val="es-ES"/>
        </w:rPr>
        <w:tab/>
        <w:t>National Science Foundation (EE.UU.)</w:t>
      </w:r>
    </w:p>
    <w:p w:rsidR="00804AEC" w:rsidRPr="00862632" w:rsidRDefault="00804AEC" w:rsidP="0065679A">
      <w:pPr>
        <w:tabs>
          <w:tab w:val="clear" w:pos="794"/>
          <w:tab w:val="clear" w:pos="1191"/>
        </w:tabs>
        <w:rPr>
          <w:rFonts w:asciiTheme="minorHAnsi" w:hAnsiTheme="minorHAnsi" w:cstheme="minorHAnsi"/>
          <w:szCs w:val="22"/>
          <w:lang w:val="es-ES"/>
        </w:rPr>
      </w:pPr>
      <w:r w:rsidRPr="00862632">
        <w:rPr>
          <w:rFonts w:asciiTheme="minorHAnsi" w:hAnsiTheme="minorHAnsi" w:cstheme="minorHAnsi"/>
          <w:szCs w:val="22"/>
          <w:lang w:val="es-ES"/>
        </w:rPr>
        <w:t>NTIA</w:t>
      </w:r>
      <w:r w:rsidRPr="00862632">
        <w:rPr>
          <w:rFonts w:asciiTheme="minorHAnsi" w:hAnsiTheme="minorHAnsi" w:cstheme="minorHAnsi"/>
          <w:szCs w:val="22"/>
          <w:lang w:val="es-ES"/>
        </w:rPr>
        <w:tab/>
        <w:t>National Telecommunication Industry Association (EE.UU.)</w:t>
      </w:r>
    </w:p>
    <w:p w:rsidR="00804AEC" w:rsidRPr="00862632" w:rsidRDefault="00804AEC" w:rsidP="0065679A">
      <w:pPr>
        <w:tabs>
          <w:tab w:val="clear" w:pos="794"/>
          <w:tab w:val="clear" w:pos="1191"/>
        </w:tabs>
        <w:rPr>
          <w:rFonts w:asciiTheme="minorHAnsi" w:hAnsiTheme="minorHAnsi" w:cstheme="minorHAnsi"/>
          <w:szCs w:val="22"/>
          <w:lang w:val="es-ES"/>
        </w:rPr>
      </w:pPr>
      <w:r w:rsidRPr="00862632">
        <w:rPr>
          <w:rFonts w:asciiTheme="minorHAnsi" w:hAnsiTheme="minorHAnsi" w:cstheme="minorHAnsi"/>
          <w:szCs w:val="22"/>
          <w:lang w:val="es-ES"/>
        </w:rPr>
        <w:t>NWGN</w:t>
      </w:r>
      <w:r w:rsidRPr="00862632">
        <w:rPr>
          <w:rFonts w:asciiTheme="minorHAnsi" w:hAnsiTheme="minorHAnsi" w:cstheme="minorHAnsi"/>
          <w:szCs w:val="22"/>
          <w:lang w:val="es-ES"/>
        </w:rPr>
        <w:tab/>
        <w:t>Iniciativa de investigación y desarrollo NeW Generation Network (Japón)</w:t>
      </w:r>
    </w:p>
    <w:p w:rsidR="00804AEC" w:rsidRPr="00862632" w:rsidRDefault="00804AEC" w:rsidP="0065679A">
      <w:pPr>
        <w:tabs>
          <w:tab w:val="clear" w:pos="794"/>
          <w:tab w:val="clear" w:pos="1191"/>
        </w:tabs>
        <w:rPr>
          <w:rFonts w:asciiTheme="minorHAnsi" w:hAnsiTheme="minorHAnsi" w:cstheme="minorHAnsi"/>
          <w:szCs w:val="22"/>
          <w:lang w:val="es-ES"/>
        </w:rPr>
      </w:pPr>
      <w:r w:rsidRPr="00862632">
        <w:rPr>
          <w:rFonts w:asciiTheme="minorHAnsi" w:hAnsiTheme="minorHAnsi" w:cstheme="minorHAnsi"/>
          <w:szCs w:val="22"/>
          <w:lang w:val="es-ES"/>
        </w:rPr>
        <w:t>OCDE</w:t>
      </w:r>
      <w:r w:rsidRPr="00862632">
        <w:rPr>
          <w:rFonts w:asciiTheme="minorHAnsi" w:hAnsiTheme="minorHAnsi" w:cstheme="minorHAnsi"/>
          <w:szCs w:val="22"/>
          <w:lang w:val="es-ES"/>
        </w:rPr>
        <w:tab/>
        <w:t>Organización de Cooperación y Desarrollo Económicos</w:t>
      </w:r>
    </w:p>
    <w:p w:rsidR="00804AEC" w:rsidRPr="00862632" w:rsidRDefault="00804AEC" w:rsidP="0065679A">
      <w:pPr>
        <w:tabs>
          <w:tab w:val="clear" w:pos="794"/>
          <w:tab w:val="clear" w:pos="1191"/>
        </w:tabs>
        <w:rPr>
          <w:rFonts w:asciiTheme="minorHAnsi" w:hAnsiTheme="minorHAnsi" w:cstheme="minorHAnsi"/>
          <w:szCs w:val="22"/>
          <w:lang w:val="es-ES"/>
        </w:rPr>
      </w:pPr>
      <w:r w:rsidRPr="00862632">
        <w:rPr>
          <w:rFonts w:asciiTheme="minorHAnsi" w:hAnsiTheme="minorHAnsi" w:cstheme="minorHAnsi"/>
          <w:szCs w:val="22"/>
          <w:lang w:val="es-ES"/>
        </w:rPr>
        <w:t>OIG</w:t>
      </w:r>
      <w:r w:rsidRPr="00862632">
        <w:rPr>
          <w:rFonts w:asciiTheme="minorHAnsi" w:hAnsiTheme="minorHAnsi" w:cstheme="minorHAnsi"/>
          <w:szCs w:val="22"/>
          <w:lang w:val="es-ES"/>
        </w:rPr>
        <w:tab/>
        <w:t>Organizaciones intergubernamentales</w:t>
      </w:r>
    </w:p>
    <w:p w:rsidR="00804AEC" w:rsidRPr="00862632" w:rsidRDefault="00804AEC" w:rsidP="0065679A">
      <w:pPr>
        <w:tabs>
          <w:tab w:val="clear" w:pos="794"/>
          <w:tab w:val="clear" w:pos="1191"/>
        </w:tabs>
        <w:rPr>
          <w:rFonts w:asciiTheme="minorHAnsi" w:hAnsiTheme="minorHAnsi" w:cstheme="minorHAnsi"/>
          <w:szCs w:val="22"/>
          <w:lang w:val="es-ES"/>
        </w:rPr>
      </w:pPr>
      <w:r w:rsidRPr="00862632">
        <w:rPr>
          <w:rFonts w:asciiTheme="minorHAnsi" w:hAnsiTheme="minorHAnsi" w:cstheme="minorHAnsi"/>
          <w:szCs w:val="22"/>
          <w:lang w:val="es-ES"/>
        </w:rPr>
        <w:t xml:space="preserve">OMPI </w:t>
      </w:r>
      <w:r w:rsidRPr="00862632">
        <w:rPr>
          <w:rFonts w:asciiTheme="minorHAnsi" w:hAnsiTheme="minorHAnsi" w:cstheme="minorHAnsi"/>
          <w:szCs w:val="22"/>
          <w:lang w:val="es-ES"/>
        </w:rPr>
        <w:tab/>
        <w:t>Organización Mundial de la Propiedad Intelectual</w:t>
      </w:r>
    </w:p>
    <w:p w:rsidR="00804AEC" w:rsidRPr="00862632" w:rsidRDefault="00804AEC" w:rsidP="0065679A">
      <w:pPr>
        <w:tabs>
          <w:tab w:val="clear" w:pos="794"/>
          <w:tab w:val="clear" w:pos="1191"/>
        </w:tabs>
        <w:ind w:left="1588" w:hanging="1588"/>
        <w:rPr>
          <w:rFonts w:asciiTheme="minorHAnsi" w:hAnsiTheme="minorHAnsi" w:cstheme="minorHAnsi"/>
          <w:szCs w:val="22"/>
          <w:lang w:val="es-ES"/>
        </w:rPr>
      </w:pPr>
      <w:r w:rsidRPr="00862632">
        <w:rPr>
          <w:rFonts w:asciiTheme="minorHAnsi" w:hAnsiTheme="minorHAnsi" w:cstheme="minorHAnsi"/>
          <w:szCs w:val="22"/>
          <w:lang w:val="es-ES"/>
        </w:rPr>
        <w:t>OTT</w:t>
      </w:r>
      <w:r w:rsidRPr="00862632">
        <w:rPr>
          <w:rFonts w:asciiTheme="minorHAnsi" w:hAnsiTheme="minorHAnsi" w:cstheme="minorHAnsi"/>
          <w:szCs w:val="22"/>
          <w:lang w:val="es-ES"/>
        </w:rPr>
        <w:tab/>
      </w:r>
      <w:r w:rsidRPr="00862632">
        <w:rPr>
          <w:rFonts w:asciiTheme="minorHAnsi" w:hAnsiTheme="minorHAnsi" w:cstheme="minorHAnsi"/>
          <w:i/>
          <w:iCs/>
          <w:szCs w:val="22"/>
          <w:lang w:val="es-ES"/>
        </w:rPr>
        <w:t>Over The Top</w:t>
      </w:r>
      <w:r w:rsidRPr="00862632">
        <w:rPr>
          <w:rFonts w:asciiTheme="minorHAnsi" w:hAnsiTheme="minorHAnsi" w:cstheme="minorHAnsi"/>
          <w:szCs w:val="22"/>
          <w:lang w:val="es-ES"/>
        </w:rPr>
        <w:t xml:space="preserve"> (aplicaciones y servicios accesibles por Internet y transmitidos por redes de operadores que ofrecen servicios de acceso a Internet)</w:t>
      </w:r>
    </w:p>
    <w:p w:rsidR="00804AEC" w:rsidRPr="00862632" w:rsidRDefault="00804AEC" w:rsidP="0065679A">
      <w:pPr>
        <w:tabs>
          <w:tab w:val="clear" w:pos="794"/>
          <w:tab w:val="clear" w:pos="1191"/>
        </w:tabs>
        <w:rPr>
          <w:rFonts w:asciiTheme="minorHAnsi" w:hAnsiTheme="minorHAnsi" w:cstheme="minorHAnsi"/>
          <w:szCs w:val="22"/>
          <w:lang w:val="es-ES"/>
        </w:rPr>
      </w:pPr>
      <w:r w:rsidRPr="00862632">
        <w:rPr>
          <w:rFonts w:asciiTheme="minorHAnsi" w:hAnsiTheme="minorHAnsi" w:cstheme="minorHAnsi"/>
          <w:szCs w:val="22"/>
          <w:lang w:val="es-ES"/>
        </w:rPr>
        <w:t>PIB</w:t>
      </w:r>
      <w:r w:rsidRPr="00862632">
        <w:rPr>
          <w:rFonts w:asciiTheme="minorHAnsi" w:hAnsiTheme="minorHAnsi" w:cstheme="minorHAnsi"/>
          <w:szCs w:val="22"/>
          <w:lang w:val="es-ES"/>
        </w:rPr>
        <w:tab/>
        <w:t>Producto Interior Bruto</w:t>
      </w:r>
    </w:p>
    <w:p w:rsidR="00804AEC" w:rsidRPr="00862632" w:rsidRDefault="00804AEC" w:rsidP="0065679A">
      <w:pPr>
        <w:tabs>
          <w:tab w:val="clear" w:pos="794"/>
          <w:tab w:val="clear" w:pos="1191"/>
        </w:tabs>
        <w:rPr>
          <w:rFonts w:asciiTheme="minorHAnsi" w:hAnsiTheme="minorHAnsi" w:cstheme="minorHAnsi"/>
          <w:szCs w:val="22"/>
          <w:lang w:val="es-ES"/>
        </w:rPr>
      </w:pPr>
      <w:r w:rsidRPr="00862632">
        <w:rPr>
          <w:rFonts w:asciiTheme="minorHAnsi" w:hAnsiTheme="minorHAnsi" w:cstheme="minorHAnsi"/>
          <w:szCs w:val="22"/>
          <w:lang w:val="es-ES"/>
        </w:rPr>
        <w:t>PMA</w:t>
      </w:r>
      <w:r w:rsidRPr="00862632">
        <w:rPr>
          <w:rFonts w:asciiTheme="minorHAnsi" w:hAnsiTheme="minorHAnsi" w:cstheme="minorHAnsi"/>
          <w:szCs w:val="22"/>
          <w:lang w:val="es-ES"/>
        </w:rPr>
        <w:tab/>
        <w:t>Países Menos Adelantados</w:t>
      </w:r>
    </w:p>
    <w:p w:rsidR="00804AEC" w:rsidRPr="00862632" w:rsidRDefault="00804AEC" w:rsidP="0065679A">
      <w:pPr>
        <w:tabs>
          <w:tab w:val="clear" w:pos="794"/>
          <w:tab w:val="clear" w:pos="1191"/>
        </w:tabs>
        <w:rPr>
          <w:rFonts w:asciiTheme="minorHAnsi" w:hAnsiTheme="minorHAnsi" w:cstheme="minorHAnsi"/>
          <w:szCs w:val="22"/>
          <w:lang w:val="es-ES"/>
        </w:rPr>
      </w:pPr>
      <w:r w:rsidRPr="00862632">
        <w:rPr>
          <w:rFonts w:asciiTheme="minorHAnsi" w:hAnsiTheme="minorHAnsi" w:cstheme="minorHAnsi"/>
          <w:szCs w:val="22"/>
          <w:lang w:val="es-ES"/>
        </w:rPr>
        <w:t>PSI</w:t>
      </w:r>
      <w:r w:rsidRPr="00862632">
        <w:rPr>
          <w:rFonts w:asciiTheme="minorHAnsi" w:hAnsiTheme="minorHAnsi" w:cstheme="minorHAnsi"/>
          <w:szCs w:val="22"/>
          <w:lang w:val="es-ES"/>
        </w:rPr>
        <w:tab/>
        <w:t>Proveedores de Servicio Internet</w:t>
      </w:r>
    </w:p>
    <w:p w:rsidR="00804AEC" w:rsidRPr="00906BF6" w:rsidRDefault="00804AEC" w:rsidP="00906BF6">
      <w:pPr>
        <w:tabs>
          <w:tab w:val="clear" w:pos="794"/>
          <w:tab w:val="clear" w:pos="1191"/>
        </w:tabs>
        <w:rPr>
          <w:rFonts w:asciiTheme="minorHAnsi" w:hAnsiTheme="minorHAnsi" w:cstheme="minorHAnsi"/>
          <w:szCs w:val="22"/>
          <w:lang w:val="es-ES"/>
        </w:rPr>
      </w:pPr>
      <w:r w:rsidRPr="00906BF6">
        <w:rPr>
          <w:rFonts w:asciiTheme="minorHAnsi" w:hAnsiTheme="minorHAnsi" w:cstheme="minorHAnsi"/>
          <w:szCs w:val="22"/>
          <w:lang w:val="es-ES"/>
        </w:rPr>
        <w:t>PYME</w:t>
      </w:r>
      <w:r w:rsidRPr="00906BF6">
        <w:rPr>
          <w:rFonts w:asciiTheme="minorHAnsi" w:hAnsiTheme="minorHAnsi" w:cstheme="minorHAnsi"/>
          <w:szCs w:val="22"/>
          <w:lang w:val="es-ES"/>
        </w:rPr>
        <w:tab/>
        <w:t>Pequeña y mediana empresa</w:t>
      </w:r>
    </w:p>
    <w:p w:rsidR="00804AEC" w:rsidRPr="00862632" w:rsidRDefault="00804AEC" w:rsidP="0065679A">
      <w:pPr>
        <w:tabs>
          <w:tab w:val="clear" w:pos="794"/>
          <w:tab w:val="clear" w:pos="1191"/>
        </w:tabs>
        <w:rPr>
          <w:rFonts w:asciiTheme="minorHAnsi" w:hAnsiTheme="minorHAnsi" w:cstheme="minorHAnsi"/>
          <w:szCs w:val="22"/>
          <w:lang w:val="es-ES"/>
        </w:rPr>
      </w:pPr>
      <w:r w:rsidRPr="00862632">
        <w:rPr>
          <w:rFonts w:asciiTheme="minorHAnsi" w:hAnsiTheme="minorHAnsi" w:cstheme="minorHAnsi"/>
          <w:szCs w:val="22"/>
          <w:lang w:val="es-ES"/>
        </w:rPr>
        <w:t>QoS</w:t>
      </w:r>
      <w:r w:rsidRPr="00862632">
        <w:rPr>
          <w:rFonts w:asciiTheme="minorHAnsi" w:hAnsiTheme="minorHAnsi" w:cstheme="minorHAnsi"/>
          <w:szCs w:val="22"/>
          <w:lang w:val="es-ES"/>
        </w:rPr>
        <w:tab/>
        <w:t>Calidad de servicio</w:t>
      </w:r>
    </w:p>
    <w:p w:rsidR="00804AEC" w:rsidRPr="00862632" w:rsidRDefault="00804AEC" w:rsidP="0065679A">
      <w:pPr>
        <w:tabs>
          <w:tab w:val="clear" w:pos="794"/>
          <w:tab w:val="clear" w:pos="1191"/>
        </w:tabs>
        <w:rPr>
          <w:rFonts w:asciiTheme="minorHAnsi" w:hAnsiTheme="minorHAnsi" w:cstheme="minorHAnsi"/>
          <w:szCs w:val="22"/>
          <w:lang w:val="es-ES"/>
        </w:rPr>
      </w:pPr>
      <w:r w:rsidRPr="00862632">
        <w:rPr>
          <w:rFonts w:asciiTheme="minorHAnsi" w:hAnsiTheme="minorHAnsi" w:cstheme="minorHAnsi"/>
          <w:szCs w:val="22"/>
          <w:lang w:val="es-ES"/>
        </w:rPr>
        <w:t>RIPE</w:t>
      </w:r>
      <w:r w:rsidRPr="00862632">
        <w:rPr>
          <w:rFonts w:asciiTheme="minorHAnsi" w:hAnsiTheme="minorHAnsi" w:cstheme="minorHAnsi"/>
          <w:szCs w:val="22"/>
          <w:lang w:val="es-ES"/>
        </w:rPr>
        <w:tab/>
        <w:t>Redes IP europeas</w:t>
      </w:r>
    </w:p>
    <w:p w:rsidR="00804AEC" w:rsidRPr="00862632" w:rsidRDefault="00804AEC" w:rsidP="0065679A">
      <w:pPr>
        <w:tabs>
          <w:tab w:val="clear" w:pos="794"/>
          <w:tab w:val="clear" w:pos="1191"/>
        </w:tabs>
        <w:rPr>
          <w:rFonts w:asciiTheme="minorHAnsi" w:hAnsiTheme="minorHAnsi" w:cstheme="minorHAnsi"/>
          <w:szCs w:val="22"/>
          <w:lang w:val="es-ES"/>
        </w:rPr>
      </w:pPr>
      <w:r w:rsidRPr="00862632">
        <w:rPr>
          <w:rFonts w:asciiTheme="minorHAnsi" w:hAnsiTheme="minorHAnsi" w:cstheme="minorHAnsi"/>
          <w:szCs w:val="22"/>
          <w:lang w:val="es-ES"/>
        </w:rPr>
        <w:t>RIR</w:t>
      </w:r>
      <w:r w:rsidRPr="00862632">
        <w:rPr>
          <w:rFonts w:asciiTheme="minorHAnsi" w:hAnsiTheme="minorHAnsi" w:cstheme="minorHAnsi"/>
          <w:szCs w:val="22"/>
          <w:lang w:val="es-ES"/>
        </w:rPr>
        <w:tab/>
        <w:t>Registro regional de Internet</w:t>
      </w:r>
    </w:p>
    <w:p w:rsidR="00804AEC" w:rsidRPr="00862632" w:rsidRDefault="00804AEC" w:rsidP="0065679A">
      <w:pPr>
        <w:tabs>
          <w:tab w:val="clear" w:pos="794"/>
          <w:tab w:val="clear" w:pos="1191"/>
        </w:tabs>
        <w:rPr>
          <w:rFonts w:asciiTheme="minorHAnsi" w:hAnsiTheme="minorHAnsi" w:cstheme="minorHAnsi"/>
          <w:szCs w:val="22"/>
          <w:lang w:val="es-ES"/>
        </w:rPr>
      </w:pPr>
      <w:r w:rsidRPr="00862632">
        <w:rPr>
          <w:rFonts w:asciiTheme="minorHAnsi" w:hAnsiTheme="minorHAnsi" w:cstheme="minorHAnsi"/>
          <w:szCs w:val="22"/>
          <w:lang w:val="es-ES"/>
        </w:rPr>
        <w:t>RPKI</w:t>
      </w:r>
      <w:r w:rsidRPr="00862632">
        <w:rPr>
          <w:rFonts w:asciiTheme="minorHAnsi" w:hAnsiTheme="minorHAnsi" w:cstheme="minorHAnsi"/>
          <w:szCs w:val="22"/>
          <w:lang w:val="es-ES"/>
        </w:rPr>
        <w:tab/>
        <w:t>Recurso infraestructura de clave pública</w:t>
      </w:r>
    </w:p>
    <w:p w:rsidR="00804AEC" w:rsidRPr="00862632" w:rsidRDefault="00804AEC" w:rsidP="0065679A">
      <w:pPr>
        <w:tabs>
          <w:tab w:val="clear" w:pos="794"/>
          <w:tab w:val="clear" w:pos="1191"/>
        </w:tabs>
        <w:rPr>
          <w:rFonts w:asciiTheme="minorHAnsi" w:hAnsiTheme="minorHAnsi" w:cstheme="minorHAnsi"/>
          <w:szCs w:val="22"/>
          <w:lang w:val="es-ES"/>
        </w:rPr>
      </w:pPr>
      <w:r w:rsidRPr="00862632">
        <w:rPr>
          <w:rFonts w:asciiTheme="minorHAnsi" w:hAnsiTheme="minorHAnsi" w:cstheme="minorHAnsi"/>
          <w:szCs w:val="22"/>
          <w:lang w:val="es-ES"/>
        </w:rPr>
        <w:t>SLD</w:t>
      </w:r>
      <w:r w:rsidRPr="00862632">
        <w:rPr>
          <w:rFonts w:asciiTheme="minorHAnsi" w:hAnsiTheme="minorHAnsi" w:cstheme="minorHAnsi"/>
          <w:szCs w:val="22"/>
          <w:lang w:val="es-ES"/>
        </w:rPr>
        <w:tab/>
        <w:t>Dominio de segundo nivel</w:t>
      </w:r>
    </w:p>
    <w:p w:rsidR="00804AEC" w:rsidRPr="00862632" w:rsidRDefault="00804AEC" w:rsidP="0065679A">
      <w:pPr>
        <w:tabs>
          <w:tab w:val="clear" w:pos="794"/>
          <w:tab w:val="clear" w:pos="1191"/>
        </w:tabs>
        <w:rPr>
          <w:rFonts w:asciiTheme="minorHAnsi" w:hAnsiTheme="minorHAnsi" w:cstheme="minorHAnsi"/>
          <w:szCs w:val="22"/>
          <w:lang w:val="es-ES"/>
        </w:rPr>
      </w:pPr>
      <w:r w:rsidRPr="00862632">
        <w:rPr>
          <w:rFonts w:asciiTheme="minorHAnsi" w:hAnsiTheme="minorHAnsi" w:cstheme="minorHAnsi"/>
          <w:szCs w:val="22"/>
          <w:lang w:val="es-ES"/>
        </w:rPr>
        <w:t xml:space="preserve">TCP/IP </w:t>
      </w:r>
      <w:r w:rsidRPr="00862632">
        <w:rPr>
          <w:rFonts w:asciiTheme="minorHAnsi" w:hAnsiTheme="minorHAnsi" w:cstheme="minorHAnsi"/>
          <w:szCs w:val="22"/>
          <w:lang w:val="es-ES"/>
        </w:rPr>
        <w:tab/>
        <w:t>Protocolo de control de transmisión/Protocolo Internet</w:t>
      </w:r>
    </w:p>
    <w:p w:rsidR="00804AEC" w:rsidRPr="00862632" w:rsidRDefault="00804AEC" w:rsidP="0065679A">
      <w:pPr>
        <w:tabs>
          <w:tab w:val="clear" w:pos="794"/>
          <w:tab w:val="clear" w:pos="1191"/>
        </w:tabs>
        <w:rPr>
          <w:rFonts w:asciiTheme="minorHAnsi" w:hAnsiTheme="minorHAnsi" w:cstheme="minorHAnsi"/>
          <w:szCs w:val="22"/>
          <w:lang w:val="es-ES"/>
        </w:rPr>
      </w:pPr>
      <w:r w:rsidRPr="00862632">
        <w:rPr>
          <w:rFonts w:asciiTheme="minorHAnsi" w:hAnsiTheme="minorHAnsi" w:cstheme="minorHAnsi"/>
          <w:szCs w:val="22"/>
          <w:lang w:val="es-ES"/>
        </w:rPr>
        <w:t>TIC</w:t>
      </w:r>
      <w:r w:rsidRPr="00862632">
        <w:rPr>
          <w:rFonts w:asciiTheme="minorHAnsi" w:hAnsiTheme="minorHAnsi" w:cstheme="minorHAnsi"/>
          <w:szCs w:val="22"/>
          <w:lang w:val="es-ES"/>
        </w:rPr>
        <w:tab/>
        <w:t>Tecnología de la Información y la Comunicación</w:t>
      </w:r>
    </w:p>
    <w:p w:rsidR="00804AEC" w:rsidRPr="00862632" w:rsidRDefault="00804AEC" w:rsidP="0065679A">
      <w:pPr>
        <w:tabs>
          <w:tab w:val="clear" w:pos="794"/>
          <w:tab w:val="clear" w:pos="1191"/>
        </w:tabs>
        <w:rPr>
          <w:rFonts w:asciiTheme="minorHAnsi" w:hAnsiTheme="minorHAnsi" w:cstheme="minorHAnsi"/>
          <w:szCs w:val="22"/>
          <w:lang w:val="es-ES"/>
        </w:rPr>
      </w:pPr>
      <w:r w:rsidRPr="00862632">
        <w:rPr>
          <w:rFonts w:asciiTheme="minorHAnsi" w:hAnsiTheme="minorHAnsi" w:cstheme="minorHAnsi"/>
          <w:szCs w:val="22"/>
          <w:lang w:val="es-ES"/>
        </w:rPr>
        <w:t>TLD</w:t>
      </w:r>
      <w:r w:rsidRPr="00862632">
        <w:rPr>
          <w:rFonts w:asciiTheme="minorHAnsi" w:hAnsiTheme="minorHAnsi" w:cstheme="minorHAnsi"/>
          <w:szCs w:val="22"/>
          <w:lang w:val="es-ES"/>
        </w:rPr>
        <w:tab/>
        <w:t>Dominio de nivel superior</w:t>
      </w:r>
    </w:p>
    <w:p w:rsidR="00804AEC" w:rsidRPr="00862632" w:rsidRDefault="00804AEC" w:rsidP="0065679A">
      <w:pPr>
        <w:tabs>
          <w:tab w:val="clear" w:pos="794"/>
          <w:tab w:val="clear" w:pos="1191"/>
        </w:tabs>
        <w:rPr>
          <w:rFonts w:asciiTheme="minorHAnsi" w:hAnsiTheme="minorHAnsi" w:cstheme="minorHAnsi"/>
          <w:szCs w:val="22"/>
          <w:lang w:val="es-ES"/>
        </w:rPr>
      </w:pPr>
      <w:r w:rsidRPr="00862632">
        <w:rPr>
          <w:rFonts w:asciiTheme="minorHAnsi" w:hAnsiTheme="minorHAnsi" w:cstheme="minorHAnsi"/>
          <w:szCs w:val="22"/>
          <w:lang w:val="es-ES"/>
        </w:rPr>
        <w:t>UIT</w:t>
      </w:r>
      <w:r w:rsidRPr="00862632">
        <w:rPr>
          <w:rFonts w:asciiTheme="minorHAnsi" w:hAnsiTheme="minorHAnsi" w:cstheme="minorHAnsi"/>
          <w:szCs w:val="22"/>
          <w:lang w:val="es-ES"/>
        </w:rPr>
        <w:tab/>
        <w:t>Unión Internacional de Telecomunicaciones</w:t>
      </w:r>
    </w:p>
    <w:p w:rsidR="00804AEC" w:rsidRPr="00862632" w:rsidRDefault="00804AEC" w:rsidP="0065679A">
      <w:pPr>
        <w:tabs>
          <w:tab w:val="clear" w:pos="794"/>
          <w:tab w:val="clear" w:pos="1191"/>
        </w:tabs>
        <w:rPr>
          <w:rFonts w:asciiTheme="minorHAnsi" w:hAnsiTheme="minorHAnsi" w:cstheme="minorHAnsi"/>
          <w:szCs w:val="22"/>
          <w:lang w:val="es-ES"/>
        </w:rPr>
      </w:pPr>
      <w:r w:rsidRPr="00862632">
        <w:rPr>
          <w:rFonts w:asciiTheme="minorHAnsi" w:hAnsiTheme="minorHAnsi" w:cstheme="minorHAnsi"/>
          <w:szCs w:val="22"/>
          <w:lang w:val="es-ES"/>
        </w:rPr>
        <w:t>UIT-T</w:t>
      </w:r>
      <w:r w:rsidRPr="00862632">
        <w:rPr>
          <w:rFonts w:asciiTheme="minorHAnsi" w:hAnsiTheme="minorHAnsi" w:cstheme="minorHAnsi"/>
          <w:szCs w:val="22"/>
          <w:lang w:val="es-ES"/>
        </w:rPr>
        <w:tab/>
        <w:t>Sector de Normalización de las Telecomunicaciones de la UIT</w:t>
      </w:r>
    </w:p>
    <w:p w:rsidR="00804AEC" w:rsidRPr="00862632" w:rsidRDefault="00804AEC" w:rsidP="0065679A">
      <w:pPr>
        <w:tabs>
          <w:tab w:val="clear" w:pos="794"/>
          <w:tab w:val="clear" w:pos="1191"/>
        </w:tabs>
        <w:rPr>
          <w:rFonts w:asciiTheme="minorHAnsi" w:hAnsiTheme="minorHAnsi" w:cstheme="minorHAnsi"/>
          <w:szCs w:val="22"/>
          <w:lang w:val="es-ES"/>
        </w:rPr>
      </w:pPr>
      <w:r w:rsidRPr="00862632">
        <w:rPr>
          <w:rFonts w:asciiTheme="minorHAnsi" w:hAnsiTheme="minorHAnsi" w:cstheme="minorHAnsi"/>
          <w:szCs w:val="22"/>
          <w:lang w:val="es-ES"/>
        </w:rPr>
        <w:t>UNESCO</w:t>
      </w:r>
      <w:r w:rsidRPr="00862632">
        <w:rPr>
          <w:rFonts w:asciiTheme="minorHAnsi" w:hAnsiTheme="minorHAnsi" w:cstheme="minorHAnsi"/>
          <w:szCs w:val="22"/>
          <w:lang w:val="es-ES"/>
        </w:rPr>
        <w:tab/>
        <w:t>Organización de las Naciones Unidas para la Educación, la Ciencia y la Cultura</w:t>
      </w:r>
    </w:p>
    <w:p w:rsidR="00804AEC" w:rsidRPr="00862632" w:rsidRDefault="00804AEC" w:rsidP="0065679A">
      <w:pPr>
        <w:tabs>
          <w:tab w:val="clear" w:pos="794"/>
          <w:tab w:val="clear" w:pos="1191"/>
        </w:tabs>
        <w:rPr>
          <w:rFonts w:asciiTheme="minorHAnsi" w:hAnsiTheme="minorHAnsi" w:cstheme="minorHAnsi"/>
          <w:szCs w:val="22"/>
          <w:lang w:val="es-ES"/>
        </w:rPr>
      </w:pPr>
      <w:r w:rsidRPr="00862632">
        <w:rPr>
          <w:rFonts w:asciiTheme="minorHAnsi" w:hAnsiTheme="minorHAnsi" w:cstheme="minorHAnsi"/>
          <w:szCs w:val="22"/>
          <w:lang w:val="es-ES"/>
        </w:rPr>
        <w:t>VoIP</w:t>
      </w:r>
      <w:r w:rsidRPr="00862632">
        <w:rPr>
          <w:rFonts w:asciiTheme="minorHAnsi" w:hAnsiTheme="minorHAnsi" w:cstheme="minorHAnsi"/>
          <w:szCs w:val="22"/>
          <w:lang w:val="es-ES"/>
        </w:rPr>
        <w:tab/>
        <w:t>Protocolo de Transmisión de la Voz por Internet</w:t>
      </w:r>
    </w:p>
    <w:p w:rsidR="00804AEC" w:rsidRPr="00862632" w:rsidRDefault="00804AEC" w:rsidP="0065679A">
      <w:pPr>
        <w:tabs>
          <w:tab w:val="clear" w:pos="794"/>
          <w:tab w:val="clear" w:pos="1191"/>
        </w:tabs>
        <w:rPr>
          <w:rFonts w:asciiTheme="minorHAnsi" w:hAnsiTheme="minorHAnsi" w:cstheme="minorHAnsi"/>
          <w:szCs w:val="22"/>
          <w:lang w:val="es-ES"/>
        </w:rPr>
      </w:pPr>
      <w:r w:rsidRPr="00862632">
        <w:rPr>
          <w:rFonts w:asciiTheme="minorHAnsi" w:hAnsiTheme="minorHAnsi" w:cstheme="minorHAnsi"/>
          <w:szCs w:val="22"/>
          <w:lang w:val="es-ES"/>
        </w:rPr>
        <w:t>W3C</w:t>
      </w:r>
      <w:r w:rsidRPr="00862632">
        <w:rPr>
          <w:rFonts w:asciiTheme="minorHAnsi" w:hAnsiTheme="minorHAnsi" w:cstheme="minorHAnsi"/>
          <w:szCs w:val="22"/>
          <w:lang w:val="es-ES"/>
        </w:rPr>
        <w:tab/>
        <w:t>World Wide Web Consortium</w:t>
      </w:r>
    </w:p>
    <w:p w:rsidR="00804AEC" w:rsidRPr="00862632" w:rsidRDefault="00804AEC" w:rsidP="0065679A">
      <w:pPr>
        <w:tabs>
          <w:tab w:val="clear" w:pos="794"/>
          <w:tab w:val="clear" w:pos="1191"/>
        </w:tabs>
        <w:rPr>
          <w:rFonts w:asciiTheme="minorHAnsi" w:hAnsiTheme="minorHAnsi" w:cstheme="minorHAnsi"/>
          <w:szCs w:val="22"/>
          <w:lang w:val="es-ES"/>
        </w:rPr>
      </w:pPr>
      <w:r w:rsidRPr="00862632">
        <w:rPr>
          <w:rFonts w:asciiTheme="minorHAnsi" w:hAnsiTheme="minorHAnsi" w:cstheme="minorHAnsi"/>
          <w:szCs w:val="22"/>
          <w:lang w:val="es-ES"/>
        </w:rPr>
        <w:t>WIDE</w:t>
      </w:r>
      <w:r w:rsidRPr="00862632">
        <w:rPr>
          <w:rFonts w:asciiTheme="minorHAnsi" w:hAnsiTheme="minorHAnsi" w:cstheme="minorHAnsi"/>
          <w:szCs w:val="22"/>
          <w:lang w:val="es-ES"/>
        </w:rPr>
        <w:tab/>
        <w:t xml:space="preserve">Proyecto </w:t>
      </w:r>
      <w:r w:rsidRPr="00862632">
        <w:rPr>
          <w:rFonts w:asciiTheme="minorHAnsi" w:hAnsiTheme="minorHAnsi" w:cstheme="minorHAnsi"/>
          <w:i/>
          <w:iCs/>
          <w:szCs w:val="22"/>
          <w:lang w:val="es-ES"/>
        </w:rPr>
        <w:t>Widely Integrated Distributed Environment</w:t>
      </w:r>
    </w:p>
    <w:p w:rsidR="00804AEC" w:rsidRPr="00906BF6" w:rsidRDefault="00804AEC" w:rsidP="00906BF6">
      <w:pPr>
        <w:tabs>
          <w:tab w:val="clear" w:pos="794"/>
          <w:tab w:val="clear" w:pos="1191"/>
        </w:tabs>
        <w:rPr>
          <w:rFonts w:asciiTheme="minorHAnsi" w:hAnsiTheme="minorHAnsi" w:cstheme="minorHAnsi"/>
          <w:szCs w:val="22"/>
          <w:lang w:val="es-ES"/>
        </w:rPr>
      </w:pPr>
      <w:r w:rsidRPr="00906BF6">
        <w:rPr>
          <w:rFonts w:asciiTheme="minorHAnsi" w:hAnsiTheme="minorHAnsi" w:cstheme="minorHAnsi"/>
          <w:szCs w:val="22"/>
          <w:lang w:val="es-ES"/>
        </w:rPr>
        <w:t>ZSK</w:t>
      </w:r>
      <w:r w:rsidRPr="00906BF6">
        <w:rPr>
          <w:rFonts w:asciiTheme="minorHAnsi" w:hAnsiTheme="minorHAnsi" w:cstheme="minorHAnsi"/>
          <w:szCs w:val="22"/>
          <w:lang w:val="es-ES"/>
        </w:rPr>
        <w:tab/>
        <w:t>clave de firma de zona</w:t>
      </w:r>
    </w:p>
    <w:p w:rsidR="00344D10" w:rsidRPr="00862632" w:rsidRDefault="00344D10" w:rsidP="009554F1">
      <w:pPr>
        <w:rPr>
          <w:rFonts w:asciiTheme="minorHAnsi" w:hAnsiTheme="minorHAnsi" w:cstheme="minorHAnsi"/>
          <w:szCs w:val="22"/>
          <w:lang w:val="es-ES"/>
        </w:rPr>
      </w:pPr>
    </w:p>
    <w:p w:rsidR="0065679A" w:rsidRPr="00862632" w:rsidRDefault="0065679A" w:rsidP="0065679A">
      <w:pPr>
        <w:pStyle w:val="Reasons"/>
        <w:rPr>
          <w:rFonts w:asciiTheme="minorHAnsi" w:hAnsiTheme="minorHAnsi" w:cstheme="minorHAnsi"/>
          <w:lang w:val="es-ES"/>
        </w:rPr>
      </w:pPr>
    </w:p>
    <w:p w:rsidR="0065679A" w:rsidRPr="00862632" w:rsidRDefault="0065679A">
      <w:pPr>
        <w:jc w:val="center"/>
        <w:rPr>
          <w:rFonts w:asciiTheme="minorHAnsi" w:hAnsiTheme="minorHAnsi" w:cstheme="minorHAnsi"/>
          <w:lang w:val="es-ES"/>
        </w:rPr>
      </w:pPr>
      <w:r w:rsidRPr="00862632">
        <w:rPr>
          <w:rFonts w:asciiTheme="minorHAnsi" w:hAnsiTheme="minorHAnsi" w:cstheme="minorHAnsi"/>
          <w:lang w:val="es-ES"/>
        </w:rPr>
        <w:t>______________</w:t>
      </w:r>
    </w:p>
    <w:p w:rsidR="001D503E" w:rsidRPr="00862632" w:rsidRDefault="001D503E" w:rsidP="0065679A">
      <w:pPr>
        <w:rPr>
          <w:rFonts w:asciiTheme="minorHAnsi" w:hAnsiTheme="minorHAnsi" w:cstheme="minorHAnsi"/>
          <w:lang w:val="es-ES"/>
        </w:rPr>
      </w:pPr>
    </w:p>
    <w:sectPr w:rsidR="001D503E" w:rsidRPr="00862632" w:rsidSect="009554F1">
      <w:headerReference w:type="default" r:id="rId128"/>
      <w:footerReference w:type="default" r:id="rId129"/>
      <w:headerReference w:type="first" r:id="rId130"/>
      <w:footerReference w:type="first" r:id="rId131"/>
      <w:pgSz w:w="11907" w:h="16840" w:code="9"/>
      <w:pgMar w:top="1418" w:right="1134" w:bottom="1418" w:left="1134" w:header="720" w:footer="720" w:gutter="0"/>
      <w:paperSrc w:first="15" w:other="15"/>
      <w:cols w:space="72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31322" w:rsidRDefault="00831322">
      <w:r>
        <w:separator/>
      </w:r>
    </w:p>
  </w:endnote>
  <w:endnote w:type="continuationSeparator" w:id="0">
    <w:p w:rsidR="00831322" w:rsidRDefault="0083132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G Times">
    <w:altName w:val="Times New Roman"/>
    <w:panose1 w:val="00000000000000000000"/>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10002FF" w:usb1="4000ACFF" w:usb2="00000009" w:usb3="00000000" w:csb0="0000019F" w:csb1="00000000"/>
  </w:font>
  <w:font w:name="SimSun">
    <w:altName w:val="宋体"/>
    <w:panose1 w:val="02010600030101010101"/>
    <w:charset w:val="86"/>
    <w:family w:val="auto"/>
    <w:pitch w:val="variable"/>
    <w:sig w:usb0="00000003" w:usb1="080E0000" w:usb2="00000010" w:usb3="00000000" w:csb0="00040001" w:csb1="00000000"/>
  </w:font>
  <w:font w:name="Arial">
    <w:panose1 w:val="020B0604020202020204"/>
    <w:charset w:val="00"/>
    <w:family w:val="swiss"/>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Verdana">
    <w:panose1 w:val="020B0604030504040204"/>
    <w:charset w:val="00"/>
    <w:family w:val="swiss"/>
    <w:pitch w:val="variable"/>
    <w:sig w:usb0="20000287" w:usb1="00000000" w:usb2="00000000" w:usb3="00000000" w:csb0="0000019F" w:csb1="00000000"/>
  </w:font>
  <w:font w:name="Consolas">
    <w:panose1 w:val="020B0609020204030204"/>
    <w:charset w:val="00"/>
    <w:family w:val="modern"/>
    <w:pitch w:val="fixed"/>
    <w:sig w:usb0="E10002FF" w:usb1="4000FCFF" w:usb2="00000009" w:usb3="00000000" w:csb0="0000019F" w:csb1="00000000"/>
  </w:font>
  <w:font w:name="Lucida Sans Unicode">
    <w:panose1 w:val="020B0602030504020204"/>
    <w:charset w:val="00"/>
    <w:family w:val="swiss"/>
    <w:pitch w:val="variable"/>
    <w:sig w:usb0="80000AFF" w:usb1="0000396B" w:usb2="00000000" w:usb3="00000000" w:csb0="0000003F" w:csb1="00000000"/>
  </w:font>
  <w:font w:name="'宋体">
    <w:altName w:val="SimSun"/>
    <w:charset w:val="86"/>
    <w:family w:val="auto"/>
    <w:pitch w:val="variable"/>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31322" w:rsidRDefault="00831322" w:rsidP="0016466E">
    <w:pPr>
      <w:pStyle w:val="Footer"/>
    </w:pPr>
    <w:fldSimple w:instr=" FILENAME \p  \* MERGEFORMAT ">
      <w:r>
        <w:t>P:\ESP\SG\CONF-SG\WTPF13\337842S.docx</w:t>
      </w:r>
    </w:fldSimple>
    <w:r>
      <w:t xml:space="preserve"> (337482)</w:t>
    </w:r>
    <w:r>
      <w:tab/>
    </w:r>
    <w:r>
      <w:fldChar w:fldCharType="begin"/>
    </w:r>
    <w:r>
      <w:instrText xml:space="preserve"> SAVEDATE \@ DD.MM.YY </w:instrText>
    </w:r>
    <w:r>
      <w:fldChar w:fldCharType="separate"/>
    </w:r>
    <w:r>
      <w:t>06.02.13</w:t>
    </w:r>
    <w:r>
      <w:fldChar w:fldCharType="end"/>
    </w:r>
    <w:r>
      <w:tab/>
    </w:r>
    <w:r>
      <w:fldChar w:fldCharType="begin"/>
    </w:r>
    <w:r>
      <w:instrText xml:space="preserve"> PRINTDATE \@ DD.MM.YY </w:instrText>
    </w:r>
    <w:r>
      <w:fldChar w:fldCharType="separate"/>
    </w:r>
    <w:r>
      <w:t>06.02.13</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31322" w:rsidRPr="0016466E" w:rsidRDefault="00831322" w:rsidP="0016466E">
    <w:pPr>
      <w:pStyle w:val="Footer"/>
    </w:pPr>
    <w:fldSimple w:instr=" FILENAME \p  \* MERGEFORMAT ">
      <w:r>
        <w:t>P:\ESP\SG\CONF-SG\WTPF13\337842S.docx</w:t>
      </w:r>
    </w:fldSimple>
    <w:r>
      <w:t xml:space="preserve"> (337482)</w:t>
    </w:r>
    <w:r>
      <w:tab/>
    </w:r>
    <w:r>
      <w:fldChar w:fldCharType="begin"/>
    </w:r>
    <w:r>
      <w:instrText xml:space="preserve"> SAVEDATE \@ DD.MM.YY </w:instrText>
    </w:r>
    <w:r>
      <w:fldChar w:fldCharType="separate"/>
    </w:r>
    <w:r>
      <w:t>06.02.13</w:t>
    </w:r>
    <w:r>
      <w:fldChar w:fldCharType="end"/>
    </w:r>
    <w:r>
      <w:tab/>
    </w:r>
    <w:r>
      <w:fldChar w:fldCharType="begin"/>
    </w:r>
    <w:r>
      <w:instrText xml:space="preserve"> PRINTDATE \@ DD.MM.YY </w:instrText>
    </w:r>
    <w:r>
      <w:fldChar w:fldCharType="separate"/>
    </w:r>
    <w:r>
      <w:t>06.02.13</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31322" w:rsidRPr="00976F97" w:rsidRDefault="00831322" w:rsidP="00976F97">
      <w:r>
        <w:t>_______________</w:t>
      </w:r>
    </w:p>
  </w:footnote>
  <w:footnote w:type="continuationSeparator" w:id="0">
    <w:p w:rsidR="00831322" w:rsidRPr="00976F97" w:rsidRDefault="00831322" w:rsidP="00976F97">
      <w:r>
        <w:t>_______________</w:t>
      </w:r>
    </w:p>
  </w:footnote>
  <w:footnote w:id="1">
    <w:p w:rsidR="00831322" w:rsidRPr="00862632" w:rsidRDefault="00831322" w:rsidP="00EC650D">
      <w:pPr>
        <w:pStyle w:val="FootnoteText"/>
        <w:rPr>
          <w:rFonts w:cstheme="minorHAnsi"/>
          <w:lang w:val="es-ES"/>
        </w:rPr>
      </w:pPr>
      <w:r w:rsidRPr="00323F00">
        <w:rPr>
          <w:rStyle w:val="FootnoteReference"/>
        </w:rPr>
        <w:footnoteRef/>
      </w:r>
      <w:r w:rsidRPr="00862632">
        <w:rPr>
          <w:rFonts w:cstheme="minorHAnsi"/>
          <w:lang w:val="es-ES"/>
        </w:rPr>
        <w:tab/>
        <w:t>Nota: El título del FMPT 2013 se especifica en la Resolución 2 (Rev. Guadalajara, 2010), el Acuerdo 562 de la reunión de 2011 del Consejo y el Acuerdo 572 de la reunión de 2012 del Consejo.</w:t>
      </w:r>
    </w:p>
  </w:footnote>
  <w:footnote w:id="2">
    <w:p w:rsidR="00831322" w:rsidRPr="00862632" w:rsidRDefault="00831322" w:rsidP="00344D10">
      <w:pPr>
        <w:pStyle w:val="FootnoteText"/>
        <w:rPr>
          <w:rFonts w:cstheme="minorHAnsi"/>
          <w:lang w:val="es-ES"/>
        </w:rPr>
      </w:pPr>
      <w:r w:rsidRPr="00323F00">
        <w:rPr>
          <w:rStyle w:val="FootnoteReference"/>
        </w:rPr>
        <w:footnoteRef/>
      </w:r>
      <w:r w:rsidRPr="00862632">
        <w:rPr>
          <w:rFonts w:cstheme="minorHAnsi"/>
          <w:lang w:val="es-ES"/>
        </w:rPr>
        <w:tab/>
        <w:t xml:space="preserve">GTC-Internet, en </w:t>
      </w:r>
      <w:hyperlink r:id="rId1" w:history="1">
        <w:r w:rsidRPr="00862632">
          <w:rPr>
            <w:rStyle w:val="Hyperlink"/>
            <w:rFonts w:cstheme="minorHAnsi"/>
            <w:lang w:val="es-ES"/>
          </w:rPr>
          <w:t>http://www.itu.int/council/groups/CWG-Internet/index.html</w:t>
        </w:r>
      </w:hyperlink>
      <w:r w:rsidRPr="00862632">
        <w:rPr>
          <w:rFonts w:cstheme="minorHAnsi"/>
          <w:lang w:val="es-ES"/>
        </w:rPr>
        <w:t>.</w:t>
      </w:r>
    </w:p>
  </w:footnote>
  <w:footnote w:id="3">
    <w:p w:rsidR="00831322" w:rsidRPr="00862632" w:rsidRDefault="00831322" w:rsidP="003856C0">
      <w:pPr>
        <w:pStyle w:val="FootnoteText"/>
        <w:rPr>
          <w:lang w:val="es-ES"/>
        </w:rPr>
      </w:pPr>
      <w:r w:rsidRPr="003856C0">
        <w:rPr>
          <w:rStyle w:val="FootnoteReference"/>
        </w:rPr>
        <w:footnoteRef/>
      </w:r>
      <w:r w:rsidRPr="00862632">
        <w:rPr>
          <w:lang w:val="es-ES"/>
        </w:rPr>
        <w:tab/>
      </w:r>
      <w:r w:rsidRPr="003856C0">
        <w:t>Cita</w:t>
      </w:r>
      <w:r w:rsidRPr="00862632">
        <w:rPr>
          <w:lang w:val="es-ES"/>
        </w:rPr>
        <w:t xml:space="preserve"> de</w:t>
      </w:r>
      <w:r w:rsidRPr="00862632">
        <w:rPr>
          <w:i/>
          <w:iCs/>
          <w:lang w:val="es-ES"/>
        </w:rPr>
        <w:t xml:space="preserve"> encarga al Consejo </w:t>
      </w:r>
      <w:r w:rsidRPr="00862632">
        <w:rPr>
          <w:lang w:val="es-ES"/>
        </w:rPr>
        <w:t>1</w:t>
      </w:r>
      <w:r w:rsidRPr="00862632">
        <w:rPr>
          <w:i/>
          <w:iCs/>
          <w:lang w:val="es-ES"/>
        </w:rPr>
        <w:t xml:space="preserve"> </w:t>
      </w:r>
      <w:r w:rsidRPr="00862632">
        <w:rPr>
          <w:lang w:val="es-ES"/>
        </w:rPr>
        <w:t>de la Resolución 102 (Rev. Guadalajara 2010).</w:t>
      </w:r>
    </w:p>
  </w:footnote>
  <w:footnote w:id="4">
    <w:p w:rsidR="00831322" w:rsidRPr="00862632" w:rsidRDefault="00831322" w:rsidP="003856C0">
      <w:pPr>
        <w:pStyle w:val="FootnoteText"/>
        <w:rPr>
          <w:lang w:val="es-ES"/>
        </w:rPr>
      </w:pPr>
      <w:r w:rsidRPr="003856C0">
        <w:rPr>
          <w:rStyle w:val="FootnoteReference"/>
        </w:rPr>
        <w:footnoteRef/>
      </w:r>
      <w:r w:rsidRPr="00862632">
        <w:rPr>
          <w:lang w:val="es-ES"/>
        </w:rPr>
        <w:tab/>
      </w:r>
      <w:r w:rsidRPr="003856C0">
        <w:t>Resolución</w:t>
      </w:r>
      <w:r w:rsidRPr="00862632">
        <w:rPr>
          <w:lang w:val="es-ES"/>
        </w:rPr>
        <w:t xml:space="preserve"> 1344 de la reunión de 2012 del Consejo (en </w:t>
      </w:r>
      <w:hyperlink r:id="rId2" w:history="1">
        <w:r w:rsidRPr="00862632">
          <w:rPr>
            <w:rStyle w:val="Hyperlink"/>
            <w:rFonts w:cstheme="minorHAnsi"/>
            <w:lang w:val="es-ES"/>
          </w:rPr>
          <w:t>http://www.itu.int/md/S12-CL-C-0086/en</w:t>
        </w:r>
      </w:hyperlink>
      <w:r w:rsidRPr="00862632">
        <w:rPr>
          <w:lang w:val="es-ES"/>
        </w:rPr>
        <w:t>).</w:t>
      </w:r>
    </w:p>
  </w:footnote>
  <w:footnote w:id="5">
    <w:p w:rsidR="00831322" w:rsidRPr="00862632" w:rsidRDefault="00831322" w:rsidP="00056910">
      <w:pPr>
        <w:pStyle w:val="FootnoteText"/>
        <w:rPr>
          <w:rFonts w:cstheme="minorHAnsi"/>
          <w:lang w:val="es-ES"/>
        </w:rPr>
      </w:pPr>
      <w:r w:rsidRPr="003856C0">
        <w:rPr>
          <w:rStyle w:val="FootnoteReference"/>
        </w:rPr>
        <w:footnoteRef/>
      </w:r>
      <w:r w:rsidRPr="00862632">
        <w:rPr>
          <w:rFonts w:cstheme="minorHAnsi"/>
          <w:lang w:val="es-ES"/>
        </w:rPr>
        <w:tab/>
        <w:t xml:space="preserve">Debe tenerse en cuenta que el punto 1.1.5 figuraba en el Documento </w:t>
      </w:r>
      <w:hyperlink r:id="rId3" w:history="1">
        <w:r>
          <w:rPr>
            <w:rStyle w:val="Hyperlink"/>
            <w:rFonts w:cstheme="minorHAnsi"/>
            <w:lang w:val="es-ES"/>
          </w:rPr>
          <w:t>C12/27(Rev.</w:t>
        </w:r>
        <w:r w:rsidRPr="00862632">
          <w:rPr>
            <w:rStyle w:val="Hyperlink"/>
            <w:rFonts w:cstheme="minorHAnsi"/>
            <w:lang w:val="es-ES"/>
          </w:rPr>
          <w:t>2</w:t>
        </w:r>
      </w:hyperlink>
      <w:r w:rsidRPr="00862632">
        <w:rPr>
          <w:rStyle w:val="Hyperlink"/>
          <w:rFonts w:cstheme="minorHAnsi"/>
          <w:lang w:val="es-ES"/>
        </w:rPr>
        <w:t>)</w:t>
      </w:r>
      <w:r w:rsidRPr="00862632">
        <w:rPr>
          <w:rFonts w:cstheme="minorHAnsi"/>
          <w:lang w:val="es-ES"/>
        </w:rPr>
        <w:t xml:space="preserve"> del Consejo, que fue refrendado por la reunión de 2012 del Consejo.</w:t>
      </w:r>
    </w:p>
  </w:footnote>
  <w:footnote w:id="6">
    <w:p w:rsidR="00831322" w:rsidRPr="00862632" w:rsidRDefault="00831322">
      <w:pPr>
        <w:pStyle w:val="FootnoteText"/>
        <w:rPr>
          <w:rFonts w:cstheme="minorHAnsi"/>
          <w:lang w:val="es-ES"/>
        </w:rPr>
      </w:pPr>
      <w:r w:rsidRPr="003856C0">
        <w:rPr>
          <w:rStyle w:val="FootnoteReference"/>
        </w:rPr>
        <w:footnoteRef/>
      </w:r>
      <w:r w:rsidRPr="00862632">
        <w:rPr>
          <w:rFonts w:cstheme="minorHAnsi"/>
          <w:lang w:val="es-ES"/>
        </w:rPr>
        <w:tab/>
        <w:t xml:space="preserve">Documento C12/27 de la reunión de 2012 del Consejo, Preparativos del Quinto FMPT, </w:t>
      </w:r>
      <w:hyperlink r:id="rId4" w:history="1">
        <w:r w:rsidRPr="00862632">
          <w:rPr>
            <w:rStyle w:val="Hyperlink"/>
            <w:rFonts w:cstheme="minorHAnsi"/>
            <w:lang w:val="es-ES"/>
          </w:rPr>
          <w:t>http://www.itu.int/md/S12-CL-C-0027/en</w:t>
        </w:r>
      </w:hyperlink>
      <w:r w:rsidRPr="00862632">
        <w:rPr>
          <w:rFonts w:cstheme="minorHAnsi"/>
          <w:lang w:val="es-ES"/>
        </w:rPr>
        <w:t>.</w:t>
      </w:r>
    </w:p>
  </w:footnote>
  <w:footnote w:id="7">
    <w:p w:rsidR="00831322" w:rsidRPr="00862632" w:rsidRDefault="00831322" w:rsidP="00372EAB">
      <w:pPr>
        <w:pStyle w:val="CommentText"/>
        <w:tabs>
          <w:tab w:val="left" w:pos="284"/>
        </w:tabs>
        <w:spacing w:after="0"/>
        <w:ind w:left="284" w:hanging="284"/>
        <w:rPr>
          <w:rFonts w:cstheme="minorHAnsi"/>
          <w:lang w:val="es-ES"/>
        </w:rPr>
      </w:pPr>
      <w:r w:rsidRPr="003856C0">
        <w:rPr>
          <w:rStyle w:val="FootnoteReference"/>
          <w:lang w:val="es-ES_tradnl" w:eastAsia="en-US"/>
        </w:rPr>
        <w:footnoteRef/>
      </w:r>
      <w:r w:rsidRPr="00862632">
        <w:rPr>
          <w:rFonts w:cstheme="minorHAnsi"/>
          <w:lang w:val="es-ES"/>
        </w:rPr>
        <w:tab/>
        <w:t>Pueden consultarse más detalles al respecto en los Informes del Presidente de la primera y la segunda reuniones del IEG.</w:t>
      </w:r>
    </w:p>
  </w:footnote>
  <w:footnote w:id="8">
    <w:p w:rsidR="00831322" w:rsidRPr="00862632" w:rsidRDefault="00831322" w:rsidP="00344D10">
      <w:pPr>
        <w:pStyle w:val="FootnoteText"/>
        <w:rPr>
          <w:rFonts w:cstheme="minorHAnsi"/>
          <w:lang w:val="es-ES"/>
        </w:rPr>
      </w:pPr>
      <w:r w:rsidRPr="003856C0">
        <w:rPr>
          <w:rStyle w:val="FootnoteReference"/>
        </w:rPr>
        <w:footnoteRef/>
      </w:r>
      <w:r w:rsidRPr="00323F00">
        <w:rPr>
          <w:rStyle w:val="FootnoteReference"/>
        </w:rPr>
        <w:t xml:space="preserve"> </w:t>
      </w:r>
      <w:r w:rsidRPr="00862632">
        <w:rPr>
          <w:rFonts w:cstheme="minorHAnsi"/>
          <w:lang w:val="es-ES"/>
        </w:rPr>
        <w:tab/>
      </w:r>
      <w:hyperlink r:id="rId5" w:history="1">
        <w:r>
          <w:rPr>
            <w:rStyle w:val="Hyperlink"/>
            <w:rFonts w:cstheme="minorHAnsi"/>
            <w:lang w:val="es-ES"/>
          </w:rPr>
          <w:t>Contribución del Reino Unido</w:t>
        </w:r>
      </w:hyperlink>
      <w:r w:rsidRPr="00862632">
        <w:rPr>
          <w:rFonts w:cstheme="minorHAnsi"/>
          <w:lang w:val="es-ES"/>
        </w:rPr>
        <w:t xml:space="preserve"> (1 de agosto de 2012).</w:t>
      </w:r>
    </w:p>
  </w:footnote>
  <w:footnote w:id="9">
    <w:p w:rsidR="00831322" w:rsidRPr="00862632" w:rsidRDefault="00831322" w:rsidP="00344D10">
      <w:pPr>
        <w:pStyle w:val="FootnoteText"/>
        <w:rPr>
          <w:rFonts w:cstheme="minorHAnsi"/>
          <w:lang w:val="es-ES"/>
        </w:rPr>
      </w:pPr>
      <w:r w:rsidRPr="003856C0">
        <w:rPr>
          <w:rStyle w:val="FootnoteReference"/>
        </w:rPr>
        <w:footnoteRef/>
      </w:r>
      <w:r w:rsidRPr="00862632">
        <w:rPr>
          <w:rFonts w:cstheme="minorHAnsi"/>
          <w:lang w:val="es-ES"/>
        </w:rPr>
        <w:t xml:space="preserve"> </w:t>
      </w:r>
      <w:r w:rsidRPr="00862632">
        <w:rPr>
          <w:rFonts w:cstheme="minorHAnsi"/>
          <w:lang w:val="es-ES"/>
        </w:rPr>
        <w:tab/>
      </w:r>
      <w:hyperlink r:id="rId6" w:history="1">
        <w:r w:rsidRPr="00862632">
          <w:rPr>
            <w:rStyle w:val="Hyperlink"/>
            <w:rFonts w:cstheme="minorHAnsi"/>
            <w:lang w:val="es-ES"/>
          </w:rPr>
          <w:t>Contribución de ISOC</w:t>
        </w:r>
      </w:hyperlink>
      <w:r w:rsidRPr="00862632">
        <w:rPr>
          <w:rFonts w:cstheme="minorHAnsi"/>
          <w:lang w:val="es-ES"/>
        </w:rPr>
        <w:t xml:space="preserve"> (26 de junio de 2012). </w:t>
      </w:r>
    </w:p>
  </w:footnote>
  <w:footnote w:id="10">
    <w:p w:rsidR="00831322" w:rsidRPr="00862632" w:rsidRDefault="00831322" w:rsidP="00056910">
      <w:pPr>
        <w:pStyle w:val="FootnoteText"/>
        <w:rPr>
          <w:rFonts w:cstheme="minorHAnsi"/>
          <w:lang w:val="es-ES"/>
        </w:rPr>
      </w:pPr>
      <w:r w:rsidRPr="003856C0">
        <w:rPr>
          <w:rStyle w:val="FootnoteReference"/>
        </w:rPr>
        <w:footnoteRef/>
      </w:r>
      <w:r w:rsidRPr="001E5B3A">
        <w:rPr>
          <w:rStyle w:val="FootnoteReference"/>
          <w:lang w:val="es-ES"/>
        </w:rPr>
        <w:t xml:space="preserve"> </w:t>
      </w:r>
      <w:r w:rsidRPr="00862632">
        <w:rPr>
          <w:rFonts w:cstheme="minorHAnsi"/>
          <w:vertAlign w:val="superscript"/>
          <w:lang w:val="es-ES"/>
        </w:rPr>
        <w:tab/>
      </w:r>
      <w:r>
        <w:rPr>
          <w:rFonts w:cstheme="minorHAnsi"/>
          <w:lang w:val="es-ES"/>
        </w:rPr>
        <w:t>"</w:t>
      </w:r>
      <w:r w:rsidRPr="00862632">
        <w:rPr>
          <w:rFonts w:cstheme="minorHAnsi"/>
          <w:i/>
          <w:iCs/>
          <w:lang w:val="es-ES"/>
        </w:rPr>
        <w:t>Brief History of the Internet</w:t>
      </w:r>
      <w:r>
        <w:rPr>
          <w:rFonts w:cstheme="minorHAnsi"/>
          <w:i/>
          <w:iCs/>
          <w:lang w:val="es-ES"/>
        </w:rPr>
        <w:t>"</w:t>
      </w:r>
      <w:r w:rsidRPr="00862632">
        <w:rPr>
          <w:rFonts w:cstheme="minorHAnsi"/>
          <w:i/>
          <w:iCs/>
          <w:lang w:val="es-ES"/>
        </w:rPr>
        <w:t xml:space="preserve">, </w:t>
      </w:r>
      <w:r w:rsidRPr="00862632">
        <w:rPr>
          <w:rFonts w:cstheme="minorHAnsi"/>
          <w:lang w:val="es-ES"/>
        </w:rPr>
        <w:t xml:space="preserve">por Barry M. Leiner, Vinton G. Cerf, David D. Clark, Robert E. Kahn, Leonard Kleinrock, Daniel C. Lynch, Jon Postel, Larry G. Roberts y Stephen Wolff, en </w:t>
      </w:r>
      <w:hyperlink r:id="rId7" w:history="1">
        <w:r w:rsidRPr="00862632">
          <w:rPr>
            <w:rStyle w:val="Hyperlink"/>
            <w:rFonts w:cstheme="minorHAnsi"/>
            <w:lang w:val="es-ES"/>
          </w:rPr>
          <w:t>http://www.internetsociety.org/internet/internet-51/history-internet/brief-history-internet/</w:t>
        </w:r>
      </w:hyperlink>
      <w:r w:rsidRPr="00862632">
        <w:rPr>
          <w:rFonts w:cstheme="minorHAnsi"/>
          <w:lang w:val="es-ES"/>
        </w:rPr>
        <w:t xml:space="preserve">. </w:t>
      </w:r>
    </w:p>
  </w:footnote>
  <w:footnote w:id="11">
    <w:p w:rsidR="00831322" w:rsidRPr="00862632" w:rsidRDefault="00831322">
      <w:pPr>
        <w:pStyle w:val="FootnoteText"/>
        <w:rPr>
          <w:rFonts w:cstheme="minorHAnsi"/>
          <w:lang w:val="es-ES"/>
        </w:rPr>
      </w:pPr>
      <w:r w:rsidRPr="003856C0">
        <w:rPr>
          <w:rStyle w:val="FootnoteReference"/>
        </w:rPr>
        <w:footnoteRef/>
      </w:r>
      <w:r w:rsidRPr="00862632">
        <w:rPr>
          <w:rFonts w:cstheme="minorHAnsi"/>
          <w:lang w:val="es-ES"/>
        </w:rPr>
        <w:t xml:space="preserve"> </w:t>
      </w:r>
      <w:r w:rsidRPr="00862632">
        <w:rPr>
          <w:rFonts w:cstheme="minorHAnsi"/>
          <w:lang w:val="es-ES"/>
        </w:rPr>
        <w:tab/>
        <w:t xml:space="preserve">Véase en la </w:t>
      </w:r>
      <w:hyperlink r:id="rId8" w:history="1">
        <w:r w:rsidRPr="00A26E96">
          <w:rPr>
            <w:rStyle w:val="Hyperlink"/>
            <w:rFonts w:cstheme="minorHAnsi"/>
            <w:lang w:val="es-ES"/>
          </w:rPr>
          <w:t>contribución de EE.UU./CNRI</w:t>
        </w:r>
      </w:hyperlink>
      <w:r w:rsidRPr="00862632">
        <w:rPr>
          <w:rFonts w:cstheme="minorHAnsi"/>
          <w:lang w:val="es-ES"/>
        </w:rPr>
        <w:t xml:space="preserve"> (1 de agosto de 2012) un calendario más detallado de grandes hitos tecnológicos </w:t>
      </w:r>
    </w:p>
  </w:footnote>
  <w:footnote w:id="12">
    <w:p w:rsidR="00831322" w:rsidRPr="00862632" w:rsidRDefault="00831322">
      <w:pPr>
        <w:pStyle w:val="FootnoteText"/>
        <w:rPr>
          <w:rFonts w:cstheme="minorHAnsi"/>
          <w:lang w:val="es-ES"/>
        </w:rPr>
      </w:pPr>
      <w:r w:rsidRPr="003856C0">
        <w:rPr>
          <w:rStyle w:val="FootnoteReference"/>
        </w:rPr>
        <w:footnoteRef/>
      </w:r>
      <w:r w:rsidRPr="00862632">
        <w:rPr>
          <w:rFonts w:cstheme="minorHAnsi"/>
          <w:lang w:val="es-ES"/>
        </w:rPr>
        <w:tab/>
      </w:r>
      <w:hyperlink r:id="rId9" w:history="1">
        <w:r w:rsidRPr="00A26E96">
          <w:rPr>
            <w:rStyle w:val="Hyperlink"/>
            <w:rFonts w:cstheme="minorHAnsi"/>
            <w:lang w:val="es-ES"/>
          </w:rPr>
          <w:t>Contribución de EE.UU.</w:t>
        </w:r>
      </w:hyperlink>
      <w:r w:rsidRPr="00862632">
        <w:rPr>
          <w:rFonts w:cstheme="minorHAnsi"/>
          <w:lang w:val="es-ES"/>
        </w:rPr>
        <w:t xml:space="preserve"> (2 de octubre de 2012).</w:t>
      </w:r>
    </w:p>
  </w:footnote>
  <w:footnote w:id="13">
    <w:p w:rsidR="00831322" w:rsidRPr="00862632" w:rsidRDefault="00831322" w:rsidP="00016723">
      <w:pPr>
        <w:pStyle w:val="FootnoteText"/>
        <w:rPr>
          <w:lang w:val="es-ES"/>
        </w:rPr>
      </w:pPr>
      <w:r w:rsidRPr="003856C0">
        <w:rPr>
          <w:rStyle w:val="FootnoteReference"/>
        </w:rPr>
        <w:footnoteRef/>
      </w:r>
      <w:r w:rsidRPr="00862632">
        <w:rPr>
          <w:sz w:val="22"/>
          <w:szCs w:val="22"/>
          <w:vertAlign w:val="superscript"/>
          <w:lang w:val="es-ES"/>
        </w:rPr>
        <w:tab/>
      </w:r>
      <w:r w:rsidRPr="00862632">
        <w:rPr>
          <w:lang w:val="es-ES"/>
        </w:rPr>
        <w:t xml:space="preserve">En un Informe de McKinsey de 2012 se concluye que en los </w:t>
      </w:r>
      <w:r>
        <w:rPr>
          <w:lang w:val="es-ES"/>
        </w:rPr>
        <w:t>"</w:t>
      </w:r>
      <w:r w:rsidRPr="00862632">
        <w:rPr>
          <w:lang w:val="es-ES"/>
        </w:rPr>
        <w:t>Países aspirantes</w:t>
      </w:r>
      <w:r>
        <w:rPr>
          <w:lang w:val="es-ES"/>
        </w:rPr>
        <w:t>"</w:t>
      </w:r>
      <w:r w:rsidRPr="00862632">
        <w:rPr>
          <w:lang w:val="es-ES"/>
        </w:rPr>
        <w:t xml:space="preserve">, o países cuya dimensión económica y dinamismo les permitirán tener un papel influyente a escala mundial en un futuro próximo, la </w:t>
      </w:r>
      <w:r w:rsidRPr="002B1A35">
        <w:t>contribución</w:t>
      </w:r>
      <w:r w:rsidRPr="00862632">
        <w:rPr>
          <w:lang w:val="es-ES"/>
        </w:rPr>
        <w:t xml:space="preserve"> media de Internet al PBI fue cercana</w:t>
      </w:r>
      <w:r w:rsidR="00016723">
        <w:rPr>
          <w:lang w:val="es-ES"/>
        </w:rPr>
        <w:t xml:space="preserve"> </w:t>
      </w:r>
      <w:r w:rsidRPr="00862632">
        <w:rPr>
          <w:lang w:val="es-ES"/>
        </w:rPr>
        <w:t>al 1,9%. Es probable que la contribución de Internet al PIB nacional crezca considerablemente en el futuro, habida cuenta del rápido crecimiento de la penetración de Internet. Internet da pie a un crecimiento laboral neto en las PYME. Concretamente, en el Informe de McKinsey se concluye que Internet ha creado, de media, 3,2 puestos de trabajo por cada puesto suprimido en los países aspirantes.</w:t>
      </w:r>
    </w:p>
  </w:footnote>
  <w:footnote w:id="14">
    <w:p w:rsidR="00831322" w:rsidRPr="00862632" w:rsidRDefault="00831322" w:rsidP="00A26E96">
      <w:pPr>
        <w:pStyle w:val="FootnoteText"/>
        <w:rPr>
          <w:rFonts w:cstheme="minorHAnsi"/>
          <w:lang w:val="es-ES"/>
        </w:rPr>
      </w:pPr>
      <w:r w:rsidRPr="003856C0">
        <w:rPr>
          <w:rStyle w:val="FootnoteReference"/>
        </w:rPr>
        <w:footnoteRef/>
      </w:r>
      <w:r w:rsidRPr="00862632">
        <w:rPr>
          <w:rFonts w:cstheme="minorHAnsi"/>
          <w:lang w:val="es-ES"/>
        </w:rPr>
        <w:tab/>
      </w:r>
      <w:hyperlink r:id="rId10" w:history="1">
        <w:r w:rsidRPr="00A26E96">
          <w:rPr>
            <w:rStyle w:val="Hyperlink"/>
            <w:rFonts w:cstheme="minorHAnsi"/>
            <w:lang w:val="es-ES"/>
          </w:rPr>
          <w:t>Contribución de EE.UU.</w:t>
        </w:r>
      </w:hyperlink>
      <w:r w:rsidRPr="00862632">
        <w:rPr>
          <w:rFonts w:cstheme="minorHAnsi"/>
          <w:lang w:val="es-ES"/>
        </w:rPr>
        <w:t xml:space="preserve"> (2 de octubre de 2012).</w:t>
      </w:r>
    </w:p>
  </w:footnote>
  <w:footnote w:id="15">
    <w:p w:rsidR="00831322" w:rsidRPr="00862632" w:rsidRDefault="00831322" w:rsidP="00731597">
      <w:pPr>
        <w:pStyle w:val="FootnoteText"/>
        <w:rPr>
          <w:rFonts w:cstheme="minorHAnsi"/>
          <w:lang w:val="es-ES"/>
        </w:rPr>
      </w:pPr>
      <w:r w:rsidRPr="003856C0">
        <w:rPr>
          <w:rStyle w:val="FootnoteReference"/>
        </w:rPr>
        <w:footnoteRef/>
      </w:r>
      <w:r w:rsidRPr="003856C0">
        <w:rPr>
          <w:rStyle w:val="FootnoteReference"/>
        </w:rPr>
        <w:t xml:space="preserve"> </w:t>
      </w:r>
      <w:r w:rsidRPr="00862632">
        <w:rPr>
          <w:rFonts w:cstheme="minorHAnsi"/>
          <w:lang w:val="es-ES"/>
        </w:rPr>
        <w:tab/>
        <w:t xml:space="preserve">Minges (2000), </w:t>
      </w:r>
      <w:r>
        <w:rPr>
          <w:rFonts w:cstheme="minorHAnsi"/>
          <w:lang w:val="es-ES"/>
        </w:rPr>
        <w:t>"</w:t>
      </w:r>
      <w:r w:rsidRPr="00862632">
        <w:rPr>
          <w:rFonts w:cstheme="minorHAnsi"/>
          <w:lang w:val="es-ES"/>
        </w:rPr>
        <w:t>Counting the Net: Internet Access Indicators</w:t>
      </w:r>
      <w:r>
        <w:rPr>
          <w:rFonts w:cstheme="minorHAnsi"/>
          <w:lang w:val="es-ES"/>
        </w:rPr>
        <w:t>"</w:t>
      </w:r>
      <w:r w:rsidRPr="00862632">
        <w:rPr>
          <w:rFonts w:cstheme="minorHAnsi"/>
          <w:lang w:val="es-ES"/>
        </w:rPr>
        <w:t xml:space="preserve">, en </w:t>
      </w:r>
      <w:hyperlink r:id="rId11" w:history="1">
        <w:r w:rsidRPr="00862632">
          <w:rPr>
            <w:rStyle w:val="Hyperlink"/>
            <w:rFonts w:cstheme="minorHAnsi"/>
            <w:lang w:val="es-ES"/>
          </w:rPr>
          <w:t>http://www.isoc.org/inet2000/cdproceedings/8e/8e_1.htm</w:t>
        </w:r>
      </w:hyperlink>
      <w:r w:rsidRPr="00862632">
        <w:rPr>
          <w:rFonts w:cstheme="minorHAnsi"/>
          <w:lang w:val="es-ES"/>
        </w:rPr>
        <w:t>.</w:t>
      </w:r>
    </w:p>
  </w:footnote>
  <w:footnote w:id="16">
    <w:p w:rsidR="00831322" w:rsidRPr="00862632" w:rsidRDefault="00831322" w:rsidP="00344D10">
      <w:pPr>
        <w:pStyle w:val="FootnoteText"/>
        <w:rPr>
          <w:rFonts w:cstheme="minorHAnsi"/>
          <w:lang w:val="es-ES"/>
        </w:rPr>
      </w:pPr>
      <w:r w:rsidRPr="003856C0">
        <w:rPr>
          <w:rStyle w:val="FootnoteReference"/>
        </w:rPr>
        <w:footnoteRef/>
      </w:r>
      <w:r w:rsidRPr="003856C0">
        <w:rPr>
          <w:rStyle w:val="FootnoteReference"/>
        </w:rPr>
        <w:t xml:space="preserve"> </w:t>
      </w:r>
      <w:r w:rsidRPr="00862632">
        <w:rPr>
          <w:rFonts w:cstheme="minorHAnsi"/>
          <w:lang w:val="es-ES"/>
        </w:rPr>
        <w:tab/>
        <w:t>Véase</w:t>
      </w:r>
      <w:r>
        <w:rPr>
          <w:rFonts w:cstheme="minorHAnsi"/>
          <w:lang w:val="es-ES"/>
        </w:rPr>
        <w:t>,</w:t>
      </w:r>
      <w:r w:rsidRPr="00862632">
        <w:rPr>
          <w:rFonts w:cstheme="minorHAnsi"/>
          <w:lang w:val="es-ES"/>
        </w:rPr>
        <w:t xml:space="preserve"> por ejemplo</w:t>
      </w:r>
      <w:r>
        <w:rPr>
          <w:rFonts w:cstheme="minorHAnsi"/>
          <w:lang w:val="es-ES"/>
        </w:rPr>
        <w:t>,</w:t>
      </w:r>
      <w:r w:rsidRPr="00862632">
        <w:rPr>
          <w:rFonts w:cstheme="minorHAnsi"/>
          <w:lang w:val="es-ES"/>
        </w:rPr>
        <w:t xml:space="preserve"> el Informe de IDC sobre la dimensión del universo de datos.</w:t>
      </w:r>
    </w:p>
  </w:footnote>
  <w:footnote w:id="17">
    <w:p w:rsidR="00831322" w:rsidRPr="00862632" w:rsidRDefault="00831322" w:rsidP="00344D10">
      <w:pPr>
        <w:pStyle w:val="FootnoteText"/>
        <w:rPr>
          <w:rFonts w:cstheme="minorHAnsi"/>
          <w:lang w:val="es-ES"/>
        </w:rPr>
      </w:pPr>
      <w:r w:rsidRPr="003856C0">
        <w:rPr>
          <w:rStyle w:val="FootnoteReference"/>
        </w:rPr>
        <w:footnoteRef/>
      </w:r>
      <w:r w:rsidRPr="00323F00">
        <w:rPr>
          <w:rStyle w:val="FootnoteReference"/>
        </w:rPr>
        <w:t xml:space="preserve"> </w:t>
      </w:r>
      <w:r w:rsidRPr="00862632">
        <w:rPr>
          <w:rFonts w:cstheme="minorHAnsi"/>
          <w:lang w:val="es-ES"/>
        </w:rPr>
        <w:tab/>
        <w:t>Base de datos de las telecomunicaciones/TIC mundiales de la UIT.</w:t>
      </w:r>
    </w:p>
  </w:footnote>
  <w:footnote w:id="18">
    <w:p w:rsidR="00831322" w:rsidRPr="00862632" w:rsidRDefault="00831322" w:rsidP="00056910">
      <w:pPr>
        <w:pStyle w:val="FootnoteText"/>
        <w:rPr>
          <w:rFonts w:cstheme="minorHAnsi"/>
          <w:lang w:val="es-ES"/>
        </w:rPr>
      </w:pPr>
      <w:r w:rsidRPr="003856C0">
        <w:rPr>
          <w:rStyle w:val="FootnoteReference"/>
        </w:rPr>
        <w:footnoteRef/>
      </w:r>
      <w:r w:rsidRPr="003856C0">
        <w:rPr>
          <w:rStyle w:val="FootnoteReference"/>
        </w:rPr>
        <w:t xml:space="preserve"> </w:t>
      </w:r>
      <w:r w:rsidRPr="00862632">
        <w:rPr>
          <w:rFonts w:cstheme="minorHAnsi"/>
          <w:lang w:val="es-ES"/>
        </w:rPr>
        <w:tab/>
        <w:t xml:space="preserve">2011 MessageLabs Intelligence Report, en </w:t>
      </w:r>
      <w:hyperlink r:id="rId12" w:history="1">
        <w:r w:rsidRPr="00862632">
          <w:rPr>
            <w:rStyle w:val="Hyperlink"/>
            <w:rFonts w:cstheme="minorHAnsi"/>
            <w:lang w:val="es-ES"/>
          </w:rPr>
          <w:t>http://www.symantec.com/about/news/release/article.jsp?prid=20110524_02</w:t>
        </w:r>
      </w:hyperlink>
      <w:r w:rsidRPr="00862632">
        <w:rPr>
          <w:rFonts w:cstheme="minorHAnsi"/>
          <w:lang w:val="es-ES"/>
        </w:rPr>
        <w:t>.</w:t>
      </w:r>
    </w:p>
  </w:footnote>
  <w:footnote w:id="19">
    <w:p w:rsidR="00831322" w:rsidRPr="00862632" w:rsidRDefault="00831322" w:rsidP="00056910">
      <w:pPr>
        <w:pStyle w:val="FootnoteText"/>
        <w:rPr>
          <w:rFonts w:cstheme="minorHAnsi"/>
          <w:lang w:val="es-ES"/>
        </w:rPr>
      </w:pPr>
      <w:r w:rsidRPr="003856C0">
        <w:rPr>
          <w:rStyle w:val="FootnoteReference"/>
        </w:rPr>
        <w:footnoteRef/>
      </w:r>
      <w:r w:rsidRPr="00862632">
        <w:rPr>
          <w:rFonts w:cstheme="minorHAnsi"/>
          <w:sz w:val="22"/>
          <w:szCs w:val="22"/>
          <w:vertAlign w:val="superscript"/>
          <w:lang w:val="es-ES"/>
        </w:rPr>
        <w:tab/>
      </w:r>
      <w:hyperlink r:id="rId13" w:history="1">
        <w:r w:rsidRPr="00862632">
          <w:rPr>
            <w:rStyle w:val="Hyperlink"/>
            <w:rFonts w:cstheme="minorHAnsi"/>
            <w:lang w:val="es-ES"/>
          </w:rPr>
          <w:t>http://www.itu.int/osg/csd/cybersecurity/gca/cop/</w:t>
        </w:r>
      </w:hyperlink>
      <w:r w:rsidRPr="00862632">
        <w:rPr>
          <w:rFonts w:cstheme="minorHAnsi"/>
          <w:lang w:val="es-ES"/>
        </w:rPr>
        <w:t>; véase también por ejemplo M. Taylor y E. Quayle, Child Pornography: an Internet Crime (2003, London: Routledge) pp. 159-163; Y. Akdeniz, International Child Pornography and the Law: National and International Responses (2008, Aldershot: Ashgate) p. 7; the Convention on the Rights of the Child and its optional protocol on the sexual exploitation of children; the 2009 G-8 Ministers</w:t>
      </w:r>
      <w:r>
        <w:rPr>
          <w:rFonts w:cstheme="minorHAnsi"/>
          <w:lang w:val="es-ES"/>
        </w:rPr>
        <w:t>'</w:t>
      </w:r>
      <w:r w:rsidRPr="00862632">
        <w:rPr>
          <w:rFonts w:cstheme="minorHAnsi"/>
          <w:lang w:val="es-ES"/>
        </w:rPr>
        <w:t xml:space="preserve"> Declaration (</w:t>
      </w:r>
      <w:hyperlink r:id="rId14" w:history="1">
        <w:r w:rsidRPr="00862632">
          <w:rPr>
            <w:rStyle w:val="Hyperlink"/>
            <w:rFonts w:cstheme="minorHAnsi"/>
            <w:lang w:val="es-ES"/>
          </w:rPr>
          <w:t>http://www.justice.gov/criminal/ceos/downloads/G8MinistersDeclaration20090530.pdf</w:t>
        </w:r>
      </w:hyperlink>
      <w:r w:rsidRPr="00862632">
        <w:rPr>
          <w:rFonts w:cstheme="minorHAnsi"/>
          <w:lang w:val="es-ES"/>
        </w:rPr>
        <w:t xml:space="preserve">); todos mencionados en Alisdair A. Gillespie, Jurisdictional issues concerning online child pornography, International Journal of Law and Information Technology, (Oxford University Press), vol. 20, no. 3, otoño de 2012. </w:t>
      </w:r>
    </w:p>
  </w:footnote>
  <w:footnote w:id="20">
    <w:p w:rsidR="00831322" w:rsidRPr="00862632" w:rsidRDefault="00831322" w:rsidP="00056910">
      <w:pPr>
        <w:pStyle w:val="FootnoteText"/>
        <w:rPr>
          <w:rFonts w:cstheme="minorHAnsi"/>
          <w:lang w:val="es-ES"/>
        </w:rPr>
      </w:pPr>
      <w:r w:rsidRPr="003856C0">
        <w:rPr>
          <w:rStyle w:val="FootnoteReference"/>
        </w:rPr>
        <w:footnoteRef/>
      </w:r>
      <w:r w:rsidRPr="003856C0">
        <w:rPr>
          <w:rStyle w:val="FootnoteReference"/>
        </w:rPr>
        <w:t xml:space="preserve"> </w:t>
      </w:r>
      <w:r w:rsidRPr="00862632">
        <w:rPr>
          <w:rFonts w:cstheme="minorHAnsi"/>
          <w:lang w:val="es-ES"/>
        </w:rPr>
        <w:tab/>
        <w:t xml:space="preserve">Véase por ejemplo, supervisión e información de Symantec (en </w:t>
      </w:r>
      <w:hyperlink r:id="rId15" w:history="1">
        <w:r w:rsidRPr="00862632">
          <w:rPr>
            <w:rStyle w:val="Hyperlink"/>
            <w:rFonts w:cstheme="minorHAnsi"/>
            <w:lang w:val="es-ES"/>
          </w:rPr>
          <w:t>http://www.symanteccloud.com/en/us/globalthreats/</w:t>
        </w:r>
      </w:hyperlink>
      <w:r w:rsidRPr="00862632">
        <w:rPr>
          <w:rFonts w:cstheme="minorHAnsi"/>
          <w:lang w:val="es-ES"/>
        </w:rPr>
        <w:t xml:space="preserve">) o el creciente perfeccionamiento de los riesgos informáticos para las empresas en el Cisco Annual Security Report 2011, en </w:t>
      </w:r>
      <w:hyperlink r:id="rId16" w:history="1">
        <w:r w:rsidRPr="00862632">
          <w:rPr>
            <w:rStyle w:val="Hyperlink"/>
            <w:rFonts w:cstheme="minorHAnsi"/>
            <w:lang w:val="es-ES"/>
          </w:rPr>
          <w:t>http://www.cisco.com/en/US/prod/collateral/vpndevc/security_annual_report_2011.pdf</w:t>
        </w:r>
      </w:hyperlink>
      <w:r w:rsidRPr="00862632">
        <w:rPr>
          <w:rFonts w:cstheme="minorHAnsi"/>
          <w:lang w:val="es-ES"/>
        </w:rPr>
        <w:t>.</w:t>
      </w:r>
    </w:p>
  </w:footnote>
  <w:footnote w:id="21">
    <w:p w:rsidR="00831322" w:rsidRPr="00862632" w:rsidRDefault="00831322" w:rsidP="002B1A35">
      <w:pPr>
        <w:pStyle w:val="FootnoteText"/>
        <w:rPr>
          <w:rFonts w:cstheme="minorHAnsi"/>
          <w:lang w:val="es-ES"/>
        </w:rPr>
      </w:pPr>
      <w:r w:rsidRPr="003856C0">
        <w:rPr>
          <w:rStyle w:val="FootnoteReference"/>
        </w:rPr>
        <w:footnoteRef/>
      </w:r>
      <w:r w:rsidRPr="00862632">
        <w:rPr>
          <w:rFonts w:cstheme="minorHAnsi"/>
          <w:lang w:val="es-ES"/>
        </w:rPr>
        <w:tab/>
        <w:t xml:space="preserve">Las estimaciones de contenido para adultos oscila entre el 4% y el 30%, en función de si lo que se mide son los sitios web, las búsquedas en la web o el tráfico de Internet. Véase </w:t>
      </w:r>
      <w:hyperlink r:id="rId17" w:history="1">
        <w:r w:rsidRPr="00862632">
          <w:rPr>
            <w:rStyle w:val="Hyperlink"/>
            <w:rFonts w:cstheme="minorHAnsi"/>
            <w:lang w:val="es-ES"/>
          </w:rPr>
          <w:t>http://www.extremetech.com/computing/123929-just-how-big-are-porn-sites</w:t>
        </w:r>
      </w:hyperlink>
      <w:r w:rsidRPr="00862632">
        <w:rPr>
          <w:rFonts w:cstheme="minorHAnsi"/>
          <w:lang w:val="es-ES"/>
        </w:rPr>
        <w:t xml:space="preserve"> y </w:t>
      </w:r>
      <w:hyperlink r:id="rId18" w:history="1">
        <w:r w:rsidRPr="004A3FFC">
          <w:rPr>
            <w:rStyle w:val="Hyperlink"/>
            <w:rFonts w:cstheme="minorHAnsi"/>
            <w:lang w:val="es-ES"/>
          </w:rPr>
          <w:t>http://www.forbes.com/sites/julieruvolo/2011/09/07/how-much-of-the-internet-is-actually-for-porn/</w:t>
        </w:r>
      </w:hyperlink>
      <w:r w:rsidRPr="00862632">
        <w:rPr>
          <w:rFonts w:cstheme="minorHAnsi"/>
          <w:lang w:val="es-ES"/>
        </w:rPr>
        <w:t>.</w:t>
      </w:r>
    </w:p>
  </w:footnote>
  <w:footnote w:id="22">
    <w:p w:rsidR="00831322" w:rsidRPr="00862632" w:rsidRDefault="00831322" w:rsidP="00372EAB">
      <w:pPr>
        <w:pStyle w:val="FootnoteText"/>
        <w:rPr>
          <w:rFonts w:cstheme="minorHAnsi"/>
          <w:lang w:val="es-ES"/>
        </w:rPr>
      </w:pPr>
      <w:r w:rsidRPr="003856C0">
        <w:rPr>
          <w:rStyle w:val="FootnoteReference"/>
        </w:rPr>
        <w:footnoteRef/>
      </w:r>
      <w:r w:rsidRPr="00862632">
        <w:rPr>
          <w:rFonts w:cstheme="minorHAnsi"/>
          <w:lang w:val="es-ES"/>
        </w:rPr>
        <w:tab/>
      </w:r>
      <w:hyperlink r:id="rId19" w:history="1">
        <w:r w:rsidRPr="00084229">
          <w:rPr>
            <w:rStyle w:val="Hyperlink"/>
            <w:rFonts w:cstheme="minorHAnsi"/>
            <w:lang w:val="es-ES"/>
          </w:rPr>
          <w:t>Contribución de la Federación de Rusia</w:t>
        </w:r>
      </w:hyperlink>
      <w:r w:rsidRPr="00862632">
        <w:rPr>
          <w:rFonts w:cstheme="minorHAnsi"/>
          <w:lang w:val="es-ES"/>
        </w:rPr>
        <w:t xml:space="preserve"> (4 de octubre de 2012).</w:t>
      </w:r>
    </w:p>
  </w:footnote>
  <w:footnote w:id="23">
    <w:p w:rsidR="00831322" w:rsidRPr="00862632" w:rsidRDefault="00831322" w:rsidP="006A18A2">
      <w:pPr>
        <w:pStyle w:val="FootnoteText"/>
        <w:rPr>
          <w:rFonts w:cstheme="minorHAnsi"/>
          <w:lang w:val="es-ES"/>
        </w:rPr>
      </w:pPr>
      <w:r w:rsidRPr="00323F00">
        <w:rPr>
          <w:rStyle w:val="FootnoteReference"/>
        </w:rPr>
        <w:footnoteRef/>
      </w:r>
      <w:r w:rsidRPr="00862632">
        <w:rPr>
          <w:rFonts w:cstheme="minorHAnsi"/>
          <w:lang w:val="es-ES"/>
        </w:rPr>
        <w:tab/>
        <w:t xml:space="preserve">Informe OCDE, UNESCO e Internet Society (2012): </w:t>
      </w:r>
      <w:r>
        <w:rPr>
          <w:rFonts w:cstheme="minorHAnsi"/>
          <w:lang w:val="es-ES"/>
        </w:rPr>
        <w:t>"</w:t>
      </w:r>
      <w:r w:rsidRPr="00862632">
        <w:rPr>
          <w:rFonts w:cstheme="minorHAnsi"/>
          <w:lang w:val="es-ES"/>
        </w:rPr>
        <w:t>The Relationship Between Local Content, Internet Development and Access Prices</w:t>
      </w:r>
      <w:r>
        <w:rPr>
          <w:rFonts w:cstheme="minorHAnsi"/>
          <w:lang w:val="es-ES"/>
        </w:rPr>
        <w:t>"</w:t>
      </w:r>
      <w:r w:rsidRPr="00862632">
        <w:rPr>
          <w:rFonts w:cstheme="minorHAnsi"/>
          <w:lang w:val="es-ES"/>
        </w:rPr>
        <w:t xml:space="preserve">, disponible en </w:t>
      </w:r>
      <w:hyperlink r:id="rId20" w:history="1">
        <w:r w:rsidRPr="004A3FFC">
          <w:rPr>
            <w:rStyle w:val="Hyperlink"/>
            <w:rFonts w:cstheme="minorHAnsi"/>
            <w:lang w:val="es-ES"/>
          </w:rPr>
          <w:t>http://www.internetsociety.org/localcontent/</w:t>
        </w:r>
      </w:hyperlink>
      <w:r w:rsidRPr="00862632">
        <w:rPr>
          <w:rFonts w:cstheme="minorHAnsi"/>
          <w:lang w:val="es-ES"/>
        </w:rPr>
        <w:t>.</w:t>
      </w:r>
    </w:p>
  </w:footnote>
  <w:footnote w:id="24">
    <w:p w:rsidR="00831322" w:rsidRPr="00862632" w:rsidRDefault="00831322" w:rsidP="00344D10">
      <w:pPr>
        <w:pStyle w:val="FootnoteText"/>
        <w:ind w:left="0" w:firstLine="0"/>
        <w:rPr>
          <w:rFonts w:cstheme="minorHAnsi"/>
          <w:lang w:val="es-ES"/>
        </w:rPr>
      </w:pPr>
      <w:r w:rsidRPr="001832E2">
        <w:rPr>
          <w:rStyle w:val="FootnoteReference"/>
          <w:lang w:val="es-ES"/>
        </w:rPr>
        <w:footnoteRef/>
      </w:r>
      <w:r w:rsidRPr="001832E2">
        <w:rPr>
          <w:rStyle w:val="FootnoteReference"/>
          <w:lang w:val="es-ES"/>
        </w:rPr>
        <w:t xml:space="preserve"> </w:t>
      </w:r>
      <w:r w:rsidRPr="00862632">
        <w:rPr>
          <w:rFonts w:cstheme="minorHAnsi"/>
          <w:lang w:val="es-ES"/>
        </w:rPr>
        <w:tab/>
      </w:r>
      <w:hyperlink r:id="rId21" w:history="1">
        <w:r w:rsidRPr="00862632">
          <w:rPr>
            <w:rStyle w:val="Hyperlink"/>
            <w:rFonts w:cstheme="minorHAnsi"/>
            <w:lang w:val="es-ES"/>
          </w:rPr>
          <w:t>Contribución de Arabia Saudita y Sudán</w:t>
        </w:r>
      </w:hyperlink>
      <w:r w:rsidRPr="00862632">
        <w:rPr>
          <w:rFonts w:cstheme="minorHAnsi"/>
          <w:lang w:val="es-ES"/>
        </w:rPr>
        <w:t xml:space="preserve"> (1 de agosto de 2012).</w:t>
      </w:r>
    </w:p>
  </w:footnote>
  <w:footnote w:id="25">
    <w:p w:rsidR="00831322" w:rsidRPr="00862632" w:rsidRDefault="00831322" w:rsidP="006A18A2">
      <w:pPr>
        <w:pStyle w:val="FootnoteText"/>
        <w:rPr>
          <w:rFonts w:cstheme="minorHAnsi"/>
          <w:lang w:val="es-ES"/>
        </w:rPr>
      </w:pPr>
      <w:r w:rsidRPr="001832E2">
        <w:rPr>
          <w:rStyle w:val="FootnoteReference"/>
          <w:lang w:val="es-ES"/>
        </w:rPr>
        <w:footnoteRef/>
      </w:r>
      <w:r w:rsidRPr="00862632">
        <w:rPr>
          <w:rFonts w:cstheme="minorHAnsi"/>
          <w:sz w:val="22"/>
          <w:szCs w:val="22"/>
          <w:vertAlign w:val="superscript"/>
          <w:lang w:val="es-ES"/>
        </w:rPr>
        <w:tab/>
      </w:r>
      <w:r w:rsidRPr="00862632">
        <w:rPr>
          <w:rFonts w:cstheme="minorHAnsi"/>
          <w:lang w:val="es-ES"/>
        </w:rPr>
        <w:t xml:space="preserve">Informe OCDE, UNESCO e Internet Society (2012): </w:t>
      </w:r>
      <w:r>
        <w:rPr>
          <w:rFonts w:cstheme="minorHAnsi"/>
          <w:lang w:val="es-ES"/>
        </w:rPr>
        <w:t>"</w:t>
      </w:r>
      <w:r w:rsidRPr="00862632">
        <w:rPr>
          <w:rFonts w:cstheme="minorHAnsi"/>
          <w:lang w:val="es-ES"/>
        </w:rPr>
        <w:t>The Relationship Between Local Content, Internet Development and Access Prices</w:t>
      </w:r>
      <w:r>
        <w:rPr>
          <w:rFonts w:cstheme="minorHAnsi"/>
          <w:lang w:val="es-ES"/>
        </w:rPr>
        <w:t>"</w:t>
      </w:r>
      <w:r w:rsidRPr="00862632">
        <w:rPr>
          <w:rFonts w:cstheme="minorHAnsi"/>
          <w:lang w:val="es-ES"/>
        </w:rPr>
        <w:t xml:space="preserve">, disponible en </w:t>
      </w:r>
      <w:hyperlink r:id="rId22" w:history="1">
        <w:r w:rsidRPr="004A3FFC">
          <w:rPr>
            <w:rStyle w:val="Hyperlink"/>
            <w:rFonts w:cstheme="minorHAnsi"/>
            <w:lang w:val="es-ES"/>
          </w:rPr>
          <w:t>http://www.internetsociety.org/localcontent/</w:t>
        </w:r>
      </w:hyperlink>
      <w:r w:rsidRPr="00862632">
        <w:rPr>
          <w:rFonts w:cstheme="minorHAnsi"/>
          <w:lang w:val="es-ES"/>
        </w:rPr>
        <w:t>.</w:t>
      </w:r>
    </w:p>
  </w:footnote>
  <w:footnote w:id="26">
    <w:p w:rsidR="00831322" w:rsidRPr="00862632" w:rsidRDefault="00831322" w:rsidP="00A26E96">
      <w:pPr>
        <w:pStyle w:val="FootnoteText"/>
        <w:rPr>
          <w:rFonts w:cstheme="minorHAnsi"/>
          <w:lang w:val="es-ES"/>
        </w:rPr>
      </w:pPr>
      <w:r w:rsidRPr="001832E2">
        <w:rPr>
          <w:rStyle w:val="FootnoteReference"/>
          <w:lang w:val="es-ES"/>
        </w:rPr>
        <w:footnoteRef/>
      </w:r>
      <w:r w:rsidRPr="00862632">
        <w:rPr>
          <w:rFonts w:cstheme="minorHAnsi"/>
          <w:sz w:val="22"/>
          <w:szCs w:val="22"/>
          <w:vertAlign w:val="superscript"/>
          <w:lang w:val="es-ES"/>
        </w:rPr>
        <w:tab/>
      </w:r>
      <w:hyperlink r:id="rId23" w:history="1">
        <w:r w:rsidRPr="00A26E96">
          <w:rPr>
            <w:rStyle w:val="Hyperlink"/>
            <w:rFonts w:cstheme="minorHAnsi"/>
            <w:lang w:val="es-ES"/>
          </w:rPr>
          <w:t>Contribución de EE.UU.</w:t>
        </w:r>
      </w:hyperlink>
      <w:r w:rsidRPr="00862632">
        <w:rPr>
          <w:rFonts w:cstheme="minorHAnsi"/>
          <w:lang w:val="es-ES"/>
        </w:rPr>
        <w:t xml:space="preserve"> (2 de octubre de 2012).</w:t>
      </w:r>
    </w:p>
  </w:footnote>
  <w:footnote w:id="27">
    <w:p w:rsidR="00831322" w:rsidRPr="00862632" w:rsidRDefault="00831322" w:rsidP="00344D10">
      <w:pPr>
        <w:pStyle w:val="FootnoteText"/>
        <w:rPr>
          <w:rFonts w:cstheme="minorHAnsi"/>
          <w:lang w:val="es-ES"/>
        </w:rPr>
      </w:pPr>
      <w:r w:rsidRPr="001832E2">
        <w:rPr>
          <w:rStyle w:val="FootnoteReference"/>
          <w:lang w:val="es-ES"/>
        </w:rPr>
        <w:footnoteRef/>
      </w:r>
      <w:r w:rsidRPr="00862632">
        <w:rPr>
          <w:rFonts w:cstheme="minorHAnsi"/>
          <w:lang w:val="es-ES"/>
        </w:rPr>
        <w:t xml:space="preserve"> </w:t>
      </w:r>
      <w:r w:rsidRPr="00862632">
        <w:rPr>
          <w:rFonts w:cstheme="minorHAnsi"/>
          <w:lang w:val="es-ES"/>
        </w:rPr>
        <w:tab/>
        <w:t xml:space="preserve">Véase la serie de estudios de casos de país sobre la banda ancha, en </w:t>
      </w:r>
      <w:hyperlink r:id="rId24" w:history="1">
        <w:r w:rsidRPr="00862632">
          <w:rPr>
            <w:rStyle w:val="Hyperlink"/>
            <w:rFonts w:cstheme="minorHAnsi"/>
            <w:lang w:val="es-ES"/>
          </w:rPr>
          <w:t>www.itu.int/broadband/</w:t>
        </w:r>
      </w:hyperlink>
      <w:r w:rsidRPr="00862632">
        <w:rPr>
          <w:rFonts w:cstheme="minorHAnsi"/>
          <w:lang w:val="es-ES"/>
        </w:rPr>
        <w:t>.</w:t>
      </w:r>
    </w:p>
  </w:footnote>
  <w:footnote w:id="28">
    <w:p w:rsidR="00831322" w:rsidRPr="00862632" w:rsidRDefault="00831322" w:rsidP="00897365">
      <w:pPr>
        <w:pStyle w:val="FootnoteText"/>
        <w:rPr>
          <w:rFonts w:cstheme="minorHAnsi"/>
          <w:lang w:val="es-ES"/>
        </w:rPr>
      </w:pPr>
      <w:r w:rsidRPr="001832E2">
        <w:rPr>
          <w:rStyle w:val="FootnoteReference"/>
          <w:lang w:val="es-ES"/>
        </w:rPr>
        <w:footnoteRef/>
      </w:r>
      <w:r w:rsidRPr="00862632">
        <w:rPr>
          <w:rFonts w:cstheme="minorHAnsi"/>
          <w:lang w:val="es-ES"/>
        </w:rPr>
        <w:t xml:space="preserve"> </w:t>
      </w:r>
      <w:r w:rsidRPr="00862632">
        <w:rPr>
          <w:rFonts w:cstheme="minorHAnsi"/>
          <w:lang w:val="es-ES"/>
        </w:rPr>
        <w:tab/>
        <w:t xml:space="preserve">Informe de la Comisión de la Banda Ancha </w:t>
      </w:r>
      <w:r>
        <w:rPr>
          <w:rFonts w:cstheme="minorHAnsi"/>
          <w:lang w:val="es-ES"/>
        </w:rPr>
        <w:t>"</w:t>
      </w:r>
      <w:r w:rsidRPr="00862632">
        <w:rPr>
          <w:rFonts w:cstheme="minorHAnsi"/>
          <w:lang w:val="es-ES"/>
        </w:rPr>
        <w:t>The State of Broadband 2012: Achieving Digital Inclusion for All</w:t>
      </w:r>
      <w:r>
        <w:rPr>
          <w:rFonts w:cstheme="minorHAnsi"/>
          <w:lang w:val="es-ES"/>
        </w:rPr>
        <w:t>"</w:t>
      </w:r>
      <w:r w:rsidRPr="00862632">
        <w:rPr>
          <w:rFonts w:cstheme="minorHAnsi"/>
          <w:lang w:val="es-ES"/>
        </w:rPr>
        <w:t>.</w:t>
      </w:r>
    </w:p>
  </w:footnote>
  <w:footnote w:id="29">
    <w:p w:rsidR="00831322" w:rsidRPr="00862632" w:rsidRDefault="00831322" w:rsidP="00897365">
      <w:pPr>
        <w:pStyle w:val="FootnoteText"/>
        <w:rPr>
          <w:rFonts w:cstheme="minorHAnsi"/>
          <w:lang w:val="es-ES"/>
        </w:rPr>
      </w:pPr>
      <w:r w:rsidRPr="00323F00">
        <w:rPr>
          <w:rStyle w:val="FootnoteReference"/>
        </w:rPr>
        <w:footnoteRef/>
      </w:r>
      <w:r w:rsidRPr="00862632">
        <w:rPr>
          <w:rFonts w:cstheme="minorHAnsi"/>
          <w:lang w:val="es-ES"/>
        </w:rPr>
        <w:t xml:space="preserve"> </w:t>
      </w:r>
      <w:r w:rsidRPr="00862632">
        <w:rPr>
          <w:rFonts w:cstheme="minorHAnsi"/>
          <w:lang w:val="es-ES"/>
        </w:rPr>
        <w:tab/>
        <w:t xml:space="preserve">ITU </w:t>
      </w:r>
      <w:r>
        <w:rPr>
          <w:rFonts w:cstheme="minorHAnsi"/>
          <w:lang w:val="es-ES"/>
        </w:rPr>
        <w:t>"</w:t>
      </w:r>
      <w:r w:rsidRPr="00862632">
        <w:rPr>
          <w:rFonts w:cstheme="minorHAnsi"/>
          <w:lang w:val="es-ES"/>
        </w:rPr>
        <w:t>Informe sobre el desarrollo de las telecomunicaciones 1996/97: Comercio de las telecomunicaciones</w:t>
      </w:r>
      <w:r>
        <w:rPr>
          <w:rFonts w:cstheme="minorHAnsi"/>
          <w:lang w:val="es-ES"/>
        </w:rPr>
        <w:t>"</w:t>
      </w:r>
      <w:r w:rsidRPr="00862632">
        <w:rPr>
          <w:rFonts w:cstheme="minorHAnsi"/>
          <w:lang w:val="es-ES"/>
        </w:rPr>
        <w:t xml:space="preserve">, en </w:t>
      </w:r>
      <w:hyperlink r:id="rId25" w:history="1">
        <w:r w:rsidRPr="00862632">
          <w:rPr>
            <w:rStyle w:val="Hyperlink"/>
            <w:rFonts w:cstheme="minorHAnsi"/>
            <w:lang w:val="es-ES"/>
          </w:rPr>
          <w:t>http://www.itu.int/newsarchive/press/WTPF98/TradeInTelecomsExSum.html</w:t>
        </w:r>
      </w:hyperlink>
      <w:r w:rsidRPr="00862632">
        <w:rPr>
          <w:rFonts w:cstheme="minorHAnsi"/>
          <w:lang w:val="es-ES"/>
        </w:rPr>
        <w:t xml:space="preserve">. </w:t>
      </w:r>
    </w:p>
  </w:footnote>
  <w:footnote w:id="30">
    <w:p w:rsidR="00831322" w:rsidRPr="00862632" w:rsidRDefault="00831322">
      <w:pPr>
        <w:pStyle w:val="FootnoteText"/>
        <w:rPr>
          <w:rFonts w:cstheme="minorHAnsi"/>
          <w:lang w:val="es-ES"/>
        </w:rPr>
      </w:pPr>
      <w:r w:rsidRPr="001832E2">
        <w:rPr>
          <w:rStyle w:val="FootnoteReference"/>
          <w:lang w:val="es-ES"/>
        </w:rPr>
        <w:footnoteRef/>
      </w:r>
      <w:r w:rsidRPr="00862632">
        <w:rPr>
          <w:rFonts w:cstheme="minorHAnsi"/>
          <w:lang w:val="es-ES"/>
        </w:rPr>
        <w:t xml:space="preserve"> </w:t>
      </w:r>
      <w:r w:rsidRPr="00862632">
        <w:rPr>
          <w:rFonts w:cstheme="minorHAnsi"/>
          <w:lang w:val="es-ES"/>
        </w:rPr>
        <w:tab/>
      </w:r>
      <w:r>
        <w:rPr>
          <w:rFonts w:cstheme="minorHAnsi"/>
          <w:lang w:val="es-ES"/>
        </w:rPr>
        <w:t>"</w:t>
      </w:r>
      <w:r w:rsidRPr="00862632">
        <w:rPr>
          <w:rFonts w:cstheme="minorHAnsi"/>
          <w:lang w:val="es-ES"/>
        </w:rPr>
        <w:t>IDMT 2002: Reinvención de las telecomunicaciones</w:t>
      </w:r>
      <w:r>
        <w:rPr>
          <w:rFonts w:cstheme="minorHAnsi"/>
          <w:lang w:val="es-ES"/>
        </w:rPr>
        <w:t>"</w:t>
      </w:r>
      <w:r w:rsidRPr="00862632">
        <w:rPr>
          <w:rFonts w:cstheme="minorHAnsi"/>
          <w:lang w:val="es-ES"/>
        </w:rPr>
        <w:t xml:space="preserve"> de la UIT, en </w:t>
      </w:r>
      <w:hyperlink r:id="rId26" w:history="1">
        <w:r w:rsidRPr="00862632">
          <w:rPr>
            <w:rStyle w:val="Hyperlink"/>
            <w:rFonts w:cstheme="minorHAnsi"/>
            <w:lang w:val="es-ES"/>
          </w:rPr>
          <w:t>http://www.itu.int/ITU-D/ict/publications/wtdr_02/</w:t>
        </w:r>
      </w:hyperlink>
      <w:r w:rsidRPr="00862632">
        <w:rPr>
          <w:rFonts w:cstheme="minorHAnsi"/>
          <w:lang w:val="es-ES"/>
        </w:rPr>
        <w:t xml:space="preserve">. </w:t>
      </w:r>
    </w:p>
  </w:footnote>
  <w:footnote w:id="31">
    <w:p w:rsidR="00831322" w:rsidRPr="00862632" w:rsidRDefault="00831322" w:rsidP="000A35E5">
      <w:pPr>
        <w:pStyle w:val="FootnoteText"/>
        <w:rPr>
          <w:rFonts w:cstheme="minorHAnsi"/>
          <w:lang w:val="es-ES"/>
        </w:rPr>
      </w:pPr>
      <w:r w:rsidRPr="001832E2">
        <w:rPr>
          <w:rStyle w:val="FootnoteReference"/>
          <w:lang w:val="es-ES"/>
        </w:rPr>
        <w:footnoteRef/>
      </w:r>
      <w:r w:rsidRPr="00862632">
        <w:rPr>
          <w:rFonts w:cstheme="minorHAnsi"/>
          <w:lang w:val="es-ES"/>
        </w:rPr>
        <w:tab/>
        <w:t xml:space="preserve">Véase, por ejemplo, el </w:t>
      </w:r>
      <w:r>
        <w:rPr>
          <w:rFonts w:cstheme="minorHAnsi"/>
          <w:lang w:val="es-ES"/>
        </w:rPr>
        <w:t>"</w:t>
      </w:r>
      <w:r w:rsidRPr="00862632">
        <w:rPr>
          <w:rFonts w:cstheme="minorHAnsi"/>
          <w:lang w:val="es-ES"/>
        </w:rPr>
        <w:t>Informe sobre el Desarrollo Mundial de las Telecomunicaciones 2002: Reinvención de las telecomunicaciones</w:t>
      </w:r>
      <w:r>
        <w:rPr>
          <w:rFonts w:cstheme="minorHAnsi"/>
          <w:lang w:val="es-ES"/>
        </w:rPr>
        <w:t>"</w:t>
      </w:r>
      <w:r w:rsidRPr="00862632">
        <w:rPr>
          <w:rFonts w:cstheme="minorHAnsi"/>
          <w:lang w:val="es-ES"/>
        </w:rPr>
        <w:t xml:space="preserve"> de la UIT, en </w:t>
      </w:r>
      <w:hyperlink r:id="rId27" w:history="1">
        <w:r w:rsidRPr="00862632">
          <w:rPr>
            <w:rStyle w:val="Hyperlink"/>
            <w:rFonts w:cstheme="minorHAnsi"/>
            <w:lang w:val="es-ES"/>
          </w:rPr>
          <w:t>http://www.itu.int/ITU-D/ict/publications/wtdr_02/</w:t>
        </w:r>
      </w:hyperlink>
      <w:r w:rsidRPr="00862632">
        <w:rPr>
          <w:rFonts w:cstheme="minorHAnsi"/>
          <w:lang w:val="es-ES"/>
        </w:rPr>
        <w:t xml:space="preserve"> y </w:t>
      </w:r>
      <w:r>
        <w:rPr>
          <w:rFonts w:cstheme="minorHAnsi"/>
          <w:lang w:val="es-ES"/>
        </w:rPr>
        <w:t>"</w:t>
      </w:r>
      <w:r w:rsidRPr="00862632">
        <w:rPr>
          <w:rFonts w:cstheme="minorHAnsi"/>
          <w:lang w:val="es-ES"/>
        </w:rPr>
        <w:t>Tendencias en las reformas de telecomunicaciones: El camino hacia las NGN</w:t>
      </w:r>
      <w:r>
        <w:rPr>
          <w:rFonts w:cstheme="minorHAnsi"/>
          <w:lang w:val="es-ES"/>
        </w:rPr>
        <w:t>"</w:t>
      </w:r>
      <w:r w:rsidRPr="00862632">
        <w:rPr>
          <w:rFonts w:cstheme="minorHAnsi"/>
          <w:lang w:val="es-ES"/>
        </w:rPr>
        <w:t xml:space="preserve">, en </w:t>
      </w:r>
      <w:hyperlink r:id="rId28" w:history="1">
        <w:r w:rsidRPr="00862632">
          <w:rPr>
            <w:rStyle w:val="Hyperlink"/>
            <w:rFonts w:cstheme="minorHAnsi"/>
            <w:lang w:val="es-ES"/>
          </w:rPr>
          <w:t>http://www.itu.int/ITU-D/treg/publications/trends07.html</w:t>
        </w:r>
      </w:hyperlink>
      <w:r w:rsidRPr="00862632">
        <w:rPr>
          <w:rFonts w:cstheme="minorHAnsi"/>
          <w:lang w:val="es-ES"/>
        </w:rPr>
        <w:t>.</w:t>
      </w:r>
    </w:p>
  </w:footnote>
  <w:footnote w:id="32">
    <w:p w:rsidR="00831322" w:rsidRPr="00862632" w:rsidRDefault="00831322" w:rsidP="006A18A2">
      <w:pPr>
        <w:pStyle w:val="FootnoteText"/>
        <w:rPr>
          <w:rFonts w:cstheme="minorHAnsi"/>
          <w:lang w:val="es-ES"/>
        </w:rPr>
      </w:pPr>
      <w:r w:rsidRPr="001832E2">
        <w:rPr>
          <w:rStyle w:val="FootnoteReference"/>
          <w:lang w:val="es-ES"/>
        </w:rPr>
        <w:footnoteRef/>
      </w:r>
      <w:r w:rsidRPr="00862632">
        <w:rPr>
          <w:rFonts w:cstheme="minorHAnsi"/>
          <w:lang w:val="es-ES"/>
        </w:rPr>
        <w:t xml:space="preserve"> </w:t>
      </w:r>
      <w:r>
        <w:rPr>
          <w:rFonts w:cstheme="minorHAnsi"/>
          <w:lang w:val="es-ES"/>
        </w:rPr>
        <w:tab/>
      </w:r>
      <w:r w:rsidRPr="00862632">
        <w:rPr>
          <w:rFonts w:cstheme="minorHAnsi"/>
          <w:lang w:val="es-ES"/>
        </w:rPr>
        <w:t xml:space="preserve">Network Operators and Content Providers: Who Bears the Cost?, J. Scott Marcus, Wissenschaftliches Institut fur Infrastruktur und Kommunikationdienste (2011) en </w:t>
      </w:r>
      <w:hyperlink r:id="rId29" w:history="1">
        <w:r w:rsidRPr="004A3FFC">
          <w:rPr>
            <w:rStyle w:val="Hyperlink"/>
            <w:rFonts w:cstheme="minorHAnsi"/>
            <w:lang w:val="es-ES"/>
          </w:rPr>
          <w:t>http://papers.ssrn.com/sol3/papers.cfm?abstract_id=1926768</w:t>
        </w:r>
      </w:hyperlink>
      <w:r w:rsidRPr="00862632">
        <w:rPr>
          <w:rFonts w:cstheme="minorHAnsi"/>
          <w:lang w:val="es-ES"/>
        </w:rPr>
        <w:t>.</w:t>
      </w:r>
    </w:p>
  </w:footnote>
  <w:footnote w:id="33">
    <w:p w:rsidR="00831322" w:rsidRPr="006A18A2" w:rsidRDefault="00831322" w:rsidP="00A26E96">
      <w:pPr>
        <w:pStyle w:val="FootnoteText"/>
      </w:pPr>
      <w:r w:rsidRPr="001832E2">
        <w:rPr>
          <w:rStyle w:val="FootnoteReference"/>
          <w:lang w:val="es-ES"/>
        </w:rPr>
        <w:footnoteRef/>
      </w:r>
      <w:r w:rsidRPr="00862632">
        <w:rPr>
          <w:rFonts w:cstheme="minorHAnsi"/>
          <w:lang w:val="es-ES"/>
        </w:rPr>
        <w:t xml:space="preserve"> </w:t>
      </w:r>
      <w:r>
        <w:rPr>
          <w:rFonts w:cstheme="minorHAnsi"/>
          <w:lang w:val="es-ES"/>
        </w:rPr>
        <w:tab/>
      </w:r>
      <w:hyperlink r:id="rId30" w:history="1">
        <w:r w:rsidRPr="00A26E96">
          <w:rPr>
            <w:rStyle w:val="Hyperlink"/>
            <w:rFonts w:cstheme="minorHAnsi"/>
            <w:lang w:val="es-ES"/>
          </w:rPr>
          <w:t>Contribución de EE.UU.</w:t>
        </w:r>
      </w:hyperlink>
      <w:r w:rsidRPr="00862632">
        <w:rPr>
          <w:rFonts w:cstheme="minorHAnsi"/>
          <w:lang w:val="es-ES"/>
        </w:rPr>
        <w:t xml:space="preserve"> (2 de octubre 2012).</w:t>
      </w:r>
    </w:p>
  </w:footnote>
  <w:footnote w:id="34">
    <w:p w:rsidR="00831322" w:rsidRPr="00862632" w:rsidRDefault="00831322" w:rsidP="000A35E5">
      <w:pPr>
        <w:pStyle w:val="FootnoteText"/>
        <w:rPr>
          <w:rFonts w:cstheme="minorHAnsi"/>
          <w:lang w:val="es-ES"/>
        </w:rPr>
      </w:pPr>
      <w:r w:rsidRPr="001832E2">
        <w:rPr>
          <w:rStyle w:val="FootnoteReference"/>
          <w:lang w:val="es-ES"/>
        </w:rPr>
        <w:footnoteRef/>
      </w:r>
      <w:r w:rsidRPr="00862632">
        <w:rPr>
          <w:rFonts w:cstheme="minorHAnsi"/>
          <w:lang w:val="es-ES"/>
        </w:rPr>
        <w:tab/>
        <w:t xml:space="preserve">Kende (2012): </w:t>
      </w:r>
      <w:r>
        <w:rPr>
          <w:rFonts w:cstheme="minorHAnsi"/>
          <w:lang w:val="es-ES"/>
        </w:rPr>
        <w:t>"</w:t>
      </w:r>
      <w:r w:rsidRPr="00862632">
        <w:rPr>
          <w:rFonts w:cstheme="minorHAnsi"/>
          <w:lang w:val="es-ES"/>
        </w:rPr>
        <w:t>Assessment of the impact of IXPs – empirical study of Kenya and Nigeria</w:t>
      </w:r>
      <w:r>
        <w:rPr>
          <w:rFonts w:cstheme="minorHAnsi"/>
          <w:lang w:val="es-ES"/>
        </w:rPr>
        <w:t>"</w:t>
      </w:r>
      <w:r w:rsidRPr="00862632">
        <w:rPr>
          <w:rFonts w:cstheme="minorHAnsi"/>
          <w:lang w:val="es-ES"/>
        </w:rPr>
        <w:t xml:space="preserve">, Internet Society, en </w:t>
      </w:r>
      <w:hyperlink r:id="rId31" w:history="1">
        <w:r w:rsidRPr="00862632">
          <w:rPr>
            <w:rStyle w:val="Hyperlink"/>
            <w:rFonts w:cstheme="minorHAnsi"/>
            <w:lang w:val="es-ES"/>
          </w:rPr>
          <w:t>http://www.internetsociety.org/ixpimpact</w:t>
        </w:r>
      </w:hyperlink>
      <w:r w:rsidRPr="00862632">
        <w:rPr>
          <w:rFonts w:cstheme="minorHAnsi"/>
          <w:lang w:val="es-ES"/>
        </w:rPr>
        <w:t xml:space="preserve">. </w:t>
      </w:r>
    </w:p>
  </w:footnote>
  <w:footnote w:id="35">
    <w:p w:rsidR="00831322" w:rsidRPr="00862632" w:rsidRDefault="00831322" w:rsidP="001832E2">
      <w:pPr>
        <w:pStyle w:val="FootnoteText"/>
        <w:rPr>
          <w:rFonts w:cstheme="minorHAnsi"/>
          <w:lang w:val="es-ES"/>
        </w:rPr>
      </w:pPr>
      <w:r w:rsidRPr="001832E2">
        <w:rPr>
          <w:rStyle w:val="FootnoteReference"/>
          <w:lang w:val="es-ES"/>
        </w:rPr>
        <w:footnoteRef/>
      </w:r>
      <w:r w:rsidRPr="00862632">
        <w:rPr>
          <w:rFonts w:cstheme="minorHAnsi"/>
          <w:lang w:val="es-ES"/>
        </w:rPr>
        <w:t xml:space="preserve"> </w:t>
      </w:r>
      <w:r>
        <w:rPr>
          <w:rFonts w:cstheme="minorHAnsi"/>
          <w:lang w:val="es-ES"/>
        </w:rPr>
        <w:tab/>
      </w:r>
      <w:hyperlink r:id="rId32" w:history="1">
        <w:r w:rsidRPr="00200D5B">
          <w:rPr>
            <w:rStyle w:val="Hyperlink"/>
            <w:rFonts w:cstheme="minorHAnsi"/>
            <w:lang w:val="es-ES"/>
          </w:rPr>
          <w:t>http://en.wikipedia.org/wiki/Network_effect</w:t>
        </w:r>
      </w:hyperlink>
      <w:r>
        <w:rPr>
          <w:rFonts w:cstheme="minorHAnsi"/>
          <w:lang w:val="es-ES"/>
        </w:rPr>
        <w:t>.</w:t>
      </w:r>
    </w:p>
  </w:footnote>
  <w:footnote w:id="36">
    <w:p w:rsidR="00831322" w:rsidRPr="00862632" w:rsidRDefault="00831322" w:rsidP="001832E2">
      <w:pPr>
        <w:pStyle w:val="FootnoteText"/>
        <w:rPr>
          <w:rFonts w:cstheme="minorHAnsi"/>
          <w:lang w:val="es-ES"/>
        </w:rPr>
      </w:pPr>
      <w:r w:rsidRPr="001832E2">
        <w:rPr>
          <w:rStyle w:val="FootnoteReference"/>
          <w:lang w:val="es-ES"/>
        </w:rPr>
        <w:footnoteRef/>
      </w:r>
      <w:r w:rsidRPr="00862632">
        <w:rPr>
          <w:rFonts w:cstheme="minorHAnsi"/>
          <w:lang w:val="es-ES"/>
        </w:rPr>
        <w:t xml:space="preserve"> </w:t>
      </w:r>
      <w:r>
        <w:rPr>
          <w:rFonts w:cstheme="minorHAnsi"/>
          <w:lang w:val="es-ES"/>
        </w:rPr>
        <w:tab/>
      </w:r>
      <w:hyperlink r:id="rId33" w:history="1">
        <w:r w:rsidRPr="00200D5B">
          <w:rPr>
            <w:rStyle w:val="Hyperlink"/>
            <w:rFonts w:cstheme="minorHAnsi"/>
            <w:lang w:val="es-ES"/>
          </w:rPr>
          <w:t>http://en.wikipedia.org/wiki/metcalfe%27s_law</w:t>
        </w:r>
      </w:hyperlink>
      <w:r>
        <w:rPr>
          <w:rFonts w:cstheme="minorHAnsi"/>
          <w:lang w:val="es-ES"/>
        </w:rPr>
        <w:t>.</w:t>
      </w:r>
    </w:p>
  </w:footnote>
  <w:footnote w:id="37">
    <w:p w:rsidR="00831322" w:rsidRPr="00862632" w:rsidRDefault="00831322" w:rsidP="006A18A2">
      <w:pPr>
        <w:pStyle w:val="FootnoteText"/>
        <w:rPr>
          <w:lang w:val="es-ES"/>
        </w:rPr>
      </w:pPr>
      <w:r w:rsidRPr="001832E2">
        <w:rPr>
          <w:rStyle w:val="FootnoteReference"/>
          <w:lang w:val="es-ES"/>
        </w:rPr>
        <w:footnoteRef/>
      </w:r>
      <w:r w:rsidRPr="00862632">
        <w:rPr>
          <w:lang w:val="es-ES"/>
        </w:rPr>
        <w:tab/>
        <w:t xml:space="preserve">Point Topic statistics (2012), en </w:t>
      </w:r>
      <w:hyperlink r:id="rId34" w:history="1">
        <w:r w:rsidRPr="00862632">
          <w:rPr>
            <w:rStyle w:val="Hyperlink"/>
            <w:rFonts w:cstheme="minorHAnsi"/>
            <w:lang w:val="es-ES"/>
          </w:rPr>
          <w:t>http://point-topic.com/dslanalysis.php</w:t>
        </w:r>
      </w:hyperlink>
      <w:r w:rsidRPr="00862632">
        <w:rPr>
          <w:lang w:val="es-ES"/>
        </w:rPr>
        <w:t xml:space="preserve">. </w:t>
      </w:r>
    </w:p>
  </w:footnote>
  <w:footnote w:id="38">
    <w:p w:rsidR="00831322" w:rsidRPr="00862632" w:rsidRDefault="00831322" w:rsidP="000A35E5">
      <w:pPr>
        <w:pStyle w:val="FootnoteText"/>
        <w:rPr>
          <w:rFonts w:cstheme="minorHAnsi"/>
          <w:lang w:val="es-ES"/>
        </w:rPr>
      </w:pPr>
      <w:r w:rsidRPr="001832E2">
        <w:rPr>
          <w:rStyle w:val="FootnoteReference"/>
          <w:lang w:val="es-ES"/>
        </w:rPr>
        <w:footnoteRef/>
      </w:r>
      <w:r w:rsidRPr="00862632">
        <w:rPr>
          <w:rFonts w:cstheme="minorHAnsi"/>
          <w:lang w:val="es-ES"/>
        </w:rPr>
        <w:t xml:space="preserve"> </w:t>
      </w:r>
      <w:r w:rsidRPr="00862632">
        <w:rPr>
          <w:rFonts w:cstheme="minorHAnsi"/>
          <w:lang w:val="es-ES"/>
        </w:rPr>
        <w:tab/>
        <w:t xml:space="preserve">Informe Medición de la Sociedad de la Información de la UIT, véase </w:t>
      </w:r>
      <w:hyperlink r:id="rId35" w:history="1">
        <w:r w:rsidRPr="00862632">
          <w:rPr>
            <w:rStyle w:val="Hyperlink"/>
            <w:rFonts w:cstheme="minorHAnsi"/>
            <w:lang w:val="es-ES"/>
          </w:rPr>
          <w:t>http://www.itu.int/ITU-D/ict/publications/idi/index.html</w:t>
        </w:r>
      </w:hyperlink>
      <w:r w:rsidRPr="00862632">
        <w:rPr>
          <w:rFonts w:cstheme="minorHAnsi"/>
          <w:lang w:val="es-ES"/>
        </w:rPr>
        <w:t>.</w:t>
      </w:r>
    </w:p>
  </w:footnote>
  <w:footnote w:id="39">
    <w:p w:rsidR="00831322" w:rsidRPr="00862632" w:rsidRDefault="00831322" w:rsidP="001832E2">
      <w:pPr>
        <w:pStyle w:val="FootnoteText"/>
        <w:rPr>
          <w:lang w:val="es-ES"/>
        </w:rPr>
      </w:pPr>
      <w:r w:rsidRPr="001832E2">
        <w:rPr>
          <w:rStyle w:val="FootnoteReference"/>
          <w:lang w:val="es-ES"/>
        </w:rPr>
        <w:footnoteRef/>
      </w:r>
      <w:r>
        <w:rPr>
          <w:sz w:val="22"/>
          <w:szCs w:val="22"/>
          <w:vertAlign w:val="superscript"/>
          <w:lang w:val="es-ES"/>
        </w:rPr>
        <w:tab/>
      </w:r>
      <w:r>
        <w:rPr>
          <w:lang w:val="es-ES"/>
        </w:rPr>
        <w:t>"</w:t>
      </w:r>
      <w:r w:rsidRPr="00862632">
        <w:rPr>
          <w:lang w:val="es-ES"/>
        </w:rPr>
        <w:t>Knowledge as a Global Public Good</w:t>
      </w:r>
      <w:r>
        <w:rPr>
          <w:lang w:val="es-ES"/>
        </w:rPr>
        <w:t>"</w:t>
      </w:r>
      <w:r w:rsidRPr="00862632">
        <w:rPr>
          <w:lang w:val="es-ES"/>
        </w:rPr>
        <w:t xml:space="preserve">, Joseph Stiglitz, en </w:t>
      </w:r>
      <w:hyperlink r:id="rId36" w:history="1">
        <w:r w:rsidRPr="00862632">
          <w:rPr>
            <w:rStyle w:val="Hyperlink"/>
            <w:rFonts w:cstheme="minorHAnsi"/>
            <w:lang w:val="es-ES"/>
          </w:rPr>
          <w:t>http://cgt.columbia.edu/files/papers/1999_Knowledge_as_Global_Public_Good_stiglitz.pdf</w:t>
        </w:r>
      </w:hyperlink>
      <w:r w:rsidRPr="00862632">
        <w:rPr>
          <w:lang w:val="es-ES"/>
        </w:rPr>
        <w:t xml:space="preserve">. En un capítulo de </w:t>
      </w:r>
      <w:r w:rsidRPr="00862632">
        <w:rPr>
          <w:rFonts w:eastAsia="Lucida Sans Unicode"/>
          <w:i/>
          <w:iCs/>
          <w:color w:val="000000"/>
          <w:lang w:val="es-ES" w:bidi="en-US"/>
        </w:rPr>
        <w:t>Providing Global Public Goods: Managing Globalization</w:t>
      </w:r>
      <w:r w:rsidRPr="00862632">
        <w:rPr>
          <w:rFonts w:eastAsia="Lucida Sans Unicode"/>
          <w:color w:val="000000"/>
          <w:lang w:val="es-ES" w:bidi="en-US"/>
        </w:rPr>
        <w:t xml:space="preserve"> se aduce que las telecomunicaciones e Internet son de por sí bienes públicos mundiales; no obstante, la mayoría de los observadores convienen en que son los conocimientos y la información proporcionados por Internet los que no son rivales ni excluyentes, y no las redes (que pueden ser rivales y excluyentes). Véase asimismo el Informe ICT for Develpment (Banco Mundial, 2009) y </w:t>
      </w:r>
      <w:r>
        <w:rPr>
          <w:rFonts w:eastAsia="Lucida Sans Unicode"/>
          <w:color w:val="000000"/>
          <w:lang w:val="es-ES" w:bidi="en-US"/>
        </w:rPr>
        <w:t>"</w:t>
      </w:r>
      <w:r w:rsidRPr="00862632">
        <w:rPr>
          <w:rFonts w:eastAsia="Lucida Sans Unicode"/>
          <w:color w:val="000000"/>
          <w:lang w:val="es-ES" w:bidi="en-US"/>
        </w:rPr>
        <w:t>Confronting the Crisis: ICT Stimulus Plans for Economic Growth</w:t>
      </w:r>
      <w:r>
        <w:rPr>
          <w:rFonts w:eastAsia="Lucida Sans Unicode"/>
          <w:color w:val="000000"/>
          <w:lang w:val="es-ES" w:bidi="en-US"/>
        </w:rPr>
        <w:t>"</w:t>
      </w:r>
      <w:r w:rsidRPr="00862632">
        <w:rPr>
          <w:rFonts w:eastAsia="Lucida Sans Unicode"/>
          <w:color w:val="000000"/>
          <w:lang w:val="es-ES" w:bidi="en-US"/>
        </w:rPr>
        <w:t xml:space="preserve"> (UIT, 2009).</w:t>
      </w:r>
    </w:p>
  </w:footnote>
  <w:footnote w:id="40">
    <w:p w:rsidR="00831322" w:rsidRPr="00862632" w:rsidRDefault="00831322" w:rsidP="00A26E96">
      <w:pPr>
        <w:pStyle w:val="FootnoteText"/>
        <w:rPr>
          <w:rFonts w:cstheme="minorHAnsi"/>
          <w:lang w:val="es-ES"/>
        </w:rPr>
      </w:pPr>
      <w:r w:rsidRPr="001832E2">
        <w:rPr>
          <w:rStyle w:val="FootnoteReference"/>
          <w:lang w:val="es-ES"/>
        </w:rPr>
        <w:footnoteRef/>
      </w:r>
      <w:r>
        <w:rPr>
          <w:rFonts w:cstheme="minorHAnsi"/>
          <w:lang w:val="es-ES"/>
        </w:rPr>
        <w:tab/>
      </w:r>
      <w:hyperlink r:id="rId37" w:history="1">
        <w:r w:rsidRPr="00A26E96">
          <w:rPr>
            <w:rStyle w:val="Hyperlink"/>
            <w:rFonts w:cstheme="minorHAnsi"/>
            <w:lang w:val="es-ES"/>
          </w:rPr>
          <w:t>Contribución de EE.UU.</w:t>
        </w:r>
      </w:hyperlink>
      <w:r w:rsidRPr="00862632">
        <w:rPr>
          <w:rFonts w:cstheme="minorHAnsi"/>
          <w:lang w:val="es-ES"/>
        </w:rPr>
        <w:t xml:space="preserve"> (2 de octubre de 2012)</w:t>
      </w:r>
      <w:r>
        <w:rPr>
          <w:rFonts w:cstheme="minorHAnsi"/>
          <w:lang w:val="es-ES"/>
        </w:rPr>
        <w:t>.</w:t>
      </w:r>
    </w:p>
  </w:footnote>
  <w:footnote w:id="41">
    <w:p w:rsidR="00831322" w:rsidRPr="00862632" w:rsidRDefault="00831322" w:rsidP="00344D10">
      <w:pPr>
        <w:pStyle w:val="FootnoteText"/>
        <w:rPr>
          <w:rFonts w:cstheme="minorHAnsi"/>
          <w:lang w:val="es-ES"/>
        </w:rPr>
      </w:pPr>
      <w:r w:rsidRPr="001832E2">
        <w:rPr>
          <w:rStyle w:val="FootnoteReference"/>
          <w:lang w:val="es-ES"/>
        </w:rPr>
        <w:footnoteRef/>
      </w:r>
      <w:r w:rsidRPr="00862632">
        <w:rPr>
          <w:rFonts w:cstheme="minorHAnsi"/>
          <w:lang w:val="es-ES"/>
        </w:rPr>
        <w:t xml:space="preserve"> </w:t>
      </w:r>
      <w:r w:rsidRPr="00862632">
        <w:rPr>
          <w:rFonts w:cstheme="minorHAnsi"/>
          <w:lang w:val="es-ES"/>
        </w:rPr>
        <w:tab/>
        <w:t>Artículo 19, Pacto Internacional de Derechos Civiles y Políticos (1966); Artículo 34 de la Constitución de la UIT.</w:t>
      </w:r>
    </w:p>
  </w:footnote>
  <w:footnote w:id="42">
    <w:p w:rsidR="00831322" w:rsidRPr="00862632" w:rsidRDefault="00831322" w:rsidP="0012727B">
      <w:pPr>
        <w:pStyle w:val="FootnoteText"/>
        <w:rPr>
          <w:rFonts w:cstheme="minorHAnsi"/>
          <w:lang w:val="es-ES"/>
        </w:rPr>
      </w:pPr>
      <w:r w:rsidRPr="001832E2">
        <w:rPr>
          <w:rStyle w:val="FootnoteReference"/>
          <w:lang w:val="es-ES"/>
        </w:rPr>
        <w:footnoteRef/>
      </w:r>
      <w:r w:rsidRPr="00862632">
        <w:rPr>
          <w:rFonts w:cstheme="minorHAnsi"/>
          <w:lang w:val="es-ES"/>
        </w:rPr>
        <w:tab/>
      </w:r>
      <w:hyperlink r:id="rId38" w:history="1">
        <w:r w:rsidRPr="00862632">
          <w:rPr>
            <w:rStyle w:val="Hyperlink"/>
            <w:rFonts w:cstheme="minorHAnsi"/>
            <w:lang w:val="es-ES"/>
          </w:rPr>
          <w:t>http://www.oecd.org/dataoecd/11/58/49258588.pdf</w:t>
        </w:r>
      </w:hyperlink>
      <w:r>
        <w:rPr>
          <w:rFonts w:cstheme="minorHAnsi"/>
          <w:lang w:val="es-ES"/>
        </w:rPr>
        <w:t>.</w:t>
      </w:r>
    </w:p>
  </w:footnote>
  <w:footnote w:id="43">
    <w:p w:rsidR="00831322" w:rsidRPr="00862632" w:rsidRDefault="00831322">
      <w:pPr>
        <w:pStyle w:val="FootnoteText"/>
        <w:rPr>
          <w:rFonts w:cstheme="minorHAnsi"/>
          <w:lang w:val="es-ES"/>
        </w:rPr>
      </w:pPr>
      <w:r w:rsidRPr="001832E2">
        <w:rPr>
          <w:rStyle w:val="FootnoteReference"/>
          <w:lang w:val="es-ES"/>
        </w:rPr>
        <w:footnoteRef/>
      </w:r>
      <w:r w:rsidRPr="00862632">
        <w:rPr>
          <w:rFonts w:cstheme="minorHAnsi"/>
          <w:lang w:val="es-ES"/>
        </w:rPr>
        <w:tab/>
      </w:r>
      <w:hyperlink r:id="rId39" w:history="1">
        <w:r w:rsidRPr="00B211C6">
          <w:rPr>
            <w:rStyle w:val="Hyperlink"/>
            <w:rFonts w:cstheme="minorHAnsi"/>
            <w:lang w:val="es-ES"/>
          </w:rPr>
          <w:t>Contribución EE.UU./CNRI</w:t>
        </w:r>
      </w:hyperlink>
      <w:r w:rsidRPr="00862632">
        <w:rPr>
          <w:rFonts w:cstheme="minorHAnsi"/>
          <w:lang w:val="es-ES"/>
        </w:rPr>
        <w:t xml:space="preserve"> (1 de agosto de 2012)</w:t>
      </w:r>
      <w:r>
        <w:rPr>
          <w:rFonts w:cstheme="minorHAnsi"/>
          <w:lang w:val="es-ES"/>
        </w:rPr>
        <w:t>.</w:t>
      </w:r>
    </w:p>
  </w:footnote>
  <w:footnote w:id="44">
    <w:p w:rsidR="00831322" w:rsidRPr="00862632" w:rsidRDefault="00831322" w:rsidP="001832E2">
      <w:pPr>
        <w:pStyle w:val="FootnoteText"/>
        <w:rPr>
          <w:lang w:val="es-ES"/>
        </w:rPr>
      </w:pPr>
      <w:r w:rsidRPr="001832E2">
        <w:rPr>
          <w:rStyle w:val="FootnoteReference"/>
        </w:rPr>
        <w:footnoteRef/>
      </w:r>
      <w:r w:rsidRPr="00862632">
        <w:rPr>
          <w:lang w:val="es-ES"/>
        </w:rPr>
        <w:tab/>
        <w:t>§§ 29-</w:t>
      </w:r>
      <w:r w:rsidRPr="001832E2">
        <w:t>82</w:t>
      </w:r>
      <w:r w:rsidRPr="00862632">
        <w:rPr>
          <w:lang w:val="es-ES"/>
        </w:rPr>
        <w:t xml:space="preserve"> de la Agenda de Túnez como s</w:t>
      </w:r>
      <w:r>
        <w:rPr>
          <w:lang w:val="es-ES"/>
        </w:rPr>
        <w:t>e indica en el apartado 2.3.2.1</w:t>
      </w:r>
      <w:r w:rsidRPr="00862632">
        <w:rPr>
          <w:lang w:val="es-ES"/>
        </w:rPr>
        <w:t>d).</w:t>
      </w:r>
    </w:p>
  </w:footnote>
  <w:footnote w:id="45">
    <w:p w:rsidR="00831322" w:rsidRPr="00862632" w:rsidRDefault="00831322" w:rsidP="001832E2">
      <w:pPr>
        <w:pStyle w:val="FootnoteText"/>
        <w:rPr>
          <w:lang w:val="es-ES"/>
        </w:rPr>
      </w:pPr>
      <w:r w:rsidRPr="001832E2">
        <w:rPr>
          <w:rStyle w:val="FootnoteReference"/>
          <w:lang w:val="es-ES"/>
        </w:rPr>
        <w:footnoteRef/>
      </w:r>
      <w:r w:rsidRPr="00862632">
        <w:rPr>
          <w:lang w:val="es-ES"/>
        </w:rPr>
        <w:tab/>
      </w:r>
      <w:r w:rsidRPr="001832E2">
        <w:t>Agenda</w:t>
      </w:r>
      <w:r w:rsidRPr="00862632">
        <w:rPr>
          <w:lang w:val="es-ES"/>
        </w:rPr>
        <w:t xml:space="preserve"> de Túnez para la Sociedad de la Información (2005), en </w:t>
      </w:r>
      <w:hyperlink r:id="rId40" w:history="1">
        <w:r w:rsidRPr="00862632">
          <w:rPr>
            <w:rStyle w:val="Hyperlink"/>
            <w:rFonts w:cstheme="minorHAnsi"/>
            <w:lang w:val="es-ES"/>
          </w:rPr>
          <w:t>http://www.itu.int/wsis/docs2/tunis/off/6rev1.html</w:t>
        </w:r>
      </w:hyperlink>
      <w:r w:rsidRPr="00862632">
        <w:rPr>
          <w:lang w:val="es-ES"/>
        </w:rPr>
        <w:t>.</w:t>
      </w:r>
    </w:p>
  </w:footnote>
  <w:footnote w:id="46">
    <w:p w:rsidR="00831322" w:rsidRPr="00862632" w:rsidRDefault="00831322" w:rsidP="001832E2">
      <w:pPr>
        <w:pStyle w:val="FootnoteText"/>
        <w:rPr>
          <w:lang w:val="es-ES"/>
        </w:rPr>
      </w:pPr>
      <w:r w:rsidRPr="001832E2">
        <w:rPr>
          <w:rStyle w:val="FootnoteReference"/>
          <w:lang w:val="es-ES"/>
        </w:rPr>
        <w:footnoteRef/>
      </w:r>
      <w:r w:rsidRPr="00862632">
        <w:rPr>
          <w:lang w:val="es-ES"/>
        </w:rPr>
        <w:tab/>
      </w:r>
      <w:r w:rsidRPr="001832E2">
        <w:t>Grupo</w:t>
      </w:r>
      <w:r w:rsidRPr="00862632">
        <w:rPr>
          <w:lang w:val="es-ES"/>
        </w:rPr>
        <w:t xml:space="preserve"> abierto a todos los interesados, véase </w:t>
      </w:r>
      <w:hyperlink r:id="rId41" w:history="1">
        <w:r w:rsidRPr="00862632">
          <w:rPr>
            <w:rStyle w:val="Hyperlink"/>
            <w:rFonts w:cstheme="minorHAnsi"/>
            <w:lang w:val="es-ES"/>
          </w:rPr>
          <w:t>http://www.wgig.org/members.html</w:t>
        </w:r>
      </w:hyperlink>
      <w:r w:rsidRPr="00862632">
        <w:rPr>
          <w:lang w:val="es-ES"/>
        </w:rPr>
        <w:t>.</w:t>
      </w:r>
    </w:p>
  </w:footnote>
  <w:footnote w:id="47">
    <w:p w:rsidR="00831322" w:rsidRPr="00862632" w:rsidRDefault="00831322" w:rsidP="001832E2">
      <w:pPr>
        <w:pStyle w:val="FootnoteText"/>
        <w:rPr>
          <w:lang w:val="es-ES"/>
        </w:rPr>
      </w:pPr>
      <w:r w:rsidRPr="001832E2">
        <w:rPr>
          <w:rStyle w:val="FootnoteReference"/>
          <w:lang w:val="es-ES"/>
        </w:rPr>
        <w:footnoteRef/>
      </w:r>
      <w:r>
        <w:rPr>
          <w:lang w:val="es-ES"/>
        </w:rPr>
        <w:tab/>
      </w:r>
      <w:hyperlink r:id="rId42" w:history="1">
        <w:r w:rsidRPr="000F0B9B">
          <w:rPr>
            <w:rStyle w:val="Hyperlink"/>
          </w:rPr>
          <w:t>Contribución</w:t>
        </w:r>
        <w:r w:rsidRPr="000F0B9B">
          <w:rPr>
            <w:rStyle w:val="Hyperlink"/>
            <w:lang w:val="es-ES"/>
          </w:rPr>
          <w:t xml:space="preserve"> de ISOC Bulgaria</w:t>
        </w:r>
      </w:hyperlink>
      <w:r w:rsidRPr="00862632">
        <w:rPr>
          <w:lang w:val="es-ES"/>
        </w:rPr>
        <w:t xml:space="preserve"> (9 de octubre de 2012).</w:t>
      </w:r>
    </w:p>
  </w:footnote>
  <w:footnote w:id="48">
    <w:p w:rsidR="00831322" w:rsidRPr="00862632" w:rsidRDefault="00831322" w:rsidP="00D26758">
      <w:pPr>
        <w:pStyle w:val="FootnoteText"/>
      </w:pPr>
      <w:r w:rsidRPr="001832E2">
        <w:rPr>
          <w:rStyle w:val="FootnoteReference"/>
          <w:lang w:val="es-ES"/>
        </w:rPr>
        <w:footnoteRef/>
      </w:r>
      <w:r w:rsidRPr="00862632">
        <w:tab/>
        <w:t>Los puntos 1 a 5 proceden de la Res. 102 (Rev. Guadalajara, 2010); el punto 6 procede de la Res</w:t>
      </w:r>
      <w:r>
        <w:t>olución</w:t>
      </w:r>
      <w:r w:rsidRPr="00862632">
        <w:t xml:space="preserve"> 133 (Rev.</w:t>
      </w:r>
      <w:r>
        <w:t> </w:t>
      </w:r>
      <w:r w:rsidRPr="00862632">
        <w:t>Guadalajara, 2010).</w:t>
      </w:r>
    </w:p>
  </w:footnote>
  <w:footnote w:id="49">
    <w:p w:rsidR="00831322" w:rsidRPr="00862632" w:rsidRDefault="00831322" w:rsidP="001832E2">
      <w:pPr>
        <w:pStyle w:val="FootnoteText"/>
        <w:rPr>
          <w:lang w:val="es-ES"/>
        </w:rPr>
      </w:pPr>
      <w:r w:rsidRPr="001832E2">
        <w:rPr>
          <w:rStyle w:val="FootnoteReference"/>
          <w:lang w:val="es-ES"/>
        </w:rPr>
        <w:footnoteRef/>
      </w:r>
      <w:r w:rsidRPr="00862632">
        <w:rPr>
          <w:lang w:val="es-ES"/>
        </w:rPr>
        <w:t xml:space="preserve"> </w:t>
      </w:r>
      <w:r>
        <w:rPr>
          <w:lang w:val="es-ES"/>
        </w:rPr>
        <w:tab/>
      </w:r>
      <w:r w:rsidRPr="00862632">
        <w:rPr>
          <w:lang w:val="es-ES"/>
        </w:rPr>
        <w:t>Punto 69 de la Agenda de Túnez</w:t>
      </w:r>
      <w:r w:rsidRPr="00862632">
        <w:rPr>
          <w:rFonts w:cstheme="minorHAnsi"/>
          <w:lang w:val="es-ES"/>
        </w:rPr>
        <w:t>.</w:t>
      </w:r>
    </w:p>
  </w:footnote>
  <w:footnote w:id="50">
    <w:p w:rsidR="00831322" w:rsidRPr="00862632" w:rsidRDefault="00831322" w:rsidP="001832E2">
      <w:pPr>
        <w:pStyle w:val="FootnoteText"/>
        <w:rPr>
          <w:lang w:val="es-ES"/>
        </w:rPr>
      </w:pPr>
      <w:r w:rsidRPr="001832E2">
        <w:rPr>
          <w:rStyle w:val="FootnoteReference"/>
          <w:lang w:val="es-ES"/>
        </w:rPr>
        <w:footnoteRef/>
      </w:r>
      <w:r w:rsidRPr="00862632">
        <w:rPr>
          <w:lang w:val="es-ES"/>
        </w:rPr>
        <w:t xml:space="preserve"> </w:t>
      </w:r>
      <w:r>
        <w:rPr>
          <w:lang w:val="es-ES"/>
        </w:rPr>
        <w:tab/>
      </w:r>
      <w:r w:rsidRPr="00862632">
        <w:rPr>
          <w:lang w:val="es-ES"/>
        </w:rPr>
        <w:t>Punto 53 de la Agenda de Túnez</w:t>
      </w:r>
      <w:r w:rsidRPr="00862632">
        <w:rPr>
          <w:rFonts w:cstheme="minorHAnsi"/>
          <w:lang w:val="es-ES"/>
        </w:rPr>
        <w:t>.</w:t>
      </w:r>
    </w:p>
  </w:footnote>
  <w:footnote w:id="51">
    <w:p w:rsidR="00831322" w:rsidRPr="00862632" w:rsidRDefault="00831322" w:rsidP="001832E2">
      <w:pPr>
        <w:pStyle w:val="FootnoteText"/>
        <w:rPr>
          <w:lang w:val="es-ES"/>
        </w:rPr>
      </w:pPr>
      <w:r w:rsidRPr="001832E2">
        <w:rPr>
          <w:rStyle w:val="FootnoteReference"/>
          <w:lang w:val="es-ES"/>
        </w:rPr>
        <w:footnoteRef/>
      </w:r>
      <w:r w:rsidRPr="00862632">
        <w:rPr>
          <w:lang w:val="es-ES"/>
        </w:rPr>
        <w:tab/>
      </w:r>
      <w:hyperlink r:id="rId43" w:history="1">
        <w:r w:rsidRPr="00862632">
          <w:rPr>
            <w:rStyle w:val="Hyperlink"/>
            <w:rFonts w:cstheme="minorHAnsi"/>
            <w:lang w:val="es-ES"/>
          </w:rPr>
          <w:t>Contribución de Brasil</w:t>
        </w:r>
      </w:hyperlink>
      <w:r w:rsidRPr="00862632">
        <w:rPr>
          <w:lang w:val="es-ES"/>
        </w:rPr>
        <w:t xml:space="preserve"> (18 </w:t>
      </w:r>
      <w:r w:rsidRPr="001832E2">
        <w:t>de</w:t>
      </w:r>
      <w:r w:rsidRPr="00862632">
        <w:rPr>
          <w:lang w:val="es-ES"/>
        </w:rPr>
        <w:t xml:space="preserve"> mayo de 2012).</w:t>
      </w:r>
    </w:p>
  </w:footnote>
  <w:footnote w:id="52">
    <w:p w:rsidR="00831322" w:rsidRPr="00862632" w:rsidRDefault="00831322" w:rsidP="001832E2">
      <w:pPr>
        <w:pStyle w:val="FootnoteText"/>
        <w:rPr>
          <w:lang w:val="es-ES"/>
        </w:rPr>
      </w:pPr>
      <w:r w:rsidRPr="001832E2">
        <w:rPr>
          <w:rStyle w:val="FootnoteReference"/>
          <w:lang w:val="es-ES"/>
        </w:rPr>
        <w:footnoteRef/>
      </w:r>
      <w:r w:rsidRPr="00862632">
        <w:rPr>
          <w:lang w:val="es-ES"/>
        </w:rPr>
        <w:tab/>
      </w:r>
      <w:hyperlink r:id="rId44" w:history="1">
        <w:r w:rsidRPr="00862632">
          <w:rPr>
            <w:rStyle w:val="Hyperlink"/>
            <w:rFonts w:cstheme="minorHAnsi"/>
            <w:lang w:val="es-ES"/>
          </w:rPr>
          <w:t>International Strategy for Cyberspace</w:t>
        </w:r>
      </w:hyperlink>
      <w:r w:rsidRPr="00862632">
        <w:rPr>
          <w:lang w:val="es-ES"/>
        </w:rPr>
        <w:t xml:space="preserve"> de Estados Unido</w:t>
      </w:r>
      <w:r w:rsidRPr="00D26758">
        <w:t>s, Recomendación de la OCDE sobre la elaboración de políticas de Internet</w:t>
      </w:r>
      <w:r w:rsidRPr="00862632">
        <w:rPr>
          <w:lang w:val="es-ES"/>
        </w:rPr>
        <w:t xml:space="preserve">, </w:t>
      </w:r>
      <w:r w:rsidRPr="001832E2">
        <w:t>Diez</w:t>
      </w:r>
      <w:r w:rsidRPr="00862632">
        <w:rPr>
          <w:color w:val="1F497D"/>
          <w:lang w:val="es-ES"/>
        </w:rPr>
        <w:t xml:space="preserve"> </w:t>
      </w:r>
      <w:r>
        <w:rPr>
          <w:color w:val="1F497D"/>
          <w:lang w:val="es-ES"/>
        </w:rPr>
        <w:t>"</w:t>
      </w:r>
      <w:hyperlink r:id="rId45" w:history="1">
        <w:r w:rsidRPr="00862632">
          <w:rPr>
            <w:rStyle w:val="Hyperlink"/>
            <w:rFonts w:cstheme="minorHAnsi"/>
            <w:lang w:val="es-ES"/>
          </w:rPr>
          <w:t>Principios para la gobernanza y utilización de Internet</w:t>
        </w:r>
      </w:hyperlink>
      <w:r>
        <w:rPr>
          <w:rStyle w:val="CommentReference"/>
          <w:rFonts w:cstheme="minorHAnsi"/>
          <w:sz w:val="20"/>
          <w:lang w:val="es-ES"/>
        </w:rPr>
        <w:t>"</w:t>
      </w:r>
      <w:r w:rsidRPr="00862632">
        <w:rPr>
          <w:rStyle w:val="CommentReference"/>
          <w:rFonts w:cstheme="minorHAnsi"/>
          <w:sz w:val="20"/>
          <w:lang w:val="es-ES"/>
        </w:rPr>
        <w:t xml:space="preserve"> de Brasil.</w:t>
      </w:r>
    </w:p>
  </w:footnote>
  <w:footnote w:id="53">
    <w:p w:rsidR="00831322" w:rsidRPr="00862632" w:rsidRDefault="00831322" w:rsidP="0012727B">
      <w:pPr>
        <w:pStyle w:val="FootnoteText"/>
        <w:ind w:left="0" w:firstLine="0"/>
        <w:rPr>
          <w:rFonts w:cstheme="minorHAnsi"/>
          <w:lang w:val="es-ES"/>
        </w:rPr>
      </w:pPr>
      <w:r w:rsidRPr="001832E2">
        <w:rPr>
          <w:rStyle w:val="FootnoteReference"/>
          <w:lang w:val="es-ES"/>
        </w:rPr>
        <w:footnoteRef/>
      </w:r>
      <w:r w:rsidRPr="00862632">
        <w:rPr>
          <w:rFonts w:cstheme="minorHAnsi"/>
          <w:lang w:val="es-ES"/>
        </w:rPr>
        <w:tab/>
      </w:r>
      <w:hyperlink r:id="rId46" w:history="1">
        <w:r w:rsidRPr="00862632">
          <w:rPr>
            <w:rStyle w:val="Hyperlink"/>
            <w:rFonts w:cstheme="minorHAnsi"/>
            <w:lang w:val="es-ES"/>
          </w:rPr>
          <w:t>http://www.circleid.com/posts/us_european_union_to_support_icann_but_demand_reform/</w:t>
        </w:r>
      </w:hyperlink>
      <w:r w:rsidRPr="00862632">
        <w:rPr>
          <w:rFonts w:cstheme="minorHAnsi"/>
          <w:lang w:val="es-ES"/>
        </w:rPr>
        <w:t>.</w:t>
      </w:r>
    </w:p>
  </w:footnote>
  <w:footnote w:id="54">
    <w:p w:rsidR="00831322" w:rsidRPr="00862632" w:rsidRDefault="00831322" w:rsidP="0012727B">
      <w:pPr>
        <w:pStyle w:val="FootnoteText"/>
        <w:rPr>
          <w:rFonts w:cstheme="minorHAnsi"/>
          <w:lang w:val="es-ES"/>
        </w:rPr>
      </w:pPr>
      <w:r w:rsidRPr="001832E2">
        <w:rPr>
          <w:rStyle w:val="FootnoteReference"/>
          <w:lang w:val="es-ES"/>
        </w:rPr>
        <w:footnoteRef/>
      </w:r>
      <w:r w:rsidRPr="00862632">
        <w:rPr>
          <w:rFonts w:cstheme="minorHAnsi"/>
          <w:lang w:val="es-ES"/>
        </w:rPr>
        <w:tab/>
      </w:r>
      <w:hyperlink r:id="rId47" w:history="1">
        <w:r w:rsidRPr="00862632">
          <w:rPr>
            <w:rStyle w:val="Hyperlink"/>
            <w:rFonts w:cstheme="minorHAnsi"/>
            <w:lang w:val="es-ES"/>
          </w:rPr>
          <w:t>Contribución de Cisco</w:t>
        </w:r>
      </w:hyperlink>
      <w:r w:rsidRPr="00862632">
        <w:rPr>
          <w:rFonts w:cstheme="minorHAnsi"/>
          <w:lang w:val="es-ES"/>
        </w:rPr>
        <w:t xml:space="preserve"> (25 de junio de 2012), </w:t>
      </w:r>
      <w:hyperlink r:id="rId48" w:history="1">
        <w:r>
          <w:rPr>
            <w:rStyle w:val="Hyperlink"/>
            <w:rFonts w:cstheme="minorHAnsi"/>
            <w:lang w:val="es-ES"/>
          </w:rPr>
          <w:t>Contribución del Reino Unido</w:t>
        </w:r>
      </w:hyperlink>
      <w:r w:rsidRPr="00862632">
        <w:rPr>
          <w:rFonts w:cstheme="minorHAnsi"/>
          <w:lang w:val="es-ES"/>
        </w:rPr>
        <w:t xml:space="preserve"> (25 de junio de 2012), </w:t>
      </w:r>
      <w:hyperlink r:id="rId49" w:history="1">
        <w:r w:rsidRPr="00862632">
          <w:rPr>
            <w:rStyle w:val="Hyperlink"/>
            <w:rFonts w:cstheme="minorHAnsi"/>
            <w:lang w:val="es-ES"/>
          </w:rPr>
          <w:t>Contribución de EE.UU.</w:t>
        </w:r>
      </w:hyperlink>
      <w:r w:rsidRPr="00862632">
        <w:rPr>
          <w:rFonts w:cstheme="minorHAnsi"/>
          <w:lang w:val="es-ES"/>
        </w:rPr>
        <w:t xml:space="preserve"> (18 de mayo de 2012), </w:t>
      </w:r>
      <w:hyperlink r:id="rId50" w:history="1">
        <w:r w:rsidRPr="00862632">
          <w:rPr>
            <w:rStyle w:val="Hyperlink"/>
            <w:rFonts w:cstheme="minorHAnsi"/>
            <w:lang w:val="es-ES"/>
          </w:rPr>
          <w:t>Contribución de ISOC</w:t>
        </w:r>
      </w:hyperlink>
      <w:r w:rsidRPr="00862632">
        <w:rPr>
          <w:rFonts w:cstheme="minorHAnsi"/>
          <w:lang w:val="es-ES"/>
        </w:rPr>
        <w:t xml:space="preserve"> (26 de junio de 2012).</w:t>
      </w:r>
    </w:p>
  </w:footnote>
  <w:footnote w:id="55">
    <w:p w:rsidR="00831322" w:rsidRPr="00862632" w:rsidRDefault="00831322" w:rsidP="001832E2">
      <w:pPr>
        <w:pStyle w:val="FootnoteText"/>
        <w:rPr>
          <w:lang w:val="es-ES"/>
        </w:rPr>
      </w:pPr>
      <w:r w:rsidRPr="00323F00">
        <w:rPr>
          <w:rStyle w:val="FootnoteReference"/>
        </w:rPr>
        <w:footnoteRef/>
      </w:r>
      <w:r w:rsidRPr="00862632">
        <w:rPr>
          <w:lang w:val="es-ES"/>
        </w:rPr>
        <w:tab/>
      </w:r>
      <w:hyperlink r:id="rId51" w:history="1">
        <w:r w:rsidRPr="00862632">
          <w:rPr>
            <w:rStyle w:val="Hyperlink"/>
            <w:rFonts w:cstheme="minorHAnsi"/>
            <w:lang w:val="es-ES"/>
          </w:rPr>
          <w:t>Contribución de</w:t>
        </w:r>
        <w:r>
          <w:rPr>
            <w:rStyle w:val="Hyperlink"/>
            <w:rFonts w:cstheme="minorHAnsi"/>
            <w:lang w:val="es-ES"/>
          </w:rPr>
          <w:t>l</w:t>
        </w:r>
        <w:r w:rsidRPr="00862632">
          <w:rPr>
            <w:rStyle w:val="Hyperlink"/>
            <w:rFonts w:cstheme="minorHAnsi"/>
            <w:lang w:val="es-ES"/>
          </w:rPr>
          <w:t xml:space="preserve"> Reino Unido</w:t>
        </w:r>
      </w:hyperlink>
      <w:r w:rsidRPr="00862632">
        <w:rPr>
          <w:lang w:val="es-ES"/>
        </w:rPr>
        <w:t xml:space="preserve"> (25 de junio de 2012) y </w:t>
      </w:r>
      <w:hyperlink r:id="rId52" w:history="1">
        <w:r w:rsidRPr="0023443F">
          <w:rPr>
            <w:rStyle w:val="Hyperlink"/>
            <w:lang w:val="es-ES"/>
          </w:rPr>
          <w:t>Contribución de</w:t>
        </w:r>
        <w:r>
          <w:rPr>
            <w:rStyle w:val="Hyperlink"/>
            <w:lang w:val="es-ES"/>
          </w:rPr>
          <w:t>l</w:t>
        </w:r>
        <w:r w:rsidRPr="0023443F">
          <w:rPr>
            <w:rStyle w:val="Hyperlink"/>
            <w:lang w:val="es-ES"/>
          </w:rPr>
          <w:t xml:space="preserve"> Reino Unido</w:t>
        </w:r>
      </w:hyperlink>
      <w:r w:rsidRPr="00862632">
        <w:rPr>
          <w:lang w:val="es-ES"/>
        </w:rPr>
        <w:t xml:space="preserve"> (30 de septiembre de 2012).</w:t>
      </w:r>
    </w:p>
  </w:footnote>
  <w:footnote w:id="56">
    <w:p w:rsidR="00831322" w:rsidRPr="001832E2" w:rsidRDefault="00831322" w:rsidP="001832E2">
      <w:pPr>
        <w:pStyle w:val="FootnoteText"/>
      </w:pPr>
      <w:r w:rsidRPr="001832E2">
        <w:rPr>
          <w:rStyle w:val="FootnoteReference"/>
          <w:lang w:val="es-ES"/>
        </w:rPr>
        <w:footnoteRef/>
      </w:r>
      <w:r w:rsidRPr="00862632">
        <w:rPr>
          <w:lang w:val="es-ES"/>
        </w:rPr>
        <w:tab/>
      </w:r>
      <w:hyperlink r:id="rId53" w:history="1">
        <w:r w:rsidRPr="00862632">
          <w:rPr>
            <w:rStyle w:val="Hyperlink"/>
            <w:rFonts w:cstheme="minorHAnsi"/>
            <w:lang w:val="es-ES"/>
          </w:rPr>
          <w:t>http://articles.timesofindia.indiatimes.com/2012-07-30/edit-page/32924041_1_internet-governance-internet-corporation-root-servers</w:t>
        </w:r>
      </w:hyperlink>
      <w:r w:rsidRPr="00862632">
        <w:rPr>
          <w:lang w:val="es-ES"/>
        </w:rPr>
        <w:t>.</w:t>
      </w:r>
    </w:p>
  </w:footnote>
  <w:footnote w:id="57">
    <w:p w:rsidR="00831322" w:rsidRPr="001832E2" w:rsidRDefault="00831322" w:rsidP="00016723">
      <w:pPr>
        <w:pStyle w:val="FootnoteText"/>
      </w:pPr>
      <w:r w:rsidRPr="001832E2">
        <w:rPr>
          <w:rStyle w:val="FootnoteReference"/>
          <w:lang w:val="es-ES"/>
        </w:rPr>
        <w:footnoteRef/>
      </w:r>
      <w:r w:rsidRPr="00862632">
        <w:rPr>
          <w:lang w:val="es-ES"/>
        </w:rPr>
        <w:tab/>
      </w:r>
      <w:hyperlink r:id="rId54" w:history="1">
        <w:r w:rsidRPr="00862632">
          <w:rPr>
            <w:rStyle w:val="Hyperlink"/>
            <w:rFonts w:cstheme="minorHAnsi"/>
            <w:lang w:val="es-ES"/>
          </w:rPr>
          <w:t>Contribución de Arabia Saudita y Sudán</w:t>
        </w:r>
      </w:hyperlink>
      <w:r w:rsidRPr="00862632">
        <w:rPr>
          <w:lang w:val="es-ES"/>
        </w:rPr>
        <w:t xml:space="preserve"> (1 de agosto de 2012), </w:t>
      </w:r>
      <w:hyperlink r:id="rId55" w:history="1">
        <w:r w:rsidRPr="00862632">
          <w:rPr>
            <w:rStyle w:val="Hyperlink"/>
            <w:rFonts w:cstheme="minorHAnsi"/>
            <w:lang w:val="es-ES"/>
          </w:rPr>
          <w:t>Contribución de Argelia</w:t>
        </w:r>
      </w:hyperlink>
      <w:r w:rsidRPr="00862632">
        <w:rPr>
          <w:lang w:val="es-ES"/>
        </w:rPr>
        <w:t xml:space="preserve"> (2 de agosto de 2012).</w:t>
      </w:r>
      <w:r w:rsidR="00016723">
        <w:rPr>
          <w:lang w:val="es-ES"/>
        </w:rPr>
        <w:t xml:space="preserve"> </w:t>
      </w:r>
    </w:p>
  </w:footnote>
  <w:footnote w:id="58">
    <w:p w:rsidR="00831322" w:rsidRPr="001832E2" w:rsidRDefault="00831322" w:rsidP="001832E2">
      <w:pPr>
        <w:pStyle w:val="FootnoteText"/>
      </w:pPr>
      <w:r w:rsidRPr="001832E2">
        <w:rPr>
          <w:rStyle w:val="FootnoteReference"/>
          <w:lang w:val="es-ES"/>
        </w:rPr>
        <w:footnoteRef/>
      </w:r>
      <w:r w:rsidRPr="00862632">
        <w:rPr>
          <w:lang w:val="es-ES"/>
        </w:rPr>
        <w:tab/>
        <w:t>CSTD (</w:t>
      </w:r>
      <w:hyperlink r:id="rId56" w:history="1">
        <w:r w:rsidRPr="00862632">
          <w:rPr>
            <w:rStyle w:val="Hyperlink"/>
            <w:rFonts w:cstheme="minorHAnsi"/>
            <w:lang w:val="es-ES"/>
          </w:rPr>
          <w:t>http://unctad.org/en/Pages/MeetingDetails.aspx?meetingid=61</w:t>
        </w:r>
      </w:hyperlink>
      <w:r w:rsidRPr="00862632">
        <w:rPr>
          <w:lang w:val="es-ES"/>
        </w:rPr>
        <w:t>), Asamblea General de las Naciones Unidas. (</w:t>
      </w:r>
      <w:hyperlink r:id="rId57" w:history="1">
        <w:r w:rsidRPr="00862632">
          <w:rPr>
            <w:rStyle w:val="Hyperlink"/>
            <w:rFonts w:cstheme="minorHAnsi"/>
            <w:lang w:val="es-ES"/>
          </w:rPr>
          <w:t>http://unctad.org/meetings/en/SessionalDocuments/a66d77_en.pdf</w:t>
        </w:r>
      </w:hyperlink>
      <w:r w:rsidRPr="00862632">
        <w:rPr>
          <w:lang w:val="es-ES"/>
        </w:rPr>
        <w:t>).</w:t>
      </w:r>
    </w:p>
  </w:footnote>
  <w:footnote w:id="59">
    <w:p w:rsidR="00831322" w:rsidRPr="001832E2" w:rsidRDefault="00831322" w:rsidP="001832E2">
      <w:pPr>
        <w:pStyle w:val="FootnoteText"/>
      </w:pPr>
      <w:r w:rsidRPr="001832E2">
        <w:rPr>
          <w:rStyle w:val="FootnoteReference"/>
          <w:lang w:val="es-ES"/>
        </w:rPr>
        <w:footnoteRef/>
      </w:r>
      <w:r w:rsidRPr="00862632">
        <w:rPr>
          <w:lang w:val="es-ES"/>
        </w:rPr>
        <w:tab/>
      </w:r>
      <w:hyperlink r:id="rId58" w:history="1">
        <w:r w:rsidRPr="00862632">
          <w:rPr>
            <w:rStyle w:val="Hyperlink"/>
            <w:rFonts w:cstheme="minorHAnsi"/>
            <w:lang w:val="es-ES"/>
          </w:rPr>
          <w:t>Open consultations on enhanced cooperation on international public policy issues pertaining to the Internet - written contributions</w:t>
        </w:r>
      </w:hyperlink>
      <w:r w:rsidRPr="00862632">
        <w:rPr>
          <w:lang w:val="es-ES"/>
        </w:rPr>
        <w:t>.</w:t>
      </w:r>
    </w:p>
  </w:footnote>
  <w:footnote w:id="60">
    <w:p w:rsidR="00831322" w:rsidRPr="001832E2" w:rsidRDefault="00831322" w:rsidP="001832E2">
      <w:pPr>
        <w:pStyle w:val="FootnoteText"/>
      </w:pPr>
      <w:r w:rsidRPr="001832E2">
        <w:rPr>
          <w:rStyle w:val="FootnoteReference"/>
          <w:lang w:val="es-ES"/>
        </w:rPr>
        <w:footnoteRef/>
      </w:r>
      <w:r w:rsidRPr="00862632">
        <w:rPr>
          <w:lang w:val="es-ES"/>
        </w:rPr>
        <w:tab/>
        <w:t xml:space="preserve">Por ejemplo, </w:t>
      </w:r>
      <w:hyperlink r:id="rId59" w:history="1">
        <w:r>
          <w:rPr>
            <w:rStyle w:val="Hyperlink"/>
            <w:rFonts w:cstheme="minorHAnsi"/>
            <w:lang w:val="es-ES"/>
          </w:rPr>
          <w:t>Contribución del Reino Unido</w:t>
        </w:r>
      </w:hyperlink>
      <w:r w:rsidRPr="00862632">
        <w:rPr>
          <w:lang w:val="es-ES"/>
        </w:rPr>
        <w:t xml:space="preserve"> (25 de junio de 2012).</w:t>
      </w:r>
    </w:p>
  </w:footnote>
  <w:footnote w:id="61">
    <w:p w:rsidR="00831322" w:rsidRPr="00862632" w:rsidRDefault="00831322" w:rsidP="001832E2">
      <w:pPr>
        <w:pStyle w:val="FootnoteText"/>
        <w:rPr>
          <w:lang w:val="es-ES"/>
        </w:rPr>
      </w:pPr>
      <w:r w:rsidRPr="001832E2">
        <w:rPr>
          <w:rStyle w:val="FootnoteReference"/>
          <w:lang w:val="es-ES"/>
        </w:rPr>
        <w:footnoteRef/>
      </w:r>
      <w:r w:rsidRPr="00862632">
        <w:rPr>
          <w:lang w:val="es-ES"/>
        </w:rPr>
        <w:tab/>
      </w:r>
      <w:hyperlink r:id="rId60" w:history="1">
        <w:r w:rsidRPr="00862632">
          <w:rPr>
            <w:rStyle w:val="Hyperlink"/>
            <w:rFonts w:cstheme="minorHAnsi"/>
            <w:lang w:val="es-ES"/>
          </w:rPr>
          <w:t>Contribución de Arabia Saudita y Sudán</w:t>
        </w:r>
      </w:hyperlink>
      <w:r w:rsidRPr="00862632">
        <w:rPr>
          <w:lang w:val="es-ES"/>
        </w:rPr>
        <w:t xml:space="preserve"> (1 de agosto de 2012), </w:t>
      </w:r>
      <w:hyperlink r:id="rId61" w:history="1">
        <w:r w:rsidRPr="00862632">
          <w:rPr>
            <w:rStyle w:val="Hyperlink"/>
            <w:rFonts w:cstheme="minorHAnsi"/>
            <w:lang w:val="es-ES"/>
          </w:rPr>
          <w:t>Contribución de Argelia</w:t>
        </w:r>
      </w:hyperlink>
      <w:r w:rsidRPr="00862632">
        <w:rPr>
          <w:lang w:val="es-ES"/>
        </w:rPr>
        <w:t xml:space="preserve"> (2 de agosto de 2012).</w:t>
      </w:r>
    </w:p>
  </w:footnote>
  <w:footnote w:id="62">
    <w:p w:rsidR="00831322" w:rsidRPr="001832E2" w:rsidRDefault="00831322" w:rsidP="001832E2">
      <w:pPr>
        <w:pStyle w:val="FootnoteText"/>
      </w:pPr>
      <w:r w:rsidRPr="001832E2">
        <w:rPr>
          <w:rStyle w:val="FootnoteReference"/>
          <w:lang w:val="es-ES"/>
        </w:rPr>
        <w:footnoteRef/>
      </w:r>
      <w:r w:rsidRPr="00862632">
        <w:rPr>
          <w:lang w:val="es-ES"/>
        </w:rPr>
        <w:tab/>
      </w:r>
      <w:hyperlink r:id="rId62" w:history="1">
        <w:r w:rsidRPr="00862632">
          <w:rPr>
            <w:rStyle w:val="Hyperlink"/>
            <w:rFonts w:cstheme="minorHAnsi"/>
            <w:lang w:val="es-ES"/>
          </w:rPr>
          <w:t>Contribución de Cisco</w:t>
        </w:r>
      </w:hyperlink>
      <w:r w:rsidRPr="00862632">
        <w:rPr>
          <w:lang w:val="es-ES"/>
        </w:rPr>
        <w:t xml:space="preserve"> (25 de junio de 2012), </w:t>
      </w:r>
      <w:hyperlink r:id="rId63" w:history="1">
        <w:r w:rsidRPr="00862632">
          <w:rPr>
            <w:rStyle w:val="Hyperlink"/>
            <w:rFonts w:cstheme="minorHAnsi"/>
            <w:lang w:val="es-ES"/>
          </w:rPr>
          <w:t>Contribución de ISOC</w:t>
        </w:r>
      </w:hyperlink>
      <w:r w:rsidRPr="00862632">
        <w:rPr>
          <w:lang w:val="es-ES"/>
        </w:rPr>
        <w:t xml:space="preserve"> (26 de junio de 2012).</w:t>
      </w:r>
    </w:p>
  </w:footnote>
  <w:footnote w:id="63">
    <w:p w:rsidR="00831322" w:rsidRPr="001832E2" w:rsidRDefault="00831322" w:rsidP="001832E2">
      <w:pPr>
        <w:pStyle w:val="FootnoteText"/>
      </w:pPr>
      <w:r w:rsidRPr="001832E2">
        <w:rPr>
          <w:rStyle w:val="FootnoteReference"/>
          <w:lang w:val="es-ES"/>
        </w:rPr>
        <w:footnoteRef/>
      </w:r>
      <w:r w:rsidRPr="00862632">
        <w:rPr>
          <w:lang w:val="es-ES"/>
        </w:rPr>
        <w:tab/>
      </w:r>
      <w:hyperlink r:id="rId64" w:history="1">
        <w:r w:rsidRPr="00862632">
          <w:rPr>
            <w:rStyle w:val="Hyperlink"/>
            <w:rFonts w:cstheme="minorHAnsi"/>
            <w:lang w:val="es-ES"/>
          </w:rPr>
          <w:t>Consejo 2012: Resumen de los debates provisional de la cuarta Sesión Plenaria</w:t>
        </w:r>
      </w:hyperlink>
      <w:r w:rsidRPr="00862632">
        <w:rPr>
          <w:lang w:val="es-ES"/>
        </w:rPr>
        <w:t>.</w:t>
      </w:r>
    </w:p>
  </w:footnote>
  <w:footnote w:id="64">
    <w:p w:rsidR="00831322" w:rsidRPr="00862632" w:rsidRDefault="00831322" w:rsidP="006A3517">
      <w:pPr>
        <w:pStyle w:val="FootnoteText"/>
        <w:rPr>
          <w:rFonts w:cstheme="minorHAnsi"/>
          <w:lang w:val="es-ES"/>
        </w:rPr>
      </w:pPr>
      <w:r w:rsidRPr="001832E2">
        <w:rPr>
          <w:rStyle w:val="FootnoteReference"/>
          <w:lang w:val="es-ES"/>
        </w:rPr>
        <w:footnoteRef/>
      </w:r>
      <w:r w:rsidRPr="00862632">
        <w:rPr>
          <w:rFonts w:cstheme="minorHAnsi"/>
          <w:lang w:val="es-ES"/>
        </w:rPr>
        <w:tab/>
        <w:t>Resoluciones 101, 102 y 133, (Rev. Guadalajara, 2010), Resolución 180 (Guadalajara, 2010).</w:t>
      </w:r>
    </w:p>
  </w:footnote>
  <w:footnote w:id="65">
    <w:p w:rsidR="00831322" w:rsidRPr="00862632" w:rsidRDefault="00831322" w:rsidP="001832E2">
      <w:pPr>
        <w:pStyle w:val="FootnoteText"/>
        <w:rPr>
          <w:rFonts w:cstheme="minorHAnsi"/>
          <w:lang w:val="es-ES"/>
        </w:rPr>
      </w:pPr>
      <w:r w:rsidRPr="001832E2">
        <w:rPr>
          <w:rStyle w:val="FootnoteReference"/>
          <w:lang w:val="es-ES"/>
        </w:rPr>
        <w:footnoteRef/>
      </w:r>
      <w:r w:rsidRPr="00862632">
        <w:rPr>
          <w:rFonts w:cstheme="minorHAnsi"/>
          <w:lang w:val="es-ES"/>
        </w:rPr>
        <w:t xml:space="preserve"> </w:t>
      </w:r>
      <w:r>
        <w:rPr>
          <w:rFonts w:cstheme="minorHAnsi"/>
          <w:lang w:val="es-ES"/>
        </w:rPr>
        <w:tab/>
      </w:r>
      <w:hyperlink r:id="rId65" w:history="1">
        <w:r w:rsidRPr="00200D5B">
          <w:rPr>
            <w:rStyle w:val="Hyperlink"/>
            <w:rFonts w:cstheme="minorHAnsi"/>
            <w:lang w:val="es-ES"/>
          </w:rPr>
          <w:t>http://www.itu.int/en/membership/Pages/default.aspx</w:t>
        </w:r>
      </w:hyperlink>
      <w:r>
        <w:rPr>
          <w:rFonts w:cstheme="minorHAnsi"/>
          <w:lang w:val="es-ES"/>
        </w:rPr>
        <w:t>.</w:t>
      </w:r>
    </w:p>
  </w:footnote>
  <w:footnote w:id="66">
    <w:p w:rsidR="00831322" w:rsidRPr="00862632" w:rsidRDefault="00831322" w:rsidP="001832E2">
      <w:pPr>
        <w:pStyle w:val="FootnoteText"/>
        <w:rPr>
          <w:rFonts w:cstheme="minorHAnsi"/>
          <w:lang w:val="es-ES"/>
        </w:rPr>
      </w:pPr>
      <w:r w:rsidRPr="001832E2">
        <w:rPr>
          <w:rStyle w:val="FootnoteReference"/>
          <w:lang w:val="es-ES"/>
        </w:rPr>
        <w:footnoteRef/>
      </w:r>
      <w:r w:rsidRPr="00862632">
        <w:rPr>
          <w:rFonts w:cstheme="minorHAnsi"/>
          <w:lang w:val="es-ES"/>
        </w:rPr>
        <w:t xml:space="preserve"> </w:t>
      </w:r>
      <w:r>
        <w:rPr>
          <w:rFonts w:cstheme="minorHAnsi"/>
          <w:lang w:val="es-ES"/>
        </w:rPr>
        <w:tab/>
      </w:r>
      <w:hyperlink r:id="rId66" w:history="1">
        <w:r w:rsidRPr="00200D5B">
          <w:rPr>
            <w:rStyle w:val="Hyperlink"/>
            <w:rFonts w:cstheme="minorHAnsi"/>
            <w:lang w:val="es-ES"/>
          </w:rPr>
          <w:t>http://www.itu.int/en/membership/Pages/default.aspx</w:t>
        </w:r>
      </w:hyperlink>
      <w:r>
        <w:rPr>
          <w:rFonts w:cstheme="minorHAnsi"/>
          <w:lang w:val="es-ES"/>
        </w:rPr>
        <w:t>.</w:t>
      </w:r>
    </w:p>
  </w:footnote>
  <w:footnote w:id="67">
    <w:p w:rsidR="00831322" w:rsidRPr="00862632" w:rsidRDefault="00831322">
      <w:pPr>
        <w:pStyle w:val="FootnoteText"/>
        <w:rPr>
          <w:rFonts w:cstheme="minorHAnsi"/>
          <w:lang w:val="es-ES"/>
        </w:rPr>
      </w:pPr>
      <w:r w:rsidRPr="001832E2">
        <w:rPr>
          <w:rStyle w:val="FootnoteReference"/>
          <w:lang w:val="es-ES"/>
        </w:rPr>
        <w:footnoteRef/>
      </w:r>
      <w:r w:rsidRPr="001832E2">
        <w:rPr>
          <w:rStyle w:val="FootnoteReference"/>
          <w:lang w:val="es-ES"/>
        </w:rPr>
        <w:t xml:space="preserve"> </w:t>
      </w:r>
      <w:r>
        <w:rPr>
          <w:lang w:val="es-ES"/>
        </w:rPr>
        <w:tab/>
      </w:r>
      <w:hyperlink r:id="rId67" w:history="1">
        <w:r w:rsidRPr="003C33B9">
          <w:rPr>
            <w:rStyle w:val="Hyperlink"/>
            <w:rFonts w:cstheme="minorHAnsi"/>
            <w:lang w:val="es-ES"/>
          </w:rPr>
          <w:t>Contribución de PayPal</w:t>
        </w:r>
      </w:hyperlink>
      <w:r w:rsidRPr="00862632">
        <w:rPr>
          <w:rFonts w:cstheme="minorHAnsi"/>
          <w:lang w:val="es-ES"/>
        </w:rPr>
        <w:t xml:space="preserve"> (octubre de 2012)</w:t>
      </w:r>
      <w:r>
        <w:rPr>
          <w:rFonts w:cstheme="minorHAnsi"/>
          <w:lang w:val="es-ES"/>
        </w:rPr>
        <w:t>.</w:t>
      </w:r>
    </w:p>
  </w:footnote>
  <w:footnote w:id="68">
    <w:p w:rsidR="00831322" w:rsidRPr="00862632" w:rsidRDefault="00831322" w:rsidP="001832E2">
      <w:pPr>
        <w:pStyle w:val="FootnoteText"/>
        <w:rPr>
          <w:rFonts w:cstheme="minorHAnsi"/>
          <w:lang w:val="es-ES"/>
        </w:rPr>
      </w:pPr>
      <w:r w:rsidRPr="001832E2">
        <w:rPr>
          <w:rStyle w:val="FootnoteReference"/>
          <w:lang w:val="es-ES"/>
        </w:rPr>
        <w:footnoteRef/>
      </w:r>
      <w:r w:rsidRPr="00862632">
        <w:rPr>
          <w:rFonts w:cstheme="minorHAnsi"/>
          <w:lang w:val="es-ES"/>
        </w:rPr>
        <w:t xml:space="preserve"> </w:t>
      </w:r>
      <w:r>
        <w:rPr>
          <w:rFonts w:cstheme="minorHAnsi"/>
          <w:lang w:val="es-ES"/>
        </w:rPr>
        <w:tab/>
      </w:r>
      <w:r w:rsidRPr="00862632">
        <w:rPr>
          <w:rFonts w:cstheme="minorHAnsi"/>
          <w:lang w:val="es-ES"/>
        </w:rPr>
        <w:t xml:space="preserve">Disponible en </w:t>
      </w:r>
      <w:hyperlink r:id="rId68" w:history="1">
        <w:r w:rsidRPr="00200D5B">
          <w:rPr>
            <w:rStyle w:val="Hyperlink"/>
            <w:rFonts w:cstheme="minorHAnsi"/>
            <w:lang w:val="es-ES"/>
          </w:rPr>
          <w:t>http://www.itu.int/en/wcit-12/Documents/final-acts-wcit-12.pdf</w:t>
        </w:r>
      </w:hyperlink>
      <w:r>
        <w:rPr>
          <w:rFonts w:cstheme="minorHAnsi"/>
          <w:lang w:val="es-ES"/>
        </w:rPr>
        <w:t>.</w:t>
      </w:r>
    </w:p>
  </w:footnote>
  <w:footnote w:id="69">
    <w:p w:rsidR="00831322" w:rsidRPr="00862632" w:rsidRDefault="00831322" w:rsidP="00BF4C77">
      <w:pPr>
        <w:pStyle w:val="FootnoteText"/>
        <w:rPr>
          <w:lang w:val="es-ES"/>
        </w:rPr>
      </w:pPr>
      <w:r w:rsidRPr="00BF4C77">
        <w:rPr>
          <w:rStyle w:val="FootnoteReference"/>
          <w:lang w:val="es-ES"/>
        </w:rPr>
        <w:footnoteRef/>
      </w:r>
      <w:r w:rsidRPr="00862632">
        <w:rPr>
          <w:lang w:val="es-ES"/>
        </w:rPr>
        <w:t xml:space="preserve"> </w:t>
      </w:r>
      <w:r>
        <w:rPr>
          <w:lang w:val="es-ES"/>
        </w:rPr>
        <w:tab/>
      </w:r>
      <w:hyperlink r:id="rId69" w:history="1">
        <w:r w:rsidRPr="00CD7920">
          <w:rPr>
            <w:rStyle w:val="Hyperlink"/>
          </w:rPr>
          <w:t>Contribución</w:t>
        </w:r>
        <w:r w:rsidRPr="00CD7920">
          <w:rPr>
            <w:rStyle w:val="Hyperlink"/>
            <w:lang w:val="es-ES"/>
          </w:rPr>
          <w:t xml:space="preserve"> de Nominet</w:t>
        </w:r>
      </w:hyperlink>
      <w:r w:rsidRPr="00862632">
        <w:rPr>
          <w:lang w:val="es-ES"/>
        </w:rPr>
        <w:t xml:space="preserve"> (30 de septiembre de 2012)</w:t>
      </w:r>
    </w:p>
  </w:footnote>
  <w:footnote w:id="70">
    <w:p w:rsidR="00831322" w:rsidRPr="00862632" w:rsidRDefault="00831322" w:rsidP="00CD7920">
      <w:pPr>
        <w:pStyle w:val="FootnoteText"/>
        <w:rPr>
          <w:lang w:val="es-ES"/>
        </w:rPr>
      </w:pPr>
      <w:r w:rsidRPr="00BF4C77">
        <w:rPr>
          <w:rStyle w:val="FootnoteReference"/>
          <w:lang w:val="es-ES"/>
        </w:rPr>
        <w:footnoteRef/>
      </w:r>
      <w:r w:rsidRPr="00862632">
        <w:rPr>
          <w:lang w:val="es-ES"/>
        </w:rPr>
        <w:t xml:space="preserve"> </w:t>
      </w:r>
      <w:r>
        <w:rPr>
          <w:lang w:val="es-ES"/>
        </w:rPr>
        <w:tab/>
      </w:r>
      <w:hyperlink r:id="rId70" w:history="1">
        <w:r w:rsidRPr="00CD7920">
          <w:rPr>
            <w:rStyle w:val="Hyperlink"/>
          </w:rPr>
          <w:t>Contribución</w:t>
        </w:r>
        <w:r w:rsidRPr="00CD7920">
          <w:rPr>
            <w:rStyle w:val="Hyperlink"/>
            <w:lang w:val="es-ES"/>
          </w:rPr>
          <w:t xml:space="preserve"> de Nominet</w:t>
        </w:r>
      </w:hyperlink>
      <w:r w:rsidRPr="00862632">
        <w:rPr>
          <w:lang w:val="es-ES"/>
        </w:rPr>
        <w:t xml:space="preserve"> (30 de septiembre de 2012)</w:t>
      </w:r>
    </w:p>
  </w:footnote>
  <w:footnote w:id="71">
    <w:p w:rsidR="00831322" w:rsidRPr="00862632" w:rsidRDefault="00831322" w:rsidP="00A26E96">
      <w:pPr>
        <w:pStyle w:val="FootnoteText"/>
        <w:rPr>
          <w:lang w:val="es-ES"/>
        </w:rPr>
      </w:pPr>
      <w:r w:rsidRPr="00BF4C77">
        <w:rPr>
          <w:rStyle w:val="FootnoteReference"/>
          <w:lang w:val="es-ES"/>
        </w:rPr>
        <w:footnoteRef/>
      </w:r>
      <w:r w:rsidRPr="00862632">
        <w:rPr>
          <w:lang w:val="es-ES"/>
        </w:rPr>
        <w:t xml:space="preserve"> </w:t>
      </w:r>
      <w:r>
        <w:rPr>
          <w:lang w:val="es-ES"/>
        </w:rPr>
        <w:tab/>
      </w:r>
      <w:hyperlink r:id="rId71" w:history="1">
        <w:r w:rsidRPr="00A26E96">
          <w:rPr>
            <w:rStyle w:val="Hyperlink"/>
            <w:rFonts w:cstheme="minorHAnsi"/>
            <w:lang w:val="es-ES"/>
          </w:rPr>
          <w:t>Contribución de EE.UU.</w:t>
        </w:r>
      </w:hyperlink>
      <w:r w:rsidRPr="00862632">
        <w:rPr>
          <w:lang w:val="es-ES"/>
        </w:rPr>
        <w:t xml:space="preserve"> (2 de octubre de 2012)</w:t>
      </w:r>
    </w:p>
  </w:footnote>
  <w:footnote w:id="72">
    <w:p w:rsidR="00831322" w:rsidRPr="00862632" w:rsidRDefault="00831322" w:rsidP="000F0B9B">
      <w:pPr>
        <w:pStyle w:val="FootnoteText"/>
        <w:rPr>
          <w:lang w:val="es-ES"/>
        </w:rPr>
      </w:pPr>
      <w:r w:rsidRPr="00BF4C77">
        <w:rPr>
          <w:rStyle w:val="FootnoteReference"/>
          <w:lang w:val="es-ES"/>
        </w:rPr>
        <w:footnoteRef/>
      </w:r>
      <w:r w:rsidRPr="00862632">
        <w:rPr>
          <w:lang w:val="es-ES"/>
        </w:rPr>
        <w:t xml:space="preserve"> </w:t>
      </w:r>
      <w:r>
        <w:rPr>
          <w:lang w:val="es-ES"/>
        </w:rPr>
        <w:tab/>
      </w:r>
      <w:hyperlink r:id="rId72" w:history="1">
        <w:r w:rsidRPr="000F0B9B">
          <w:rPr>
            <w:rStyle w:val="Hyperlink"/>
          </w:rPr>
          <w:t>Contribución</w:t>
        </w:r>
        <w:r w:rsidRPr="000F0B9B">
          <w:rPr>
            <w:rStyle w:val="Hyperlink"/>
            <w:lang w:val="es-ES"/>
          </w:rPr>
          <w:t xml:space="preserve"> de ISOC Bulgaria</w:t>
        </w:r>
      </w:hyperlink>
      <w:r w:rsidRPr="00862632">
        <w:rPr>
          <w:lang w:val="es-ES"/>
        </w:rPr>
        <w:t xml:space="preserve"> (10 de octubre de 2012)</w:t>
      </w:r>
    </w:p>
  </w:footnote>
  <w:footnote w:id="73">
    <w:p w:rsidR="00831322" w:rsidRPr="00862632" w:rsidRDefault="00831322" w:rsidP="00BF4C77">
      <w:pPr>
        <w:pStyle w:val="FootnoteText"/>
        <w:rPr>
          <w:lang w:val="es-ES"/>
        </w:rPr>
      </w:pPr>
      <w:r w:rsidRPr="00BF4C77">
        <w:rPr>
          <w:rStyle w:val="FootnoteReference"/>
          <w:lang w:val="es-ES"/>
        </w:rPr>
        <w:footnoteRef/>
      </w:r>
      <w:r w:rsidRPr="00BF4C77">
        <w:rPr>
          <w:rStyle w:val="FootnoteReference"/>
          <w:lang w:val="es-ES"/>
        </w:rPr>
        <w:tab/>
      </w:r>
      <w:r>
        <w:rPr>
          <w:lang w:val="es-ES"/>
        </w:rPr>
        <w:t>"</w:t>
      </w:r>
      <w:hyperlink r:id="rId73" w:history="1">
        <w:r w:rsidRPr="00862632">
          <w:rPr>
            <w:rStyle w:val="Hyperlink"/>
            <w:rFonts w:cstheme="minorHAnsi"/>
            <w:lang w:val="es-ES"/>
          </w:rPr>
          <w:t>The Future Internet</w:t>
        </w:r>
        <w:r>
          <w:rPr>
            <w:rStyle w:val="Hyperlink"/>
            <w:rFonts w:cstheme="minorHAnsi"/>
            <w:lang w:val="es-ES"/>
          </w:rPr>
          <w:t>"</w:t>
        </w:r>
        <w:r w:rsidRPr="00862632">
          <w:rPr>
            <w:rStyle w:val="Hyperlink"/>
            <w:rFonts w:cstheme="minorHAnsi"/>
            <w:lang w:val="es-ES"/>
          </w:rPr>
          <w:t>, ITU-T Technology Watch Report, April 2009</w:t>
        </w:r>
      </w:hyperlink>
      <w:r w:rsidRPr="00862632">
        <w:rPr>
          <w:lang w:val="es-ES"/>
        </w:rPr>
        <w:t xml:space="preserve">; David Talbot (2005), </w:t>
      </w:r>
      <w:r>
        <w:rPr>
          <w:lang w:val="es-ES"/>
        </w:rPr>
        <w:t>"</w:t>
      </w:r>
      <w:r w:rsidRPr="00862632">
        <w:rPr>
          <w:i/>
          <w:iCs/>
          <w:lang w:val="es-ES"/>
        </w:rPr>
        <w:t>The Internet is broken</w:t>
      </w:r>
      <w:r>
        <w:rPr>
          <w:i/>
          <w:iCs/>
          <w:lang w:val="es-ES"/>
        </w:rPr>
        <w:t>",</w:t>
      </w:r>
      <w:r w:rsidRPr="00862632">
        <w:rPr>
          <w:i/>
          <w:iCs/>
          <w:lang w:val="es-ES"/>
        </w:rPr>
        <w:t xml:space="preserve"> </w:t>
      </w:r>
      <w:r w:rsidRPr="00862632">
        <w:rPr>
          <w:lang w:val="es-ES"/>
        </w:rPr>
        <w:t xml:space="preserve">MIT Technology Review; WG-WSIS-18/05*: </w:t>
      </w:r>
      <w:r>
        <w:rPr>
          <w:lang w:val="es-ES"/>
        </w:rPr>
        <w:t>'</w:t>
      </w:r>
      <w:r w:rsidRPr="00862632">
        <w:rPr>
          <w:lang w:val="es-ES"/>
        </w:rPr>
        <w:t xml:space="preserve">The </w:t>
      </w:r>
      <w:r>
        <w:rPr>
          <w:lang w:val="es-ES"/>
        </w:rPr>
        <w:t>'</w:t>
      </w:r>
      <w:r w:rsidRPr="00862632">
        <w:rPr>
          <w:lang w:val="es-ES"/>
        </w:rPr>
        <w:t>future Internet</w:t>
      </w:r>
      <w:r>
        <w:rPr>
          <w:lang w:val="es-ES"/>
        </w:rPr>
        <w:t>''</w:t>
      </w:r>
      <w:r w:rsidRPr="00862632">
        <w:rPr>
          <w:lang w:val="es-ES"/>
        </w:rPr>
        <w:t xml:space="preserve"> (V.3), en </w:t>
      </w:r>
      <w:hyperlink r:id="rId74" w:history="1">
        <w:r w:rsidRPr="00862632">
          <w:rPr>
            <w:rStyle w:val="Hyperlink"/>
            <w:rFonts w:cstheme="minorHAnsi"/>
            <w:lang w:val="es-ES"/>
          </w:rPr>
          <w:t>http://www.itu.int/md/S11-RDG5-C-0004/en</w:t>
        </w:r>
      </w:hyperlink>
      <w:r w:rsidRPr="00862632">
        <w:rPr>
          <w:lang w:val="es-ES"/>
        </w:rPr>
        <w:t xml:space="preserve">; H. Kobayashi, Princeton University: </w:t>
      </w:r>
      <w:hyperlink r:id="rId75" w:history="1">
        <w:r w:rsidRPr="00862632">
          <w:rPr>
            <w:rStyle w:val="Hyperlink"/>
            <w:rFonts w:cstheme="minorHAnsi"/>
            <w:lang w:val="es-ES"/>
          </w:rPr>
          <w:t>http://files.hisashikobayashi.com/articles/20080623_Keynote_NICT_slide.pdf</w:t>
        </w:r>
      </w:hyperlink>
      <w:r w:rsidRPr="00862632">
        <w:rPr>
          <w:lang w:val="es-ES"/>
        </w:rPr>
        <w:t>.</w:t>
      </w:r>
    </w:p>
  </w:footnote>
  <w:footnote w:id="74">
    <w:p w:rsidR="00831322" w:rsidRPr="00BF4C77" w:rsidRDefault="00831322" w:rsidP="00BF4C77">
      <w:pPr>
        <w:pStyle w:val="FootnoteText"/>
      </w:pPr>
      <w:r w:rsidRPr="00BF4C77">
        <w:rPr>
          <w:rStyle w:val="FootnoteReference"/>
          <w:lang w:val="es-ES"/>
        </w:rPr>
        <w:footnoteRef/>
      </w:r>
      <w:r w:rsidRPr="00862632">
        <w:rPr>
          <w:lang w:val="es-ES"/>
        </w:rPr>
        <w:tab/>
      </w:r>
      <w:hyperlink r:id="rId76" w:history="1">
        <w:r w:rsidRPr="00862632">
          <w:rPr>
            <w:rStyle w:val="Hyperlink"/>
            <w:rFonts w:cstheme="minorHAnsi"/>
            <w:lang w:val="es-ES"/>
          </w:rPr>
          <w:t>Contribución de</w:t>
        </w:r>
        <w:r>
          <w:rPr>
            <w:rStyle w:val="Hyperlink"/>
            <w:rFonts w:cstheme="minorHAnsi"/>
            <w:lang w:val="es-ES"/>
          </w:rPr>
          <w:t>l</w:t>
        </w:r>
        <w:r w:rsidRPr="00862632">
          <w:rPr>
            <w:rStyle w:val="Hyperlink"/>
            <w:rFonts w:cstheme="minorHAnsi"/>
            <w:lang w:val="es-ES"/>
          </w:rPr>
          <w:t xml:space="preserve"> Reino Unido</w:t>
        </w:r>
      </w:hyperlink>
      <w:r w:rsidRPr="00862632">
        <w:rPr>
          <w:lang w:val="es-ES"/>
        </w:rPr>
        <w:t xml:space="preserve"> (25 de junio de 2012).</w:t>
      </w:r>
    </w:p>
  </w:footnote>
  <w:footnote w:id="75">
    <w:p w:rsidR="00831322" w:rsidRPr="00862632" w:rsidRDefault="00831322" w:rsidP="00BF4C77">
      <w:pPr>
        <w:pStyle w:val="FootnoteText"/>
        <w:rPr>
          <w:lang w:val="es-ES"/>
        </w:rPr>
      </w:pPr>
      <w:r w:rsidRPr="00BF4C77">
        <w:rPr>
          <w:rStyle w:val="FootnoteReference"/>
          <w:lang w:val="es-ES"/>
        </w:rPr>
        <w:footnoteRef/>
      </w:r>
      <w:r w:rsidRPr="00BF4C77">
        <w:rPr>
          <w:rStyle w:val="FootnoteReference"/>
          <w:lang w:val="es-ES"/>
        </w:rPr>
        <w:t xml:space="preserve"> </w:t>
      </w:r>
      <w:r>
        <w:rPr>
          <w:rStyle w:val="FootnoteReference"/>
          <w:lang w:val="es-ES"/>
        </w:rPr>
        <w:tab/>
      </w:r>
      <w:hyperlink r:id="rId77" w:history="1">
        <w:r w:rsidRPr="00200D5B">
          <w:rPr>
            <w:rStyle w:val="Hyperlink"/>
            <w:lang w:val="es-ES"/>
          </w:rPr>
          <w:t>www.itu.int/ITU-T/worksem/apportionment/</w:t>
        </w:r>
        <w:r w:rsidRPr="00200D5B">
          <w:rPr>
            <w:rStyle w:val="Hyperlink"/>
          </w:rPr>
          <w:t>201201</w:t>
        </w:r>
        <w:r w:rsidRPr="00200D5B">
          <w:rPr>
            <w:rStyle w:val="Hyperlink"/>
            <w:lang w:val="es-ES"/>
          </w:rPr>
          <w:t>/index.html</w:t>
        </w:r>
      </w:hyperlink>
      <w:r>
        <w:rPr>
          <w:rFonts w:cstheme="minorHAnsi"/>
          <w:lang w:val="es-ES"/>
        </w:rPr>
        <w:t>.</w:t>
      </w:r>
    </w:p>
  </w:footnote>
  <w:footnote w:id="76">
    <w:p w:rsidR="00831322" w:rsidRPr="002E7F63" w:rsidRDefault="00831322" w:rsidP="002E7F63">
      <w:pPr>
        <w:pStyle w:val="FootnoteText"/>
      </w:pPr>
      <w:r w:rsidRPr="002E7F63">
        <w:rPr>
          <w:rStyle w:val="FootnoteReference"/>
          <w:lang w:val="es-ES"/>
        </w:rPr>
        <w:footnoteRef/>
      </w:r>
      <w:r w:rsidRPr="00862632">
        <w:rPr>
          <w:lang w:val="es-ES"/>
        </w:rPr>
        <w:tab/>
      </w:r>
      <w:hyperlink r:id="rId78" w:history="1">
        <w:r w:rsidRPr="00862632">
          <w:rPr>
            <w:rStyle w:val="Hyperlink"/>
            <w:rFonts w:cstheme="minorHAnsi"/>
            <w:lang w:val="es-ES"/>
          </w:rPr>
          <w:t>Contribución de Cisco</w:t>
        </w:r>
      </w:hyperlink>
      <w:r w:rsidRPr="00862632">
        <w:rPr>
          <w:lang w:val="es-ES"/>
        </w:rPr>
        <w:t xml:space="preserve"> (25 de junio de 2012).</w:t>
      </w:r>
    </w:p>
  </w:footnote>
  <w:footnote w:id="77">
    <w:p w:rsidR="00831322" w:rsidRPr="00862632" w:rsidRDefault="00831322" w:rsidP="002E7F63">
      <w:pPr>
        <w:pStyle w:val="FootnoteText"/>
        <w:rPr>
          <w:lang w:val="es-ES"/>
        </w:rPr>
      </w:pPr>
      <w:r w:rsidRPr="002E7F63">
        <w:rPr>
          <w:rStyle w:val="FootnoteReference"/>
          <w:lang w:val="es-ES"/>
        </w:rPr>
        <w:footnoteRef/>
      </w:r>
      <w:r w:rsidRPr="00862632">
        <w:rPr>
          <w:lang w:val="es-ES"/>
        </w:rPr>
        <w:tab/>
        <w:t xml:space="preserve">Por ejemplo, Euro-IX ha llevado a cabo </w:t>
      </w:r>
      <w:r w:rsidRPr="002E7F63">
        <w:t>satisfactoriamente</w:t>
      </w:r>
      <w:r w:rsidRPr="00862632">
        <w:rPr>
          <w:lang w:val="es-ES"/>
        </w:rPr>
        <w:t xml:space="preserve"> durante varios años un programa de hermanamiento en el que ingenieros de PMA visitan a ingenieros de IXP de países desarrollados para recibir una formación, e ingenieros de países desarrollados visitan PMA para proporcionar asistencia en el terreno.</w:t>
      </w:r>
    </w:p>
  </w:footnote>
  <w:footnote w:id="78">
    <w:p w:rsidR="00831322" w:rsidRPr="002E7F63" w:rsidRDefault="00831322" w:rsidP="002E7F63">
      <w:pPr>
        <w:pStyle w:val="FootnoteText"/>
      </w:pPr>
      <w:r w:rsidRPr="002E7F63">
        <w:rPr>
          <w:rStyle w:val="FootnoteReference"/>
          <w:lang w:val="es-ES"/>
        </w:rPr>
        <w:footnoteRef/>
      </w:r>
      <w:r w:rsidRPr="00862632">
        <w:rPr>
          <w:lang w:val="es-ES"/>
        </w:rPr>
        <w:t xml:space="preserve"> </w:t>
      </w:r>
      <w:r>
        <w:rPr>
          <w:lang w:val="es-ES"/>
        </w:rPr>
        <w:tab/>
      </w:r>
      <w:r w:rsidRPr="00862632">
        <w:rPr>
          <w:lang w:val="es-ES"/>
        </w:rPr>
        <w:t xml:space="preserve">Véase, por ejemplo, </w:t>
      </w:r>
      <w:hyperlink r:id="rId79" w:history="1">
        <w:r w:rsidRPr="00200D5B">
          <w:rPr>
            <w:rStyle w:val="Hyperlink"/>
            <w:rFonts w:cstheme="minorHAnsi"/>
            <w:lang w:val="es-ES"/>
          </w:rPr>
          <w:t>www.itu.int/ITU-T/worksem/apportionment/201201/index.html</w:t>
        </w:r>
      </w:hyperlink>
      <w:r>
        <w:rPr>
          <w:lang w:val="es-ES"/>
        </w:rPr>
        <w:t>.</w:t>
      </w:r>
    </w:p>
  </w:footnote>
  <w:footnote w:id="79">
    <w:p w:rsidR="00831322" w:rsidRPr="002E7F63" w:rsidRDefault="00831322" w:rsidP="002E7F63">
      <w:pPr>
        <w:pStyle w:val="FootnoteText"/>
      </w:pPr>
      <w:r w:rsidRPr="002E7F63">
        <w:rPr>
          <w:rStyle w:val="FootnoteReference"/>
          <w:lang w:val="es-ES"/>
        </w:rPr>
        <w:footnoteRef/>
      </w:r>
      <w:r w:rsidRPr="00862632">
        <w:rPr>
          <w:lang w:val="es-ES"/>
        </w:rPr>
        <w:t xml:space="preserve"> </w:t>
      </w:r>
      <w:r>
        <w:rPr>
          <w:lang w:val="es-ES"/>
        </w:rPr>
        <w:tab/>
      </w:r>
      <w:hyperlink r:id="rId80" w:history="1">
        <w:r w:rsidRPr="00200D5B">
          <w:rPr>
            <w:rStyle w:val="Hyperlink"/>
            <w:rFonts w:cstheme="minorHAnsi"/>
            <w:lang w:val="es-ES"/>
          </w:rPr>
          <w:t>http://www.itu.int/en/wcit-12/Documents/final-acts-wcit-12.pdf</w:t>
        </w:r>
      </w:hyperlink>
      <w:r>
        <w:rPr>
          <w:lang w:val="es-ES"/>
        </w:rPr>
        <w:t>.</w:t>
      </w:r>
    </w:p>
  </w:footnote>
  <w:footnote w:id="80">
    <w:p w:rsidR="00831322" w:rsidRPr="00862632" w:rsidRDefault="00831322" w:rsidP="007849C2">
      <w:pPr>
        <w:pStyle w:val="FootnoteText"/>
      </w:pPr>
      <w:r w:rsidRPr="002E7F63">
        <w:rPr>
          <w:rStyle w:val="FootnoteReference"/>
          <w:lang w:val="es-ES"/>
        </w:rPr>
        <w:footnoteRef/>
      </w:r>
      <w:r>
        <w:tab/>
      </w:r>
      <w:hyperlink r:id="rId81" w:history="1">
        <w:r w:rsidRPr="007849C2">
          <w:rPr>
            <w:rStyle w:val="Hyperlink"/>
            <w:rFonts w:cstheme="minorHAnsi"/>
            <w:lang w:val="es-ES"/>
          </w:rPr>
          <w:t>Contribución de</w:t>
        </w:r>
        <w:r>
          <w:rPr>
            <w:rStyle w:val="Hyperlink"/>
            <w:rFonts w:cstheme="minorHAnsi"/>
            <w:lang w:val="es-ES"/>
          </w:rPr>
          <w:t>l</w:t>
        </w:r>
        <w:r w:rsidRPr="007849C2">
          <w:rPr>
            <w:rStyle w:val="Hyperlink"/>
            <w:rFonts w:cstheme="minorHAnsi"/>
            <w:lang w:val="es-ES"/>
          </w:rPr>
          <w:t xml:space="preserve"> Reino Unido</w:t>
        </w:r>
      </w:hyperlink>
      <w:r w:rsidRPr="00862632">
        <w:t xml:space="preserve"> (21 de septiembre de 2012)</w:t>
      </w:r>
    </w:p>
  </w:footnote>
  <w:footnote w:id="81">
    <w:p w:rsidR="00831322" w:rsidRPr="00862632" w:rsidRDefault="00831322" w:rsidP="002E7F63">
      <w:pPr>
        <w:pStyle w:val="FootnoteText"/>
        <w:rPr>
          <w:lang w:val="es-ES"/>
        </w:rPr>
      </w:pPr>
      <w:r w:rsidRPr="002E7F63">
        <w:rPr>
          <w:rStyle w:val="FootnoteReference"/>
          <w:lang w:val="es-ES"/>
        </w:rPr>
        <w:footnoteRef/>
      </w:r>
      <w:r w:rsidRPr="00862632">
        <w:rPr>
          <w:lang w:val="es-ES"/>
        </w:rPr>
        <w:tab/>
      </w:r>
      <w:r w:rsidRPr="002E7F63">
        <w:t>Definida</w:t>
      </w:r>
      <w:r w:rsidRPr="00862632">
        <w:rPr>
          <w:lang w:val="es-ES"/>
        </w:rPr>
        <w:t xml:space="preserve"> en la Recomendación UIT-T E.800.</w:t>
      </w:r>
    </w:p>
  </w:footnote>
  <w:footnote w:id="82">
    <w:p w:rsidR="00831322" w:rsidRPr="00862632" w:rsidRDefault="00831322" w:rsidP="003C33B9">
      <w:pPr>
        <w:pStyle w:val="FootnoteText"/>
        <w:rPr>
          <w:lang w:val="es-ES"/>
        </w:rPr>
      </w:pPr>
      <w:r w:rsidRPr="002E7F63">
        <w:rPr>
          <w:rStyle w:val="FootnoteReference"/>
          <w:lang w:val="es-ES"/>
        </w:rPr>
        <w:footnoteRef/>
      </w:r>
      <w:r w:rsidRPr="002E7F63">
        <w:rPr>
          <w:rStyle w:val="FootnoteReference"/>
          <w:lang w:val="es-ES"/>
        </w:rPr>
        <w:t xml:space="preserve"> </w:t>
      </w:r>
      <w:r>
        <w:rPr>
          <w:lang w:val="es-ES"/>
        </w:rPr>
        <w:tab/>
      </w:r>
      <w:hyperlink r:id="rId82" w:history="1">
        <w:r w:rsidRPr="003C33B9">
          <w:rPr>
            <w:rStyle w:val="Hyperlink"/>
            <w:rFonts w:cstheme="minorHAnsi"/>
            <w:lang w:val="es-ES"/>
          </w:rPr>
          <w:t>Contribución de PayPal</w:t>
        </w:r>
      </w:hyperlink>
      <w:r w:rsidRPr="00862632">
        <w:rPr>
          <w:lang w:val="es-ES"/>
        </w:rPr>
        <w:t xml:space="preserve"> (octubre de 2012)</w:t>
      </w:r>
    </w:p>
  </w:footnote>
  <w:footnote w:id="83">
    <w:p w:rsidR="00831322" w:rsidRPr="00862632" w:rsidRDefault="00831322" w:rsidP="002E7F63">
      <w:pPr>
        <w:pStyle w:val="FootnoteText"/>
        <w:rPr>
          <w:lang w:val="es-ES"/>
        </w:rPr>
      </w:pPr>
      <w:r w:rsidRPr="002E7F63">
        <w:rPr>
          <w:rStyle w:val="FootnoteReference"/>
          <w:lang w:val="es-ES"/>
        </w:rPr>
        <w:footnoteRef/>
      </w:r>
      <w:r w:rsidRPr="002E7F63">
        <w:rPr>
          <w:rStyle w:val="FootnoteReference"/>
          <w:lang w:val="es-ES"/>
        </w:rPr>
        <w:t xml:space="preserve"> </w:t>
      </w:r>
      <w:r>
        <w:rPr>
          <w:rStyle w:val="FootnoteReference"/>
          <w:lang w:val="es-ES"/>
        </w:rPr>
        <w:tab/>
      </w:r>
      <w:r w:rsidRPr="00862632">
        <w:rPr>
          <w:lang w:val="es-ES"/>
        </w:rPr>
        <w:t>Debate del Grupo ad hoc en la primera Reunión del IEG (junio de 2012)</w:t>
      </w:r>
    </w:p>
  </w:footnote>
  <w:footnote w:id="84">
    <w:p w:rsidR="00831322" w:rsidRPr="002E7F63" w:rsidRDefault="00831322" w:rsidP="002E7F63">
      <w:pPr>
        <w:pStyle w:val="FootnoteText"/>
      </w:pPr>
      <w:r w:rsidRPr="002E7F63">
        <w:rPr>
          <w:rStyle w:val="FootnoteReference"/>
          <w:lang w:val="es-ES"/>
        </w:rPr>
        <w:footnoteRef/>
      </w:r>
      <w:r w:rsidRPr="00862632">
        <w:rPr>
          <w:lang w:val="es-ES"/>
        </w:rPr>
        <w:t xml:space="preserve"> </w:t>
      </w:r>
      <w:r w:rsidRPr="00862632">
        <w:rPr>
          <w:lang w:val="es-ES"/>
        </w:rPr>
        <w:tab/>
      </w:r>
      <w:hyperlink r:id="rId83" w:history="1">
        <w:r w:rsidRPr="00862632">
          <w:rPr>
            <w:rStyle w:val="Hyperlink"/>
            <w:rFonts w:cstheme="minorHAnsi"/>
            <w:lang w:val="es-ES"/>
          </w:rPr>
          <w:t>http://www.internetsociety.org/qos-emperors-wardrobe-geoff-huston-isp-column</w:t>
        </w:r>
      </w:hyperlink>
      <w:r w:rsidRPr="00862632">
        <w:rPr>
          <w:lang w:val="es-ES"/>
        </w:rPr>
        <w:t xml:space="preserve">. </w:t>
      </w:r>
    </w:p>
  </w:footnote>
  <w:footnote w:id="85">
    <w:p w:rsidR="00831322" w:rsidRPr="002E7F63" w:rsidRDefault="00831322" w:rsidP="002E7F63">
      <w:pPr>
        <w:pStyle w:val="FootnoteText"/>
        <w:rPr>
          <w:rFonts w:cstheme="minorHAnsi"/>
          <w:b/>
          <w:bCs/>
          <w:sz w:val="22"/>
          <w:szCs w:val="24"/>
          <w:lang w:val="es-ES"/>
        </w:rPr>
      </w:pPr>
      <w:r w:rsidRPr="002E7F63">
        <w:rPr>
          <w:rStyle w:val="FootnoteReference"/>
          <w:lang w:val="es-ES"/>
        </w:rPr>
        <w:footnoteRef/>
      </w:r>
      <w:r w:rsidRPr="002E7F63">
        <w:rPr>
          <w:rStyle w:val="FootnoteReference"/>
          <w:lang w:val="es-ES"/>
        </w:rPr>
        <w:t xml:space="preserve"> </w:t>
      </w:r>
      <w:r w:rsidRPr="00862632">
        <w:rPr>
          <w:sz w:val="22"/>
          <w:szCs w:val="22"/>
          <w:vertAlign w:val="superscript"/>
          <w:lang w:val="es-ES"/>
        </w:rPr>
        <w:tab/>
      </w:r>
      <w:r w:rsidRPr="00862632">
        <w:rPr>
          <w:lang w:val="es-ES"/>
        </w:rPr>
        <w:t xml:space="preserve">Más detalles en </w:t>
      </w:r>
      <w:r w:rsidRPr="00862632">
        <w:rPr>
          <w:i/>
          <w:iCs/>
          <w:lang w:val="es-ES"/>
        </w:rPr>
        <w:t>Overview of Quality of Service</w:t>
      </w:r>
      <w:r w:rsidRPr="00862632">
        <w:rPr>
          <w:lang w:val="es-ES"/>
        </w:rPr>
        <w:t xml:space="preserve">, Documento informativo 5, GTC-CMTI, febrero de 2012, en </w:t>
      </w:r>
      <w:hyperlink r:id="rId84" w:history="1">
        <w:r w:rsidRPr="00862632">
          <w:rPr>
            <w:rStyle w:val="Hyperlink"/>
            <w:rFonts w:cstheme="minorHAnsi"/>
            <w:lang w:val="es-ES"/>
          </w:rPr>
          <w:t>http://www.itu.int/md/T09-CWG.WCIT12-INF-0005/en</w:t>
        </w:r>
      </w:hyperlink>
      <w:r w:rsidRPr="00862632">
        <w:rPr>
          <w:lang w:val="es-ES"/>
        </w:rPr>
        <w:t>.</w:t>
      </w:r>
    </w:p>
  </w:footnote>
  <w:footnote w:id="86">
    <w:p w:rsidR="00831322" w:rsidRPr="002E7F63" w:rsidRDefault="00831322">
      <w:pPr>
        <w:pStyle w:val="FootnoteText"/>
        <w:ind w:left="0" w:firstLine="0"/>
        <w:rPr>
          <w:rFonts w:cstheme="minorHAnsi"/>
          <w:b/>
          <w:bCs/>
          <w:sz w:val="22"/>
          <w:szCs w:val="24"/>
          <w:lang w:val="es-ES"/>
        </w:rPr>
      </w:pPr>
      <w:r w:rsidRPr="002E7F63">
        <w:rPr>
          <w:rStyle w:val="FootnoteReference"/>
          <w:lang w:val="es-ES"/>
        </w:rPr>
        <w:footnoteRef/>
      </w:r>
      <w:r w:rsidRPr="00862632">
        <w:rPr>
          <w:rFonts w:cstheme="minorHAnsi"/>
          <w:lang w:val="es-ES"/>
        </w:rPr>
        <w:t xml:space="preserve"> </w:t>
      </w:r>
      <w:r w:rsidRPr="00862632">
        <w:rPr>
          <w:rFonts w:cstheme="minorHAnsi"/>
          <w:lang w:val="es-ES"/>
        </w:rPr>
        <w:tab/>
      </w:r>
      <w:hyperlink r:id="rId85" w:history="1">
        <w:r w:rsidRPr="00862632">
          <w:rPr>
            <w:rStyle w:val="Hyperlink"/>
            <w:rFonts w:cstheme="minorHAnsi"/>
            <w:lang w:val="es-ES"/>
          </w:rPr>
          <w:t>Contribución de</w:t>
        </w:r>
        <w:r>
          <w:rPr>
            <w:rStyle w:val="Hyperlink"/>
            <w:rFonts w:cstheme="minorHAnsi"/>
            <w:lang w:val="es-ES"/>
          </w:rPr>
          <w:t>l</w:t>
        </w:r>
        <w:r w:rsidRPr="00862632">
          <w:rPr>
            <w:rStyle w:val="Hyperlink"/>
            <w:rFonts w:cstheme="minorHAnsi"/>
            <w:lang w:val="es-ES"/>
          </w:rPr>
          <w:t xml:space="preserve"> Reino Unido</w:t>
        </w:r>
      </w:hyperlink>
      <w:r w:rsidRPr="00862632">
        <w:rPr>
          <w:rFonts w:cstheme="minorHAnsi"/>
          <w:lang w:val="es-ES"/>
        </w:rPr>
        <w:t xml:space="preserve"> (25 de junio de 2012).</w:t>
      </w:r>
    </w:p>
  </w:footnote>
  <w:footnote w:id="87">
    <w:p w:rsidR="00831322" w:rsidRPr="002E7F63" w:rsidRDefault="00831322" w:rsidP="006A18A2">
      <w:pPr>
        <w:pStyle w:val="FootnoteText"/>
        <w:rPr>
          <w:b/>
          <w:bCs/>
          <w:sz w:val="22"/>
          <w:szCs w:val="24"/>
          <w:lang w:val="es-ES"/>
        </w:rPr>
      </w:pPr>
      <w:r w:rsidRPr="002E7F63">
        <w:rPr>
          <w:rStyle w:val="FootnoteReference"/>
          <w:lang w:val="es-ES"/>
        </w:rPr>
        <w:footnoteRef/>
      </w:r>
      <w:r w:rsidRPr="002E7F63">
        <w:rPr>
          <w:rStyle w:val="FootnoteReference"/>
          <w:lang w:val="es-ES"/>
        </w:rPr>
        <w:t xml:space="preserve"> </w:t>
      </w:r>
      <w:r w:rsidRPr="00862632">
        <w:rPr>
          <w:lang w:val="es-ES"/>
        </w:rPr>
        <w:tab/>
        <w:t xml:space="preserve">Debate del Grupo ad </w:t>
      </w:r>
      <w:r w:rsidRPr="006A18A2">
        <w:t>hoc</w:t>
      </w:r>
      <w:r w:rsidRPr="00862632">
        <w:rPr>
          <w:lang w:val="es-ES"/>
        </w:rPr>
        <w:t xml:space="preserve"> en la primera Reunión del IEG (junio de 2012). </w:t>
      </w:r>
    </w:p>
  </w:footnote>
  <w:footnote w:id="88">
    <w:p w:rsidR="00831322" w:rsidRPr="002E7F63" w:rsidRDefault="00831322" w:rsidP="00344D10">
      <w:pPr>
        <w:pStyle w:val="FootnoteText"/>
        <w:ind w:left="0" w:firstLine="0"/>
        <w:rPr>
          <w:rFonts w:cstheme="minorHAnsi"/>
          <w:b/>
          <w:bCs/>
          <w:sz w:val="22"/>
          <w:szCs w:val="24"/>
          <w:lang w:val="es-ES"/>
        </w:rPr>
      </w:pPr>
      <w:r w:rsidRPr="00323F00">
        <w:rPr>
          <w:rStyle w:val="FootnoteReference"/>
        </w:rPr>
        <w:footnoteRef/>
      </w:r>
      <w:r w:rsidRPr="00862632">
        <w:rPr>
          <w:rFonts w:cstheme="minorHAnsi"/>
          <w:lang w:val="es-ES"/>
        </w:rPr>
        <w:t xml:space="preserve"> </w:t>
      </w:r>
      <w:r w:rsidRPr="00862632">
        <w:rPr>
          <w:rFonts w:cstheme="minorHAnsi"/>
          <w:lang w:val="es-ES"/>
        </w:rPr>
        <w:tab/>
      </w:r>
      <w:hyperlink r:id="rId86" w:history="1">
        <w:r w:rsidRPr="00862632">
          <w:rPr>
            <w:rStyle w:val="Hyperlink"/>
            <w:rFonts w:cstheme="minorHAnsi"/>
            <w:lang w:val="es-ES"/>
          </w:rPr>
          <w:t>Contribución de Arabia Saudita y Sudán</w:t>
        </w:r>
      </w:hyperlink>
      <w:r w:rsidRPr="00862632">
        <w:rPr>
          <w:rFonts w:cstheme="minorHAnsi"/>
          <w:lang w:val="es-ES"/>
        </w:rPr>
        <w:t xml:space="preserve"> (1 de agosto de 2012).</w:t>
      </w:r>
    </w:p>
  </w:footnote>
  <w:footnote w:id="89">
    <w:p w:rsidR="00831322" w:rsidRPr="00862632" w:rsidRDefault="00831322" w:rsidP="000D6684">
      <w:pPr>
        <w:pStyle w:val="FootnoteText"/>
        <w:rPr>
          <w:rFonts w:cstheme="minorHAnsi"/>
          <w:lang w:val="es-ES"/>
        </w:rPr>
      </w:pPr>
      <w:r w:rsidRPr="00323F00">
        <w:rPr>
          <w:rStyle w:val="FootnoteReference"/>
        </w:rPr>
        <w:footnoteRef/>
      </w:r>
      <w:r w:rsidRPr="00862632">
        <w:rPr>
          <w:rFonts w:cstheme="minorHAnsi"/>
          <w:lang w:val="es-ES"/>
        </w:rPr>
        <w:tab/>
        <w:t>La sigla OTT se refiere a aplicaciones y servicios accesibles por Internet y transmitidos por redes de operadores que ofrecen servicios de acceso a Internet, por ejemplo, las redes sociales, motores de búsqueda, sitios de agregación de vídeos de aficionados, etc.</w:t>
      </w:r>
    </w:p>
  </w:footnote>
  <w:footnote w:id="90">
    <w:p w:rsidR="00831322" w:rsidRPr="00862632" w:rsidRDefault="00831322" w:rsidP="00344D10">
      <w:pPr>
        <w:pStyle w:val="FootnoteText"/>
        <w:ind w:left="0" w:firstLine="0"/>
        <w:rPr>
          <w:rFonts w:cstheme="minorHAnsi"/>
          <w:lang w:val="es-ES"/>
        </w:rPr>
      </w:pPr>
      <w:r w:rsidRPr="00323F00">
        <w:rPr>
          <w:rStyle w:val="FootnoteReference"/>
        </w:rPr>
        <w:footnoteRef/>
      </w:r>
      <w:r w:rsidRPr="00862632">
        <w:rPr>
          <w:rFonts w:cstheme="minorHAnsi"/>
          <w:lang w:val="es-ES"/>
        </w:rPr>
        <w:t xml:space="preserve"> </w:t>
      </w:r>
      <w:r w:rsidRPr="00862632">
        <w:rPr>
          <w:rFonts w:cstheme="minorHAnsi"/>
          <w:lang w:val="es-ES"/>
        </w:rPr>
        <w:tab/>
      </w:r>
      <w:hyperlink r:id="rId87" w:history="1">
        <w:r w:rsidRPr="00862632">
          <w:rPr>
            <w:rStyle w:val="Hyperlink"/>
            <w:rFonts w:cstheme="minorHAnsi"/>
            <w:lang w:val="es-ES"/>
          </w:rPr>
          <w:t>Contribución de Rusia</w:t>
        </w:r>
      </w:hyperlink>
      <w:r w:rsidRPr="00862632">
        <w:rPr>
          <w:rFonts w:cstheme="minorHAnsi"/>
          <w:lang w:val="es-ES"/>
        </w:rPr>
        <w:t xml:space="preserve"> (15 de mayo de 2012).</w:t>
      </w:r>
    </w:p>
  </w:footnote>
  <w:footnote w:id="91">
    <w:p w:rsidR="00831322" w:rsidRPr="00862632" w:rsidRDefault="00831322">
      <w:pPr>
        <w:pStyle w:val="FootnoteText"/>
        <w:ind w:left="0" w:firstLine="0"/>
        <w:rPr>
          <w:rFonts w:cstheme="minorHAnsi"/>
          <w:lang w:val="es-ES"/>
        </w:rPr>
      </w:pPr>
      <w:r w:rsidRPr="00323F00">
        <w:rPr>
          <w:rStyle w:val="FootnoteReference"/>
        </w:rPr>
        <w:footnoteRef/>
      </w:r>
      <w:r w:rsidRPr="00862632">
        <w:rPr>
          <w:rFonts w:cstheme="minorHAnsi"/>
          <w:lang w:val="es-ES"/>
        </w:rPr>
        <w:t xml:space="preserve"> </w:t>
      </w:r>
      <w:r w:rsidRPr="00862632">
        <w:rPr>
          <w:rFonts w:cstheme="minorHAnsi"/>
          <w:lang w:val="es-ES"/>
        </w:rPr>
        <w:tab/>
      </w:r>
      <w:hyperlink r:id="rId88" w:history="1">
        <w:r w:rsidRPr="00862632">
          <w:rPr>
            <w:rStyle w:val="Hyperlink"/>
            <w:rFonts w:cstheme="minorHAnsi"/>
            <w:lang w:val="es-ES"/>
          </w:rPr>
          <w:t>Contribución de Cisco</w:t>
        </w:r>
      </w:hyperlink>
      <w:r w:rsidRPr="00862632">
        <w:rPr>
          <w:rFonts w:cstheme="minorHAnsi"/>
          <w:lang w:val="es-ES"/>
        </w:rPr>
        <w:t xml:space="preserve"> (25 de junio de 2012); </w:t>
      </w:r>
      <w:hyperlink r:id="rId89" w:history="1">
        <w:r w:rsidRPr="00862632">
          <w:rPr>
            <w:rStyle w:val="Hyperlink"/>
            <w:rFonts w:cstheme="minorHAnsi"/>
            <w:lang w:val="es-ES"/>
          </w:rPr>
          <w:t>Contribución de</w:t>
        </w:r>
        <w:r>
          <w:rPr>
            <w:rStyle w:val="Hyperlink"/>
            <w:rFonts w:cstheme="minorHAnsi"/>
            <w:lang w:val="es-ES"/>
          </w:rPr>
          <w:t>l</w:t>
        </w:r>
        <w:r w:rsidRPr="00862632">
          <w:rPr>
            <w:rStyle w:val="Hyperlink"/>
            <w:rFonts w:cstheme="minorHAnsi"/>
            <w:lang w:val="es-ES"/>
          </w:rPr>
          <w:t xml:space="preserve"> Reino Unido </w:t>
        </w:r>
      </w:hyperlink>
      <w:r w:rsidRPr="00862632">
        <w:rPr>
          <w:rFonts w:cstheme="minorHAnsi"/>
          <w:lang w:val="es-ES"/>
        </w:rPr>
        <w:t>(25 de junio de 2012).</w:t>
      </w:r>
    </w:p>
  </w:footnote>
  <w:footnote w:id="92">
    <w:p w:rsidR="00831322" w:rsidRPr="00862632" w:rsidRDefault="00831322">
      <w:pPr>
        <w:pStyle w:val="FootnoteText"/>
        <w:rPr>
          <w:rFonts w:cstheme="minorHAnsi"/>
          <w:lang w:val="es-ES"/>
        </w:rPr>
      </w:pPr>
      <w:r w:rsidRPr="00323F00">
        <w:rPr>
          <w:rStyle w:val="FootnoteReference"/>
        </w:rPr>
        <w:footnoteRef/>
      </w:r>
      <w:r w:rsidRPr="00862632">
        <w:rPr>
          <w:rFonts w:cstheme="minorHAnsi"/>
          <w:lang w:val="es-ES"/>
        </w:rPr>
        <w:t xml:space="preserve"> </w:t>
      </w:r>
      <w:r>
        <w:rPr>
          <w:rFonts w:cstheme="minorHAnsi"/>
          <w:lang w:val="es-ES"/>
        </w:rPr>
        <w:tab/>
      </w:r>
      <w:r w:rsidRPr="00862632">
        <w:rPr>
          <w:rFonts w:cstheme="minorHAnsi"/>
          <w:lang w:val="es-ES"/>
        </w:rPr>
        <w:t>Contribución de Arabia Saudita y Sudán (1 de agosto de 2012)</w:t>
      </w:r>
      <w:r>
        <w:rPr>
          <w:rFonts w:cstheme="minorHAnsi"/>
          <w:lang w:val="es-ES"/>
        </w:rPr>
        <w:t>.</w:t>
      </w:r>
    </w:p>
  </w:footnote>
  <w:footnote w:id="93">
    <w:p w:rsidR="00831322" w:rsidRPr="00862632" w:rsidRDefault="00831322">
      <w:pPr>
        <w:pStyle w:val="FootnoteText"/>
        <w:rPr>
          <w:rFonts w:cstheme="minorHAnsi"/>
          <w:lang w:val="es-ES"/>
        </w:rPr>
      </w:pPr>
      <w:r w:rsidRPr="00323F00">
        <w:rPr>
          <w:rStyle w:val="FootnoteReference"/>
        </w:rPr>
        <w:footnoteRef/>
      </w:r>
      <w:r w:rsidRPr="00862632">
        <w:rPr>
          <w:rFonts w:cstheme="minorHAnsi"/>
          <w:lang w:val="es-ES"/>
        </w:rPr>
        <w:t xml:space="preserve"> </w:t>
      </w:r>
      <w:r>
        <w:rPr>
          <w:rFonts w:cstheme="minorHAnsi"/>
          <w:lang w:val="es-ES"/>
        </w:rPr>
        <w:tab/>
      </w:r>
      <w:r w:rsidRPr="00862632">
        <w:rPr>
          <w:rFonts w:cstheme="minorHAnsi"/>
          <w:lang w:val="es-ES"/>
        </w:rPr>
        <w:t xml:space="preserve">Informe de Arthur D. Little, </w:t>
      </w:r>
      <w:r>
        <w:rPr>
          <w:rFonts w:cstheme="minorHAnsi"/>
          <w:lang w:val="es-ES"/>
        </w:rPr>
        <w:t>"</w:t>
      </w:r>
      <w:r w:rsidRPr="00862632">
        <w:rPr>
          <w:rFonts w:cstheme="minorHAnsi"/>
          <w:lang w:val="es-ES"/>
        </w:rPr>
        <w:t>Telco Operators: Let</w:t>
      </w:r>
      <w:r>
        <w:rPr>
          <w:rFonts w:cstheme="minorHAnsi"/>
          <w:lang w:val="es-ES"/>
        </w:rPr>
        <w:t>'</w:t>
      </w:r>
      <w:r w:rsidRPr="00862632">
        <w:rPr>
          <w:rFonts w:cstheme="minorHAnsi"/>
          <w:lang w:val="es-ES"/>
        </w:rPr>
        <w:t>s Face It</w:t>
      </w:r>
      <w:r>
        <w:rPr>
          <w:rFonts w:cstheme="minorHAnsi"/>
          <w:lang w:val="es-ES"/>
        </w:rPr>
        <w:t>"</w:t>
      </w:r>
      <w:r w:rsidRPr="00862632">
        <w:rPr>
          <w:rFonts w:cstheme="minorHAnsi"/>
          <w:lang w:val="es-ES"/>
        </w:rPr>
        <w:t>, marzo de 2012</w:t>
      </w:r>
      <w:r>
        <w:rPr>
          <w:rFonts w:cstheme="minorHAnsi"/>
          <w:lang w:val="es-ES"/>
        </w:rPr>
        <w:t>.</w:t>
      </w:r>
    </w:p>
  </w:footnote>
  <w:footnote w:id="94">
    <w:p w:rsidR="00831322" w:rsidRPr="00862632" w:rsidRDefault="00831322" w:rsidP="00CD7920">
      <w:pPr>
        <w:pStyle w:val="FootnoteText"/>
        <w:rPr>
          <w:rFonts w:cstheme="minorHAnsi"/>
          <w:lang w:val="es-ES"/>
        </w:rPr>
      </w:pPr>
      <w:r w:rsidRPr="00323F00">
        <w:rPr>
          <w:rStyle w:val="FootnoteReference"/>
        </w:rPr>
        <w:footnoteRef/>
      </w:r>
      <w:r w:rsidRPr="00862632">
        <w:rPr>
          <w:rFonts w:cstheme="minorHAnsi"/>
          <w:lang w:val="es-ES"/>
        </w:rPr>
        <w:t xml:space="preserve"> </w:t>
      </w:r>
      <w:r>
        <w:rPr>
          <w:rFonts w:cstheme="minorHAnsi"/>
          <w:lang w:val="es-ES"/>
        </w:rPr>
        <w:tab/>
      </w:r>
      <w:hyperlink r:id="rId90" w:history="1">
        <w:r w:rsidRPr="00CD7920">
          <w:rPr>
            <w:rStyle w:val="Hyperlink"/>
          </w:rPr>
          <w:t>Contribución</w:t>
        </w:r>
        <w:r w:rsidRPr="00CD7920">
          <w:rPr>
            <w:rStyle w:val="Hyperlink"/>
            <w:lang w:val="es-ES"/>
          </w:rPr>
          <w:t xml:space="preserve"> de Nominet</w:t>
        </w:r>
      </w:hyperlink>
      <w:r w:rsidRPr="00862632">
        <w:rPr>
          <w:rFonts w:cstheme="minorHAnsi"/>
          <w:lang w:val="es-ES"/>
        </w:rPr>
        <w:t xml:space="preserve"> (septiembre de 2012), cita </w:t>
      </w:r>
      <w:hyperlink r:id="rId91" w:history="1">
        <w:r w:rsidRPr="004A3FFC">
          <w:rPr>
            <w:rStyle w:val="Hyperlink"/>
            <w:rFonts w:cstheme="minorHAnsi"/>
            <w:lang w:val="es-ES"/>
          </w:rPr>
          <w:t>http://blog.telegeography.com/post/32390008437</w:t>
        </w:r>
      </w:hyperlink>
      <w:r w:rsidRPr="00862632">
        <w:rPr>
          <w:rFonts w:cstheme="minorHAnsi"/>
          <w:lang w:val="es-ES"/>
        </w:rPr>
        <w:t>.</w:t>
      </w:r>
    </w:p>
  </w:footnote>
  <w:footnote w:id="95">
    <w:p w:rsidR="00831322" w:rsidRPr="00862632" w:rsidRDefault="00831322" w:rsidP="00344D10">
      <w:pPr>
        <w:pStyle w:val="FootnoteText"/>
        <w:ind w:left="0" w:firstLine="0"/>
        <w:rPr>
          <w:rFonts w:cstheme="minorHAnsi"/>
          <w:lang w:val="es-ES"/>
        </w:rPr>
      </w:pPr>
      <w:r w:rsidRPr="00F50649">
        <w:rPr>
          <w:rStyle w:val="FootnoteReference"/>
        </w:rPr>
        <w:footnoteRef/>
      </w:r>
      <w:r w:rsidRPr="00862632">
        <w:rPr>
          <w:rFonts w:cstheme="minorHAnsi"/>
          <w:lang w:val="es-ES"/>
        </w:rPr>
        <w:t xml:space="preserve"> </w:t>
      </w:r>
      <w:r w:rsidRPr="00862632">
        <w:rPr>
          <w:rFonts w:cstheme="minorHAnsi"/>
          <w:lang w:val="es-ES"/>
        </w:rPr>
        <w:tab/>
        <w:t>Origen: TeleGeography (</w:t>
      </w:r>
      <w:hyperlink r:id="rId92" w:history="1">
        <w:r w:rsidRPr="00862632">
          <w:rPr>
            <w:rStyle w:val="Hyperlink"/>
            <w:rFonts w:cstheme="minorHAnsi"/>
            <w:lang w:val="es-ES"/>
          </w:rPr>
          <w:t>www.telegeography.com</w:t>
        </w:r>
      </w:hyperlink>
      <w:r w:rsidRPr="00862632">
        <w:rPr>
          <w:rFonts w:cstheme="minorHAnsi"/>
          <w:lang w:val="es-ES"/>
        </w:rPr>
        <w:t>).</w:t>
      </w:r>
    </w:p>
  </w:footnote>
  <w:footnote w:id="96">
    <w:p w:rsidR="00831322" w:rsidRPr="00862632" w:rsidRDefault="00831322" w:rsidP="00F46FA1">
      <w:pPr>
        <w:pStyle w:val="FootnoteText"/>
        <w:rPr>
          <w:lang w:val="es-ES"/>
        </w:rPr>
      </w:pPr>
      <w:r w:rsidRPr="00F50649">
        <w:rPr>
          <w:rStyle w:val="FootnoteReference"/>
        </w:rPr>
        <w:footnoteRef/>
      </w:r>
      <w:r w:rsidRPr="00862632">
        <w:rPr>
          <w:lang w:val="es-ES"/>
        </w:rPr>
        <w:t xml:space="preserve"> </w:t>
      </w:r>
      <w:r w:rsidRPr="00862632">
        <w:rPr>
          <w:lang w:val="es-ES"/>
        </w:rPr>
        <w:tab/>
      </w:r>
      <w:r>
        <w:rPr>
          <w:lang w:val="es-ES"/>
        </w:rPr>
        <w:t>"</w:t>
      </w:r>
      <w:r w:rsidRPr="00F46FA1">
        <w:rPr>
          <w:lang w:val="es-ES"/>
        </w:rPr>
        <w:t>A Viable Future Model for the Internet</w:t>
      </w:r>
      <w:r>
        <w:rPr>
          <w:lang w:val="es-ES"/>
        </w:rPr>
        <w:t>"</w:t>
      </w:r>
      <w:r w:rsidRPr="00F46FA1">
        <w:rPr>
          <w:lang w:val="es-ES"/>
        </w:rPr>
        <w:t xml:space="preserve">, AT Kearney (2010), </w:t>
      </w:r>
      <w:r>
        <w:rPr>
          <w:lang w:val="es-ES"/>
        </w:rPr>
        <w:t>en</w:t>
      </w:r>
      <w:r w:rsidRPr="00F46FA1">
        <w:rPr>
          <w:lang w:val="es-ES"/>
        </w:rPr>
        <w:t xml:space="preserve"> </w:t>
      </w:r>
      <w:hyperlink r:id="rId93" w:history="1">
        <w:r w:rsidRPr="00590BED">
          <w:rPr>
            <w:rStyle w:val="Hyperlink"/>
            <w:lang w:val="es-ES"/>
          </w:rPr>
          <w:t>http://www.atkearney.com/index.php/Publications/a-viable-future-model-for-the-internet.html</w:t>
        </w:r>
      </w:hyperlink>
      <w:r w:rsidRPr="00F46FA1">
        <w:rPr>
          <w:lang w:val="es-ES"/>
        </w:rPr>
        <w:t>.</w:t>
      </w:r>
    </w:p>
  </w:footnote>
  <w:footnote w:id="97">
    <w:p w:rsidR="00831322" w:rsidRPr="00862632" w:rsidRDefault="00831322" w:rsidP="002B0239">
      <w:pPr>
        <w:pStyle w:val="FootnoteText"/>
        <w:ind w:left="0" w:firstLine="0"/>
        <w:rPr>
          <w:rFonts w:cstheme="minorHAnsi"/>
          <w:lang w:val="es-ES"/>
        </w:rPr>
      </w:pPr>
      <w:r w:rsidRPr="00F50649">
        <w:rPr>
          <w:rStyle w:val="FootnoteReference"/>
        </w:rPr>
        <w:footnoteRef/>
      </w:r>
      <w:r w:rsidRPr="00F50649">
        <w:rPr>
          <w:rStyle w:val="FootnoteReference"/>
        </w:rPr>
        <w:t xml:space="preserve"> </w:t>
      </w:r>
      <w:r w:rsidRPr="00862632">
        <w:rPr>
          <w:rFonts w:cstheme="minorHAnsi"/>
          <w:lang w:val="es-ES"/>
        </w:rPr>
        <w:tab/>
        <w:t xml:space="preserve">GT-CMSI-18/05*: </w:t>
      </w:r>
      <w:r>
        <w:rPr>
          <w:rFonts w:cstheme="minorHAnsi"/>
          <w:lang w:val="es-ES"/>
        </w:rPr>
        <w:t>"</w:t>
      </w:r>
      <w:r w:rsidRPr="00862632">
        <w:rPr>
          <w:rFonts w:cstheme="minorHAnsi"/>
          <w:lang w:val="es-ES"/>
        </w:rPr>
        <w:t xml:space="preserve">The </w:t>
      </w:r>
      <w:r>
        <w:rPr>
          <w:rFonts w:cstheme="minorHAnsi"/>
          <w:lang w:val="es-ES"/>
        </w:rPr>
        <w:t>'</w:t>
      </w:r>
      <w:r w:rsidRPr="00862632">
        <w:rPr>
          <w:rFonts w:cstheme="minorHAnsi"/>
          <w:lang w:val="es-ES"/>
        </w:rPr>
        <w:t>future Internet</w:t>
      </w:r>
      <w:r>
        <w:rPr>
          <w:rFonts w:cstheme="minorHAnsi"/>
          <w:lang w:val="es-ES"/>
        </w:rPr>
        <w:t>'"</w:t>
      </w:r>
      <w:r w:rsidRPr="00862632">
        <w:rPr>
          <w:rFonts w:cstheme="minorHAnsi"/>
          <w:lang w:val="es-ES"/>
        </w:rPr>
        <w:t xml:space="preserve"> (Versión 3.0), en </w:t>
      </w:r>
      <w:hyperlink r:id="rId94" w:history="1">
        <w:r w:rsidRPr="00862632">
          <w:rPr>
            <w:rStyle w:val="Hyperlink"/>
            <w:rFonts w:cstheme="minorHAnsi"/>
            <w:lang w:val="es-ES"/>
          </w:rPr>
          <w:t>http://www.itu.int/md/S11-RDG5-C-0004/en</w:t>
        </w:r>
      </w:hyperlink>
      <w:r w:rsidRPr="00862632">
        <w:rPr>
          <w:rFonts w:cstheme="minorHAnsi"/>
          <w:lang w:val="es-ES"/>
        </w:rPr>
        <w:t>.</w:t>
      </w:r>
    </w:p>
  </w:footnote>
  <w:footnote w:id="98">
    <w:p w:rsidR="00831322" w:rsidRPr="00862632" w:rsidRDefault="00831322" w:rsidP="00344D10">
      <w:pPr>
        <w:pStyle w:val="FootnoteText"/>
        <w:rPr>
          <w:rFonts w:cstheme="minorHAnsi"/>
          <w:lang w:val="es-ES"/>
        </w:rPr>
      </w:pPr>
      <w:r w:rsidRPr="00F50649">
        <w:rPr>
          <w:rStyle w:val="FootnoteReference"/>
        </w:rPr>
        <w:footnoteRef/>
      </w:r>
      <w:r w:rsidRPr="00862632">
        <w:rPr>
          <w:rFonts w:cstheme="minorHAnsi"/>
          <w:sz w:val="22"/>
          <w:szCs w:val="22"/>
          <w:vertAlign w:val="superscript"/>
          <w:lang w:val="es-ES"/>
        </w:rPr>
        <w:t xml:space="preserve"> </w:t>
      </w:r>
      <w:r w:rsidRPr="00862632">
        <w:rPr>
          <w:rFonts w:cstheme="minorHAnsi"/>
          <w:sz w:val="22"/>
          <w:szCs w:val="22"/>
          <w:vertAlign w:val="superscript"/>
          <w:lang w:val="es-ES"/>
        </w:rPr>
        <w:tab/>
      </w:r>
      <w:r w:rsidRPr="00862632">
        <w:rPr>
          <w:rFonts w:cstheme="minorHAnsi"/>
          <w:lang w:val="es-ES"/>
        </w:rPr>
        <w:t>Programa 2 de la CMDT-02</w:t>
      </w:r>
    </w:p>
  </w:footnote>
  <w:footnote w:id="99">
    <w:p w:rsidR="00831322" w:rsidRPr="00862632" w:rsidRDefault="00831322" w:rsidP="00CF5949">
      <w:pPr>
        <w:pStyle w:val="FootnoteText"/>
        <w:rPr>
          <w:rFonts w:cstheme="minorHAnsi"/>
          <w:lang w:val="es-ES"/>
        </w:rPr>
      </w:pPr>
      <w:r w:rsidRPr="00F50649">
        <w:rPr>
          <w:rStyle w:val="FootnoteReference"/>
        </w:rPr>
        <w:footnoteRef/>
      </w:r>
      <w:r w:rsidRPr="00862632">
        <w:rPr>
          <w:rFonts w:cstheme="minorHAnsi"/>
          <w:lang w:val="es-ES"/>
        </w:rPr>
        <w:t xml:space="preserve"> </w:t>
      </w:r>
      <w:r w:rsidRPr="00862632">
        <w:rPr>
          <w:rFonts w:cstheme="minorHAnsi"/>
          <w:lang w:val="es-ES"/>
        </w:rPr>
        <w:tab/>
        <w:t>Además de protocolos más antiguos como SS7. En número de usuarios, SS7 es actualmente la red con conmutación de paquetes sin conexión más utilizada (porque admite redes móviles), y también el sistema de mensajería más utilizado (porque admite SMS).</w:t>
      </w:r>
    </w:p>
  </w:footnote>
  <w:footnote w:id="100">
    <w:p w:rsidR="00831322" w:rsidRPr="00862632" w:rsidRDefault="00831322" w:rsidP="00090413">
      <w:pPr>
        <w:pStyle w:val="FootnoteText"/>
        <w:rPr>
          <w:rFonts w:cstheme="minorHAnsi"/>
          <w:lang w:val="es-ES"/>
        </w:rPr>
      </w:pPr>
      <w:r w:rsidRPr="00F50649">
        <w:rPr>
          <w:rStyle w:val="FootnoteReference"/>
        </w:rPr>
        <w:footnoteRef/>
      </w:r>
      <w:r w:rsidRPr="00862632">
        <w:rPr>
          <w:rFonts w:cstheme="minorHAnsi"/>
          <w:lang w:val="es-ES"/>
        </w:rPr>
        <w:t xml:space="preserve"> </w:t>
      </w:r>
      <w:r w:rsidRPr="00862632">
        <w:rPr>
          <w:rFonts w:cstheme="minorHAnsi"/>
          <w:lang w:val="es-ES"/>
        </w:rPr>
        <w:tab/>
        <w:t xml:space="preserve">David Talbot (2005), </w:t>
      </w:r>
      <w:r>
        <w:rPr>
          <w:rFonts w:cstheme="minorHAnsi"/>
          <w:lang w:val="es-ES"/>
        </w:rPr>
        <w:t>"</w:t>
      </w:r>
      <w:r w:rsidRPr="00862632">
        <w:rPr>
          <w:rFonts w:cstheme="minorHAnsi"/>
          <w:i/>
          <w:iCs/>
          <w:lang w:val="es-ES"/>
        </w:rPr>
        <w:t>The Internet is broken</w:t>
      </w:r>
      <w:r w:rsidRPr="00090413">
        <w:rPr>
          <w:rFonts w:cstheme="minorHAnsi"/>
          <w:lang w:val="es-ES"/>
        </w:rPr>
        <w:t>",</w:t>
      </w:r>
      <w:r w:rsidRPr="00862632">
        <w:rPr>
          <w:rFonts w:cstheme="minorHAnsi"/>
          <w:i/>
          <w:iCs/>
          <w:lang w:val="es-ES"/>
        </w:rPr>
        <w:t xml:space="preserve"> </w:t>
      </w:r>
      <w:r w:rsidRPr="00862632">
        <w:rPr>
          <w:rFonts w:cstheme="minorHAnsi"/>
          <w:lang w:val="es-ES"/>
        </w:rPr>
        <w:t xml:space="preserve">MIT Technology Review; GT-CMSI-18/05*: </w:t>
      </w:r>
      <w:r>
        <w:rPr>
          <w:rFonts w:cstheme="minorHAnsi"/>
          <w:lang w:val="es-ES"/>
        </w:rPr>
        <w:t>"</w:t>
      </w:r>
      <w:r w:rsidRPr="00862632">
        <w:rPr>
          <w:rFonts w:cstheme="minorHAnsi"/>
          <w:lang w:val="es-ES"/>
        </w:rPr>
        <w:t xml:space="preserve">The </w:t>
      </w:r>
      <w:r>
        <w:rPr>
          <w:rFonts w:cstheme="minorHAnsi"/>
          <w:lang w:val="es-ES"/>
        </w:rPr>
        <w:t>'</w:t>
      </w:r>
      <w:r w:rsidRPr="00862632">
        <w:rPr>
          <w:rFonts w:cstheme="minorHAnsi"/>
          <w:lang w:val="es-ES"/>
        </w:rPr>
        <w:t>future Internet</w:t>
      </w:r>
      <w:r>
        <w:rPr>
          <w:rFonts w:cstheme="minorHAnsi"/>
          <w:lang w:val="es-ES"/>
        </w:rPr>
        <w:t>'"</w:t>
      </w:r>
      <w:r w:rsidRPr="00862632">
        <w:rPr>
          <w:rFonts w:cstheme="minorHAnsi"/>
          <w:lang w:val="es-ES"/>
        </w:rPr>
        <w:t xml:space="preserve"> (V.3), en </w:t>
      </w:r>
      <w:hyperlink r:id="rId95" w:history="1">
        <w:r w:rsidRPr="00862632">
          <w:rPr>
            <w:rStyle w:val="Hyperlink"/>
            <w:rFonts w:cstheme="minorHAnsi"/>
            <w:lang w:val="es-ES"/>
          </w:rPr>
          <w:t>http://www.itu.int/md/S11-RDG5-C-0004/en</w:t>
        </w:r>
      </w:hyperlink>
      <w:r w:rsidRPr="00862632">
        <w:rPr>
          <w:rFonts w:cstheme="minorHAnsi"/>
          <w:lang w:val="es-ES"/>
        </w:rPr>
        <w:t xml:space="preserve">; H. Kobayashi, Princeton University: </w:t>
      </w:r>
      <w:hyperlink r:id="rId96" w:history="1">
        <w:r w:rsidRPr="00862632">
          <w:rPr>
            <w:rStyle w:val="Hyperlink"/>
            <w:rFonts w:cstheme="minorHAnsi"/>
            <w:lang w:val="es-ES"/>
          </w:rPr>
          <w:t>http://kccc.nict.go.jp/keihanna-lab/document/20080623_kobayasi2.pdf</w:t>
        </w:r>
      </w:hyperlink>
      <w:r w:rsidRPr="00862632">
        <w:rPr>
          <w:rFonts w:cstheme="minorHAnsi"/>
          <w:lang w:val="es-ES"/>
        </w:rPr>
        <w:t>.</w:t>
      </w:r>
    </w:p>
  </w:footnote>
  <w:footnote w:id="101">
    <w:p w:rsidR="00831322" w:rsidRPr="00862632" w:rsidRDefault="00831322" w:rsidP="00FE1DB7">
      <w:pPr>
        <w:pStyle w:val="FootnoteText"/>
        <w:rPr>
          <w:rFonts w:cstheme="minorHAnsi"/>
          <w:lang w:val="es-ES"/>
        </w:rPr>
      </w:pPr>
      <w:r w:rsidRPr="00F50649">
        <w:rPr>
          <w:rStyle w:val="FootnoteReference"/>
        </w:rPr>
        <w:footnoteRef/>
      </w:r>
      <w:r w:rsidRPr="00862632">
        <w:rPr>
          <w:rFonts w:cstheme="minorHAnsi"/>
          <w:lang w:val="es-ES"/>
        </w:rPr>
        <w:t xml:space="preserve"> </w:t>
      </w:r>
      <w:r w:rsidRPr="00862632">
        <w:rPr>
          <w:rFonts w:cstheme="minorHAnsi"/>
          <w:lang w:val="es-ES"/>
        </w:rPr>
        <w:tab/>
        <w:t xml:space="preserve">Nota: En el contrato de IANA se mencionan ciertas normas que se han de seguir o tener en cuenta, tales como ciertas normas de RFC del IETF y la ISO; al hacer referencia a que se hace referencia implícitamente a la Recomendación PKI, UIT-T X.509. Véase </w:t>
      </w:r>
      <w:hyperlink r:id="rId97" w:history="1">
        <w:r w:rsidRPr="00862632">
          <w:rPr>
            <w:rStyle w:val="Hyperlink"/>
            <w:rFonts w:cstheme="minorHAnsi"/>
            <w:lang w:val="es-ES"/>
          </w:rPr>
          <w:t>http://www.ntia.doc.gov/files/ntia/publications/sf_26_pg_1-2-final_award_and_sacs.pdf</w:t>
        </w:r>
      </w:hyperlink>
      <w:r w:rsidRPr="00862632">
        <w:rPr>
          <w:rFonts w:cstheme="minorHAnsi"/>
          <w:lang w:val="es-ES"/>
        </w:rPr>
        <w:t>.</w:t>
      </w:r>
    </w:p>
  </w:footnote>
  <w:footnote w:id="102">
    <w:p w:rsidR="00831322" w:rsidRPr="00862632" w:rsidRDefault="00831322">
      <w:pPr>
        <w:pStyle w:val="FootnoteText"/>
        <w:rPr>
          <w:rFonts w:cstheme="minorHAnsi"/>
          <w:lang w:val="es-ES"/>
        </w:rPr>
      </w:pPr>
      <w:r w:rsidRPr="00F50649">
        <w:rPr>
          <w:rStyle w:val="FootnoteReference"/>
        </w:rPr>
        <w:footnoteRef/>
      </w:r>
      <w:r>
        <w:rPr>
          <w:rFonts w:cstheme="minorHAnsi"/>
          <w:lang w:val="es-ES"/>
        </w:rPr>
        <w:tab/>
      </w:r>
      <w:r w:rsidRPr="00862632">
        <w:rPr>
          <w:rFonts w:cstheme="minorHAnsi"/>
          <w:lang w:val="es-ES"/>
        </w:rPr>
        <w:t>RFC 2131</w:t>
      </w:r>
    </w:p>
  </w:footnote>
  <w:footnote w:id="103">
    <w:p w:rsidR="00831322" w:rsidRPr="00862632" w:rsidRDefault="00831322" w:rsidP="003C33B9">
      <w:pPr>
        <w:pStyle w:val="FootnoteText"/>
        <w:rPr>
          <w:rFonts w:cstheme="minorHAnsi"/>
          <w:lang w:val="es-ES"/>
        </w:rPr>
      </w:pPr>
      <w:r w:rsidRPr="00F50649">
        <w:rPr>
          <w:rStyle w:val="FootnoteReference"/>
        </w:rPr>
        <w:footnoteRef/>
      </w:r>
      <w:r>
        <w:rPr>
          <w:rFonts w:cstheme="minorHAnsi"/>
          <w:lang w:val="es-ES"/>
        </w:rPr>
        <w:tab/>
      </w:r>
      <w:hyperlink r:id="rId98" w:history="1">
        <w:r w:rsidRPr="003C33B9">
          <w:rPr>
            <w:rStyle w:val="Hyperlink"/>
            <w:rFonts w:cstheme="minorHAnsi"/>
            <w:lang w:val="es-ES"/>
          </w:rPr>
          <w:t>Contribución de PayPal</w:t>
        </w:r>
      </w:hyperlink>
      <w:r w:rsidRPr="00862632">
        <w:rPr>
          <w:rFonts w:cstheme="minorHAnsi"/>
          <w:lang w:val="es-ES"/>
        </w:rPr>
        <w:t xml:space="preserve"> (octubre de 2012).</w:t>
      </w:r>
    </w:p>
  </w:footnote>
  <w:footnote w:id="104">
    <w:p w:rsidR="00831322" w:rsidRPr="00862632" w:rsidRDefault="00831322" w:rsidP="006A18A2">
      <w:pPr>
        <w:pStyle w:val="FootnoteText"/>
        <w:rPr>
          <w:color w:val="31849B"/>
          <w:lang w:val="es-ES"/>
        </w:rPr>
      </w:pPr>
      <w:r w:rsidRPr="00F50649">
        <w:rPr>
          <w:rStyle w:val="FootnoteReference"/>
        </w:rPr>
        <w:footnoteRef/>
      </w:r>
      <w:r>
        <w:rPr>
          <w:lang w:val="es-ES"/>
        </w:rPr>
        <w:tab/>
      </w:r>
      <w:r w:rsidRPr="00862632">
        <w:rPr>
          <w:lang w:val="es-ES"/>
        </w:rPr>
        <w:t xml:space="preserve">El IANA es un conjunto de funciones técnicas para la explotación de Internet. Las funciones del IANA son, entre otras: (1) la coordinación de la asignación de parámetros IP técnicos; (2) la administración de ciertas responsabilidades asociadas con la gestión de la zona a raíz del DNS de Internet; (3) la atribución de recursos de numeración Internet y (4) otros servicios relacionados con la gestión de los dominios de nivel superior (TLD) INT y ARPA. Desde febrero de 2000, la ICANN ha llevado a cabo las funciones del IANA conforme a un contrato con el Departamento de Comercio de EE.UU. El actual contrato del IANA venció el 30 de septiembre de 2012, y la ICANN seguirá asumiendo las funciones correspondientes al nuevo contrato del IANA a partir del 1 de octubre de 2012 y hasta el 30 de septiembre de 2015, con dos periodos opcionales separados de los años para un periodo total de vigencia del contrato de siete años. (Origen: IANA Functions Contract, NTIA, US Department of Commerce (DoC), en </w:t>
      </w:r>
      <w:hyperlink r:id="rId99" w:history="1">
        <w:r w:rsidRPr="00862632">
          <w:rPr>
            <w:rStyle w:val="Hyperlink"/>
            <w:rFonts w:eastAsia="Lucida Sans Unicode" w:cstheme="minorHAnsi"/>
            <w:lang w:val="es-ES" w:bidi="en-US"/>
          </w:rPr>
          <w:t>http://www.ntia.doc.gov/page/iana-functions-purchase-order</w:t>
        </w:r>
      </w:hyperlink>
      <w:r w:rsidRPr="00862632">
        <w:rPr>
          <w:lang w:val="es-ES"/>
        </w:rPr>
        <w:t>).</w:t>
      </w:r>
    </w:p>
  </w:footnote>
  <w:footnote w:id="105">
    <w:p w:rsidR="00831322" w:rsidRPr="00862632" w:rsidRDefault="00831322" w:rsidP="00344D10">
      <w:pPr>
        <w:pStyle w:val="FootnoteText"/>
        <w:ind w:left="0" w:firstLine="0"/>
        <w:rPr>
          <w:rFonts w:cstheme="minorHAnsi"/>
          <w:lang w:val="es-ES"/>
        </w:rPr>
      </w:pPr>
      <w:r w:rsidRPr="00F50649">
        <w:rPr>
          <w:rStyle w:val="FootnoteReference"/>
        </w:rPr>
        <w:footnoteRef/>
      </w:r>
      <w:r w:rsidRPr="00862632">
        <w:rPr>
          <w:rFonts w:cstheme="minorHAnsi"/>
          <w:lang w:val="es-ES"/>
        </w:rPr>
        <w:t xml:space="preserve"> </w:t>
      </w:r>
      <w:r w:rsidRPr="00862632">
        <w:rPr>
          <w:rFonts w:cstheme="minorHAnsi"/>
          <w:lang w:val="es-ES"/>
        </w:rPr>
        <w:tab/>
        <w:t xml:space="preserve">IETF RFC 2460. En </w:t>
      </w:r>
      <w:hyperlink r:id="rId100" w:history="1">
        <w:r w:rsidRPr="00862632">
          <w:rPr>
            <w:rStyle w:val="Hyperlink"/>
            <w:rFonts w:cstheme="minorHAnsi"/>
            <w:lang w:val="es-ES"/>
          </w:rPr>
          <w:t>http://tools.ietf.org/html/rfc2460</w:t>
        </w:r>
      </w:hyperlink>
      <w:r w:rsidRPr="00862632">
        <w:rPr>
          <w:rFonts w:cstheme="minorHAnsi"/>
          <w:lang w:val="es-ES"/>
        </w:rPr>
        <w:t>.</w:t>
      </w:r>
    </w:p>
  </w:footnote>
  <w:footnote w:id="106">
    <w:p w:rsidR="00831322" w:rsidRPr="00862632" w:rsidRDefault="00831322" w:rsidP="00344D10">
      <w:pPr>
        <w:pStyle w:val="FootnoteText"/>
        <w:ind w:left="0" w:firstLine="0"/>
        <w:rPr>
          <w:rFonts w:cstheme="minorHAnsi"/>
          <w:lang w:val="es-ES"/>
        </w:rPr>
      </w:pPr>
      <w:r w:rsidRPr="00F50649">
        <w:rPr>
          <w:rStyle w:val="FootnoteReference"/>
        </w:rPr>
        <w:footnoteRef/>
      </w:r>
      <w:r w:rsidRPr="00862632">
        <w:rPr>
          <w:rFonts w:cstheme="minorHAnsi"/>
          <w:lang w:val="es-ES"/>
        </w:rPr>
        <w:t xml:space="preserve"> </w:t>
      </w:r>
      <w:r w:rsidRPr="00862632">
        <w:rPr>
          <w:rFonts w:cstheme="minorHAnsi"/>
          <w:lang w:val="es-ES"/>
        </w:rPr>
        <w:tab/>
        <w:t xml:space="preserve">Recursos de numeración, IANA, </w:t>
      </w:r>
      <w:hyperlink r:id="rId101" w:history="1">
        <w:r w:rsidRPr="00862632">
          <w:rPr>
            <w:rStyle w:val="Hyperlink"/>
            <w:rFonts w:cstheme="minorHAnsi"/>
            <w:lang w:val="es-ES"/>
          </w:rPr>
          <w:t>http://www.iana.org/numbers</w:t>
        </w:r>
      </w:hyperlink>
      <w:r>
        <w:rPr>
          <w:rFonts w:cstheme="minorHAnsi"/>
          <w:lang w:val="es-ES"/>
        </w:rPr>
        <w:t>.</w:t>
      </w:r>
    </w:p>
  </w:footnote>
  <w:footnote w:id="107">
    <w:p w:rsidR="00831322" w:rsidRPr="00862632" w:rsidRDefault="00831322">
      <w:pPr>
        <w:pStyle w:val="FootnoteText"/>
        <w:rPr>
          <w:rFonts w:cstheme="minorHAnsi"/>
          <w:lang w:val="es-ES"/>
        </w:rPr>
      </w:pPr>
      <w:r w:rsidRPr="00F50649">
        <w:rPr>
          <w:rStyle w:val="FootnoteReference"/>
        </w:rPr>
        <w:footnoteRef/>
      </w:r>
      <w:r>
        <w:rPr>
          <w:rFonts w:cstheme="minorHAnsi"/>
          <w:lang w:val="es-ES"/>
        </w:rPr>
        <w:tab/>
      </w:r>
      <w:r w:rsidRPr="00862632">
        <w:rPr>
          <w:rFonts w:cstheme="minorHAnsi"/>
          <w:lang w:val="es-ES"/>
        </w:rPr>
        <w:t xml:space="preserve">Delegación inicial de espacio de direcciones IPv6 por el IANA, </w:t>
      </w:r>
      <w:hyperlink r:id="rId102" w:history="1">
        <w:r w:rsidRPr="004A3FFC">
          <w:rPr>
            <w:rStyle w:val="Hyperlink"/>
            <w:rFonts w:cstheme="minorHAnsi"/>
            <w:lang w:val="es-ES"/>
          </w:rPr>
          <w:t>https://www.iana.org/reports/1999/Ipv6-announcement.html</w:t>
        </w:r>
      </w:hyperlink>
      <w:r w:rsidRPr="00862632">
        <w:rPr>
          <w:rFonts w:cstheme="minorHAnsi"/>
          <w:lang w:val="es-ES"/>
        </w:rPr>
        <w:t>.</w:t>
      </w:r>
    </w:p>
  </w:footnote>
  <w:footnote w:id="108">
    <w:p w:rsidR="00831322" w:rsidRPr="00862632" w:rsidRDefault="00831322">
      <w:pPr>
        <w:pStyle w:val="FootnoteText"/>
        <w:rPr>
          <w:rFonts w:cstheme="minorHAnsi"/>
          <w:lang w:val="es-ES"/>
        </w:rPr>
      </w:pPr>
      <w:r w:rsidRPr="00F50649">
        <w:rPr>
          <w:rStyle w:val="FootnoteReference"/>
        </w:rPr>
        <w:footnoteRef/>
      </w:r>
      <w:r>
        <w:rPr>
          <w:rFonts w:cstheme="minorHAnsi"/>
          <w:lang w:val="es-ES"/>
        </w:rPr>
        <w:tab/>
      </w:r>
      <w:r w:rsidRPr="00862632">
        <w:rPr>
          <w:rFonts w:cstheme="minorHAnsi"/>
          <w:lang w:val="es-ES"/>
        </w:rPr>
        <w:t>Debate del Grupo ad hoc en la primera Reunión del IEG (junio de 2012).</w:t>
      </w:r>
    </w:p>
  </w:footnote>
  <w:footnote w:id="109">
    <w:p w:rsidR="00831322" w:rsidRPr="00862632" w:rsidRDefault="00831322">
      <w:pPr>
        <w:pStyle w:val="FootnoteText"/>
        <w:rPr>
          <w:rFonts w:cstheme="minorHAnsi"/>
          <w:lang w:val="es-ES"/>
        </w:rPr>
      </w:pPr>
      <w:r w:rsidRPr="00F50649">
        <w:rPr>
          <w:rStyle w:val="FootnoteReference"/>
        </w:rPr>
        <w:footnoteRef/>
      </w:r>
      <w:r>
        <w:rPr>
          <w:rFonts w:cstheme="minorHAnsi"/>
          <w:lang w:val="es-ES"/>
        </w:rPr>
        <w:tab/>
      </w:r>
      <w:hyperlink r:id="rId103" w:history="1">
        <w:r w:rsidRPr="00C442B0">
          <w:rPr>
            <w:rStyle w:val="Hyperlink"/>
            <w:rFonts w:cstheme="minorHAnsi"/>
            <w:lang w:val="es-ES"/>
          </w:rPr>
          <w:t>Contribución de ARIN</w:t>
        </w:r>
      </w:hyperlink>
      <w:r w:rsidRPr="00862632">
        <w:rPr>
          <w:rFonts w:cstheme="minorHAnsi"/>
          <w:lang w:val="es-ES"/>
        </w:rPr>
        <w:t xml:space="preserve"> (22 de junio de 2012), </w:t>
      </w:r>
      <w:hyperlink r:id="rId104" w:history="1">
        <w:r w:rsidRPr="00C442B0">
          <w:rPr>
            <w:rStyle w:val="Hyperlink"/>
            <w:rFonts w:cstheme="minorHAnsi"/>
            <w:lang w:val="es-ES"/>
          </w:rPr>
          <w:t>Contribución de EE.UU.</w:t>
        </w:r>
      </w:hyperlink>
      <w:r w:rsidRPr="00862632">
        <w:rPr>
          <w:rFonts w:cstheme="minorHAnsi"/>
          <w:lang w:val="es-ES"/>
        </w:rPr>
        <w:t xml:space="preserve"> (1 de agosto de 2012).</w:t>
      </w:r>
    </w:p>
  </w:footnote>
  <w:footnote w:id="110">
    <w:p w:rsidR="00831322" w:rsidRPr="00862632" w:rsidRDefault="00831322" w:rsidP="00AB68D3">
      <w:pPr>
        <w:pStyle w:val="FootnoteText"/>
        <w:rPr>
          <w:rFonts w:cstheme="minorHAnsi"/>
          <w:lang w:val="es-ES"/>
        </w:rPr>
      </w:pPr>
      <w:r w:rsidRPr="00F50649">
        <w:rPr>
          <w:rStyle w:val="FootnoteReference"/>
        </w:rPr>
        <w:footnoteRef/>
      </w:r>
      <w:r w:rsidRPr="00F50649">
        <w:rPr>
          <w:rStyle w:val="FootnoteReference"/>
        </w:rPr>
        <w:t xml:space="preserve"> </w:t>
      </w:r>
      <w:r>
        <w:rPr>
          <w:rStyle w:val="FootnoteReference"/>
        </w:rPr>
        <w:tab/>
      </w:r>
      <w:hyperlink r:id="rId105" w:history="1">
        <w:r w:rsidRPr="004A3FFC">
          <w:rPr>
            <w:rStyle w:val="Hyperlink"/>
            <w:rFonts w:cstheme="minorHAnsi"/>
            <w:lang w:val="es-ES"/>
          </w:rPr>
          <w:t>http://bgp.potaroo.net/v6/as2.0/</w:t>
        </w:r>
      </w:hyperlink>
      <w:r w:rsidRPr="00862632">
        <w:rPr>
          <w:rFonts w:cstheme="minorHAnsi"/>
          <w:lang w:val="es-ES"/>
        </w:rPr>
        <w:t>.</w:t>
      </w:r>
    </w:p>
  </w:footnote>
  <w:footnote w:id="111">
    <w:p w:rsidR="00831322" w:rsidRPr="00862632" w:rsidRDefault="00831322" w:rsidP="00344D10">
      <w:pPr>
        <w:pStyle w:val="FootnoteText"/>
        <w:rPr>
          <w:rFonts w:cstheme="minorHAnsi"/>
          <w:lang w:val="es-ES"/>
        </w:rPr>
      </w:pPr>
      <w:r w:rsidRPr="00F50649">
        <w:rPr>
          <w:rStyle w:val="FootnoteReference"/>
        </w:rPr>
        <w:footnoteRef/>
      </w:r>
      <w:r w:rsidRPr="00862632">
        <w:rPr>
          <w:rFonts w:cstheme="minorHAnsi"/>
          <w:lang w:val="es-ES"/>
        </w:rPr>
        <w:t xml:space="preserve"> </w:t>
      </w:r>
      <w:r w:rsidRPr="00862632">
        <w:rPr>
          <w:rFonts w:cstheme="minorHAnsi"/>
          <w:lang w:val="es-ES"/>
        </w:rPr>
        <w:tab/>
      </w:r>
      <w:hyperlink r:id="rId106" w:history="1">
        <w:r w:rsidRPr="00862632">
          <w:rPr>
            <w:rStyle w:val="Hyperlink"/>
            <w:rFonts w:cstheme="minorHAnsi"/>
            <w:lang w:val="es-ES"/>
          </w:rPr>
          <w:t>http://labs.apnic.net/dists/v6dcc.html</w:t>
        </w:r>
      </w:hyperlink>
      <w:r w:rsidRPr="00862632">
        <w:rPr>
          <w:rFonts w:cstheme="minorHAnsi"/>
          <w:lang w:val="es-ES"/>
        </w:rPr>
        <w:t>.</w:t>
      </w:r>
    </w:p>
  </w:footnote>
  <w:footnote w:id="112">
    <w:p w:rsidR="00831322" w:rsidRPr="00862632" w:rsidRDefault="00831322" w:rsidP="00CF5949">
      <w:pPr>
        <w:pStyle w:val="FootnoteText"/>
        <w:rPr>
          <w:rFonts w:cstheme="minorHAnsi"/>
          <w:lang w:val="es-ES"/>
        </w:rPr>
      </w:pPr>
      <w:r w:rsidRPr="00F50649">
        <w:rPr>
          <w:rStyle w:val="FootnoteReference"/>
        </w:rPr>
        <w:footnoteRef/>
      </w:r>
      <w:r w:rsidRPr="00862632">
        <w:rPr>
          <w:rFonts w:cstheme="minorHAnsi"/>
          <w:lang w:val="es-ES"/>
        </w:rPr>
        <w:t xml:space="preserve"> </w:t>
      </w:r>
      <w:r w:rsidRPr="00862632">
        <w:rPr>
          <w:rFonts w:cstheme="minorHAnsi"/>
          <w:lang w:val="es-ES"/>
        </w:rPr>
        <w:tab/>
        <w:t>Los motivos aducidos van de cuestiones técnicas a dificultades que afrontan los países en desarrollo (</w:t>
      </w:r>
      <w:hyperlink r:id="rId107" w:history="1">
        <w:r w:rsidRPr="00862632">
          <w:rPr>
            <w:rStyle w:val="Hyperlink"/>
            <w:rFonts w:cstheme="minorHAnsi"/>
            <w:lang w:val="es-ES"/>
          </w:rPr>
          <w:t>Contribución de Argelia</w:t>
        </w:r>
      </w:hyperlink>
      <w:r w:rsidRPr="00862632">
        <w:rPr>
          <w:rFonts w:cstheme="minorHAnsi"/>
          <w:lang w:val="es-ES"/>
        </w:rPr>
        <w:t>, 2 de agosto de 2012) y otras afirmaciones, tales como fallos del mercado.</w:t>
      </w:r>
    </w:p>
  </w:footnote>
  <w:footnote w:id="113">
    <w:p w:rsidR="00831322" w:rsidRPr="00862632" w:rsidRDefault="00831322" w:rsidP="00CF5949">
      <w:pPr>
        <w:pStyle w:val="FootnoteText"/>
        <w:rPr>
          <w:rFonts w:cstheme="minorHAnsi"/>
          <w:lang w:val="es-ES"/>
        </w:rPr>
      </w:pPr>
      <w:r w:rsidRPr="00F50649">
        <w:rPr>
          <w:rStyle w:val="FootnoteReference"/>
        </w:rPr>
        <w:footnoteRef/>
      </w:r>
      <w:r w:rsidRPr="00862632">
        <w:rPr>
          <w:rFonts w:cstheme="minorHAnsi"/>
          <w:lang w:val="es-ES"/>
        </w:rPr>
        <w:t xml:space="preserve"> </w:t>
      </w:r>
      <w:r w:rsidRPr="00862632">
        <w:rPr>
          <w:rFonts w:cstheme="minorHAnsi"/>
          <w:lang w:val="es-ES"/>
        </w:rPr>
        <w:tab/>
        <w:t xml:space="preserve">Los esfuerzos conexos de creación de capacidades de la UIT se pueden consultar en </w:t>
      </w:r>
      <w:hyperlink r:id="rId108" w:history="1">
        <w:r w:rsidRPr="00862632">
          <w:rPr>
            <w:rStyle w:val="Hyperlink"/>
            <w:rFonts w:cstheme="minorHAnsi"/>
            <w:lang w:val="es-ES"/>
          </w:rPr>
          <w:t>http://www.itu.int/ITU-D/cyb/ip/index.html</w:t>
        </w:r>
      </w:hyperlink>
      <w:r w:rsidRPr="00862632">
        <w:rPr>
          <w:rFonts w:cstheme="minorHAnsi"/>
          <w:lang w:val="es-ES"/>
        </w:rPr>
        <w:t xml:space="preserve">. Uno de los ejemplos de las iniciativas actuales destinadas a promover el despliegue del IPv6 es el </w:t>
      </w:r>
      <w:hyperlink r:id="rId109" w:history="1">
        <w:r w:rsidRPr="00862632">
          <w:rPr>
            <w:rStyle w:val="Hyperlink"/>
            <w:rFonts w:cstheme="minorHAnsi"/>
            <w:lang w:val="es-ES"/>
          </w:rPr>
          <w:t>Día Mundial de Lanzamiento del IPv6</w:t>
        </w:r>
      </w:hyperlink>
      <w:r w:rsidRPr="00862632">
        <w:rPr>
          <w:rFonts w:cstheme="minorHAnsi"/>
          <w:lang w:val="es-ES"/>
        </w:rPr>
        <w:t>.</w:t>
      </w:r>
    </w:p>
  </w:footnote>
  <w:footnote w:id="114">
    <w:p w:rsidR="00831322" w:rsidRPr="00862632" w:rsidRDefault="00831322" w:rsidP="00B740D0">
      <w:pPr>
        <w:pStyle w:val="FootnoteText"/>
        <w:rPr>
          <w:rFonts w:cstheme="minorHAnsi"/>
          <w:lang w:val="es-ES"/>
        </w:rPr>
      </w:pPr>
      <w:r w:rsidRPr="00F50649">
        <w:rPr>
          <w:rStyle w:val="FootnoteReference"/>
        </w:rPr>
        <w:footnoteRef/>
      </w:r>
      <w:r w:rsidRPr="00F50649">
        <w:rPr>
          <w:rStyle w:val="FootnoteReference"/>
        </w:rPr>
        <w:t xml:space="preserve"> </w:t>
      </w:r>
      <w:r w:rsidRPr="00862632">
        <w:rPr>
          <w:rFonts w:cstheme="minorHAnsi"/>
          <w:lang w:val="es-ES"/>
        </w:rPr>
        <w:tab/>
      </w:r>
      <w:r>
        <w:rPr>
          <w:rFonts w:cstheme="minorHAnsi"/>
          <w:lang w:val="es-ES"/>
        </w:rPr>
        <w:t>"</w:t>
      </w:r>
      <w:r w:rsidRPr="00862632">
        <w:rPr>
          <w:rFonts w:cstheme="minorHAnsi"/>
          <w:lang w:val="es-ES"/>
        </w:rPr>
        <w:t>Protocolo Internet versión 6</w:t>
      </w:r>
      <w:r>
        <w:rPr>
          <w:rFonts w:cstheme="minorHAnsi"/>
          <w:lang w:val="es-ES"/>
        </w:rPr>
        <w:t>"</w:t>
      </w:r>
      <w:r w:rsidRPr="00862632">
        <w:rPr>
          <w:rFonts w:cstheme="minorHAnsi"/>
          <w:lang w:val="es-ES"/>
        </w:rPr>
        <w:t xml:space="preserve">, contribución de la República Árabe Siria al Grupo IPv6, en </w:t>
      </w:r>
      <w:hyperlink r:id="rId110" w:history="1">
        <w:r w:rsidRPr="00862632">
          <w:rPr>
            <w:rStyle w:val="Hyperlink"/>
            <w:rFonts w:cstheme="minorHAnsi"/>
            <w:lang w:val="es-ES"/>
          </w:rPr>
          <w:t>http://www.itu.int/md/T09-IPV6-C-0019/en</w:t>
        </w:r>
      </w:hyperlink>
      <w:r w:rsidRPr="00862632">
        <w:rPr>
          <w:rFonts w:cstheme="minorHAnsi"/>
          <w:lang w:val="es-ES"/>
        </w:rPr>
        <w:t xml:space="preserve">. </w:t>
      </w:r>
    </w:p>
  </w:footnote>
  <w:footnote w:id="115">
    <w:p w:rsidR="00831322" w:rsidRPr="00862632" w:rsidRDefault="00831322">
      <w:pPr>
        <w:pStyle w:val="FootnoteText"/>
        <w:rPr>
          <w:rFonts w:cstheme="minorHAnsi"/>
          <w:lang w:val="es-ES"/>
        </w:rPr>
      </w:pPr>
      <w:r w:rsidRPr="00F50649">
        <w:rPr>
          <w:rStyle w:val="FootnoteReference"/>
        </w:rPr>
        <w:footnoteRef/>
      </w:r>
      <w:r>
        <w:rPr>
          <w:rFonts w:cstheme="minorHAnsi"/>
          <w:lang w:val="es-ES"/>
        </w:rPr>
        <w:tab/>
      </w:r>
      <w:r w:rsidRPr="00862632">
        <w:rPr>
          <w:rFonts w:cstheme="minorHAnsi"/>
          <w:lang w:val="es-ES"/>
        </w:rPr>
        <w:t xml:space="preserve">Algunos señalan que la mayoría de las atribuciones de direcciones heredadas se atribuyeron antes de la adopción del actual sistema de atribución de direcciones. Véase la </w:t>
      </w:r>
      <w:hyperlink r:id="rId111" w:history="1">
        <w:r w:rsidRPr="00A912B5">
          <w:rPr>
            <w:rStyle w:val="Hyperlink"/>
            <w:rFonts w:cstheme="minorHAnsi"/>
            <w:lang w:val="es-ES"/>
          </w:rPr>
          <w:t>contribución de ARIN</w:t>
        </w:r>
      </w:hyperlink>
      <w:r w:rsidRPr="00862632">
        <w:rPr>
          <w:rFonts w:cstheme="minorHAnsi"/>
          <w:lang w:val="es-ES"/>
        </w:rPr>
        <w:t xml:space="preserve"> (22 de junio de 2012) y la </w:t>
      </w:r>
      <w:hyperlink r:id="rId112" w:history="1">
        <w:r w:rsidRPr="009E0D5F">
          <w:rPr>
            <w:rStyle w:val="Hyperlink"/>
            <w:rFonts w:cstheme="minorHAnsi"/>
            <w:lang w:val="es-ES"/>
          </w:rPr>
          <w:t>contribución de Cisco</w:t>
        </w:r>
      </w:hyperlink>
      <w:r w:rsidRPr="00862632">
        <w:rPr>
          <w:rFonts w:cstheme="minorHAnsi"/>
          <w:lang w:val="es-ES"/>
        </w:rPr>
        <w:t xml:space="preserve"> (25 de junio de 2012).</w:t>
      </w:r>
    </w:p>
  </w:footnote>
  <w:footnote w:id="116">
    <w:p w:rsidR="00831322" w:rsidRPr="00862632" w:rsidRDefault="00831322">
      <w:pPr>
        <w:pStyle w:val="FootnoteText"/>
        <w:rPr>
          <w:rFonts w:cstheme="minorHAnsi"/>
          <w:lang w:val="es-ES"/>
        </w:rPr>
      </w:pPr>
      <w:r w:rsidRPr="00F50649">
        <w:rPr>
          <w:rStyle w:val="FootnoteReference"/>
        </w:rPr>
        <w:footnoteRef/>
      </w:r>
      <w:r w:rsidRPr="00F50649">
        <w:rPr>
          <w:rStyle w:val="FootnoteReference"/>
        </w:rPr>
        <w:t xml:space="preserve"> </w:t>
      </w:r>
      <w:r>
        <w:rPr>
          <w:rStyle w:val="FootnoteReference"/>
        </w:rPr>
        <w:tab/>
      </w:r>
      <w:hyperlink r:id="rId113" w:history="1">
        <w:r w:rsidRPr="0023443F">
          <w:rPr>
            <w:rStyle w:val="Hyperlink"/>
            <w:rFonts w:cstheme="minorHAnsi"/>
            <w:lang w:val="es-ES"/>
          </w:rPr>
          <w:t>Contribución de</w:t>
        </w:r>
        <w:r>
          <w:rPr>
            <w:rStyle w:val="Hyperlink"/>
            <w:rFonts w:cstheme="minorHAnsi"/>
            <w:lang w:val="es-ES"/>
          </w:rPr>
          <w:t>l</w:t>
        </w:r>
        <w:r w:rsidRPr="0023443F">
          <w:rPr>
            <w:rStyle w:val="Hyperlink"/>
            <w:rFonts w:cstheme="minorHAnsi"/>
            <w:lang w:val="es-ES"/>
          </w:rPr>
          <w:t xml:space="preserve"> Reino Unido</w:t>
        </w:r>
      </w:hyperlink>
      <w:r w:rsidRPr="00862632">
        <w:rPr>
          <w:rFonts w:cstheme="minorHAnsi"/>
          <w:lang w:val="es-ES"/>
        </w:rPr>
        <w:t xml:space="preserve"> (21 de septiembre de 2012).</w:t>
      </w:r>
    </w:p>
  </w:footnote>
  <w:footnote w:id="117">
    <w:p w:rsidR="00831322" w:rsidRPr="00862632" w:rsidRDefault="00831322" w:rsidP="00B465CB">
      <w:pPr>
        <w:pStyle w:val="FootnoteText"/>
        <w:rPr>
          <w:rFonts w:cstheme="minorHAnsi"/>
          <w:lang w:val="es-ES"/>
        </w:rPr>
      </w:pPr>
      <w:r w:rsidRPr="00A912B5">
        <w:rPr>
          <w:rStyle w:val="FootnoteReference"/>
        </w:rPr>
        <w:footnoteRef/>
      </w:r>
      <w:r w:rsidRPr="00A912B5">
        <w:rPr>
          <w:rStyle w:val="FootnoteReference"/>
        </w:rPr>
        <w:t xml:space="preserve"> </w:t>
      </w:r>
      <w:r w:rsidRPr="00862632">
        <w:rPr>
          <w:rFonts w:cstheme="minorHAnsi"/>
          <w:lang w:val="es-ES"/>
        </w:rPr>
        <w:tab/>
        <w:t xml:space="preserve">Nota: Según un análisis de RIPE-NCC (véase en </w:t>
      </w:r>
      <w:hyperlink r:id="rId114" w:history="1">
        <w:r w:rsidRPr="00862632">
          <w:rPr>
            <w:rStyle w:val="Hyperlink"/>
            <w:rFonts w:cstheme="minorHAnsi"/>
            <w:lang w:val="es-ES"/>
          </w:rPr>
          <w:t>https://labs.ripe.net/Members/emileaben/world-ipv6-launch-lasting-effect-on-content</w:t>
        </w:r>
      </w:hyperlink>
      <w:r w:rsidRPr="00862632">
        <w:rPr>
          <w:rFonts w:cstheme="minorHAnsi"/>
          <w:lang w:val="es-ES"/>
        </w:rPr>
        <w:t xml:space="preserve"> ), menos de 10% del millón de principales sitios web (compilado por Alexa) están preparados para el IPv6. Muchas redes de distribución de contenido (CDN) comerciales prepararon sus redes para el IPv6 antes del 6 de junio de 2012 (Día Mundial de Lanzamiento del IPv6). </w:t>
      </w:r>
    </w:p>
  </w:footnote>
  <w:footnote w:id="118">
    <w:p w:rsidR="00831322" w:rsidRPr="00862632" w:rsidRDefault="00831322" w:rsidP="00B465CB">
      <w:pPr>
        <w:pStyle w:val="FootnoteText"/>
        <w:rPr>
          <w:rFonts w:cstheme="minorHAnsi"/>
          <w:lang w:val="es-ES"/>
        </w:rPr>
      </w:pPr>
      <w:r w:rsidRPr="00F50649">
        <w:rPr>
          <w:rStyle w:val="FootnoteReference"/>
        </w:rPr>
        <w:footnoteRef/>
      </w:r>
      <w:r w:rsidRPr="00862632">
        <w:rPr>
          <w:rFonts w:cstheme="minorHAnsi"/>
          <w:lang w:val="es-ES"/>
        </w:rPr>
        <w:t xml:space="preserve"> </w:t>
      </w:r>
      <w:r w:rsidRPr="00862632">
        <w:rPr>
          <w:rFonts w:cstheme="minorHAnsi"/>
          <w:lang w:val="es-ES"/>
        </w:rPr>
        <w:tab/>
      </w:r>
      <w:hyperlink r:id="rId115" w:history="1">
        <w:r w:rsidRPr="00862632">
          <w:rPr>
            <w:rStyle w:val="Hyperlink"/>
            <w:rFonts w:cstheme="minorHAnsi"/>
            <w:lang w:val="es-ES"/>
          </w:rPr>
          <w:t>http://labs.apnic.net/dists/v6dcc.html</w:t>
        </w:r>
      </w:hyperlink>
      <w:r w:rsidRPr="00862632">
        <w:rPr>
          <w:rFonts w:cstheme="minorHAnsi"/>
          <w:lang w:val="es-ES"/>
        </w:rPr>
        <w:t xml:space="preserve"> muestra que, al 29 de agosto de 2012, el 0,14% de los usuarios de Internet utilizaban el IPv6 en el mundo.</w:t>
      </w:r>
    </w:p>
  </w:footnote>
  <w:footnote w:id="119">
    <w:p w:rsidR="00831322" w:rsidRPr="00862632" w:rsidRDefault="00831322" w:rsidP="003C33B9">
      <w:pPr>
        <w:pStyle w:val="FootnoteText"/>
        <w:rPr>
          <w:rFonts w:cstheme="minorHAnsi"/>
          <w:lang w:val="es-ES"/>
        </w:rPr>
      </w:pPr>
      <w:r w:rsidRPr="00F50649">
        <w:rPr>
          <w:rStyle w:val="FootnoteReference"/>
        </w:rPr>
        <w:footnoteRef/>
      </w:r>
      <w:r>
        <w:rPr>
          <w:rFonts w:cstheme="minorHAnsi"/>
          <w:lang w:val="es-ES"/>
        </w:rPr>
        <w:tab/>
      </w:r>
      <w:hyperlink r:id="rId116" w:history="1">
        <w:r w:rsidRPr="003C33B9">
          <w:rPr>
            <w:rStyle w:val="Hyperlink"/>
            <w:rFonts w:cstheme="minorHAnsi"/>
            <w:lang w:val="es-ES"/>
          </w:rPr>
          <w:t>Contribución de PayPal</w:t>
        </w:r>
      </w:hyperlink>
      <w:r w:rsidRPr="00862632">
        <w:rPr>
          <w:rFonts w:cstheme="minorHAnsi"/>
          <w:lang w:val="es-ES"/>
        </w:rPr>
        <w:t xml:space="preserve"> (octubre de 2012).</w:t>
      </w:r>
    </w:p>
  </w:footnote>
  <w:footnote w:id="120">
    <w:p w:rsidR="00831322" w:rsidRPr="00862632" w:rsidRDefault="00831322" w:rsidP="00B465CB">
      <w:pPr>
        <w:pStyle w:val="FootnoteText"/>
        <w:rPr>
          <w:rFonts w:cstheme="minorHAnsi"/>
          <w:lang w:val="es-ES"/>
        </w:rPr>
      </w:pPr>
      <w:r w:rsidRPr="00F50649">
        <w:rPr>
          <w:rStyle w:val="FootnoteReference"/>
        </w:rPr>
        <w:footnoteRef/>
      </w:r>
      <w:r w:rsidRPr="00862632">
        <w:rPr>
          <w:rFonts w:cstheme="minorHAnsi"/>
          <w:lang w:val="es-ES"/>
        </w:rPr>
        <w:t xml:space="preserve"> </w:t>
      </w:r>
      <w:r w:rsidRPr="00862632">
        <w:rPr>
          <w:rFonts w:cstheme="minorHAnsi"/>
          <w:lang w:val="es-ES"/>
        </w:rPr>
        <w:tab/>
      </w:r>
      <w:hyperlink r:id="rId117" w:history="1">
        <w:r w:rsidRPr="00862632">
          <w:rPr>
            <w:rStyle w:val="Hyperlink"/>
            <w:rFonts w:cstheme="minorHAnsi"/>
            <w:lang w:val="es-ES"/>
          </w:rPr>
          <w:t>Contribución de Cisco</w:t>
        </w:r>
      </w:hyperlink>
      <w:r w:rsidRPr="00862632">
        <w:rPr>
          <w:rFonts w:cstheme="minorHAnsi"/>
          <w:lang w:val="es-ES"/>
        </w:rPr>
        <w:t xml:space="preserve"> (25 de junio de 2012), </w:t>
      </w:r>
      <w:hyperlink r:id="rId118" w:history="1">
        <w:r w:rsidRPr="00862632">
          <w:rPr>
            <w:rStyle w:val="Hyperlink"/>
            <w:rFonts w:cstheme="minorHAnsi"/>
            <w:lang w:val="es-ES"/>
          </w:rPr>
          <w:t>Contribución de ISOC</w:t>
        </w:r>
      </w:hyperlink>
      <w:r w:rsidRPr="00862632">
        <w:rPr>
          <w:rFonts w:cstheme="minorHAnsi"/>
          <w:lang w:val="es-ES"/>
        </w:rPr>
        <w:t xml:space="preserve"> (26 de junio de 2012), </w:t>
      </w:r>
      <w:hyperlink r:id="rId119" w:history="1">
        <w:r w:rsidRPr="00862632">
          <w:rPr>
            <w:rStyle w:val="Hyperlink"/>
            <w:rFonts w:cstheme="minorHAnsi"/>
            <w:lang w:val="es-ES"/>
          </w:rPr>
          <w:t>Contribución de ARIN</w:t>
        </w:r>
      </w:hyperlink>
      <w:r w:rsidRPr="00862632">
        <w:rPr>
          <w:rFonts w:cstheme="minorHAnsi"/>
          <w:lang w:val="es-ES"/>
        </w:rPr>
        <w:t xml:space="preserve"> (22 de junio de 2012).</w:t>
      </w:r>
    </w:p>
  </w:footnote>
  <w:footnote w:id="121">
    <w:p w:rsidR="00831322" w:rsidRPr="00862632" w:rsidRDefault="00831322">
      <w:pPr>
        <w:pStyle w:val="FootnoteText"/>
        <w:rPr>
          <w:rFonts w:cstheme="minorHAnsi"/>
          <w:lang w:val="es-ES"/>
        </w:rPr>
      </w:pPr>
      <w:r w:rsidRPr="00F50649">
        <w:rPr>
          <w:rStyle w:val="FootnoteReference"/>
        </w:rPr>
        <w:footnoteRef/>
      </w:r>
      <w:r w:rsidRPr="00862632">
        <w:rPr>
          <w:rFonts w:cstheme="minorHAnsi"/>
          <w:lang w:val="es-ES"/>
        </w:rPr>
        <w:t xml:space="preserve"> </w:t>
      </w:r>
      <w:r w:rsidRPr="00862632">
        <w:rPr>
          <w:rFonts w:cstheme="minorHAnsi"/>
          <w:lang w:val="es-ES"/>
        </w:rPr>
        <w:tab/>
      </w:r>
      <w:hyperlink r:id="rId120" w:history="1">
        <w:r w:rsidRPr="00862632">
          <w:rPr>
            <w:rStyle w:val="Hyperlink"/>
            <w:rFonts w:cstheme="minorHAnsi"/>
            <w:lang w:val="es-ES"/>
          </w:rPr>
          <w:t>Contribución de Reino</w:t>
        </w:r>
        <w:r>
          <w:rPr>
            <w:rStyle w:val="Hyperlink"/>
            <w:rFonts w:cstheme="minorHAnsi"/>
            <w:lang w:val="es-ES"/>
          </w:rPr>
          <w:t>l</w:t>
        </w:r>
        <w:r w:rsidRPr="00862632">
          <w:rPr>
            <w:rStyle w:val="Hyperlink"/>
            <w:rFonts w:cstheme="minorHAnsi"/>
            <w:lang w:val="es-ES"/>
          </w:rPr>
          <w:t xml:space="preserve"> Unido</w:t>
        </w:r>
      </w:hyperlink>
      <w:r w:rsidRPr="00862632">
        <w:rPr>
          <w:rFonts w:cstheme="minorHAnsi"/>
          <w:lang w:val="es-ES"/>
        </w:rPr>
        <w:t xml:space="preserve"> (25 de junio de 2012).</w:t>
      </w:r>
    </w:p>
  </w:footnote>
  <w:footnote w:id="122">
    <w:p w:rsidR="00831322" w:rsidRPr="00862632" w:rsidRDefault="00831322" w:rsidP="00B465CB">
      <w:pPr>
        <w:pStyle w:val="FootnoteText"/>
        <w:rPr>
          <w:rFonts w:cstheme="minorHAnsi"/>
          <w:lang w:val="es-ES"/>
        </w:rPr>
      </w:pPr>
      <w:r w:rsidRPr="00F50649">
        <w:rPr>
          <w:rStyle w:val="FootnoteReference"/>
        </w:rPr>
        <w:footnoteRef/>
      </w:r>
      <w:r w:rsidRPr="00F50649">
        <w:rPr>
          <w:rStyle w:val="FootnoteReference"/>
        </w:rPr>
        <w:t xml:space="preserve"> </w:t>
      </w:r>
      <w:r w:rsidRPr="00862632">
        <w:rPr>
          <w:rFonts w:cstheme="minorHAnsi"/>
          <w:lang w:val="es-ES"/>
        </w:rPr>
        <w:tab/>
        <w:t>Contribución de la ICANN sobre la eficacia de la adopción de políticas de abajo a arriba en la gestión de direcciones IP. Grupo de Expertos IPv6 de la UIT, junio de 2012.</w:t>
      </w:r>
    </w:p>
  </w:footnote>
  <w:footnote w:id="123">
    <w:p w:rsidR="00831322" w:rsidRPr="00862632" w:rsidRDefault="00831322" w:rsidP="00B465CB">
      <w:pPr>
        <w:pStyle w:val="FootnoteText"/>
        <w:rPr>
          <w:rFonts w:cstheme="minorHAnsi"/>
          <w:lang w:val="es-ES"/>
        </w:rPr>
      </w:pPr>
      <w:r w:rsidRPr="00F50649">
        <w:rPr>
          <w:rStyle w:val="FootnoteReference"/>
        </w:rPr>
        <w:footnoteRef/>
      </w:r>
      <w:r w:rsidRPr="00862632">
        <w:rPr>
          <w:rFonts w:cstheme="minorHAnsi"/>
          <w:lang w:val="es-ES"/>
        </w:rPr>
        <w:t xml:space="preserve"> </w:t>
      </w:r>
      <w:r w:rsidRPr="00862632">
        <w:rPr>
          <w:rFonts w:cstheme="minorHAnsi"/>
          <w:lang w:val="es-ES"/>
        </w:rPr>
        <w:tab/>
      </w:r>
      <w:hyperlink r:id="rId121" w:history="1">
        <w:r w:rsidRPr="00862632">
          <w:rPr>
            <w:rStyle w:val="Hyperlink"/>
            <w:rFonts w:cstheme="minorHAnsi"/>
            <w:lang w:val="es-ES"/>
          </w:rPr>
          <w:t>Co-chairs</w:t>
        </w:r>
        <w:r>
          <w:rPr>
            <w:rStyle w:val="Hyperlink"/>
            <w:rFonts w:cstheme="minorHAnsi"/>
            <w:lang w:val="es-ES"/>
          </w:rPr>
          <w:t>'</w:t>
        </w:r>
        <w:r w:rsidRPr="00862632">
          <w:rPr>
            <w:rStyle w:val="Hyperlink"/>
            <w:rFonts w:cstheme="minorHAnsi"/>
            <w:lang w:val="es-ES"/>
          </w:rPr>
          <w:t xml:space="preserve"> report on the APNIC 29 Community Consultation: </w:t>
        </w:r>
        <w:r>
          <w:rPr>
            <w:rStyle w:val="Hyperlink"/>
            <w:rFonts w:cstheme="minorHAnsi"/>
            <w:lang w:val="es-ES"/>
          </w:rPr>
          <w:t>"</w:t>
        </w:r>
        <w:r w:rsidRPr="00862632">
          <w:rPr>
            <w:rStyle w:val="Hyperlink"/>
            <w:rFonts w:cstheme="minorHAnsi"/>
            <w:lang w:val="es-ES"/>
          </w:rPr>
          <w:t xml:space="preserve">IPv6 Address Management and ITU: Is an </w:t>
        </w:r>
        <w:r>
          <w:rPr>
            <w:rStyle w:val="Hyperlink"/>
            <w:rFonts w:cstheme="minorHAnsi"/>
            <w:lang w:val="es-ES"/>
          </w:rPr>
          <w:t>'</w:t>
        </w:r>
        <w:r w:rsidRPr="00862632">
          <w:rPr>
            <w:rStyle w:val="Hyperlink"/>
            <w:rFonts w:cstheme="minorHAnsi"/>
            <w:lang w:val="es-ES"/>
          </w:rPr>
          <w:t>additional parallel structure</w:t>
        </w:r>
        <w:r>
          <w:rPr>
            <w:rStyle w:val="Hyperlink"/>
            <w:rFonts w:cstheme="minorHAnsi"/>
            <w:lang w:val="es-ES"/>
          </w:rPr>
          <w:t>'</w:t>
        </w:r>
        <w:r w:rsidRPr="00862632">
          <w:rPr>
            <w:rStyle w:val="Hyperlink"/>
            <w:rFonts w:cstheme="minorHAnsi"/>
            <w:lang w:val="es-ES"/>
          </w:rPr>
          <w:t xml:space="preserve"> required</w:t>
        </w:r>
      </w:hyperlink>
      <w:r w:rsidRPr="00862632">
        <w:rPr>
          <w:rFonts w:cstheme="minorHAnsi"/>
          <w:lang w:val="es-ES"/>
        </w:rPr>
        <w:t>?</w:t>
      </w:r>
      <w:r>
        <w:rPr>
          <w:rFonts w:cstheme="minorHAnsi"/>
          <w:lang w:val="es-ES"/>
        </w:rPr>
        <w:t>"</w:t>
      </w:r>
    </w:p>
  </w:footnote>
  <w:footnote w:id="124">
    <w:p w:rsidR="00831322" w:rsidRPr="00862632" w:rsidRDefault="00831322" w:rsidP="00344D10">
      <w:pPr>
        <w:pStyle w:val="FootnoteText"/>
        <w:ind w:left="0" w:firstLine="0"/>
        <w:rPr>
          <w:rFonts w:cstheme="minorHAnsi"/>
          <w:lang w:val="es-ES"/>
        </w:rPr>
      </w:pPr>
      <w:r w:rsidRPr="00F50649">
        <w:rPr>
          <w:rStyle w:val="FootnoteReference"/>
        </w:rPr>
        <w:footnoteRef/>
      </w:r>
      <w:r w:rsidRPr="00F50649">
        <w:rPr>
          <w:rStyle w:val="FootnoteReference"/>
        </w:rPr>
        <w:t xml:space="preserve"> </w:t>
      </w:r>
      <w:r w:rsidRPr="00862632">
        <w:rPr>
          <w:rFonts w:cstheme="minorHAnsi"/>
          <w:lang w:val="es-ES"/>
        </w:rPr>
        <w:tab/>
      </w:r>
      <w:hyperlink r:id="rId122" w:history="1">
        <w:r w:rsidRPr="00862632">
          <w:rPr>
            <w:rStyle w:val="Hyperlink"/>
            <w:rFonts w:cstheme="minorHAnsi"/>
            <w:lang w:val="es-ES"/>
          </w:rPr>
          <w:t>Contribución de Argelia</w:t>
        </w:r>
      </w:hyperlink>
      <w:r w:rsidRPr="00862632">
        <w:rPr>
          <w:rFonts w:cstheme="minorHAnsi"/>
          <w:lang w:val="es-ES"/>
        </w:rPr>
        <w:t xml:space="preserve"> (2 de agosto de 2012).</w:t>
      </w:r>
    </w:p>
  </w:footnote>
  <w:footnote w:id="125">
    <w:p w:rsidR="00831322" w:rsidRPr="00862632" w:rsidRDefault="00831322" w:rsidP="00B465CB">
      <w:pPr>
        <w:pStyle w:val="FootnoteText"/>
        <w:rPr>
          <w:rFonts w:cstheme="minorHAnsi"/>
          <w:lang w:val="es-ES"/>
        </w:rPr>
      </w:pPr>
      <w:r w:rsidRPr="00F50649">
        <w:rPr>
          <w:rStyle w:val="FootnoteReference"/>
        </w:rPr>
        <w:footnoteRef/>
      </w:r>
      <w:r w:rsidRPr="00862632">
        <w:rPr>
          <w:rFonts w:cstheme="minorHAnsi"/>
          <w:lang w:val="es-ES"/>
        </w:rPr>
        <w:t xml:space="preserve"> </w:t>
      </w:r>
      <w:r w:rsidRPr="00862632">
        <w:rPr>
          <w:rFonts w:cstheme="minorHAnsi"/>
          <w:lang w:val="es-ES"/>
        </w:rPr>
        <w:tab/>
      </w:r>
      <w:hyperlink r:id="rId123" w:tgtFrame="_blank" w:history="1">
        <w:r w:rsidRPr="00862632">
          <w:rPr>
            <w:rStyle w:val="Hyperlink"/>
            <w:rFonts w:cstheme="minorHAnsi"/>
            <w:lang w:val="es-ES"/>
          </w:rPr>
          <w:t>Stewardship and the Management of the Internet Protocol Addresses</w:t>
        </w:r>
      </w:hyperlink>
      <w:r w:rsidRPr="00862632">
        <w:rPr>
          <w:rFonts w:cstheme="minorHAnsi"/>
          <w:lang w:val="es-ES"/>
        </w:rPr>
        <w:t xml:space="preserve">, Milton Muller, en </w:t>
      </w:r>
      <w:hyperlink r:id="rId124" w:history="1">
        <w:r w:rsidRPr="00862632">
          <w:rPr>
            <w:rStyle w:val="Hyperlink"/>
            <w:rFonts w:cstheme="minorHAnsi"/>
            <w:lang w:val="es-ES"/>
          </w:rPr>
          <w:t>http://internetgovernance.org/pdf/CyberDialogue2012_Mueller.pdf</w:t>
        </w:r>
      </w:hyperlink>
      <w:r w:rsidRPr="00862632">
        <w:rPr>
          <w:rFonts w:cstheme="minorHAnsi"/>
          <w:lang w:val="es-ES"/>
        </w:rPr>
        <w:t xml:space="preserve">. </w:t>
      </w:r>
    </w:p>
  </w:footnote>
  <w:footnote w:id="126">
    <w:p w:rsidR="00831322" w:rsidRPr="00862632" w:rsidRDefault="00831322" w:rsidP="00B740D0">
      <w:pPr>
        <w:pStyle w:val="FootnoteText"/>
        <w:rPr>
          <w:rFonts w:cstheme="minorHAnsi"/>
          <w:color w:val="0000FF"/>
          <w:u w:val="single"/>
          <w:lang w:val="es-ES"/>
        </w:rPr>
      </w:pPr>
      <w:r w:rsidRPr="00F50649">
        <w:rPr>
          <w:rStyle w:val="FootnoteReference"/>
        </w:rPr>
        <w:footnoteRef/>
      </w:r>
      <w:r w:rsidRPr="00862632">
        <w:rPr>
          <w:rFonts w:cstheme="minorHAnsi"/>
          <w:lang w:val="es-ES"/>
        </w:rPr>
        <w:t xml:space="preserve"> </w:t>
      </w:r>
      <w:r w:rsidRPr="00862632">
        <w:rPr>
          <w:rFonts w:cstheme="minorHAnsi"/>
          <w:lang w:val="es-ES"/>
        </w:rPr>
        <w:tab/>
      </w:r>
      <w:hyperlink r:id="rId125" w:history="1">
        <w:r w:rsidRPr="00862632">
          <w:rPr>
            <w:rStyle w:val="Hyperlink"/>
            <w:rFonts w:cstheme="minorHAnsi"/>
            <w:lang w:val="es-ES"/>
          </w:rPr>
          <w:t>The Country Internet Registry (CIR) model</w:t>
        </w:r>
      </w:hyperlink>
      <w:r w:rsidRPr="00862632">
        <w:rPr>
          <w:rFonts w:cstheme="minorHAnsi"/>
          <w:lang w:val="es-ES"/>
        </w:rPr>
        <w:t xml:space="preserve">: Planteamiento alternativo para la atribución y distribución de direcciones IPv6. Murugesan y otros. </w:t>
      </w:r>
      <w:r w:rsidRPr="00862632">
        <w:rPr>
          <w:rFonts w:cstheme="minorHAnsi"/>
          <w:i/>
          <w:iCs/>
          <w:lang w:val="es-ES"/>
        </w:rPr>
        <w:t>HONET</w:t>
      </w:r>
      <w:r>
        <w:rPr>
          <w:rFonts w:cstheme="minorHAnsi"/>
          <w:i/>
          <w:iCs/>
          <w:lang w:val="es-ES"/>
        </w:rPr>
        <w:t>'</w:t>
      </w:r>
      <w:r w:rsidRPr="00862632">
        <w:rPr>
          <w:rFonts w:cstheme="minorHAnsi"/>
          <w:i/>
          <w:iCs/>
          <w:lang w:val="es-ES"/>
        </w:rPr>
        <w:t>09 Proceedings of the 6th international conference on High capacity optical networks and enabling technologies</w:t>
      </w:r>
      <w:r w:rsidRPr="00862632">
        <w:rPr>
          <w:rFonts w:cstheme="minorHAnsi"/>
          <w:lang w:val="es-ES"/>
        </w:rPr>
        <w:t>, pp. 216-220, 2009.</w:t>
      </w:r>
    </w:p>
  </w:footnote>
  <w:footnote w:id="127">
    <w:p w:rsidR="00831322" w:rsidRPr="00862632" w:rsidRDefault="00831322" w:rsidP="00C27922">
      <w:pPr>
        <w:pStyle w:val="FootnoteText"/>
        <w:rPr>
          <w:rFonts w:cstheme="minorHAnsi"/>
          <w:lang w:val="es-ES"/>
        </w:rPr>
      </w:pPr>
      <w:r w:rsidRPr="00F50649">
        <w:rPr>
          <w:rStyle w:val="FootnoteReference"/>
        </w:rPr>
        <w:footnoteRef/>
      </w:r>
      <w:r w:rsidRPr="00862632">
        <w:rPr>
          <w:rFonts w:cstheme="minorHAnsi"/>
          <w:lang w:val="es-ES"/>
        </w:rPr>
        <w:t xml:space="preserve"> </w:t>
      </w:r>
      <w:r w:rsidRPr="00862632">
        <w:rPr>
          <w:rFonts w:cstheme="minorHAnsi"/>
          <w:lang w:val="es-ES"/>
        </w:rPr>
        <w:tab/>
      </w:r>
      <w:hyperlink r:id="rId126" w:history="1">
        <w:r w:rsidRPr="00862632">
          <w:rPr>
            <w:rStyle w:val="Hyperlink"/>
            <w:rFonts w:cstheme="minorHAnsi"/>
            <w:lang w:val="es-ES"/>
          </w:rPr>
          <w:t>Informe de la cuarta reunión</w:t>
        </w:r>
      </w:hyperlink>
      <w:r w:rsidRPr="00862632">
        <w:rPr>
          <w:rFonts w:cstheme="minorHAnsi"/>
          <w:lang w:val="es-ES"/>
        </w:rPr>
        <w:t xml:space="preserve"> del Grupo IPv6, Ginebra, 12 de junio de 2012; Documento </w:t>
      </w:r>
      <w:hyperlink r:id="rId127" w:history="1">
        <w:r w:rsidRPr="00862632">
          <w:rPr>
            <w:rStyle w:val="Hyperlink"/>
            <w:rFonts w:cstheme="minorHAnsi"/>
            <w:lang w:val="es-ES"/>
          </w:rPr>
          <w:t>C12/62</w:t>
        </w:r>
      </w:hyperlink>
      <w:r w:rsidRPr="00862632">
        <w:rPr>
          <w:rFonts w:cstheme="minorHAnsi"/>
          <w:lang w:val="es-ES"/>
        </w:rPr>
        <w:t xml:space="preserve"> de la reunión de</w:t>
      </w:r>
      <w:r>
        <w:rPr>
          <w:rFonts w:cstheme="minorHAnsi"/>
          <w:lang w:val="es-ES"/>
        </w:rPr>
        <w:t> </w:t>
      </w:r>
      <w:r w:rsidRPr="00862632">
        <w:rPr>
          <w:rFonts w:cstheme="minorHAnsi"/>
          <w:lang w:val="es-ES"/>
        </w:rPr>
        <w:t>2012 del Consejo, Informe acerca de la clausura del Grupo IPv6.</w:t>
      </w:r>
    </w:p>
  </w:footnote>
  <w:footnote w:id="128">
    <w:p w:rsidR="00831322" w:rsidRPr="00862632" w:rsidRDefault="00831322" w:rsidP="00344D10">
      <w:pPr>
        <w:pStyle w:val="FootnoteText"/>
        <w:ind w:left="0" w:firstLine="0"/>
        <w:rPr>
          <w:rFonts w:cstheme="minorHAnsi"/>
          <w:highlight w:val="cyan"/>
          <w:lang w:val="es-ES"/>
        </w:rPr>
      </w:pPr>
      <w:r w:rsidRPr="00F50649">
        <w:rPr>
          <w:rStyle w:val="FootnoteReference"/>
        </w:rPr>
        <w:footnoteRef/>
      </w:r>
      <w:r w:rsidRPr="00862632">
        <w:rPr>
          <w:rFonts w:cstheme="minorHAnsi"/>
          <w:lang w:val="es-ES"/>
        </w:rPr>
        <w:t xml:space="preserve"> </w:t>
      </w:r>
      <w:r w:rsidRPr="00862632">
        <w:rPr>
          <w:rFonts w:cstheme="minorHAnsi"/>
          <w:lang w:val="es-ES"/>
        </w:rPr>
        <w:tab/>
      </w:r>
      <w:hyperlink r:id="rId128" w:history="1">
        <w:r w:rsidRPr="00862632">
          <w:rPr>
            <w:rStyle w:val="Hyperlink"/>
            <w:rFonts w:cstheme="minorHAnsi"/>
            <w:lang w:val="es-ES"/>
          </w:rPr>
          <w:t>Contribución de Rusia</w:t>
        </w:r>
      </w:hyperlink>
      <w:r w:rsidRPr="00862632">
        <w:rPr>
          <w:rFonts w:cstheme="minorHAnsi"/>
          <w:lang w:val="es-ES"/>
        </w:rPr>
        <w:t xml:space="preserve"> (15 de mayo de 2012). </w:t>
      </w:r>
      <w:hyperlink r:id="rId129" w:history="1">
        <w:r w:rsidRPr="00862632">
          <w:rPr>
            <w:rStyle w:val="Hyperlink"/>
            <w:rFonts w:cstheme="minorHAnsi"/>
            <w:lang w:val="es-ES"/>
          </w:rPr>
          <w:t>Contribución de Argelia</w:t>
        </w:r>
      </w:hyperlink>
      <w:r w:rsidRPr="00862632">
        <w:rPr>
          <w:rFonts w:cstheme="minorHAnsi"/>
          <w:lang w:val="es-ES"/>
        </w:rPr>
        <w:t xml:space="preserve"> (2 de agosto de 2012).</w:t>
      </w:r>
    </w:p>
  </w:footnote>
  <w:footnote w:id="129">
    <w:p w:rsidR="00831322" w:rsidRPr="00862632" w:rsidRDefault="00831322" w:rsidP="00AC4E8D">
      <w:pPr>
        <w:pStyle w:val="FootnoteText"/>
        <w:ind w:left="0" w:firstLine="0"/>
        <w:rPr>
          <w:rFonts w:cstheme="minorHAnsi"/>
          <w:lang w:val="es-ES"/>
        </w:rPr>
      </w:pPr>
      <w:r w:rsidRPr="00F50649">
        <w:rPr>
          <w:rStyle w:val="FootnoteReference"/>
        </w:rPr>
        <w:footnoteRef/>
      </w:r>
      <w:r w:rsidRPr="00862632">
        <w:rPr>
          <w:rFonts w:cstheme="minorHAnsi"/>
          <w:lang w:val="es-ES"/>
        </w:rPr>
        <w:tab/>
      </w:r>
      <w:hyperlink r:id="rId130" w:history="1">
        <w:r w:rsidRPr="00862632">
          <w:rPr>
            <w:rStyle w:val="Hyperlink"/>
            <w:rFonts w:cstheme="minorHAnsi"/>
            <w:lang w:val="es-ES"/>
          </w:rPr>
          <w:t>Contribución de</w:t>
        </w:r>
        <w:r>
          <w:rPr>
            <w:rStyle w:val="Hyperlink"/>
            <w:rFonts w:cstheme="minorHAnsi"/>
            <w:lang w:val="es-ES"/>
          </w:rPr>
          <w:t>l</w:t>
        </w:r>
        <w:r w:rsidRPr="00862632">
          <w:rPr>
            <w:rStyle w:val="Hyperlink"/>
            <w:rFonts w:cstheme="minorHAnsi"/>
            <w:lang w:val="es-ES"/>
          </w:rPr>
          <w:t xml:space="preserve"> Reino Unido</w:t>
        </w:r>
      </w:hyperlink>
      <w:r w:rsidRPr="00862632">
        <w:rPr>
          <w:rFonts w:cstheme="minorHAnsi"/>
          <w:lang w:val="es-ES"/>
        </w:rPr>
        <w:t xml:space="preserve"> (25 de junio de 2012)</w:t>
      </w:r>
      <w:r>
        <w:rPr>
          <w:rFonts w:cstheme="minorHAnsi"/>
          <w:lang w:val="es-ES"/>
        </w:rPr>
        <w:t xml:space="preserve"> y </w:t>
      </w:r>
      <w:hyperlink r:id="rId131" w:history="1">
        <w:r w:rsidRPr="007849C2">
          <w:rPr>
            <w:rStyle w:val="Hyperlink"/>
            <w:rFonts w:cstheme="minorHAnsi"/>
            <w:lang w:val="es-ES"/>
          </w:rPr>
          <w:t>contribución de</w:t>
        </w:r>
        <w:r>
          <w:rPr>
            <w:rStyle w:val="Hyperlink"/>
            <w:rFonts w:cstheme="minorHAnsi"/>
            <w:lang w:val="es-ES"/>
          </w:rPr>
          <w:t>l</w:t>
        </w:r>
        <w:r w:rsidRPr="007849C2">
          <w:rPr>
            <w:rStyle w:val="Hyperlink"/>
            <w:rFonts w:cstheme="minorHAnsi"/>
            <w:lang w:val="es-ES"/>
          </w:rPr>
          <w:t xml:space="preserve"> Reino Unido</w:t>
        </w:r>
      </w:hyperlink>
      <w:r w:rsidRPr="00862632">
        <w:rPr>
          <w:rFonts w:cstheme="minorHAnsi"/>
          <w:lang w:val="es-ES"/>
        </w:rPr>
        <w:t xml:space="preserve"> (</w:t>
      </w:r>
      <w:r>
        <w:rPr>
          <w:rFonts w:cstheme="minorHAnsi"/>
          <w:lang w:val="es-ES"/>
        </w:rPr>
        <w:t>21 de septiembre de 2012)</w:t>
      </w:r>
      <w:r w:rsidRPr="00862632">
        <w:rPr>
          <w:rFonts w:cstheme="minorHAnsi"/>
          <w:lang w:val="es-ES"/>
        </w:rPr>
        <w:t>.</w:t>
      </w:r>
    </w:p>
  </w:footnote>
  <w:footnote w:id="130">
    <w:p w:rsidR="00831322" w:rsidRPr="00862632" w:rsidRDefault="00831322" w:rsidP="00344D10">
      <w:pPr>
        <w:pStyle w:val="FootnoteText"/>
        <w:ind w:left="0" w:firstLine="0"/>
        <w:rPr>
          <w:rFonts w:cstheme="minorHAnsi"/>
          <w:lang w:val="es-ES"/>
        </w:rPr>
      </w:pPr>
      <w:r w:rsidRPr="00F50649">
        <w:rPr>
          <w:rStyle w:val="FootnoteReference"/>
        </w:rPr>
        <w:footnoteRef/>
      </w:r>
      <w:r w:rsidRPr="00F50649">
        <w:rPr>
          <w:rStyle w:val="FootnoteReference"/>
        </w:rPr>
        <w:t xml:space="preserve"> </w:t>
      </w:r>
      <w:r w:rsidRPr="00862632">
        <w:rPr>
          <w:rFonts w:cstheme="minorHAnsi"/>
          <w:sz w:val="22"/>
          <w:szCs w:val="22"/>
          <w:vertAlign w:val="superscript"/>
          <w:lang w:val="es-ES"/>
        </w:rPr>
        <w:tab/>
      </w:r>
      <w:hyperlink r:id="rId132" w:history="1">
        <w:r w:rsidRPr="00862632">
          <w:rPr>
            <w:rStyle w:val="Hyperlink"/>
            <w:rFonts w:cstheme="minorHAnsi"/>
            <w:lang w:val="es-ES"/>
          </w:rPr>
          <w:t>http://www.apnic.net/services/services-apnic-provides/resource-certification/RPKI</w:t>
        </w:r>
      </w:hyperlink>
      <w:r w:rsidRPr="00862632">
        <w:rPr>
          <w:rFonts w:cstheme="minorHAnsi"/>
          <w:lang w:val="es-ES"/>
        </w:rPr>
        <w:t>.</w:t>
      </w:r>
    </w:p>
  </w:footnote>
  <w:footnote w:id="131">
    <w:p w:rsidR="00831322" w:rsidRPr="00862632" w:rsidRDefault="00831322" w:rsidP="00AB68D3">
      <w:pPr>
        <w:pStyle w:val="FootnoteText"/>
        <w:rPr>
          <w:rFonts w:cstheme="minorHAnsi"/>
          <w:lang w:val="es-ES"/>
        </w:rPr>
      </w:pPr>
      <w:r w:rsidRPr="00F50649">
        <w:rPr>
          <w:rStyle w:val="FootnoteReference"/>
        </w:rPr>
        <w:footnoteRef/>
      </w:r>
      <w:r>
        <w:rPr>
          <w:rFonts w:cstheme="minorHAnsi"/>
          <w:lang w:val="es-ES"/>
        </w:rPr>
        <w:tab/>
      </w:r>
      <w:r w:rsidRPr="00862632">
        <w:rPr>
          <w:rFonts w:cstheme="minorHAnsi"/>
          <w:lang w:val="es-ES"/>
        </w:rPr>
        <w:t xml:space="preserve">ISOC RPKI White Paper: </w:t>
      </w:r>
      <w:hyperlink r:id="rId133" w:history="1">
        <w:r w:rsidRPr="004A3FFC">
          <w:rPr>
            <w:rStyle w:val="Hyperlink"/>
            <w:rFonts w:cstheme="minorHAnsi"/>
            <w:lang w:val="es-ES"/>
          </w:rPr>
          <w:t>https://www.internetsociety.org/doc/technopolicy-primer-resource-public-key-infrastructure-rpki-0</w:t>
        </w:r>
      </w:hyperlink>
      <w:r w:rsidRPr="00862632">
        <w:rPr>
          <w:rFonts w:cstheme="minorHAnsi"/>
          <w:lang w:val="es-ES"/>
        </w:rPr>
        <w:t>.</w:t>
      </w:r>
    </w:p>
  </w:footnote>
  <w:footnote w:id="132">
    <w:p w:rsidR="00831322" w:rsidRPr="00862632" w:rsidRDefault="00831322" w:rsidP="00AB68D3">
      <w:pPr>
        <w:pStyle w:val="FootnoteText"/>
        <w:rPr>
          <w:lang w:val="es-ES"/>
        </w:rPr>
      </w:pPr>
      <w:r w:rsidRPr="003C4DFF">
        <w:rPr>
          <w:rStyle w:val="FootnoteReference"/>
        </w:rPr>
        <w:footnoteRef/>
      </w:r>
      <w:r w:rsidRPr="00862632">
        <w:rPr>
          <w:lang w:val="es-ES"/>
        </w:rPr>
        <w:t xml:space="preserve"> </w:t>
      </w:r>
      <w:r>
        <w:rPr>
          <w:lang w:val="es-ES"/>
        </w:rPr>
        <w:tab/>
      </w:r>
      <w:hyperlink r:id="rId134" w:history="1">
        <w:r w:rsidRPr="006B4E25">
          <w:rPr>
            <w:rStyle w:val="Hyperlink"/>
            <w:lang w:val="es-ES"/>
          </w:rPr>
          <w:t>Contribución de ISOC</w:t>
        </w:r>
      </w:hyperlink>
      <w:r w:rsidRPr="00862632">
        <w:rPr>
          <w:lang w:val="es-ES"/>
        </w:rPr>
        <w:t xml:space="preserve"> (noviembre de 2012)</w:t>
      </w:r>
      <w:r w:rsidRPr="00862632">
        <w:rPr>
          <w:rFonts w:cstheme="minorHAnsi"/>
          <w:lang w:val="es-ES"/>
        </w:rPr>
        <w:t>.</w:t>
      </w:r>
    </w:p>
  </w:footnote>
  <w:footnote w:id="133">
    <w:p w:rsidR="00831322" w:rsidRPr="00862632" w:rsidRDefault="00831322" w:rsidP="00F50649">
      <w:pPr>
        <w:pStyle w:val="FootnoteText"/>
        <w:rPr>
          <w:lang w:val="es-ES"/>
        </w:rPr>
      </w:pPr>
      <w:r w:rsidRPr="003C4DFF">
        <w:rPr>
          <w:rStyle w:val="FootnoteReference"/>
        </w:rPr>
        <w:footnoteRef/>
      </w:r>
      <w:r w:rsidRPr="00862632">
        <w:rPr>
          <w:lang w:val="es-ES"/>
        </w:rPr>
        <w:t xml:space="preserve"> </w:t>
      </w:r>
      <w:r w:rsidRPr="00862632">
        <w:rPr>
          <w:lang w:val="es-ES"/>
        </w:rPr>
        <w:tab/>
        <w:t xml:space="preserve">Detalles en la </w:t>
      </w:r>
      <w:hyperlink r:id="rId135" w:history="1">
        <w:r w:rsidRPr="00862632">
          <w:rPr>
            <w:rStyle w:val="Hyperlink"/>
            <w:rFonts w:cstheme="minorHAnsi"/>
            <w:lang w:val="es-ES"/>
          </w:rPr>
          <w:t>contribución de Nav6, University Sains Malaysia</w:t>
        </w:r>
      </w:hyperlink>
      <w:r w:rsidRPr="00862632">
        <w:rPr>
          <w:lang w:val="es-ES"/>
        </w:rPr>
        <w:t xml:space="preserve">, </w:t>
      </w:r>
      <w:r>
        <w:rPr>
          <w:lang w:val="es-ES"/>
        </w:rPr>
        <w:t>"</w:t>
      </w:r>
      <w:r w:rsidRPr="00862632">
        <w:rPr>
          <w:lang w:val="es-ES"/>
        </w:rPr>
        <w:t>Resource Public Key Infrastructure (RPKI): A tradeoff between security and freedom</w:t>
      </w:r>
      <w:r>
        <w:rPr>
          <w:lang w:val="es-ES"/>
        </w:rPr>
        <w:t>"</w:t>
      </w:r>
      <w:r w:rsidRPr="00862632">
        <w:rPr>
          <w:lang w:val="es-ES"/>
        </w:rPr>
        <w:t>.</w:t>
      </w:r>
    </w:p>
  </w:footnote>
  <w:footnote w:id="134">
    <w:p w:rsidR="00831322" w:rsidRPr="00862632" w:rsidRDefault="00831322" w:rsidP="00EF2436">
      <w:pPr>
        <w:pStyle w:val="FootnoteText"/>
        <w:rPr>
          <w:rFonts w:cstheme="minorHAnsi"/>
          <w:lang w:val="es-ES"/>
        </w:rPr>
      </w:pPr>
      <w:r w:rsidRPr="003C4DFF">
        <w:rPr>
          <w:rStyle w:val="FootnoteReference"/>
        </w:rPr>
        <w:footnoteRef/>
      </w:r>
      <w:r w:rsidRPr="003C4DFF">
        <w:rPr>
          <w:rStyle w:val="FootnoteReference"/>
        </w:rPr>
        <w:t xml:space="preserve"> </w:t>
      </w:r>
      <w:r w:rsidRPr="00862632">
        <w:rPr>
          <w:rFonts w:cstheme="minorHAnsi"/>
          <w:sz w:val="22"/>
          <w:szCs w:val="22"/>
          <w:vertAlign w:val="superscript"/>
          <w:lang w:val="es-ES"/>
        </w:rPr>
        <w:tab/>
      </w:r>
      <w:r w:rsidRPr="00862632">
        <w:rPr>
          <w:rFonts w:cstheme="minorHAnsi"/>
          <w:lang w:val="es-ES"/>
        </w:rPr>
        <w:t xml:space="preserve">Ruling the Root part II: RPKI y el espacio de direcciones IP, en </w:t>
      </w:r>
      <w:hyperlink r:id="rId136" w:history="1">
        <w:r w:rsidRPr="00862632">
          <w:rPr>
            <w:rStyle w:val="Hyperlink"/>
            <w:rFonts w:cstheme="minorHAnsi"/>
            <w:lang w:val="es-ES"/>
          </w:rPr>
          <w:t>http://blog.internetgovernance.org/blog/_archives/2010/3/13/4479658.html</w:t>
        </w:r>
      </w:hyperlink>
      <w:r w:rsidRPr="00862632">
        <w:rPr>
          <w:rFonts w:cstheme="minorHAnsi"/>
          <w:lang w:val="es-ES"/>
        </w:rPr>
        <w:t xml:space="preserve">. </w:t>
      </w:r>
    </w:p>
  </w:footnote>
  <w:footnote w:id="135">
    <w:p w:rsidR="00831322" w:rsidRPr="00862632" w:rsidRDefault="00831322" w:rsidP="00F90A10">
      <w:pPr>
        <w:pStyle w:val="FootnoteText"/>
        <w:rPr>
          <w:rFonts w:cstheme="minorHAnsi"/>
          <w:lang w:val="es-ES"/>
        </w:rPr>
      </w:pPr>
      <w:r w:rsidRPr="003C4DFF">
        <w:rPr>
          <w:rStyle w:val="FootnoteReference"/>
        </w:rPr>
        <w:footnoteRef/>
      </w:r>
      <w:r w:rsidRPr="00862632">
        <w:rPr>
          <w:rFonts w:cstheme="minorHAnsi"/>
          <w:lang w:val="es-ES"/>
        </w:rPr>
        <w:t xml:space="preserve"> </w:t>
      </w:r>
      <w:r w:rsidRPr="00862632">
        <w:rPr>
          <w:rFonts w:cstheme="minorHAnsi"/>
          <w:lang w:val="es-ES"/>
        </w:rPr>
        <w:tab/>
      </w:r>
      <w:hyperlink r:id="rId137" w:history="1">
        <w:r w:rsidRPr="00862632">
          <w:rPr>
            <w:rStyle w:val="Hyperlink"/>
            <w:rFonts w:cstheme="minorHAnsi"/>
            <w:lang w:val="es-ES"/>
          </w:rPr>
          <w:t>Contribución de ARIN</w:t>
        </w:r>
      </w:hyperlink>
      <w:r w:rsidRPr="00862632">
        <w:rPr>
          <w:rFonts w:cstheme="minorHAnsi"/>
          <w:lang w:val="es-ES"/>
        </w:rPr>
        <w:t xml:space="preserve"> (22 de junio de 2012); </w:t>
      </w:r>
      <w:hyperlink r:id="rId138" w:history="1">
        <w:r w:rsidRPr="00862632">
          <w:rPr>
            <w:rStyle w:val="Hyperlink"/>
            <w:rFonts w:cstheme="minorHAnsi"/>
            <w:lang w:val="es-ES"/>
          </w:rPr>
          <w:t>contribución de ISOC</w:t>
        </w:r>
      </w:hyperlink>
      <w:r w:rsidRPr="00862632">
        <w:rPr>
          <w:rFonts w:cstheme="minorHAnsi"/>
          <w:lang w:val="es-ES"/>
        </w:rPr>
        <w:t xml:space="preserve"> (26 de junio de 2012).</w:t>
      </w:r>
    </w:p>
  </w:footnote>
  <w:footnote w:id="136">
    <w:p w:rsidR="00831322" w:rsidRPr="00862632" w:rsidRDefault="00831322" w:rsidP="00EF2436">
      <w:pPr>
        <w:pStyle w:val="FootnoteText"/>
        <w:tabs>
          <w:tab w:val="left" w:pos="284"/>
        </w:tabs>
        <w:ind w:left="0" w:firstLine="0"/>
        <w:rPr>
          <w:rFonts w:cstheme="minorHAnsi"/>
          <w:lang w:val="es-ES"/>
        </w:rPr>
      </w:pPr>
      <w:r w:rsidRPr="003C4DFF">
        <w:rPr>
          <w:rStyle w:val="FootnoteReference"/>
        </w:rPr>
        <w:footnoteRef/>
      </w:r>
      <w:r w:rsidRPr="00862632">
        <w:rPr>
          <w:rFonts w:cstheme="minorHAnsi"/>
          <w:lang w:val="es-ES"/>
        </w:rPr>
        <w:t xml:space="preserve"> </w:t>
      </w:r>
      <w:r w:rsidRPr="00862632">
        <w:rPr>
          <w:rFonts w:cstheme="minorHAnsi"/>
          <w:lang w:val="es-ES"/>
        </w:rPr>
        <w:tab/>
        <w:t>Programa 2 de la CMDT-10.</w:t>
      </w:r>
    </w:p>
  </w:footnote>
  <w:footnote w:id="137">
    <w:p w:rsidR="00831322" w:rsidRPr="00862632" w:rsidRDefault="00831322" w:rsidP="00EF2436">
      <w:pPr>
        <w:pStyle w:val="FootnoteText"/>
        <w:tabs>
          <w:tab w:val="clear" w:pos="425"/>
          <w:tab w:val="left" w:pos="426"/>
        </w:tabs>
        <w:ind w:left="0" w:firstLine="0"/>
        <w:rPr>
          <w:rFonts w:cstheme="minorHAnsi"/>
          <w:lang w:val="es-ES"/>
        </w:rPr>
      </w:pPr>
      <w:r w:rsidRPr="003C4DFF">
        <w:rPr>
          <w:rStyle w:val="FootnoteReference"/>
        </w:rPr>
        <w:footnoteRef/>
      </w:r>
      <w:r w:rsidRPr="003C4DFF">
        <w:rPr>
          <w:rStyle w:val="FootnoteReference"/>
        </w:rPr>
        <w:t xml:space="preserve"> </w:t>
      </w:r>
      <w:r w:rsidRPr="00862632">
        <w:rPr>
          <w:rFonts w:cstheme="minorHAnsi"/>
          <w:lang w:val="es-ES"/>
        </w:rPr>
        <w:tab/>
        <w:t>§</w:t>
      </w:r>
      <w:r>
        <w:rPr>
          <w:rFonts w:cstheme="minorHAnsi"/>
          <w:lang w:val="es-ES"/>
        </w:rPr>
        <w:t> 3.2</w:t>
      </w:r>
      <w:r w:rsidRPr="00862632">
        <w:rPr>
          <w:rFonts w:cstheme="minorHAnsi"/>
          <w:lang w:val="es-ES"/>
        </w:rPr>
        <w:t>, Programa 2 de la CMDT-10.</w:t>
      </w:r>
    </w:p>
  </w:footnote>
  <w:footnote w:id="138">
    <w:p w:rsidR="00831322" w:rsidRPr="00862632" w:rsidRDefault="00831322" w:rsidP="00EF2436">
      <w:pPr>
        <w:pStyle w:val="FootnoteText"/>
        <w:tabs>
          <w:tab w:val="clear" w:pos="425"/>
          <w:tab w:val="left" w:pos="426"/>
        </w:tabs>
        <w:ind w:left="426" w:hanging="426"/>
        <w:rPr>
          <w:rFonts w:cstheme="minorHAnsi"/>
          <w:lang w:val="es-ES"/>
        </w:rPr>
      </w:pPr>
      <w:r w:rsidRPr="003C4DFF">
        <w:rPr>
          <w:rStyle w:val="FootnoteReference"/>
        </w:rPr>
        <w:footnoteRef/>
      </w:r>
      <w:r w:rsidRPr="00862632">
        <w:rPr>
          <w:rFonts w:cstheme="minorHAnsi"/>
          <w:lang w:val="es-ES"/>
        </w:rPr>
        <w:t xml:space="preserve"> </w:t>
      </w:r>
      <w:r w:rsidRPr="00862632">
        <w:rPr>
          <w:rFonts w:cstheme="minorHAnsi"/>
          <w:lang w:val="es-ES"/>
        </w:rPr>
        <w:tab/>
        <w:t xml:space="preserve">Véase, por ejemplo, el </w:t>
      </w:r>
      <w:hyperlink r:id="rId139" w:history="1">
        <w:r w:rsidRPr="00862632">
          <w:rPr>
            <w:rStyle w:val="Hyperlink"/>
            <w:rFonts w:cstheme="minorHAnsi"/>
            <w:lang w:val="es-ES"/>
          </w:rPr>
          <w:t>taller del FGI</w:t>
        </w:r>
      </w:hyperlink>
      <w:r w:rsidRPr="00862632">
        <w:rPr>
          <w:rFonts w:cstheme="minorHAnsi"/>
          <w:lang w:val="es-ES"/>
        </w:rPr>
        <w:t xml:space="preserve"> sobre </w:t>
      </w:r>
      <w:r>
        <w:rPr>
          <w:rFonts w:cstheme="minorHAnsi"/>
          <w:lang w:val="es-ES"/>
        </w:rPr>
        <w:t>"</w:t>
      </w:r>
      <w:r w:rsidRPr="00862632">
        <w:rPr>
          <w:rFonts w:cstheme="minorHAnsi"/>
          <w:i/>
          <w:iCs/>
          <w:lang w:val="es-ES"/>
        </w:rPr>
        <w:t>Why do developing countries have a low participation in the Internet Governance Process?</w:t>
      </w:r>
      <w:r>
        <w:rPr>
          <w:rFonts w:cstheme="minorHAnsi"/>
          <w:lang w:val="es-ES"/>
        </w:rPr>
        <w:t>"</w:t>
      </w:r>
      <w:r w:rsidRPr="00862632">
        <w:rPr>
          <w:rFonts w:cstheme="minorHAnsi"/>
          <w:lang w:val="es-ES"/>
        </w:rPr>
        <w:t>.</w:t>
      </w:r>
    </w:p>
  </w:footnote>
  <w:footnote w:id="139">
    <w:p w:rsidR="00831322" w:rsidRPr="00862632" w:rsidRDefault="00831322" w:rsidP="00CD7920">
      <w:pPr>
        <w:pStyle w:val="FootnoteText"/>
        <w:rPr>
          <w:rFonts w:cstheme="minorHAnsi"/>
          <w:lang w:val="es-ES"/>
        </w:rPr>
      </w:pPr>
      <w:r w:rsidRPr="003C4DFF">
        <w:rPr>
          <w:rStyle w:val="FootnoteReference"/>
        </w:rPr>
        <w:footnoteRef/>
      </w:r>
      <w:r w:rsidRPr="00862632">
        <w:rPr>
          <w:rFonts w:cstheme="minorHAnsi"/>
          <w:lang w:val="es-ES"/>
        </w:rPr>
        <w:t xml:space="preserve"> </w:t>
      </w:r>
      <w:r>
        <w:rPr>
          <w:rFonts w:cstheme="minorHAnsi"/>
          <w:lang w:val="es-ES"/>
        </w:rPr>
        <w:tab/>
      </w:r>
      <w:hyperlink r:id="rId140" w:history="1">
        <w:r w:rsidRPr="00CD7920">
          <w:rPr>
            <w:rStyle w:val="Hyperlink"/>
          </w:rPr>
          <w:t>Contribución</w:t>
        </w:r>
        <w:r w:rsidRPr="00CD7920">
          <w:rPr>
            <w:rStyle w:val="Hyperlink"/>
            <w:lang w:val="es-ES"/>
          </w:rPr>
          <w:t xml:space="preserve"> de Nominet</w:t>
        </w:r>
      </w:hyperlink>
      <w:r w:rsidRPr="00862632">
        <w:rPr>
          <w:rFonts w:cstheme="minorHAnsi"/>
          <w:lang w:val="es-ES"/>
        </w:rPr>
        <w:t xml:space="preserve"> (30 de septiembre de 2012).</w:t>
      </w:r>
    </w:p>
  </w:footnote>
  <w:footnote w:id="140">
    <w:p w:rsidR="00831322" w:rsidRPr="00862632" w:rsidRDefault="00831322" w:rsidP="00CD7920">
      <w:pPr>
        <w:pStyle w:val="FootnoteText"/>
        <w:rPr>
          <w:rFonts w:cstheme="minorHAnsi"/>
          <w:lang w:val="es-ES"/>
        </w:rPr>
      </w:pPr>
      <w:r w:rsidRPr="003C4DFF">
        <w:rPr>
          <w:rStyle w:val="FootnoteReference"/>
        </w:rPr>
        <w:footnoteRef/>
      </w:r>
      <w:r w:rsidRPr="00862632">
        <w:rPr>
          <w:rFonts w:cstheme="minorHAnsi"/>
          <w:lang w:val="es-ES"/>
        </w:rPr>
        <w:t xml:space="preserve"> </w:t>
      </w:r>
      <w:r>
        <w:rPr>
          <w:rFonts w:cstheme="minorHAnsi"/>
          <w:lang w:val="es-ES"/>
        </w:rPr>
        <w:tab/>
      </w:r>
      <w:hyperlink r:id="rId141" w:history="1">
        <w:r w:rsidRPr="00CD7920">
          <w:rPr>
            <w:rStyle w:val="Hyperlink"/>
          </w:rPr>
          <w:t>Contribución</w:t>
        </w:r>
        <w:r w:rsidRPr="00CD7920">
          <w:rPr>
            <w:rStyle w:val="Hyperlink"/>
            <w:lang w:val="es-ES"/>
          </w:rPr>
          <w:t xml:space="preserve"> de Nominet</w:t>
        </w:r>
      </w:hyperlink>
      <w:r w:rsidRPr="00862632">
        <w:rPr>
          <w:rFonts w:cstheme="minorHAnsi"/>
          <w:lang w:val="es-ES"/>
        </w:rPr>
        <w:t xml:space="preserve"> (30 de septiembre de 2012).</w:t>
      </w:r>
    </w:p>
  </w:footnote>
  <w:footnote w:id="141">
    <w:p w:rsidR="00831322" w:rsidRPr="00862632" w:rsidRDefault="00831322" w:rsidP="00A26E96">
      <w:pPr>
        <w:pStyle w:val="FootnoteText"/>
        <w:rPr>
          <w:rFonts w:cstheme="minorHAnsi"/>
          <w:lang w:val="es-ES"/>
        </w:rPr>
      </w:pPr>
      <w:r w:rsidRPr="003C4DFF">
        <w:rPr>
          <w:rStyle w:val="FootnoteReference"/>
        </w:rPr>
        <w:footnoteRef/>
      </w:r>
      <w:r w:rsidRPr="00862632">
        <w:rPr>
          <w:rFonts w:cstheme="minorHAnsi"/>
          <w:lang w:val="es-ES"/>
        </w:rPr>
        <w:t xml:space="preserve"> </w:t>
      </w:r>
      <w:r>
        <w:rPr>
          <w:rFonts w:cstheme="minorHAnsi"/>
          <w:lang w:val="es-ES"/>
        </w:rPr>
        <w:tab/>
      </w:r>
      <w:hyperlink r:id="rId142" w:history="1">
        <w:r w:rsidRPr="00A26E96">
          <w:rPr>
            <w:rStyle w:val="Hyperlink"/>
            <w:rFonts w:cstheme="minorHAnsi"/>
            <w:lang w:val="es-ES"/>
          </w:rPr>
          <w:t>Contribución de EE.UU.</w:t>
        </w:r>
      </w:hyperlink>
      <w:r w:rsidRPr="00862632">
        <w:rPr>
          <w:rFonts w:cstheme="minorHAnsi"/>
          <w:lang w:val="es-ES"/>
        </w:rPr>
        <w:t xml:space="preserve"> (2 de octubre de 2012).</w:t>
      </w:r>
    </w:p>
  </w:footnote>
  <w:footnote w:id="142">
    <w:p w:rsidR="00831322" w:rsidRPr="00862632" w:rsidRDefault="00831322" w:rsidP="006B4E25">
      <w:pPr>
        <w:pStyle w:val="FootnoteText"/>
        <w:tabs>
          <w:tab w:val="clear" w:pos="425"/>
          <w:tab w:val="left" w:pos="426"/>
        </w:tabs>
        <w:ind w:left="426" w:hanging="426"/>
        <w:rPr>
          <w:rFonts w:cstheme="minorHAnsi"/>
          <w:lang w:val="es-ES"/>
        </w:rPr>
      </w:pPr>
      <w:r w:rsidRPr="003C4DFF">
        <w:rPr>
          <w:rStyle w:val="FootnoteReference"/>
        </w:rPr>
        <w:footnoteRef/>
      </w:r>
      <w:r w:rsidRPr="00862632">
        <w:rPr>
          <w:rFonts w:cstheme="minorHAnsi"/>
          <w:lang w:val="es-ES"/>
        </w:rPr>
        <w:t xml:space="preserve"> </w:t>
      </w:r>
      <w:r w:rsidRPr="00862632">
        <w:rPr>
          <w:rFonts w:cstheme="minorHAnsi"/>
          <w:lang w:val="es-ES"/>
        </w:rPr>
        <w:tab/>
        <w:t>Por ejemplo, ccTLD es un TLD de dos caracteres para países y territorios bas</w:t>
      </w:r>
      <w:r>
        <w:rPr>
          <w:rFonts w:cstheme="minorHAnsi"/>
          <w:lang w:val="es-ES"/>
        </w:rPr>
        <w:t xml:space="preserve">ado en la lista ISP 3166 (por </w:t>
      </w:r>
      <w:r w:rsidRPr="00862632">
        <w:rPr>
          <w:rFonts w:cstheme="minorHAnsi"/>
          <w:lang w:val="es-ES"/>
        </w:rPr>
        <w:t>ej</w:t>
      </w:r>
      <w:r>
        <w:rPr>
          <w:rFonts w:cstheme="minorHAnsi"/>
          <w:lang w:val="es-ES"/>
        </w:rPr>
        <w:t>emplo,</w:t>
      </w:r>
      <w:r w:rsidRPr="00862632">
        <w:rPr>
          <w:rFonts w:cstheme="minorHAnsi"/>
          <w:lang w:val="es-ES"/>
        </w:rPr>
        <w:t xml:space="preserve"> </w:t>
      </w:r>
      <w:r>
        <w:rPr>
          <w:rFonts w:cstheme="minorHAnsi"/>
          <w:lang w:val="es-ES"/>
        </w:rPr>
        <w:t>"</w:t>
      </w:r>
      <w:r w:rsidRPr="00862632">
        <w:rPr>
          <w:rFonts w:cstheme="minorHAnsi"/>
          <w:lang w:val="es-ES"/>
        </w:rPr>
        <w:t>.ch</w:t>
      </w:r>
      <w:r>
        <w:rPr>
          <w:rFonts w:cstheme="minorHAnsi"/>
          <w:lang w:val="es-ES"/>
        </w:rPr>
        <w:t>"</w:t>
      </w:r>
      <w:r w:rsidRPr="00862632">
        <w:rPr>
          <w:rFonts w:cstheme="minorHAnsi"/>
          <w:lang w:val="es-ES"/>
        </w:rPr>
        <w:t xml:space="preserve"> para Suiza) y, por consiguiente, un gTLD es un TLD que no es un ccTLD, como por ejemplo</w:t>
      </w:r>
      <w:r>
        <w:rPr>
          <w:rFonts w:cstheme="minorHAnsi"/>
          <w:lang w:val="es-ES"/>
        </w:rPr>
        <w:t>"</w:t>
      </w:r>
      <w:r w:rsidRPr="00862632">
        <w:rPr>
          <w:rFonts w:cstheme="minorHAnsi"/>
          <w:lang w:val="es-ES"/>
        </w:rPr>
        <w:t>.com</w:t>
      </w:r>
      <w:r>
        <w:rPr>
          <w:rFonts w:cstheme="minorHAnsi"/>
          <w:lang w:val="es-ES"/>
        </w:rPr>
        <w:t>"</w:t>
      </w:r>
      <w:r w:rsidRPr="00862632">
        <w:rPr>
          <w:rFonts w:cstheme="minorHAnsi"/>
          <w:lang w:val="es-ES"/>
        </w:rPr>
        <w:t xml:space="preserve"> o </w:t>
      </w:r>
      <w:r>
        <w:rPr>
          <w:rFonts w:cstheme="minorHAnsi"/>
          <w:lang w:val="es-ES"/>
        </w:rPr>
        <w:t>"</w:t>
      </w:r>
      <w:r w:rsidRPr="00862632">
        <w:rPr>
          <w:rFonts w:cstheme="minorHAnsi"/>
          <w:lang w:val="es-ES"/>
        </w:rPr>
        <w:t>.</w:t>
      </w:r>
      <w:r>
        <w:rPr>
          <w:rFonts w:cstheme="minorHAnsi"/>
          <w:lang w:val="es-ES"/>
        </w:rPr>
        <w:t>int"</w:t>
      </w:r>
      <w:r w:rsidRPr="00862632">
        <w:rPr>
          <w:rFonts w:cstheme="minorHAnsi"/>
          <w:lang w:val="es-ES"/>
        </w:rPr>
        <w:t>.</w:t>
      </w:r>
    </w:p>
  </w:footnote>
  <w:footnote w:id="143">
    <w:p w:rsidR="00831322" w:rsidRPr="00862632" w:rsidRDefault="00831322" w:rsidP="00942C19">
      <w:pPr>
        <w:pStyle w:val="FootnoteText"/>
        <w:rPr>
          <w:rFonts w:cstheme="minorHAnsi"/>
          <w:lang w:val="es-ES"/>
        </w:rPr>
      </w:pPr>
      <w:r w:rsidRPr="003C4DFF">
        <w:rPr>
          <w:rStyle w:val="FootnoteReference"/>
        </w:rPr>
        <w:footnoteRef/>
      </w:r>
      <w:r w:rsidRPr="00862632">
        <w:rPr>
          <w:rFonts w:cstheme="minorHAnsi"/>
          <w:lang w:val="es-ES"/>
        </w:rPr>
        <w:t xml:space="preserve"> </w:t>
      </w:r>
      <w:r>
        <w:rPr>
          <w:rFonts w:cstheme="minorHAnsi"/>
          <w:lang w:val="es-ES"/>
        </w:rPr>
        <w:tab/>
      </w:r>
      <w:r w:rsidRPr="00862632">
        <w:rPr>
          <w:rFonts w:cstheme="minorHAnsi"/>
          <w:lang w:val="es-ES"/>
        </w:rPr>
        <w:t xml:space="preserve">Puede encontrarse información sobre los gTLD y la ICANN en </w:t>
      </w:r>
      <w:hyperlink r:id="rId143" w:history="1">
        <w:r w:rsidRPr="004A3FFC">
          <w:rPr>
            <w:rStyle w:val="Hyperlink"/>
            <w:rFonts w:cstheme="minorHAnsi"/>
            <w:lang w:val="es-ES"/>
          </w:rPr>
          <w:t>http://www.icann.org/en/resources/registries/about</w:t>
        </w:r>
      </w:hyperlink>
      <w:r w:rsidRPr="00862632">
        <w:rPr>
          <w:rFonts w:cstheme="minorHAnsi"/>
          <w:lang w:val="es-ES"/>
        </w:rPr>
        <w:t>.</w:t>
      </w:r>
    </w:p>
  </w:footnote>
  <w:footnote w:id="144">
    <w:p w:rsidR="00831322" w:rsidRPr="00862632" w:rsidRDefault="00831322" w:rsidP="00EF2436">
      <w:pPr>
        <w:pStyle w:val="FootnoteText"/>
        <w:tabs>
          <w:tab w:val="clear" w:pos="425"/>
          <w:tab w:val="left" w:pos="426"/>
        </w:tabs>
        <w:ind w:left="426" w:hanging="426"/>
        <w:rPr>
          <w:rFonts w:cstheme="minorHAnsi"/>
          <w:lang w:val="es-ES"/>
        </w:rPr>
      </w:pPr>
      <w:r w:rsidRPr="003C4DFF">
        <w:rPr>
          <w:rStyle w:val="FootnoteReference"/>
        </w:rPr>
        <w:footnoteRef/>
      </w:r>
      <w:r w:rsidRPr="00862632">
        <w:rPr>
          <w:rFonts w:cstheme="minorHAnsi"/>
          <w:lang w:val="es-ES"/>
        </w:rPr>
        <w:t xml:space="preserve"> </w:t>
      </w:r>
      <w:r w:rsidRPr="00862632">
        <w:rPr>
          <w:rFonts w:cstheme="minorHAnsi"/>
          <w:lang w:val="es-ES"/>
        </w:rPr>
        <w:tab/>
        <w:t xml:space="preserve">TLDs, Versión 2012082101, última actualización el 22 de agosto de 2012 a las 07:07:02 UTC, </w:t>
      </w:r>
      <w:hyperlink r:id="rId144" w:history="1">
        <w:r w:rsidRPr="00862632">
          <w:rPr>
            <w:rStyle w:val="Hyperlink"/>
            <w:rFonts w:cstheme="minorHAnsi"/>
            <w:lang w:val="es-ES"/>
          </w:rPr>
          <w:t>http://data.iana.org/TLD/tlds-alpha-by-domain.txt</w:t>
        </w:r>
      </w:hyperlink>
      <w:r w:rsidRPr="00862632">
        <w:rPr>
          <w:rFonts w:cstheme="minorHAnsi"/>
          <w:lang w:val="es-ES"/>
        </w:rPr>
        <w:t>.</w:t>
      </w:r>
    </w:p>
  </w:footnote>
  <w:footnote w:id="145">
    <w:p w:rsidR="00831322" w:rsidRPr="00862632" w:rsidRDefault="00831322" w:rsidP="00EF2436">
      <w:pPr>
        <w:pStyle w:val="FootnoteText"/>
        <w:tabs>
          <w:tab w:val="clear" w:pos="425"/>
          <w:tab w:val="left" w:pos="426"/>
        </w:tabs>
        <w:ind w:left="0" w:firstLine="0"/>
        <w:rPr>
          <w:rFonts w:cstheme="minorHAnsi"/>
          <w:lang w:val="es-ES"/>
        </w:rPr>
      </w:pPr>
      <w:r w:rsidRPr="003C4DFF">
        <w:rPr>
          <w:rStyle w:val="FootnoteReference"/>
        </w:rPr>
        <w:footnoteRef/>
      </w:r>
      <w:r w:rsidRPr="00862632">
        <w:rPr>
          <w:rFonts w:cstheme="minorHAnsi"/>
          <w:lang w:val="es-ES"/>
        </w:rPr>
        <w:t xml:space="preserve"> </w:t>
      </w:r>
      <w:r w:rsidRPr="00862632">
        <w:rPr>
          <w:rFonts w:cstheme="minorHAnsi"/>
          <w:lang w:val="es-ES"/>
        </w:rPr>
        <w:tab/>
        <w:t xml:space="preserve">Véase </w:t>
      </w:r>
      <w:hyperlink r:id="rId145" w:history="1">
        <w:r w:rsidRPr="00862632">
          <w:rPr>
            <w:rStyle w:val="Hyperlink"/>
            <w:rFonts w:cstheme="minorHAnsi"/>
            <w:lang w:val="es-ES"/>
          </w:rPr>
          <w:t>http://www.itu.int/en/ITU-T/inr/enum</w:t>
        </w:r>
      </w:hyperlink>
      <w:r w:rsidRPr="00862632">
        <w:rPr>
          <w:rFonts w:cstheme="minorHAnsi"/>
          <w:lang w:val="es-ES"/>
        </w:rPr>
        <w:t>.</w:t>
      </w:r>
    </w:p>
  </w:footnote>
  <w:footnote w:id="146">
    <w:p w:rsidR="00831322" w:rsidRPr="00862632" w:rsidRDefault="00831322" w:rsidP="00A26E96">
      <w:pPr>
        <w:pStyle w:val="FootnoteText"/>
        <w:rPr>
          <w:rFonts w:cstheme="minorHAnsi"/>
          <w:lang w:val="es-ES"/>
        </w:rPr>
      </w:pPr>
      <w:r w:rsidRPr="003C4DFF">
        <w:rPr>
          <w:rStyle w:val="FootnoteReference"/>
        </w:rPr>
        <w:footnoteRef/>
      </w:r>
      <w:r>
        <w:rPr>
          <w:rFonts w:cstheme="minorHAnsi"/>
          <w:lang w:val="es-ES"/>
        </w:rPr>
        <w:tab/>
      </w:r>
      <w:hyperlink r:id="rId146" w:history="1">
        <w:r w:rsidRPr="00A26E96">
          <w:rPr>
            <w:rStyle w:val="Hyperlink"/>
            <w:rFonts w:cstheme="minorHAnsi"/>
            <w:lang w:val="es-ES"/>
          </w:rPr>
          <w:t>Contribución de EE.UU.</w:t>
        </w:r>
      </w:hyperlink>
      <w:r w:rsidRPr="00862632">
        <w:rPr>
          <w:rFonts w:cstheme="minorHAnsi"/>
          <w:lang w:val="es-ES"/>
        </w:rPr>
        <w:t xml:space="preserve"> (2 de octubre de 2012)</w:t>
      </w:r>
      <w:r>
        <w:rPr>
          <w:rFonts w:cstheme="minorHAnsi"/>
          <w:lang w:val="es-ES"/>
        </w:rPr>
        <w:t>.</w:t>
      </w:r>
    </w:p>
  </w:footnote>
  <w:footnote w:id="147">
    <w:p w:rsidR="00831322" w:rsidRPr="00862632" w:rsidRDefault="00831322" w:rsidP="00A26E96">
      <w:pPr>
        <w:pStyle w:val="FootnoteText"/>
        <w:rPr>
          <w:rFonts w:cstheme="minorHAnsi"/>
          <w:lang w:val="es-ES"/>
        </w:rPr>
      </w:pPr>
      <w:r w:rsidRPr="003C4DFF">
        <w:rPr>
          <w:rStyle w:val="FootnoteReference"/>
        </w:rPr>
        <w:footnoteRef/>
      </w:r>
      <w:r w:rsidRPr="00862632">
        <w:rPr>
          <w:rFonts w:cstheme="minorHAnsi"/>
          <w:lang w:val="es-ES"/>
        </w:rPr>
        <w:t xml:space="preserve"> </w:t>
      </w:r>
      <w:r>
        <w:rPr>
          <w:rFonts w:cstheme="minorHAnsi"/>
          <w:lang w:val="es-ES"/>
        </w:rPr>
        <w:tab/>
      </w:r>
      <w:hyperlink r:id="rId147" w:history="1">
        <w:r w:rsidRPr="00A26E96">
          <w:rPr>
            <w:rStyle w:val="Hyperlink"/>
            <w:rFonts w:cstheme="minorHAnsi"/>
            <w:lang w:val="es-ES"/>
          </w:rPr>
          <w:t>Contribución de EE.UU.</w:t>
        </w:r>
      </w:hyperlink>
      <w:r w:rsidRPr="00862632">
        <w:rPr>
          <w:rFonts w:cstheme="minorHAnsi"/>
          <w:lang w:val="es-ES"/>
        </w:rPr>
        <w:t xml:space="preserve"> (2 de octubre de 2012)</w:t>
      </w:r>
      <w:r>
        <w:rPr>
          <w:rFonts w:cstheme="minorHAnsi"/>
          <w:lang w:val="es-ES"/>
        </w:rPr>
        <w:t>.</w:t>
      </w:r>
      <w:r w:rsidRPr="00862632">
        <w:rPr>
          <w:rFonts w:cstheme="minorHAnsi"/>
          <w:lang w:val="es-ES"/>
        </w:rPr>
        <w:t xml:space="preserve"> Además, de acuerdo con la NTIA, este tipo de cambio del DNS probablemente aumentará la confianza y capacidad de elección del consumidor , y reforzará la naturaleza mundial de Internet: Testimonio de Fiona M. Alexander, Administrador Asociado, NTIA, US Department of Commerce (DoC), Audición sobre la Ampliación de dominios de nivel superior por la ICANN, 4-8 de diciembre de 2011; </w:t>
      </w:r>
      <w:hyperlink r:id="rId148" w:history="1">
        <w:r w:rsidRPr="004A3FFC">
          <w:rPr>
            <w:rStyle w:val="Hyperlink"/>
            <w:rFonts w:cstheme="minorHAnsi"/>
            <w:lang w:val="es-ES"/>
          </w:rPr>
          <w:t>http://www.ntia.doc.gov/speechtestimany/2011/testimony-associate-administrator-alexander-icann-s-expansion-top-level-domains</w:t>
        </w:r>
      </w:hyperlink>
      <w:r w:rsidRPr="00862632">
        <w:rPr>
          <w:rFonts w:cstheme="minorHAnsi"/>
          <w:lang w:val="es-ES"/>
        </w:rPr>
        <w:t>.</w:t>
      </w:r>
    </w:p>
  </w:footnote>
  <w:footnote w:id="148">
    <w:p w:rsidR="00831322" w:rsidRPr="00862632" w:rsidRDefault="00831322" w:rsidP="00CD7920">
      <w:pPr>
        <w:pStyle w:val="FootnoteText"/>
        <w:rPr>
          <w:rFonts w:cstheme="minorHAnsi"/>
          <w:lang w:val="es-ES"/>
        </w:rPr>
      </w:pPr>
      <w:r w:rsidRPr="003C4DFF">
        <w:rPr>
          <w:rStyle w:val="FootnoteReference"/>
        </w:rPr>
        <w:footnoteRef/>
      </w:r>
      <w:r w:rsidRPr="00862632">
        <w:rPr>
          <w:rFonts w:cstheme="minorHAnsi"/>
          <w:lang w:val="es-ES"/>
        </w:rPr>
        <w:t xml:space="preserve"> </w:t>
      </w:r>
      <w:r>
        <w:rPr>
          <w:rFonts w:cstheme="minorHAnsi"/>
          <w:lang w:val="es-ES"/>
        </w:rPr>
        <w:tab/>
      </w:r>
      <w:hyperlink r:id="rId149" w:history="1">
        <w:r w:rsidRPr="00CD7920">
          <w:rPr>
            <w:rStyle w:val="Hyperlink"/>
          </w:rPr>
          <w:t>Contribución</w:t>
        </w:r>
        <w:r w:rsidRPr="00CD7920">
          <w:rPr>
            <w:rStyle w:val="Hyperlink"/>
            <w:lang w:val="es-ES"/>
          </w:rPr>
          <w:t xml:space="preserve"> de Nominet</w:t>
        </w:r>
      </w:hyperlink>
      <w:r w:rsidRPr="00862632">
        <w:rPr>
          <w:rFonts w:cstheme="minorHAnsi"/>
          <w:lang w:val="es-ES"/>
        </w:rPr>
        <w:t xml:space="preserve"> (30 de septiembre de 2012).</w:t>
      </w:r>
    </w:p>
  </w:footnote>
  <w:footnote w:id="149">
    <w:p w:rsidR="00831322" w:rsidRPr="00862632" w:rsidRDefault="00831322">
      <w:pPr>
        <w:pStyle w:val="FootnoteText"/>
        <w:rPr>
          <w:rFonts w:cstheme="minorHAnsi"/>
          <w:lang w:val="es-ES"/>
        </w:rPr>
      </w:pPr>
      <w:r w:rsidRPr="003C4DFF">
        <w:rPr>
          <w:rStyle w:val="FootnoteReference"/>
        </w:rPr>
        <w:footnoteRef/>
      </w:r>
      <w:r w:rsidRPr="00862632">
        <w:rPr>
          <w:rFonts w:cstheme="minorHAnsi"/>
          <w:lang w:val="es-ES"/>
        </w:rPr>
        <w:t xml:space="preserve"> </w:t>
      </w:r>
      <w:r>
        <w:rPr>
          <w:rFonts w:cstheme="minorHAnsi"/>
          <w:lang w:val="es-ES"/>
        </w:rPr>
        <w:tab/>
      </w:r>
      <w:hyperlink r:id="rId150" w:history="1">
        <w:r w:rsidRPr="006B4E25">
          <w:rPr>
            <w:rStyle w:val="Hyperlink"/>
            <w:rFonts w:cstheme="minorHAnsi"/>
            <w:lang w:val="es-ES"/>
          </w:rPr>
          <w:t>Daniel L. Jaffe, Vicepresidente de la Association of National Advertisers (ANA), The US House Energy and Commerce Committee, 14 de diciembre de 2011</w:t>
        </w:r>
      </w:hyperlink>
      <w:r w:rsidRPr="00862632">
        <w:rPr>
          <w:rFonts w:cstheme="minorHAnsi"/>
          <w:lang w:val="es-ES"/>
        </w:rPr>
        <w:t>; Jon Leibowitz, The US Federal Trade Commission (FTC), Audición ante el House Judiciary Subcommitee on Intellectual Property, Competition and the Internet, 7 de diciembre de 2011.</w:t>
      </w:r>
    </w:p>
  </w:footnote>
  <w:footnote w:id="150">
    <w:p w:rsidR="00831322" w:rsidRPr="00942C19" w:rsidRDefault="00831322" w:rsidP="00016723">
      <w:pPr>
        <w:pStyle w:val="FootnoteText"/>
      </w:pPr>
      <w:r w:rsidRPr="003C4DFF">
        <w:rPr>
          <w:rStyle w:val="FootnoteReference"/>
        </w:rPr>
        <w:footnoteRef/>
      </w:r>
      <w:r w:rsidRPr="00862632">
        <w:rPr>
          <w:rFonts w:cstheme="minorHAnsi"/>
          <w:lang w:val="es-ES"/>
        </w:rPr>
        <w:t xml:space="preserve"> </w:t>
      </w:r>
      <w:r w:rsidRPr="00862632">
        <w:rPr>
          <w:rFonts w:cstheme="minorHAnsi"/>
          <w:lang w:val="es-ES"/>
        </w:rPr>
        <w:tab/>
      </w:r>
      <w:hyperlink r:id="rId151" w:history="1">
        <w:r w:rsidRPr="00862632">
          <w:rPr>
            <w:rStyle w:val="Hyperlink"/>
            <w:rFonts w:cstheme="minorHAnsi"/>
            <w:lang w:val="es-ES"/>
          </w:rPr>
          <w:t>Consumer Protection Concerns Regarding New gTLDs, the US Federal Trade Commission, December 16, 2011</w:t>
        </w:r>
      </w:hyperlink>
      <w:hyperlink r:id="rId152" w:history="1"/>
      <w:r w:rsidRPr="00862632">
        <w:rPr>
          <w:rStyle w:val="HTMLCite"/>
          <w:rFonts w:cstheme="minorHAnsi"/>
          <w:lang w:val="es-ES"/>
        </w:rPr>
        <w:t xml:space="preserve">; </w:t>
      </w:r>
      <w:hyperlink r:id="rId153" w:history="1">
        <w:r w:rsidRPr="00862632">
          <w:rPr>
            <w:rStyle w:val="Hyperlink"/>
            <w:rFonts w:cstheme="minorHAnsi"/>
            <w:lang w:val="es-ES"/>
          </w:rPr>
          <w:t>Concerns about the new gTLD Expansion, Congress of the United States,</w:t>
        </w:r>
        <w:r w:rsidR="00016723">
          <w:rPr>
            <w:rStyle w:val="Hyperlink"/>
            <w:rFonts w:cstheme="minorHAnsi"/>
            <w:lang w:val="es-ES"/>
          </w:rPr>
          <w:t xml:space="preserve"> </w:t>
        </w:r>
        <w:r w:rsidRPr="00862632">
          <w:rPr>
            <w:rStyle w:val="Hyperlink"/>
            <w:rFonts w:cstheme="minorHAnsi"/>
            <w:lang w:val="es-ES"/>
          </w:rPr>
          <w:t>August 7, 2012</w:t>
        </w:r>
      </w:hyperlink>
      <w:r w:rsidRPr="00862632">
        <w:rPr>
          <w:rFonts w:cstheme="minorHAnsi"/>
          <w:lang w:val="es-ES"/>
        </w:rPr>
        <w:t>.</w:t>
      </w:r>
    </w:p>
  </w:footnote>
  <w:footnote w:id="151">
    <w:p w:rsidR="00831322" w:rsidRPr="00862632" w:rsidRDefault="00831322" w:rsidP="00016723">
      <w:pPr>
        <w:pStyle w:val="FootnoteText"/>
        <w:rPr>
          <w:rFonts w:cstheme="minorHAnsi"/>
          <w:lang w:val="es-ES"/>
        </w:rPr>
      </w:pPr>
      <w:r w:rsidRPr="003C4DFF">
        <w:rPr>
          <w:rStyle w:val="FootnoteReference"/>
        </w:rPr>
        <w:footnoteRef/>
      </w:r>
      <w:r w:rsidRPr="00862632">
        <w:rPr>
          <w:rFonts w:cstheme="minorHAnsi"/>
          <w:lang w:val="es-ES"/>
        </w:rPr>
        <w:t xml:space="preserve"> </w:t>
      </w:r>
      <w:r>
        <w:rPr>
          <w:rFonts w:cstheme="minorHAnsi"/>
          <w:lang w:val="es-ES"/>
        </w:rPr>
        <w:tab/>
      </w:r>
      <w:r w:rsidRPr="00862632">
        <w:rPr>
          <w:rFonts w:cstheme="minorHAnsi"/>
          <w:lang w:val="es-ES"/>
        </w:rPr>
        <w:t>Durante el debate sobre la adaptación de la raíz, se convino en que la ICANN no delegaría más</w:t>
      </w:r>
      <w:r w:rsidR="00016723">
        <w:rPr>
          <w:rFonts w:cstheme="minorHAnsi"/>
          <w:lang w:val="es-ES"/>
        </w:rPr>
        <w:t xml:space="preserve"> </w:t>
      </w:r>
      <w:r w:rsidRPr="00862632">
        <w:rPr>
          <w:rFonts w:cstheme="minorHAnsi"/>
          <w:lang w:val="es-ES"/>
        </w:rPr>
        <w:t xml:space="preserve">de 1 000 TLD al año. </w:t>
      </w:r>
      <w:hyperlink r:id="rId154" w:history="1">
        <w:r w:rsidRPr="004A3FFC">
          <w:rPr>
            <w:rStyle w:val="Hyperlink"/>
            <w:rFonts w:cstheme="minorHAnsi"/>
            <w:lang w:val="es-ES"/>
          </w:rPr>
          <w:t>http://newgtids.icann.org/en/announcements-and-media/announcement-29jul12-en</w:t>
        </w:r>
      </w:hyperlink>
      <w:r w:rsidRPr="00862632">
        <w:rPr>
          <w:rFonts w:cstheme="minorHAnsi"/>
          <w:lang w:val="es-ES"/>
        </w:rPr>
        <w:t>.</w:t>
      </w:r>
    </w:p>
  </w:footnote>
  <w:footnote w:id="152">
    <w:p w:rsidR="00831322" w:rsidRPr="00862632" w:rsidRDefault="00831322" w:rsidP="006B4E25">
      <w:pPr>
        <w:pStyle w:val="FootnoteText"/>
        <w:rPr>
          <w:rFonts w:cstheme="minorHAnsi"/>
          <w:lang w:val="es-ES"/>
        </w:rPr>
      </w:pPr>
      <w:r w:rsidRPr="003C4DFF">
        <w:rPr>
          <w:rStyle w:val="FootnoteReference"/>
        </w:rPr>
        <w:footnoteRef/>
      </w:r>
      <w:r w:rsidRPr="00862632">
        <w:rPr>
          <w:rFonts w:cstheme="minorHAnsi"/>
          <w:lang w:val="es-ES"/>
        </w:rPr>
        <w:t xml:space="preserve"> </w:t>
      </w:r>
      <w:r>
        <w:rPr>
          <w:rFonts w:cstheme="minorHAnsi"/>
          <w:lang w:val="es-ES"/>
        </w:rPr>
        <w:tab/>
      </w:r>
      <w:hyperlink r:id="rId155" w:history="1">
        <w:r w:rsidRPr="00A26E96">
          <w:rPr>
            <w:rStyle w:val="Hyperlink"/>
            <w:rFonts w:cstheme="minorHAnsi"/>
            <w:lang w:val="es-ES"/>
          </w:rPr>
          <w:t>Contribución de EE.UU.</w:t>
        </w:r>
      </w:hyperlink>
      <w:r w:rsidRPr="00862632">
        <w:rPr>
          <w:rFonts w:cstheme="minorHAnsi"/>
          <w:lang w:val="es-ES"/>
        </w:rPr>
        <w:t xml:space="preserve"> (2 de octubre de 2012). El personal de la ICANN ha declarado también que considera que la tasa de delegación será inferior a 1000 nuevos TLD en la raíz al año; </w:t>
      </w:r>
      <w:hyperlink r:id="rId156" w:history="1">
        <w:r w:rsidRPr="006B4E25">
          <w:rPr>
            <w:rStyle w:val="Hyperlink"/>
            <w:rFonts w:cstheme="minorHAnsi"/>
            <w:lang w:val="es-ES"/>
          </w:rPr>
          <w:t>Reunión de la Junta GAC-ICANN, ICANN 42, 25 de octubre de 2011</w:t>
        </w:r>
      </w:hyperlink>
      <w:r w:rsidRPr="00862632">
        <w:rPr>
          <w:rFonts w:cstheme="minorHAnsi"/>
          <w:lang w:val="es-ES"/>
        </w:rPr>
        <w:t xml:space="preserve">; </w:t>
      </w:r>
      <w:hyperlink r:id="rId157" w:history="1">
        <w:r w:rsidRPr="006B4E25">
          <w:rPr>
            <w:rStyle w:val="Hyperlink"/>
            <w:rFonts w:cstheme="minorHAnsi"/>
            <w:lang w:val="es-ES"/>
          </w:rPr>
          <w:t>Consulta de la Junta GAC-ICANN, Adaptación de la zona raíz, 21 de febrero de 2011</w:t>
        </w:r>
      </w:hyperlink>
      <w:r w:rsidRPr="00862632">
        <w:rPr>
          <w:rFonts w:cstheme="minorHAnsi"/>
          <w:lang w:val="es-ES"/>
        </w:rPr>
        <w:t xml:space="preserve">; </w:t>
      </w:r>
      <w:hyperlink r:id="rId158" w:history="1">
        <w:r w:rsidRPr="006B4E25">
          <w:rPr>
            <w:rStyle w:val="Hyperlink"/>
            <w:rFonts w:cstheme="minorHAnsi"/>
            <w:lang w:val="es-ES"/>
          </w:rPr>
          <w:t>"Scaling the Root Report on the Impact on the DNS Root System of Increasing the Size and Volatility of the Root Zone", 31 de agosto de 2009</w:t>
        </w:r>
      </w:hyperlink>
      <w:r w:rsidRPr="00862632">
        <w:rPr>
          <w:rFonts w:cstheme="minorHAnsi"/>
          <w:lang w:val="es-ES"/>
        </w:rPr>
        <w:t xml:space="preserve">; y </w:t>
      </w:r>
      <w:hyperlink r:id="rId159" w:history="1">
        <w:r w:rsidRPr="006B4E25">
          <w:rPr>
            <w:rStyle w:val="Hyperlink"/>
            <w:rFonts w:cstheme="minorHAnsi"/>
            <w:lang w:val="es-ES"/>
          </w:rPr>
          <w:t>Summary of Impact of Root Zone Scaling, octubre de 2010</w:t>
        </w:r>
      </w:hyperlink>
      <w:r w:rsidRPr="00862632">
        <w:rPr>
          <w:rFonts w:cstheme="minorHAnsi"/>
          <w:lang w:val="es-ES"/>
        </w:rPr>
        <w:t>.</w:t>
      </w:r>
    </w:p>
  </w:footnote>
  <w:footnote w:id="153">
    <w:p w:rsidR="00831322" w:rsidRPr="00862632" w:rsidRDefault="00831322" w:rsidP="00942C19">
      <w:pPr>
        <w:pStyle w:val="FootnoteText"/>
        <w:rPr>
          <w:lang w:val="es-ES"/>
        </w:rPr>
      </w:pPr>
      <w:r w:rsidRPr="003C4DFF">
        <w:rPr>
          <w:rStyle w:val="FootnoteReference"/>
        </w:rPr>
        <w:footnoteRef/>
      </w:r>
      <w:r w:rsidRPr="00862632">
        <w:rPr>
          <w:lang w:val="es-ES"/>
        </w:rPr>
        <w:t xml:space="preserve"> </w:t>
      </w:r>
      <w:r w:rsidRPr="00862632">
        <w:rPr>
          <w:lang w:val="es-ES"/>
        </w:rPr>
        <w:tab/>
        <w:t>Nuevos gTLD: ¿</w:t>
      </w:r>
      <w:r w:rsidRPr="00942C19">
        <w:t>Competencia</w:t>
      </w:r>
      <w:r w:rsidRPr="00862632">
        <w:rPr>
          <w:lang w:val="es-ES"/>
        </w:rPr>
        <w:t xml:space="preserve"> o concentración? ¿Innovación o dominación?, Phil Corwin, 6 de junio de 2012, en </w:t>
      </w:r>
      <w:hyperlink r:id="rId160" w:history="1">
        <w:r w:rsidRPr="00862632">
          <w:rPr>
            <w:rStyle w:val="Hyperlink"/>
            <w:rFonts w:cstheme="minorHAnsi"/>
            <w:lang w:val="es-ES"/>
          </w:rPr>
          <w:t>http://www.domainnamenews.com/new-gtlds/new-gtlds-competition-or-concentration-innovation-or-domination/11833</w:t>
        </w:r>
      </w:hyperlink>
      <w:r w:rsidRPr="00862632">
        <w:rPr>
          <w:lang w:val="es-ES"/>
        </w:rPr>
        <w:t>.</w:t>
      </w:r>
    </w:p>
  </w:footnote>
  <w:footnote w:id="154">
    <w:p w:rsidR="00831322" w:rsidRPr="00862632" w:rsidRDefault="00831322" w:rsidP="007F0BA7">
      <w:pPr>
        <w:pStyle w:val="FootnoteText"/>
        <w:rPr>
          <w:lang w:val="es-ES"/>
        </w:rPr>
      </w:pPr>
      <w:r w:rsidRPr="003C4DFF">
        <w:rPr>
          <w:rStyle w:val="FootnoteReference"/>
        </w:rPr>
        <w:footnoteRef/>
      </w:r>
      <w:r w:rsidRPr="00862632">
        <w:rPr>
          <w:lang w:val="es-ES"/>
        </w:rPr>
        <w:t xml:space="preserve"> </w:t>
      </w:r>
      <w:r w:rsidRPr="00862632">
        <w:rPr>
          <w:lang w:val="es-ES"/>
        </w:rPr>
        <w:tab/>
        <w:t xml:space="preserve">Cross Ownership Issues, carta de Lawrence Strickling (the US DoC, NTIA) a la ICANN, 16 de junio de 2011, en </w:t>
      </w:r>
      <w:hyperlink r:id="rId161" w:history="1">
        <w:r w:rsidRPr="00862632">
          <w:rPr>
            <w:rStyle w:val="Hyperlink"/>
            <w:rFonts w:cstheme="minorHAnsi"/>
            <w:lang w:val="es-ES"/>
          </w:rPr>
          <w:t>http://www.icann.org/en/correspondence/strickling-to-dengate-thrush-16jun11-en.pdf</w:t>
        </w:r>
      </w:hyperlink>
      <w:r w:rsidRPr="00862632">
        <w:rPr>
          <w:lang w:val="es-ES"/>
        </w:rPr>
        <w:t xml:space="preserve">. </w:t>
      </w:r>
    </w:p>
  </w:footnote>
  <w:footnote w:id="155">
    <w:p w:rsidR="00831322" w:rsidRPr="00862632" w:rsidRDefault="00831322" w:rsidP="00942C19">
      <w:pPr>
        <w:pStyle w:val="FootnoteText"/>
        <w:rPr>
          <w:rFonts w:cstheme="minorHAnsi"/>
          <w:lang w:val="es-ES"/>
        </w:rPr>
      </w:pPr>
      <w:r w:rsidRPr="00862632">
        <w:rPr>
          <w:rStyle w:val="FootnoteReference"/>
          <w:rFonts w:asciiTheme="minorHAnsi" w:hAnsiTheme="minorHAnsi" w:cstheme="minorHAnsi"/>
          <w:lang w:val="es-ES"/>
        </w:rPr>
        <w:footnoteRef/>
      </w:r>
      <w:r w:rsidRPr="00862632">
        <w:rPr>
          <w:rFonts w:cstheme="minorHAnsi"/>
          <w:lang w:val="es-ES"/>
        </w:rPr>
        <w:t xml:space="preserve"> </w:t>
      </w:r>
      <w:r>
        <w:rPr>
          <w:rFonts w:cstheme="minorHAnsi"/>
          <w:lang w:val="es-ES"/>
        </w:rPr>
        <w:tab/>
      </w:r>
      <w:r w:rsidRPr="00862632">
        <w:rPr>
          <w:rFonts w:cstheme="minorHAnsi"/>
          <w:lang w:val="es-ES"/>
        </w:rPr>
        <w:t xml:space="preserve">Rationale for Board Decision on Economics Studies Associated with the New gTLD Program, ICANN, 21 de marzo de 2011, disponible en: </w:t>
      </w:r>
      <w:hyperlink r:id="rId162" w:history="1">
        <w:r w:rsidRPr="004A3FFC">
          <w:rPr>
            <w:rStyle w:val="Hyperlink"/>
            <w:rFonts w:cstheme="minorHAnsi"/>
            <w:lang w:val="es-ES"/>
          </w:rPr>
          <w:t>http://www.icann.org/en/groups/board/documents/rationale-economic-studies-21mar11-en</w:t>
        </w:r>
      </w:hyperlink>
      <w:r w:rsidRPr="00862632">
        <w:rPr>
          <w:rFonts w:cstheme="minorHAnsi"/>
          <w:lang w:val="es-ES"/>
        </w:rPr>
        <w:t>.</w:t>
      </w:r>
    </w:p>
  </w:footnote>
  <w:footnote w:id="156">
    <w:p w:rsidR="00831322" w:rsidRPr="00862632" w:rsidRDefault="00831322" w:rsidP="00CA71FF">
      <w:pPr>
        <w:pStyle w:val="FootnoteText"/>
        <w:rPr>
          <w:rStyle w:val="Hyperlink"/>
          <w:rFonts w:eastAsia="Lucida Sans Unicode" w:cstheme="minorHAnsi"/>
          <w:lang w:val="es-ES" w:bidi="en-US"/>
        </w:rPr>
      </w:pPr>
      <w:r w:rsidRPr="003C4DFF">
        <w:rPr>
          <w:rStyle w:val="FootnoteReference"/>
        </w:rPr>
        <w:footnoteRef/>
      </w:r>
      <w:r w:rsidRPr="00862632">
        <w:rPr>
          <w:vertAlign w:val="superscript"/>
          <w:lang w:val="es-ES"/>
        </w:rPr>
        <w:t xml:space="preserve"> </w:t>
      </w:r>
      <w:r w:rsidRPr="00862632">
        <w:rPr>
          <w:lang w:val="es-ES"/>
        </w:rPr>
        <w:tab/>
        <w:t>ICANN</w:t>
      </w:r>
      <w:r>
        <w:rPr>
          <w:lang w:val="es-ES"/>
        </w:rPr>
        <w:t>'</w:t>
      </w:r>
      <w:r w:rsidRPr="00862632">
        <w:rPr>
          <w:lang w:val="es-ES"/>
        </w:rPr>
        <w:t xml:space="preserve">s Escape from Antitrust Liability, Justin T. Lepp, 89 Wash. U. L. Rev. 931 (2012), en </w:t>
      </w:r>
      <w:hyperlink r:id="rId163" w:history="1">
        <w:r w:rsidRPr="00862632">
          <w:rPr>
            <w:rStyle w:val="Hyperlink"/>
            <w:rFonts w:eastAsia="Lucida Sans Unicode" w:cstheme="minorHAnsi"/>
            <w:lang w:val="es-ES" w:bidi="en-US"/>
          </w:rPr>
          <w:t>http://lawreview.wustl.edu/in-print/icanns-escape-from-antitrust-liability/</w:t>
        </w:r>
      </w:hyperlink>
      <w:r w:rsidRPr="00862632">
        <w:rPr>
          <w:rStyle w:val="Hyperlink"/>
          <w:rFonts w:eastAsia="Lucida Sans Unicode" w:cstheme="minorHAnsi"/>
          <w:lang w:val="es-ES" w:bidi="en-US"/>
        </w:rPr>
        <w:t>.</w:t>
      </w:r>
    </w:p>
  </w:footnote>
  <w:footnote w:id="157">
    <w:p w:rsidR="00831322" w:rsidRPr="00862632" w:rsidRDefault="00831322" w:rsidP="001A7B7E">
      <w:pPr>
        <w:pStyle w:val="FootnoteText"/>
        <w:rPr>
          <w:rFonts w:cstheme="minorHAnsi"/>
          <w:lang w:val="es-ES"/>
        </w:rPr>
      </w:pPr>
      <w:r w:rsidRPr="003C4DFF">
        <w:rPr>
          <w:rStyle w:val="FootnoteReference"/>
        </w:rPr>
        <w:footnoteRef/>
      </w:r>
      <w:r>
        <w:rPr>
          <w:rFonts w:cstheme="minorHAnsi"/>
          <w:lang w:val="es-ES"/>
        </w:rPr>
        <w:tab/>
      </w:r>
      <w:hyperlink r:id="rId164" w:history="1">
        <w:r w:rsidRPr="001A7B7E">
          <w:rPr>
            <w:rStyle w:val="Hyperlink"/>
            <w:rFonts w:cstheme="minorHAnsi"/>
            <w:lang w:val="es-ES"/>
          </w:rPr>
          <w:t>Economic Framework for the Analysis of the Expansion of Generic Top-Level Domain Names</w:t>
        </w:r>
      </w:hyperlink>
      <w:r w:rsidRPr="00862632">
        <w:rPr>
          <w:rFonts w:cstheme="minorHAnsi"/>
          <w:lang w:val="es-ES"/>
        </w:rPr>
        <w:t xml:space="preserve"> (junio de 2010); </w:t>
      </w:r>
      <w:hyperlink r:id="rId165" w:history="1">
        <w:r w:rsidRPr="001A7B7E">
          <w:rPr>
            <w:rStyle w:val="Hyperlink"/>
            <w:rFonts w:cstheme="minorHAnsi"/>
            <w:lang w:val="es-ES"/>
          </w:rPr>
          <w:t>Economic Considerations in the Expansion of Generic Top-Level Domain Names, Phase II Report: Case Studies (Phase II Report)</w:t>
        </w:r>
      </w:hyperlink>
      <w:r w:rsidRPr="00862632">
        <w:rPr>
          <w:rFonts w:cstheme="minorHAnsi"/>
          <w:lang w:val="es-ES"/>
        </w:rPr>
        <w:t xml:space="preserve">; y véase también </w:t>
      </w:r>
      <w:hyperlink r:id="rId166" w:history="1">
        <w:r w:rsidRPr="001A7B7E">
          <w:rPr>
            <w:rStyle w:val="Hyperlink"/>
            <w:rFonts w:cstheme="minorHAnsi"/>
            <w:lang w:val="es-ES"/>
          </w:rPr>
          <w:t>Rationale for Board Decision on Economic Studies Associated with the New gTLD Program, 21 de marzo de 2011</w:t>
        </w:r>
      </w:hyperlink>
      <w:r w:rsidRPr="00862632">
        <w:rPr>
          <w:rFonts w:cstheme="minorHAnsi"/>
          <w:lang w:val="es-ES"/>
        </w:rPr>
        <w:t xml:space="preserve">; la ICANN se ha comprometido a seguir estudiando las repercusiones del nuevo programa gTLD [origen: </w:t>
      </w:r>
      <w:hyperlink r:id="rId167" w:history="1">
        <w:r w:rsidRPr="001A7B7E">
          <w:rPr>
            <w:rStyle w:val="Hyperlink"/>
            <w:rFonts w:cstheme="minorHAnsi"/>
            <w:lang w:val="es-ES"/>
          </w:rPr>
          <w:t>EE.UU.</w:t>
        </w:r>
      </w:hyperlink>
      <w:r w:rsidRPr="00862632">
        <w:rPr>
          <w:rFonts w:cstheme="minorHAnsi"/>
          <w:lang w:val="es-ES"/>
        </w:rPr>
        <w:t>].</w:t>
      </w:r>
    </w:p>
  </w:footnote>
  <w:footnote w:id="158">
    <w:p w:rsidR="00831322" w:rsidRPr="00862632" w:rsidRDefault="00831322" w:rsidP="00A26E96">
      <w:pPr>
        <w:pStyle w:val="FootnoteText"/>
        <w:rPr>
          <w:rFonts w:cstheme="minorHAnsi"/>
          <w:lang w:val="es-ES"/>
        </w:rPr>
      </w:pPr>
      <w:r w:rsidRPr="003C4DFF">
        <w:rPr>
          <w:rStyle w:val="FootnoteReference"/>
        </w:rPr>
        <w:footnoteRef/>
      </w:r>
      <w:r w:rsidRPr="00862632">
        <w:rPr>
          <w:rFonts w:cstheme="minorHAnsi"/>
          <w:lang w:val="es-ES"/>
        </w:rPr>
        <w:t xml:space="preserve"> </w:t>
      </w:r>
      <w:r>
        <w:rPr>
          <w:rFonts w:cstheme="minorHAnsi"/>
          <w:lang w:val="es-ES"/>
        </w:rPr>
        <w:tab/>
      </w:r>
      <w:hyperlink r:id="rId168" w:history="1">
        <w:r w:rsidRPr="00A26E96">
          <w:rPr>
            <w:rStyle w:val="Hyperlink"/>
            <w:rFonts w:cstheme="minorHAnsi"/>
            <w:lang w:val="es-ES"/>
          </w:rPr>
          <w:t>Contribución de EE.UU.</w:t>
        </w:r>
      </w:hyperlink>
      <w:r w:rsidRPr="00862632">
        <w:rPr>
          <w:rFonts w:cstheme="minorHAnsi"/>
          <w:lang w:val="es-ES"/>
        </w:rPr>
        <w:t xml:space="preserve"> (2 de octubre de 2012).</w:t>
      </w:r>
    </w:p>
  </w:footnote>
  <w:footnote w:id="159">
    <w:p w:rsidR="00831322" w:rsidRPr="00862632" w:rsidRDefault="00831322" w:rsidP="00B740D0">
      <w:pPr>
        <w:pStyle w:val="FootnoteText"/>
        <w:tabs>
          <w:tab w:val="clear" w:pos="425"/>
          <w:tab w:val="clear" w:pos="794"/>
          <w:tab w:val="left" w:pos="426"/>
        </w:tabs>
        <w:ind w:left="426" w:hanging="426"/>
        <w:rPr>
          <w:rFonts w:cstheme="minorHAnsi"/>
          <w:lang w:val="es-ES"/>
        </w:rPr>
      </w:pPr>
      <w:r w:rsidRPr="003C4DFF">
        <w:rPr>
          <w:rStyle w:val="FootnoteReference"/>
        </w:rPr>
        <w:footnoteRef/>
      </w:r>
      <w:r w:rsidRPr="00862632">
        <w:rPr>
          <w:rFonts w:cstheme="minorHAnsi"/>
          <w:lang w:val="es-ES"/>
        </w:rPr>
        <w:t xml:space="preserve"> </w:t>
      </w:r>
      <w:r w:rsidRPr="00862632">
        <w:rPr>
          <w:rFonts w:cstheme="minorHAnsi"/>
          <w:lang w:val="es-ES"/>
        </w:rPr>
        <w:tab/>
      </w:r>
      <w:hyperlink r:id="rId169" w:history="1">
        <w:r w:rsidRPr="00862632">
          <w:rPr>
            <w:rStyle w:val="Hyperlink"/>
            <w:rFonts w:cstheme="minorHAnsi"/>
            <w:lang w:val="es-ES"/>
          </w:rPr>
          <w:t>Defensive Registrations for New gTLDS, ANA, 7 May 2012</w:t>
        </w:r>
      </w:hyperlink>
      <w:r w:rsidRPr="00862632">
        <w:rPr>
          <w:rFonts w:cstheme="minorHAnsi"/>
          <w:lang w:val="es-ES"/>
        </w:rPr>
        <w:t xml:space="preserve">; </w:t>
      </w:r>
      <w:hyperlink r:id="rId170" w:history="1">
        <w:r w:rsidRPr="00862632">
          <w:rPr>
            <w:rStyle w:val="Hyperlink"/>
            <w:rFonts w:cstheme="minorHAnsi"/>
            <w:lang w:val="es-ES"/>
          </w:rPr>
          <w:t>Mallory Duncan, Vice President, National Retail Federation, October 21, 2011</w:t>
        </w:r>
      </w:hyperlink>
      <w:r>
        <w:rPr>
          <w:rFonts w:cstheme="minorHAnsi"/>
          <w:lang w:val="es-ES"/>
        </w:rPr>
        <w:t>.</w:t>
      </w:r>
    </w:p>
  </w:footnote>
  <w:footnote w:id="160">
    <w:p w:rsidR="00831322" w:rsidRPr="00862632" w:rsidRDefault="00831322" w:rsidP="00CA71FF">
      <w:pPr>
        <w:pStyle w:val="FootnoteText"/>
        <w:rPr>
          <w:rFonts w:cstheme="minorHAnsi"/>
          <w:lang w:val="es-ES"/>
        </w:rPr>
      </w:pPr>
      <w:r w:rsidRPr="003C4DFF">
        <w:rPr>
          <w:rStyle w:val="FootnoteReference"/>
        </w:rPr>
        <w:footnoteRef/>
      </w:r>
      <w:r w:rsidRPr="003C4DFF">
        <w:rPr>
          <w:rStyle w:val="FootnoteReference"/>
        </w:rPr>
        <w:t xml:space="preserve"> </w:t>
      </w:r>
      <w:r w:rsidRPr="00862632">
        <w:rPr>
          <w:rFonts w:cstheme="minorHAnsi"/>
          <w:lang w:val="es-ES"/>
        </w:rPr>
        <w:tab/>
        <w:t xml:space="preserve">Why The New gTLD Program Remains of Concern to Business, Intellectual Property Owners Association (Appendix), </w:t>
      </w:r>
      <w:hyperlink r:id="rId171" w:history="1">
        <w:r w:rsidRPr="00862632">
          <w:rPr>
            <w:rStyle w:val="Hyperlink"/>
            <w:rFonts w:cstheme="minorHAnsi"/>
            <w:lang w:val="es-ES"/>
          </w:rPr>
          <w:t>http://www.bakerlaw.com/files/Uploads/Documents/News/Articles/INTELLECTUAL%20PROPERTY/2011/IPO_Comments_Einhorn-3-2011.pdf</w:t>
        </w:r>
      </w:hyperlink>
      <w:r w:rsidRPr="00862632">
        <w:rPr>
          <w:rFonts w:cstheme="minorHAnsi"/>
          <w:lang w:val="es-ES"/>
        </w:rPr>
        <w:t>; New gTLD and IDNs for development: Importance and Obstacles, IGF 2010 (Session</w:t>
      </w:r>
      <w:r>
        <w:rPr>
          <w:rFonts w:cstheme="minorHAnsi"/>
          <w:lang w:val="es-ES"/>
        </w:rPr>
        <w:t> </w:t>
      </w:r>
      <w:r w:rsidRPr="00862632">
        <w:rPr>
          <w:rFonts w:cstheme="minorHAnsi"/>
          <w:lang w:val="es-ES"/>
        </w:rPr>
        <w:t xml:space="preserve">61), </w:t>
      </w:r>
      <w:hyperlink r:id="rId172" w:history="1">
        <w:r w:rsidRPr="00862632">
          <w:rPr>
            <w:rStyle w:val="Hyperlink"/>
            <w:rFonts w:cstheme="minorHAnsi"/>
            <w:lang w:val="es-ES"/>
          </w:rPr>
          <w:t>http://www.intgovforum.org/cms/component/content/article/102-transcripts2010/634-61</w:t>
        </w:r>
      </w:hyperlink>
      <w:r w:rsidRPr="00862632">
        <w:rPr>
          <w:rFonts w:cstheme="minorHAnsi"/>
          <w:lang w:val="es-ES"/>
        </w:rPr>
        <w:t>; WIPO Arbitration and Mediation Center observations on ICANN</w:t>
      </w:r>
      <w:r>
        <w:rPr>
          <w:rFonts w:cstheme="minorHAnsi"/>
          <w:lang w:val="es-ES"/>
        </w:rPr>
        <w:t>'</w:t>
      </w:r>
      <w:r w:rsidRPr="00862632">
        <w:rPr>
          <w:rFonts w:cstheme="minorHAnsi"/>
          <w:lang w:val="es-ES"/>
        </w:rPr>
        <w:t xml:space="preserve">s April 2011 Discussion Draft of the New gTLD Applicant Guidebook, Erik Wilbers, </w:t>
      </w:r>
      <w:r w:rsidRPr="00CA71FF">
        <w:t>Director</w:t>
      </w:r>
      <w:r w:rsidRPr="00862632">
        <w:rPr>
          <w:rFonts w:cstheme="minorHAnsi"/>
          <w:lang w:val="es-ES"/>
        </w:rPr>
        <w:t xml:space="preserve"> WIPO Arbitration and Mediation Center, 13 de mayo de 2011, </w:t>
      </w:r>
      <w:hyperlink r:id="rId173" w:history="1">
        <w:r w:rsidRPr="00862632">
          <w:rPr>
            <w:rStyle w:val="Hyperlink"/>
            <w:rFonts w:cstheme="minorHAnsi"/>
            <w:lang w:val="es-ES"/>
          </w:rPr>
          <w:t>http://www.icann.org/en/correspondence/wilbers-to-beckstrom-13may11-en.pdf</w:t>
        </w:r>
      </w:hyperlink>
      <w:r w:rsidRPr="00862632">
        <w:rPr>
          <w:rFonts w:cstheme="minorHAnsi"/>
          <w:lang w:val="es-ES"/>
        </w:rPr>
        <w:t>.</w:t>
      </w:r>
    </w:p>
  </w:footnote>
  <w:footnote w:id="161">
    <w:p w:rsidR="00831322" w:rsidRPr="00862632" w:rsidRDefault="00831322" w:rsidP="00B01478">
      <w:pPr>
        <w:pStyle w:val="FootnoteText"/>
        <w:rPr>
          <w:rFonts w:cstheme="minorHAnsi"/>
          <w:lang w:val="es-ES"/>
        </w:rPr>
      </w:pPr>
      <w:r w:rsidRPr="003C4DFF">
        <w:rPr>
          <w:rStyle w:val="FootnoteReference"/>
        </w:rPr>
        <w:footnoteRef/>
      </w:r>
      <w:r w:rsidRPr="00862632">
        <w:rPr>
          <w:rFonts w:cstheme="minorHAnsi"/>
          <w:lang w:val="es-ES"/>
        </w:rPr>
        <w:t xml:space="preserve"> </w:t>
      </w:r>
      <w:r>
        <w:rPr>
          <w:rFonts w:cstheme="minorHAnsi"/>
          <w:lang w:val="es-ES"/>
        </w:rPr>
        <w:tab/>
      </w:r>
      <w:r w:rsidRPr="00862632">
        <w:rPr>
          <w:rFonts w:cstheme="minorHAnsi"/>
          <w:lang w:val="es-ES"/>
        </w:rPr>
        <w:t xml:space="preserve">Applicant Guidebook, </w:t>
      </w:r>
      <w:hyperlink r:id="rId174" w:history="1">
        <w:r w:rsidRPr="00590BED">
          <w:rPr>
            <w:rStyle w:val="Hyperlink"/>
            <w:rFonts w:cstheme="minorHAnsi"/>
            <w:lang w:val="es-ES"/>
          </w:rPr>
          <w:t>http://newgtids.icann.org/en/applicants/agb</w:t>
        </w:r>
      </w:hyperlink>
      <w:r w:rsidRPr="00862632">
        <w:rPr>
          <w:rFonts w:cstheme="minorHAnsi"/>
          <w:lang w:val="es-ES"/>
        </w:rPr>
        <w:t>.</w:t>
      </w:r>
    </w:p>
  </w:footnote>
  <w:footnote w:id="162">
    <w:p w:rsidR="00831322" w:rsidRPr="00862632" w:rsidRDefault="00831322" w:rsidP="00A26E96">
      <w:pPr>
        <w:pStyle w:val="FootnoteText"/>
        <w:rPr>
          <w:rFonts w:cstheme="minorHAnsi"/>
          <w:lang w:val="es-ES"/>
        </w:rPr>
      </w:pPr>
      <w:r w:rsidRPr="003C4DFF">
        <w:rPr>
          <w:rStyle w:val="FootnoteReference"/>
        </w:rPr>
        <w:footnoteRef/>
      </w:r>
      <w:r w:rsidRPr="00862632">
        <w:rPr>
          <w:rFonts w:cstheme="minorHAnsi"/>
          <w:lang w:val="es-ES"/>
        </w:rPr>
        <w:t xml:space="preserve"> </w:t>
      </w:r>
      <w:r>
        <w:rPr>
          <w:rFonts w:cstheme="minorHAnsi"/>
          <w:lang w:val="es-ES"/>
        </w:rPr>
        <w:tab/>
      </w:r>
      <w:hyperlink r:id="rId175" w:history="1">
        <w:r w:rsidRPr="00A26E96">
          <w:rPr>
            <w:rStyle w:val="Hyperlink"/>
            <w:rFonts w:cstheme="minorHAnsi"/>
            <w:lang w:val="es-ES"/>
          </w:rPr>
          <w:t>Contribución de EE.UU.</w:t>
        </w:r>
      </w:hyperlink>
      <w:r w:rsidRPr="00862632">
        <w:rPr>
          <w:rFonts w:cstheme="minorHAnsi"/>
          <w:lang w:val="es-ES"/>
        </w:rPr>
        <w:t xml:space="preserve"> (2 de octubre de 2012).</w:t>
      </w:r>
    </w:p>
  </w:footnote>
  <w:footnote w:id="163">
    <w:p w:rsidR="00831322" w:rsidRPr="00862632" w:rsidRDefault="00831322" w:rsidP="00016723">
      <w:pPr>
        <w:pStyle w:val="FootnoteText"/>
        <w:tabs>
          <w:tab w:val="clear" w:pos="425"/>
          <w:tab w:val="left" w:pos="426"/>
        </w:tabs>
        <w:ind w:left="426" w:hanging="426"/>
        <w:rPr>
          <w:rFonts w:cstheme="minorHAnsi"/>
          <w:lang w:val="es-ES"/>
        </w:rPr>
      </w:pPr>
      <w:r w:rsidRPr="003C4DFF">
        <w:rPr>
          <w:rStyle w:val="FootnoteReference"/>
        </w:rPr>
        <w:footnoteRef/>
      </w:r>
      <w:r w:rsidRPr="00862632">
        <w:rPr>
          <w:rFonts w:cstheme="minorHAnsi"/>
          <w:lang w:val="es-ES"/>
        </w:rPr>
        <w:t xml:space="preserve"> </w:t>
      </w:r>
      <w:r w:rsidRPr="00862632">
        <w:rPr>
          <w:rFonts w:cstheme="minorHAnsi"/>
          <w:lang w:val="es-ES"/>
        </w:rPr>
        <w:tab/>
      </w:r>
      <w:hyperlink r:id="rId176" w:history="1">
        <w:r w:rsidRPr="00862632">
          <w:rPr>
            <w:rStyle w:val="Hyperlink"/>
            <w:rFonts w:cstheme="minorHAnsi"/>
            <w:lang w:val="es-ES"/>
          </w:rPr>
          <w:t>Concerns about the new gTLD Expansion, Congress of the United States,</w:t>
        </w:r>
        <w:r w:rsidR="00016723">
          <w:rPr>
            <w:rStyle w:val="Hyperlink"/>
            <w:rFonts w:cstheme="minorHAnsi"/>
            <w:lang w:val="es-ES"/>
          </w:rPr>
          <w:t xml:space="preserve"> </w:t>
        </w:r>
        <w:r w:rsidRPr="00862632">
          <w:rPr>
            <w:rStyle w:val="Hyperlink"/>
            <w:rFonts w:cstheme="minorHAnsi"/>
            <w:lang w:val="es-ES"/>
          </w:rPr>
          <w:t>August 7, 2012</w:t>
        </w:r>
      </w:hyperlink>
      <w:r w:rsidRPr="00862632">
        <w:rPr>
          <w:rFonts w:cstheme="minorHAnsi"/>
          <w:lang w:val="es-ES"/>
        </w:rPr>
        <w:t xml:space="preserve">; </w:t>
      </w:r>
      <w:hyperlink r:id="rId177" w:history="1">
        <w:r w:rsidRPr="00862632">
          <w:rPr>
            <w:rStyle w:val="Hyperlink"/>
            <w:rFonts w:cstheme="minorHAnsi"/>
            <w:lang w:val="es-ES"/>
          </w:rPr>
          <w:t>Why the New gTLD Program Remains of Concern to Businesses, Intellectual Property Owners Association (Appendix)</w:t>
        </w:r>
      </w:hyperlink>
      <w:r w:rsidRPr="00862632">
        <w:rPr>
          <w:rFonts w:cstheme="minorHAnsi"/>
          <w:lang w:val="es-ES"/>
        </w:rPr>
        <w:t>.</w:t>
      </w:r>
    </w:p>
  </w:footnote>
  <w:footnote w:id="164">
    <w:p w:rsidR="00831322" w:rsidRPr="00862632" w:rsidRDefault="00831322" w:rsidP="00EF2436">
      <w:pPr>
        <w:pStyle w:val="FootnoteText"/>
        <w:tabs>
          <w:tab w:val="clear" w:pos="425"/>
          <w:tab w:val="left" w:pos="426"/>
        </w:tabs>
        <w:ind w:left="426" w:hanging="426"/>
        <w:rPr>
          <w:rFonts w:cstheme="minorHAnsi"/>
          <w:lang w:val="es-ES"/>
        </w:rPr>
      </w:pPr>
      <w:r w:rsidRPr="003C4DFF">
        <w:rPr>
          <w:rStyle w:val="FootnoteReference"/>
        </w:rPr>
        <w:footnoteRef/>
      </w:r>
      <w:r w:rsidRPr="003C4DFF">
        <w:rPr>
          <w:rStyle w:val="FootnoteReference"/>
        </w:rPr>
        <w:t xml:space="preserve"> </w:t>
      </w:r>
      <w:r w:rsidRPr="00862632">
        <w:rPr>
          <w:rFonts w:cstheme="minorHAnsi"/>
          <w:lang w:val="es-ES"/>
        </w:rPr>
        <w:tab/>
      </w:r>
      <w:hyperlink r:id="rId178" w:history="1">
        <w:r w:rsidRPr="00862632">
          <w:rPr>
            <w:rStyle w:val="Hyperlink"/>
            <w:rFonts w:cstheme="minorHAnsi"/>
            <w:lang w:val="es-ES"/>
          </w:rPr>
          <w:t>Protection Against the Misleading Use of the Names and Acronyms of International Intergovernmental Organizations in the DNS, Legal Counsels of Public International Intergovernmental Organizations, December 13, 2011</w:t>
        </w:r>
      </w:hyperlink>
      <w:r w:rsidRPr="00862632">
        <w:rPr>
          <w:rFonts w:cstheme="minorHAnsi"/>
          <w:lang w:val="es-ES"/>
        </w:rPr>
        <w:t xml:space="preserve">; </w:t>
      </w:r>
      <w:hyperlink r:id="rId179" w:history="1">
        <w:r w:rsidRPr="00862632">
          <w:rPr>
            <w:rStyle w:val="Hyperlink"/>
            <w:rFonts w:cstheme="minorHAnsi"/>
            <w:lang w:val="es-ES"/>
          </w:rPr>
          <w:t>Letter from T. Stelzer (Secretary of CEB) to Akram Atallah, United Nations, July 11, 2012</w:t>
        </w:r>
      </w:hyperlink>
      <w:r w:rsidRPr="00862632">
        <w:rPr>
          <w:rFonts w:cstheme="minorHAnsi"/>
          <w:lang w:val="es-ES"/>
        </w:rPr>
        <w:t xml:space="preserve">; </w:t>
      </w:r>
      <w:hyperlink r:id="rId180" w:history="1">
        <w:r w:rsidRPr="00862632">
          <w:rPr>
            <w:rStyle w:val="Hyperlink"/>
            <w:rFonts w:cstheme="minorHAnsi"/>
            <w:lang w:val="es-ES"/>
          </w:rPr>
          <w:t>GAC Principles regarding new gTLDs (March 28, 2007)</w:t>
        </w:r>
      </w:hyperlink>
      <w:r w:rsidRPr="00862632">
        <w:rPr>
          <w:rFonts w:cstheme="minorHAnsi"/>
          <w:lang w:val="es-ES"/>
        </w:rPr>
        <w:t>.</w:t>
      </w:r>
    </w:p>
  </w:footnote>
  <w:footnote w:id="165">
    <w:p w:rsidR="00831322" w:rsidRPr="00862632" w:rsidRDefault="00831322" w:rsidP="00CA71FF">
      <w:pPr>
        <w:pStyle w:val="FootnoteText"/>
        <w:rPr>
          <w:rFonts w:cstheme="minorHAnsi"/>
          <w:lang w:val="es-ES"/>
        </w:rPr>
      </w:pPr>
      <w:r w:rsidRPr="003C4DFF">
        <w:rPr>
          <w:rStyle w:val="FootnoteReference"/>
        </w:rPr>
        <w:footnoteRef/>
      </w:r>
      <w:r w:rsidRPr="003C4DFF">
        <w:rPr>
          <w:rStyle w:val="FootnoteReference"/>
        </w:rPr>
        <w:t xml:space="preserve"> </w:t>
      </w:r>
      <w:r>
        <w:rPr>
          <w:rStyle w:val="FootnoteReference"/>
        </w:rPr>
        <w:tab/>
      </w:r>
      <w:r w:rsidRPr="00862632">
        <w:rPr>
          <w:rFonts w:cstheme="minorHAnsi"/>
          <w:lang w:val="es-ES"/>
        </w:rPr>
        <w:t xml:space="preserve">Affirmation of Commitments (AoC) de US Department of Commerce and ICANN, 30 de septiembre de 2009, disponible en: </w:t>
      </w:r>
      <w:hyperlink r:id="rId181" w:history="1">
        <w:r w:rsidRPr="004A3FFC">
          <w:rPr>
            <w:rStyle w:val="Hyperlink"/>
            <w:rFonts w:cstheme="minorHAnsi"/>
            <w:lang w:val="es-ES"/>
          </w:rPr>
          <w:t>http://www.ntia.doc.gov/files/ntia/publications/affirmation_of_commitments_2009.pdf</w:t>
        </w:r>
      </w:hyperlink>
      <w:r>
        <w:rPr>
          <w:rFonts w:cstheme="minorHAnsi"/>
          <w:lang w:val="es-ES"/>
        </w:rPr>
        <w:t>.</w:t>
      </w:r>
    </w:p>
  </w:footnote>
  <w:footnote w:id="166">
    <w:p w:rsidR="00831322" w:rsidRPr="00862632" w:rsidRDefault="00831322" w:rsidP="00CA71FF">
      <w:pPr>
        <w:pStyle w:val="FootnoteText"/>
        <w:rPr>
          <w:rFonts w:cstheme="minorHAnsi"/>
          <w:lang w:val="es-ES"/>
        </w:rPr>
      </w:pPr>
      <w:r w:rsidRPr="003C4DFF">
        <w:rPr>
          <w:rStyle w:val="FootnoteReference"/>
        </w:rPr>
        <w:footnoteRef/>
      </w:r>
      <w:r w:rsidRPr="00862632">
        <w:rPr>
          <w:rFonts w:cstheme="minorHAnsi"/>
          <w:lang w:val="es-ES"/>
        </w:rPr>
        <w:t xml:space="preserve"> </w:t>
      </w:r>
      <w:r>
        <w:rPr>
          <w:rFonts w:cstheme="minorHAnsi"/>
          <w:lang w:val="es-ES"/>
        </w:rPr>
        <w:tab/>
      </w:r>
      <w:r w:rsidRPr="00CA71FF">
        <w:rPr>
          <w:rFonts w:cstheme="minorHAnsi"/>
          <w:i/>
          <w:iCs/>
          <w:lang w:val="es-ES"/>
        </w:rPr>
        <w:t>Ibíd</w:t>
      </w:r>
      <w:r w:rsidRPr="00862632">
        <w:rPr>
          <w:rFonts w:cstheme="minorHAnsi"/>
          <w:lang w:val="es-ES"/>
        </w:rPr>
        <w:t>.</w:t>
      </w:r>
    </w:p>
  </w:footnote>
  <w:footnote w:id="167">
    <w:p w:rsidR="00831322" w:rsidRPr="00862632" w:rsidRDefault="00831322" w:rsidP="00CA71FF">
      <w:pPr>
        <w:pStyle w:val="FootnoteText"/>
        <w:rPr>
          <w:rFonts w:cstheme="minorHAnsi"/>
          <w:lang w:val="es-ES"/>
        </w:rPr>
      </w:pPr>
      <w:r w:rsidRPr="003C4DFF">
        <w:rPr>
          <w:rStyle w:val="FootnoteReference"/>
        </w:rPr>
        <w:footnoteRef/>
      </w:r>
      <w:r w:rsidRPr="00862632">
        <w:rPr>
          <w:rFonts w:cstheme="minorHAnsi"/>
          <w:lang w:val="es-ES"/>
        </w:rPr>
        <w:t xml:space="preserve"> </w:t>
      </w:r>
      <w:r>
        <w:rPr>
          <w:rFonts w:cstheme="minorHAnsi"/>
          <w:lang w:val="es-ES"/>
        </w:rPr>
        <w:tab/>
      </w:r>
      <w:r w:rsidRPr="00862632">
        <w:rPr>
          <w:rFonts w:cstheme="minorHAnsi"/>
          <w:lang w:val="es-ES"/>
        </w:rPr>
        <w:t xml:space="preserve">Affirmation of Commitments (AoC) de US Department of Commerce and ICANN, 30 de septiembre de 2009, disponible en: </w:t>
      </w:r>
      <w:hyperlink r:id="rId182" w:history="1">
        <w:r w:rsidRPr="004A3FFC">
          <w:rPr>
            <w:rStyle w:val="Hyperlink"/>
            <w:rFonts w:cstheme="minorHAnsi"/>
            <w:lang w:val="es-ES"/>
          </w:rPr>
          <w:t>http://www.ntia.doc.gov/files/ntia/publications/affirmation_of_commitments_2009.pdf</w:t>
        </w:r>
      </w:hyperlink>
      <w:r w:rsidRPr="00862632">
        <w:rPr>
          <w:rFonts w:cstheme="minorHAnsi"/>
          <w:lang w:val="es-ES"/>
        </w:rPr>
        <w:t>.</w:t>
      </w:r>
    </w:p>
  </w:footnote>
  <w:footnote w:id="168">
    <w:p w:rsidR="00831322" w:rsidRPr="00862632" w:rsidRDefault="00831322" w:rsidP="00A26E96">
      <w:pPr>
        <w:pStyle w:val="FootnoteText"/>
        <w:rPr>
          <w:rFonts w:cstheme="minorHAnsi"/>
          <w:lang w:val="es-ES"/>
        </w:rPr>
      </w:pPr>
      <w:r w:rsidRPr="003C4DFF">
        <w:rPr>
          <w:rStyle w:val="FootnoteReference"/>
        </w:rPr>
        <w:footnoteRef/>
      </w:r>
      <w:r w:rsidRPr="00862632">
        <w:rPr>
          <w:rFonts w:cstheme="minorHAnsi"/>
          <w:lang w:val="es-ES"/>
        </w:rPr>
        <w:t xml:space="preserve"> </w:t>
      </w:r>
      <w:r>
        <w:rPr>
          <w:rFonts w:cstheme="minorHAnsi"/>
          <w:lang w:val="es-ES"/>
        </w:rPr>
        <w:tab/>
      </w:r>
      <w:hyperlink r:id="rId183" w:history="1">
        <w:r w:rsidRPr="00A26E96">
          <w:rPr>
            <w:rStyle w:val="Hyperlink"/>
            <w:rFonts w:cstheme="minorHAnsi"/>
            <w:lang w:val="es-ES"/>
          </w:rPr>
          <w:t>Contribución de EE.UU.</w:t>
        </w:r>
      </w:hyperlink>
      <w:r w:rsidRPr="00862632">
        <w:rPr>
          <w:rFonts w:cstheme="minorHAnsi"/>
          <w:lang w:val="es-ES"/>
        </w:rPr>
        <w:t xml:space="preserve"> (2 de octubre de 2012).</w:t>
      </w:r>
    </w:p>
  </w:footnote>
  <w:footnote w:id="169">
    <w:p w:rsidR="00831322" w:rsidRPr="00862632" w:rsidRDefault="00831322">
      <w:pPr>
        <w:pStyle w:val="FootnoteText"/>
        <w:rPr>
          <w:rFonts w:cstheme="minorHAnsi"/>
          <w:lang w:val="es-ES"/>
        </w:rPr>
      </w:pPr>
      <w:r w:rsidRPr="003C4DFF">
        <w:rPr>
          <w:rStyle w:val="FootnoteReference"/>
        </w:rPr>
        <w:footnoteRef/>
      </w:r>
      <w:r w:rsidRPr="00862632">
        <w:rPr>
          <w:rFonts w:cstheme="minorHAnsi"/>
          <w:lang w:val="es-ES"/>
        </w:rPr>
        <w:t xml:space="preserve"> </w:t>
      </w:r>
      <w:r>
        <w:rPr>
          <w:rFonts w:cstheme="minorHAnsi"/>
          <w:lang w:val="es-ES"/>
        </w:rPr>
        <w:tab/>
      </w:r>
      <w:hyperlink r:id="rId184" w:history="1">
        <w:r w:rsidRPr="00BF0A06">
          <w:rPr>
            <w:rStyle w:val="Hyperlink"/>
            <w:rFonts w:cstheme="minorHAnsi"/>
            <w:lang w:val="es-ES"/>
          </w:rPr>
          <w:t>Grupo ad hoc convocado por Verizon y ARIN</w:t>
        </w:r>
      </w:hyperlink>
      <w:r w:rsidRPr="00862632">
        <w:rPr>
          <w:rFonts w:cstheme="minorHAnsi"/>
          <w:lang w:val="es-ES"/>
        </w:rPr>
        <w:t>, segunda Reunión del IEG, octubre de 2012.</w:t>
      </w:r>
    </w:p>
  </w:footnote>
  <w:footnote w:id="170">
    <w:p w:rsidR="00831322" w:rsidRPr="00862632" w:rsidRDefault="00831322">
      <w:pPr>
        <w:pStyle w:val="FootnoteText"/>
        <w:rPr>
          <w:rFonts w:cstheme="minorHAnsi"/>
          <w:lang w:val="es-ES"/>
        </w:rPr>
      </w:pPr>
      <w:r w:rsidRPr="003C4DFF">
        <w:rPr>
          <w:rStyle w:val="FootnoteReference"/>
        </w:rPr>
        <w:footnoteRef/>
      </w:r>
      <w:r w:rsidRPr="00862632">
        <w:rPr>
          <w:rFonts w:cstheme="minorHAnsi"/>
          <w:lang w:val="es-ES"/>
        </w:rPr>
        <w:t xml:space="preserve"> </w:t>
      </w:r>
      <w:r>
        <w:rPr>
          <w:rFonts w:cstheme="minorHAnsi"/>
          <w:lang w:val="es-ES"/>
        </w:rPr>
        <w:tab/>
      </w:r>
      <w:hyperlink r:id="rId185" w:history="1">
        <w:r w:rsidRPr="00BF0A06">
          <w:rPr>
            <w:rStyle w:val="Hyperlink"/>
            <w:rFonts w:cstheme="minorHAnsi"/>
            <w:lang w:val="es-ES"/>
          </w:rPr>
          <w:t>Grupo ad hoc convocado por Verizon y ARIN</w:t>
        </w:r>
      </w:hyperlink>
      <w:r w:rsidRPr="00862632">
        <w:rPr>
          <w:rFonts w:cstheme="minorHAnsi"/>
          <w:lang w:val="es-ES"/>
        </w:rPr>
        <w:t>, segunda Reunión del IEG, octubre de 2012.</w:t>
      </w:r>
    </w:p>
  </w:footnote>
  <w:footnote w:id="171">
    <w:p w:rsidR="00831322" w:rsidRPr="00862632" w:rsidRDefault="00831322" w:rsidP="005C44EC">
      <w:pPr>
        <w:pStyle w:val="FootnoteText"/>
        <w:rPr>
          <w:rFonts w:cstheme="minorHAnsi"/>
          <w:lang w:val="es-ES"/>
        </w:rPr>
      </w:pPr>
      <w:r w:rsidRPr="003C4DFF">
        <w:rPr>
          <w:rStyle w:val="FootnoteReference"/>
        </w:rPr>
        <w:footnoteRef/>
      </w:r>
      <w:r w:rsidRPr="003C4DFF">
        <w:rPr>
          <w:rStyle w:val="FootnoteReference"/>
        </w:rPr>
        <w:t xml:space="preserve"> </w:t>
      </w:r>
      <w:r>
        <w:rPr>
          <w:rStyle w:val="FootnoteReference"/>
        </w:rPr>
        <w:tab/>
      </w:r>
      <w:r w:rsidRPr="00862632">
        <w:rPr>
          <w:rFonts w:cstheme="minorHAnsi"/>
          <w:lang w:val="es-ES"/>
        </w:rPr>
        <w:t xml:space="preserve">La RFC1591 Domain Name System Structure and Delegation (marzo de 1999) presenta la Lista operativa de ccTLD utilizando la lista ISO 3166. </w:t>
      </w:r>
      <w:r>
        <w:rPr>
          <w:rFonts w:cstheme="minorHAnsi"/>
          <w:lang w:val="es-ES"/>
        </w:rPr>
        <w:t>"</w:t>
      </w:r>
      <w:r w:rsidRPr="00862632">
        <w:rPr>
          <w:rFonts w:cstheme="minorHAnsi"/>
          <w:lang w:val="es-ES"/>
        </w:rPr>
        <w:t>The selection of the ISO 3166 list as a basis for country code top-level domain names was made with the knowledge that ISO has a procedure for determining which entities should be and should not be on that list.</w:t>
      </w:r>
      <w:r>
        <w:rPr>
          <w:rFonts w:cstheme="minorHAnsi"/>
          <w:lang w:val="es-ES"/>
        </w:rPr>
        <w:t>"</w:t>
      </w:r>
      <w:r w:rsidRPr="00862632">
        <w:rPr>
          <w:rFonts w:cstheme="minorHAnsi"/>
          <w:lang w:val="es-ES"/>
        </w:rPr>
        <w:t xml:space="preserve">, </w:t>
      </w:r>
      <w:hyperlink r:id="rId186" w:history="1">
        <w:r w:rsidRPr="00862632">
          <w:rPr>
            <w:rStyle w:val="Hyperlink"/>
            <w:rFonts w:cstheme="minorHAnsi"/>
            <w:lang w:val="es-ES"/>
          </w:rPr>
          <w:t>http://www.ietf.org/rfc/rfc1591.txt</w:t>
        </w:r>
      </w:hyperlink>
      <w:r w:rsidRPr="00862632">
        <w:rPr>
          <w:rFonts w:cstheme="minorHAnsi"/>
          <w:lang w:val="es-ES"/>
        </w:rPr>
        <w:t xml:space="preserve">; </w:t>
      </w:r>
      <w:hyperlink r:id="rId187" w:history="1">
        <w:r w:rsidRPr="00A26E96">
          <w:rPr>
            <w:rStyle w:val="Hyperlink"/>
            <w:rFonts w:cstheme="minorHAnsi"/>
            <w:lang w:val="es-ES"/>
          </w:rPr>
          <w:t>contribución de EE.UU.</w:t>
        </w:r>
      </w:hyperlink>
      <w:r w:rsidRPr="00862632">
        <w:rPr>
          <w:rFonts w:cstheme="minorHAnsi"/>
          <w:lang w:val="es-ES"/>
        </w:rPr>
        <w:t xml:space="preserve"> (4 de octubre de 2012).</w:t>
      </w:r>
    </w:p>
  </w:footnote>
  <w:footnote w:id="172">
    <w:p w:rsidR="00831322" w:rsidRPr="00862632" w:rsidRDefault="00831322" w:rsidP="00016723">
      <w:pPr>
        <w:pStyle w:val="FootnoteText"/>
        <w:tabs>
          <w:tab w:val="clear" w:pos="425"/>
          <w:tab w:val="left" w:pos="426"/>
        </w:tabs>
        <w:ind w:left="426" w:hanging="426"/>
        <w:rPr>
          <w:rFonts w:cstheme="minorHAnsi"/>
          <w:lang w:val="es-ES"/>
        </w:rPr>
      </w:pPr>
      <w:r w:rsidRPr="003C4DFF">
        <w:rPr>
          <w:rStyle w:val="FootnoteReference"/>
        </w:rPr>
        <w:footnoteRef/>
      </w:r>
      <w:r w:rsidRPr="00862632">
        <w:rPr>
          <w:rFonts w:cstheme="minorHAnsi"/>
          <w:lang w:val="es-ES"/>
        </w:rPr>
        <w:t xml:space="preserve"> </w:t>
      </w:r>
      <w:r w:rsidRPr="00862632">
        <w:rPr>
          <w:rFonts w:cstheme="minorHAnsi"/>
          <w:lang w:val="es-ES"/>
        </w:rPr>
        <w:tab/>
        <w:t xml:space="preserve">Issue Paper Selection of IDN ccTLDs associated with THE iso 3166-1 two letter codes, ICANN, 9 de julio de 2007, </w:t>
      </w:r>
      <w:hyperlink r:id="rId188" w:history="1">
        <w:r w:rsidRPr="00862632">
          <w:rPr>
            <w:rStyle w:val="Hyperlink"/>
            <w:rFonts w:cstheme="minorHAnsi"/>
            <w:lang w:val="es-ES"/>
          </w:rPr>
          <w:t>http://www.icann.org/en/resources/idn/ccnso-gac-idn-issues-report-09jul07-en.pdf</w:t>
        </w:r>
      </w:hyperlink>
      <w:r w:rsidRPr="00862632">
        <w:rPr>
          <w:rFonts w:cstheme="minorHAnsi"/>
          <w:lang w:val="es-ES"/>
        </w:rPr>
        <w:t xml:space="preserve">. </w:t>
      </w:r>
    </w:p>
  </w:footnote>
  <w:footnote w:id="173">
    <w:p w:rsidR="00831322" w:rsidRPr="00862632" w:rsidRDefault="00831322" w:rsidP="009568A8">
      <w:pPr>
        <w:pStyle w:val="FootnoteText"/>
        <w:tabs>
          <w:tab w:val="clear" w:pos="425"/>
          <w:tab w:val="left" w:pos="426"/>
        </w:tabs>
        <w:ind w:left="426" w:hanging="426"/>
        <w:rPr>
          <w:rFonts w:cstheme="minorHAnsi"/>
          <w:lang w:val="es-ES"/>
        </w:rPr>
      </w:pPr>
      <w:r w:rsidRPr="003C4DFF">
        <w:rPr>
          <w:rStyle w:val="FootnoteReference"/>
        </w:rPr>
        <w:footnoteRef/>
      </w:r>
      <w:r w:rsidRPr="00862632">
        <w:rPr>
          <w:rFonts w:cstheme="minorHAnsi"/>
          <w:vertAlign w:val="superscript"/>
          <w:lang w:val="es-ES"/>
        </w:rPr>
        <w:t xml:space="preserve"> </w:t>
      </w:r>
      <w:r w:rsidRPr="00862632">
        <w:rPr>
          <w:rFonts w:cstheme="minorHAnsi"/>
          <w:vertAlign w:val="superscript"/>
          <w:lang w:val="es-ES"/>
        </w:rPr>
        <w:tab/>
      </w:r>
      <w:r w:rsidRPr="00862632">
        <w:rPr>
          <w:rFonts w:cstheme="minorHAnsi"/>
          <w:lang w:val="es-ES"/>
        </w:rPr>
        <w:t xml:space="preserve">Elementos de código excepcionalmente reservados, ISO 3166-1 decoding table, </w:t>
      </w:r>
      <w:hyperlink r:id="rId189" w:history="1">
        <w:r w:rsidRPr="00862632">
          <w:rPr>
            <w:rStyle w:val="Hyperlink"/>
            <w:rFonts w:cstheme="minorHAnsi"/>
            <w:lang w:val="es-ES"/>
          </w:rPr>
          <w:t>http://www.iso.org/iso/country_codes</w:t>
        </w:r>
      </w:hyperlink>
      <w:r w:rsidRPr="00862632">
        <w:rPr>
          <w:rFonts w:cstheme="minorHAnsi"/>
          <w:lang w:val="es-ES"/>
        </w:rPr>
        <w:t>.</w:t>
      </w:r>
    </w:p>
  </w:footnote>
  <w:footnote w:id="174">
    <w:p w:rsidR="00831322" w:rsidRPr="00862632" w:rsidRDefault="00831322" w:rsidP="009568A8">
      <w:pPr>
        <w:pStyle w:val="FootnoteText"/>
        <w:tabs>
          <w:tab w:val="clear" w:pos="425"/>
          <w:tab w:val="left" w:pos="426"/>
        </w:tabs>
        <w:ind w:left="426" w:hanging="426"/>
        <w:rPr>
          <w:rFonts w:cstheme="minorHAnsi"/>
          <w:lang w:val="es-ES"/>
        </w:rPr>
      </w:pPr>
      <w:r w:rsidRPr="003C4DFF">
        <w:rPr>
          <w:rStyle w:val="FootnoteReference"/>
        </w:rPr>
        <w:footnoteRef/>
      </w:r>
      <w:r w:rsidRPr="00862632">
        <w:rPr>
          <w:rFonts w:cstheme="minorHAnsi"/>
          <w:lang w:val="es-ES"/>
        </w:rPr>
        <w:t xml:space="preserve"> </w:t>
      </w:r>
      <w:r w:rsidRPr="00862632">
        <w:rPr>
          <w:rFonts w:cstheme="minorHAnsi"/>
          <w:lang w:val="es-ES"/>
        </w:rPr>
        <w:tab/>
        <w:t xml:space="preserve">Understanding the ccTLD Delegation and Redelegation Procedure, IANA, en </w:t>
      </w:r>
      <w:hyperlink r:id="rId190" w:history="1">
        <w:r w:rsidRPr="00862632">
          <w:rPr>
            <w:rStyle w:val="Hyperlink"/>
            <w:rFonts w:cstheme="minorHAnsi"/>
            <w:lang w:val="es-ES"/>
          </w:rPr>
          <w:t>http://www.iana.org/domains/root/delegation-guide/</w:t>
        </w:r>
      </w:hyperlink>
      <w:r w:rsidRPr="00862632">
        <w:rPr>
          <w:rFonts w:cstheme="minorHAnsi"/>
          <w:lang w:val="es-ES"/>
        </w:rPr>
        <w:t>.</w:t>
      </w:r>
    </w:p>
  </w:footnote>
  <w:footnote w:id="175">
    <w:p w:rsidR="00831322" w:rsidRPr="00862632" w:rsidRDefault="00831322" w:rsidP="00A756BB">
      <w:pPr>
        <w:pStyle w:val="FootnoteText"/>
        <w:rPr>
          <w:rFonts w:cstheme="minorHAnsi"/>
          <w:lang w:val="es-ES"/>
        </w:rPr>
      </w:pPr>
      <w:r w:rsidRPr="003C4DFF">
        <w:rPr>
          <w:rStyle w:val="FootnoteReference"/>
        </w:rPr>
        <w:footnoteRef/>
      </w:r>
      <w:r w:rsidRPr="00862632">
        <w:rPr>
          <w:rFonts w:cstheme="minorHAnsi"/>
          <w:lang w:val="es-ES"/>
        </w:rPr>
        <w:t xml:space="preserve"> </w:t>
      </w:r>
      <w:r>
        <w:rPr>
          <w:rFonts w:cstheme="minorHAnsi"/>
          <w:lang w:val="es-ES"/>
        </w:rPr>
        <w:tab/>
      </w:r>
      <w:r w:rsidRPr="00862632">
        <w:rPr>
          <w:rFonts w:cstheme="minorHAnsi"/>
          <w:lang w:val="es-ES"/>
        </w:rPr>
        <w:t>En virtud del nuevo contrato del IANA (julio de 2012), el contratante del IANA (en la actualidad, la ICANN) aplicará los marcos políticos existentes a la hora de tramitar las solicitudes de delegación y redelegación de un ccTLD, como RFC 1591, los Principles and Guidelines for the Delegation and Administration of Country Code Top</w:t>
      </w:r>
      <w:r>
        <w:rPr>
          <w:rFonts w:cstheme="minorHAnsi"/>
          <w:lang w:val="es-ES"/>
        </w:rPr>
        <w:noBreakHyphen/>
      </w:r>
      <w:r w:rsidRPr="00862632">
        <w:rPr>
          <w:rFonts w:cstheme="minorHAnsi"/>
          <w:lang w:val="es-ES"/>
        </w:rPr>
        <w:t xml:space="preserve">Level Domains del GAC, y cualquier otra aclaración de estas políticas aportada por los interesados y concernidos: </w:t>
      </w:r>
      <w:hyperlink r:id="rId191" w:history="1">
        <w:r w:rsidRPr="004A3FFC">
          <w:rPr>
            <w:rStyle w:val="Hyperlink"/>
            <w:rFonts w:cstheme="minorHAnsi"/>
            <w:lang w:val="es-ES"/>
          </w:rPr>
          <w:t>www.ntia.doc.gov/files/ntia/publications/sf_26_pg_1-2-final_award_and_sacs.pdf</w:t>
        </w:r>
      </w:hyperlink>
      <w:r w:rsidRPr="00862632">
        <w:rPr>
          <w:rFonts w:cstheme="minorHAnsi"/>
          <w:lang w:val="es-ES"/>
        </w:rPr>
        <w:t>.</w:t>
      </w:r>
    </w:p>
  </w:footnote>
  <w:footnote w:id="176">
    <w:p w:rsidR="00831322" w:rsidRPr="00862632" w:rsidRDefault="00831322">
      <w:pPr>
        <w:pStyle w:val="FootnoteText"/>
        <w:tabs>
          <w:tab w:val="clear" w:pos="425"/>
          <w:tab w:val="left" w:pos="426"/>
        </w:tabs>
        <w:ind w:left="0" w:firstLine="0"/>
        <w:rPr>
          <w:rFonts w:cstheme="minorHAnsi"/>
          <w:lang w:val="es-ES"/>
        </w:rPr>
      </w:pPr>
      <w:r w:rsidRPr="003C4DFF">
        <w:rPr>
          <w:rStyle w:val="FootnoteReference"/>
        </w:rPr>
        <w:footnoteRef/>
      </w:r>
      <w:r w:rsidRPr="00862632">
        <w:rPr>
          <w:rFonts w:cstheme="minorHAnsi"/>
          <w:lang w:val="es-ES"/>
        </w:rPr>
        <w:t xml:space="preserve"> </w:t>
      </w:r>
      <w:r w:rsidRPr="00862632">
        <w:rPr>
          <w:rFonts w:cstheme="minorHAnsi"/>
          <w:lang w:val="es-ES"/>
        </w:rPr>
        <w:tab/>
      </w:r>
      <w:hyperlink r:id="rId192" w:history="1">
        <w:r w:rsidRPr="00862632">
          <w:rPr>
            <w:rStyle w:val="Hyperlink"/>
            <w:rFonts w:cstheme="minorHAnsi"/>
            <w:lang w:val="es-ES"/>
          </w:rPr>
          <w:t>Contribución de</w:t>
        </w:r>
        <w:r>
          <w:rPr>
            <w:rStyle w:val="Hyperlink"/>
            <w:rFonts w:cstheme="minorHAnsi"/>
            <w:lang w:val="es-ES"/>
          </w:rPr>
          <w:t>l</w:t>
        </w:r>
        <w:r w:rsidRPr="00862632">
          <w:rPr>
            <w:rStyle w:val="Hyperlink"/>
            <w:rFonts w:cstheme="minorHAnsi"/>
            <w:lang w:val="es-ES"/>
          </w:rPr>
          <w:t xml:space="preserve"> Reino Unido</w:t>
        </w:r>
      </w:hyperlink>
      <w:r w:rsidRPr="00862632">
        <w:rPr>
          <w:rFonts w:cstheme="minorHAnsi"/>
          <w:lang w:val="es-ES"/>
        </w:rPr>
        <w:t xml:space="preserve"> (25 de junio de 2012).</w:t>
      </w:r>
    </w:p>
  </w:footnote>
  <w:footnote w:id="177">
    <w:p w:rsidR="00831322" w:rsidRPr="00862632" w:rsidRDefault="00831322" w:rsidP="009568A8">
      <w:pPr>
        <w:pStyle w:val="FootnoteText"/>
        <w:tabs>
          <w:tab w:val="clear" w:pos="425"/>
          <w:tab w:val="left" w:pos="426"/>
        </w:tabs>
        <w:ind w:left="426" w:hanging="426"/>
        <w:rPr>
          <w:rFonts w:cstheme="minorHAnsi"/>
          <w:lang w:val="es-ES"/>
        </w:rPr>
      </w:pPr>
      <w:r w:rsidRPr="003C4DFF">
        <w:rPr>
          <w:rStyle w:val="FootnoteReference"/>
        </w:rPr>
        <w:footnoteRef/>
      </w:r>
      <w:r w:rsidRPr="003C4DFF">
        <w:rPr>
          <w:rStyle w:val="FootnoteReference"/>
        </w:rPr>
        <w:t xml:space="preserve"> </w:t>
      </w:r>
      <w:r w:rsidRPr="00862632">
        <w:rPr>
          <w:rFonts w:cstheme="minorHAnsi"/>
          <w:lang w:val="es-ES"/>
        </w:rPr>
        <w:tab/>
        <w:t xml:space="preserve">Sovereign Domains: A Declaration of Independence of ccTLDs from Foreign Control, Kim G. von Arx and Gregory R. Hagen, 9 RICH. J.L. &amp; TECH. 4 (Fall 2002) en </w:t>
      </w:r>
      <w:hyperlink r:id="rId193" w:anchor="_edn87" w:history="1">
        <w:r w:rsidRPr="00862632">
          <w:rPr>
            <w:rStyle w:val="Hyperlink"/>
            <w:rFonts w:cstheme="minorHAnsi"/>
            <w:lang w:val="es-ES"/>
          </w:rPr>
          <w:t>http://jolt.richmond.edu/v9i1/article4.html#_edn87</w:t>
        </w:r>
      </w:hyperlink>
      <w:r w:rsidRPr="00862632">
        <w:rPr>
          <w:rFonts w:cstheme="minorHAnsi"/>
          <w:lang w:val="es-ES"/>
        </w:rPr>
        <w:t xml:space="preserve">; The National ccTLD Disputes: Between State actors and non-state actors, Y. J. Park, International Journal of Communications Law &amp; Policy, Winter 2009, </w:t>
      </w:r>
      <w:hyperlink r:id="rId194" w:history="1">
        <w:r w:rsidRPr="00862632">
          <w:rPr>
            <w:rStyle w:val="Hyperlink"/>
            <w:rFonts w:cstheme="minorHAnsi"/>
            <w:lang w:val="es-ES"/>
          </w:rPr>
          <w:t>http://ijclp.net/files/ijclp_web-doc_10-13-2009.pdf</w:t>
        </w:r>
      </w:hyperlink>
      <w:r w:rsidRPr="00862632">
        <w:rPr>
          <w:rFonts w:cstheme="minorHAnsi"/>
          <w:lang w:val="es-ES"/>
        </w:rPr>
        <w:t>.</w:t>
      </w:r>
    </w:p>
  </w:footnote>
  <w:footnote w:id="178">
    <w:p w:rsidR="00831322" w:rsidRPr="00862632" w:rsidRDefault="00831322" w:rsidP="00016723">
      <w:pPr>
        <w:pStyle w:val="FootnoteText"/>
        <w:tabs>
          <w:tab w:val="clear" w:pos="425"/>
          <w:tab w:val="left" w:pos="426"/>
        </w:tabs>
        <w:ind w:left="426" w:hanging="426"/>
        <w:rPr>
          <w:rFonts w:cstheme="minorHAnsi"/>
          <w:lang w:val="es-ES"/>
        </w:rPr>
      </w:pPr>
      <w:r w:rsidRPr="003C4DFF">
        <w:rPr>
          <w:rStyle w:val="FootnoteReference"/>
        </w:rPr>
        <w:footnoteRef/>
      </w:r>
      <w:r w:rsidRPr="00862632">
        <w:rPr>
          <w:rFonts w:cstheme="minorHAnsi"/>
          <w:lang w:val="es-ES"/>
        </w:rPr>
        <w:t xml:space="preserve"> </w:t>
      </w:r>
      <w:r w:rsidRPr="00862632">
        <w:rPr>
          <w:rFonts w:cstheme="minorHAnsi"/>
          <w:lang w:val="es-ES"/>
        </w:rPr>
        <w:tab/>
        <w:t>IANA Report on the Redelegation of the .SO Top-Level Domain,</w:t>
      </w:r>
      <w:r w:rsidR="00016723">
        <w:rPr>
          <w:rFonts w:cstheme="minorHAnsi"/>
          <w:lang w:val="es-ES"/>
        </w:rPr>
        <w:t xml:space="preserve"> </w:t>
      </w:r>
      <w:hyperlink r:id="rId195" w:history="1">
        <w:r w:rsidRPr="00862632">
          <w:rPr>
            <w:rStyle w:val="Hyperlink"/>
            <w:rFonts w:cstheme="minorHAnsi"/>
            <w:lang w:val="es-ES"/>
          </w:rPr>
          <w:t>http://www.iana.org/reports/2009/so-report-03feb2009.html</w:t>
        </w:r>
      </w:hyperlink>
      <w:r w:rsidRPr="00862632">
        <w:rPr>
          <w:rFonts w:cstheme="minorHAnsi"/>
          <w:lang w:val="es-ES"/>
        </w:rPr>
        <w:t>.</w:t>
      </w:r>
    </w:p>
  </w:footnote>
  <w:footnote w:id="179">
    <w:p w:rsidR="00831322" w:rsidRPr="00862632" w:rsidRDefault="00831322" w:rsidP="009568A8">
      <w:pPr>
        <w:pStyle w:val="FootnoteText"/>
        <w:tabs>
          <w:tab w:val="clear" w:pos="425"/>
          <w:tab w:val="left" w:pos="426"/>
        </w:tabs>
        <w:ind w:left="0" w:firstLine="0"/>
        <w:rPr>
          <w:rFonts w:cstheme="minorHAnsi"/>
          <w:lang w:val="es-ES"/>
        </w:rPr>
      </w:pPr>
      <w:r w:rsidRPr="003C4DFF">
        <w:rPr>
          <w:rStyle w:val="FootnoteReference"/>
        </w:rPr>
        <w:footnoteRef/>
      </w:r>
      <w:r w:rsidRPr="00862632">
        <w:rPr>
          <w:rFonts w:cstheme="minorHAnsi"/>
          <w:lang w:val="es-ES"/>
        </w:rPr>
        <w:t xml:space="preserve"> </w:t>
      </w:r>
      <w:r w:rsidRPr="00862632">
        <w:rPr>
          <w:rFonts w:cstheme="minorHAnsi"/>
          <w:lang w:val="es-ES"/>
        </w:rPr>
        <w:tab/>
        <w:t xml:space="preserve">Resolución 102 (Rev. Guadalajara, 2010). </w:t>
      </w:r>
    </w:p>
  </w:footnote>
  <w:footnote w:id="180">
    <w:p w:rsidR="00831322" w:rsidRPr="00862632" w:rsidRDefault="00831322" w:rsidP="00CD7920">
      <w:pPr>
        <w:pStyle w:val="FootnoteText"/>
        <w:rPr>
          <w:rFonts w:cstheme="minorHAnsi"/>
          <w:lang w:val="es-ES"/>
        </w:rPr>
      </w:pPr>
      <w:r w:rsidRPr="003C4DFF">
        <w:rPr>
          <w:rStyle w:val="FootnoteReference"/>
        </w:rPr>
        <w:footnoteRef/>
      </w:r>
      <w:r w:rsidRPr="00862632">
        <w:rPr>
          <w:rFonts w:cstheme="minorHAnsi"/>
          <w:lang w:val="es-ES"/>
        </w:rPr>
        <w:t xml:space="preserve"> </w:t>
      </w:r>
      <w:r>
        <w:rPr>
          <w:rFonts w:cstheme="minorHAnsi"/>
          <w:lang w:val="es-ES"/>
        </w:rPr>
        <w:tab/>
      </w:r>
      <w:hyperlink r:id="rId196" w:history="1">
        <w:r w:rsidRPr="00CD7920">
          <w:rPr>
            <w:rStyle w:val="Hyperlink"/>
          </w:rPr>
          <w:t>Contribución</w:t>
        </w:r>
        <w:r w:rsidRPr="00CD7920">
          <w:rPr>
            <w:rStyle w:val="Hyperlink"/>
            <w:lang w:val="es-ES"/>
          </w:rPr>
          <w:t xml:space="preserve"> de Nominet</w:t>
        </w:r>
      </w:hyperlink>
      <w:r w:rsidRPr="00862632">
        <w:rPr>
          <w:rFonts w:cstheme="minorHAnsi"/>
          <w:lang w:val="es-ES"/>
        </w:rPr>
        <w:t xml:space="preserve"> (30 de septiembre de 2012).</w:t>
      </w:r>
    </w:p>
  </w:footnote>
  <w:footnote w:id="181">
    <w:p w:rsidR="00831322" w:rsidRPr="00862632" w:rsidRDefault="00831322">
      <w:pPr>
        <w:pStyle w:val="FootnoteText"/>
        <w:rPr>
          <w:rFonts w:cstheme="minorHAnsi"/>
          <w:lang w:val="es-ES"/>
        </w:rPr>
      </w:pPr>
      <w:r w:rsidRPr="003C4DFF">
        <w:rPr>
          <w:rStyle w:val="FootnoteReference"/>
        </w:rPr>
        <w:footnoteRef/>
      </w:r>
      <w:r w:rsidRPr="00862632">
        <w:rPr>
          <w:rFonts w:cstheme="minorHAnsi"/>
          <w:lang w:val="es-ES"/>
        </w:rPr>
        <w:t xml:space="preserve"> </w:t>
      </w:r>
      <w:r>
        <w:rPr>
          <w:rFonts w:cstheme="minorHAnsi"/>
          <w:lang w:val="es-ES"/>
        </w:rPr>
        <w:tab/>
      </w:r>
      <w:r w:rsidRPr="00862632">
        <w:rPr>
          <w:rFonts w:cstheme="minorHAnsi"/>
          <w:lang w:val="es-ES"/>
        </w:rPr>
        <w:t>RFC 6101.</w:t>
      </w:r>
    </w:p>
  </w:footnote>
  <w:footnote w:id="182">
    <w:p w:rsidR="00831322" w:rsidRPr="00862632" w:rsidRDefault="00831322">
      <w:pPr>
        <w:pStyle w:val="FootnoteText"/>
        <w:rPr>
          <w:rFonts w:cstheme="minorHAnsi"/>
          <w:lang w:val="es-ES"/>
        </w:rPr>
      </w:pPr>
      <w:r w:rsidRPr="003C4DFF">
        <w:rPr>
          <w:rStyle w:val="FootnoteReference"/>
        </w:rPr>
        <w:footnoteRef/>
      </w:r>
      <w:r w:rsidRPr="00862632">
        <w:rPr>
          <w:rFonts w:cstheme="minorHAnsi"/>
          <w:lang w:val="es-ES"/>
        </w:rPr>
        <w:t xml:space="preserve"> </w:t>
      </w:r>
      <w:r>
        <w:rPr>
          <w:rFonts w:cstheme="minorHAnsi"/>
          <w:lang w:val="es-ES"/>
        </w:rPr>
        <w:tab/>
      </w:r>
      <w:r w:rsidRPr="00862632">
        <w:rPr>
          <w:rFonts w:cstheme="minorHAnsi"/>
          <w:lang w:val="es-ES"/>
        </w:rPr>
        <w:t>RFC 6176.</w:t>
      </w:r>
    </w:p>
  </w:footnote>
  <w:footnote w:id="183">
    <w:p w:rsidR="00831322" w:rsidRPr="00862632" w:rsidRDefault="00831322" w:rsidP="003C33B9">
      <w:pPr>
        <w:pStyle w:val="FootnoteText"/>
        <w:rPr>
          <w:rFonts w:cstheme="minorHAnsi"/>
          <w:lang w:val="es-ES"/>
        </w:rPr>
      </w:pPr>
      <w:r w:rsidRPr="003C4DFF">
        <w:rPr>
          <w:rStyle w:val="FootnoteReference"/>
        </w:rPr>
        <w:footnoteRef/>
      </w:r>
      <w:r w:rsidRPr="00862632">
        <w:rPr>
          <w:rFonts w:cstheme="minorHAnsi"/>
          <w:lang w:val="es-ES"/>
        </w:rPr>
        <w:t xml:space="preserve"> </w:t>
      </w:r>
      <w:r>
        <w:rPr>
          <w:rFonts w:cstheme="minorHAnsi"/>
          <w:lang w:val="es-ES"/>
        </w:rPr>
        <w:tab/>
      </w:r>
      <w:hyperlink r:id="rId197" w:history="1">
        <w:r w:rsidRPr="003C33B9">
          <w:rPr>
            <w:rStyle w:val="Hyperlink"/>
            <w:rFonts w:cstheme="minorHAnsi"/>
            <w:lang w:val="es-ES"/>
          </w:rPr>
          <w:t>Contribución de PayPal</w:t>
        </w:r>
      </w:hyperlink>
      <w:r w:rsidRPr="00862632">
        <w:rPr>
          <w:rFonts w:cstheme="minorHAnsi"/>
          <w:lang w:val="es-ES"/>
        </w:rPr>
        <w:t xml:space="preserve"> (octubre de 2012).</w:t>
      </w:r>
    </w:p>
  </w:footnote>
  <w:footnote w:id="184">
    <w:p w:rsidR="00831322" w:rsidRPr="00862632" w:rsidRDefault="00831322" w:rsidP="009568A8">
      <w:pPr>
        <w:pStyle w:val="FootnoteText"/>
        <w:tabs>
          <w:tab w:val="clear" w:pos="425"/>
          <w:tab w:val="left" w:pos="426"/>
        </w:tabs>
        <w:ind w:left="0" w:firstLine="0"/>
        <w:rPr>
          <w:rFonts w:cstheme="minorHAnsi"/>
          <w:lang w:val="es-ES"/>
        </w:rPr>
      </w:pPr>
      <w:r w:rsidRPr="003C4DFF">
        <w:rPr>
          <w:rStyle w:val="FootnoteReference"/>
        </w:rPr>
        <w:footnoteRef/>
      </w:r>
      <w:r w:rsidRPr="003C4DFF">
        <w:rPr>
          <w:rStyle w:val="FootnoteReference"/>
        </w:rPr>
        <w:t xml:space="preserve"> </w:t>
      </w:r>
      <w:r w:rsidRPr="00862632">
        <w:rPr>
          <w:rFonts w:cstheme="minorHAnsi"/>
          <w:lang w:val="es-ES"/>
        </w:rPr>
        <w:tab/>
        <w:t>DNSSEC Protocol RFC (IETF): RFC 4033, RFC 4034, and RFC 4035.</w:t>
      </w:r>
    </w:p>
  </w:footnote>
  <w:footnote w:id="185">
    <w:p w:rsidR="00831322" w:rsidRPr="00862632" w:rsidRDefault="00831322" w:rsidP="00A26E96">
      <w:pPr>
        <w:pStyle w:val="FootnoteText"/>
        <w:rPr>
          <w:rFonts w:cstheme="minorHAnsi"/>
          <w:lang w:val="es-ES"/>
        </w:rPr>
      </w:pPr>
      <w:r w:rsidRPr="003C4DFF">
        <w:rPr>
          <w:rStyle w:val="FootnoteReference"/>
        </w:rPr>
        <w:footnoteRef/>
      </w:r>
      <w:r w:rsidRPr="00862632">
        <w:rPr>
          <w:rFonts w:cstheme="minorHAnsi"/>
          <w:lang w:val="es-ES"/>
        </w:rPr>
        <w:t xml:space="preserve"> </w:t>
      </w:r>
      <w:r>
        <w:rPr>
          <w:rFonts w:cstheme="minorHAnsi"/>
          <w:lang w:val="es-ES"/>
        </w:rPr>
        <w:tab/>
      </w:r>
      <w:hyperlink r:id="rId198" w:history="1">
        <w:r w:rsidRPr="00A26E96">
          <w:rPr>
            <w:rStyle w:val="Hyperlink"/>
            <w:rFonts w:cstheme="minorHAnsi"/>
            <w:lang w:val="es-ES"/>
          </w:rPr>
          <w:t>Contribución de EE.UU.</w:t>
        </w:r>
      </w:hyperlink>
      <w:r w:rsidRPr="00862632">
        <w:rPr>
          <w:rFonts w:cstheme="minorHAnsi"/>
          <w:lang w:val="es-ES"/>
        </w:rPr>
        <w:t xml:space="preserve"> (2 de octubre de 2012).</w:t>
      </w:r>
    </w:p>
  </w:footnote>
  <w:footnote w:id="186">
    <w:p w:rsidR="00831322" w:rsidRPr="00862632" w:rsidRDefault="00831322" w:rsidP="009568A8">
      <w:pPr>
        <w:pStyle w:val="FootnoteText"/>
        <w:tabs>
          <w:tab w:val="clear" w:pos="425"/>
          <w:tab w:val="left" w:pos="426"/>
        </w:tabs>
        <w:ind w:left="0" w:firstLine="0"/>
        <w:rPr>
          <w:rFonts w:cstheme="minorHAnsi"/>
          <w:lang w:val="es-ES"/>
        </w:rPr>
      </w:pPr>
      <w:r w:rsidRPr="003C4DFF">
        <w:rPr>
          <w:rStyle w:val="FootnoteReference"/>
        </w:rPr>
        <w:footnoteRef/>
      </w:r>
      <w:r w:rsidRPr="003C4DFF">
        <w:rPr>
          <w:rStyle w:val="FootnoteReference"/>
        </w:rPr>
        <w:t xml:space="preserve"> </w:t>
      </w:r>
      <w:r w:rsidRPr="00862632">
        <w:rPr>
          <w:rFonts w:cstheme="minorHAnsi"/>
          <w:lang w:val="es-ES"/>
        </w:rPr>
        <w:tab/>
        <w:t xml:space="preserve">Véase más en </w:t>
      </w:r>
      <w:hyperlink r:id="rId199" w:history="1">
        <w:r w:rsidRPr="00862632">
          <w:rPr>
            <w:rStyle w:val="Hyperlink"/>
            <w:rFonts w:cstheme="minorHAnsi"/>
            <w:lang w:val="es-ES"/>
          </w:rPr>
          <w:t>http://www.zoomerang.com/Shared/SharedResultsSurveyResultsPage.aspx?ID=L23VTKJEXCE9</w:t>
        </w:r>
      </w:hyperlink>
      <w:r w:rsidRPr="00862632">
        <w:rPr>
          <w:rFonts w:cstheme="minorHAnsi"/>
          <w:lang w:val="es-ES"/>
        </w:rPr>
        <w:t>.</w:t>
      </w:r>
    </w:p>
  </w:footnote>
  <w:footnote w:id="187">
    <w:p w:rsidR="00831322" w:rsidRPr="00862632" w:rsidRDefault="00831322" w:rsidP="009568A8">
      <w:pPr>
        <w:pStyle w:val="FootnoteText"/>
        <w:tabs>
          <w:tab w:val="clear" w:pos="425"/>
          <w:tab w:val="left" w:pos="426"/>
        </w:tabs>
        <w:ind w:left="0" w:firstLine="0"/>
        <w:rPr>
          <w:rFonts w:cstheme="minorHAnsi"/>
          <w:lang w:val="es-ES"/>
        </w:rPr>
      </w:pPr>
      <w:r w:rsidRPr="003C4DFF">
        <w:rPr>
          <w:rStyle w:val="FootnoteReference"/>
        </w:rPr>
        <w:footnoteRef/>
      </w:r>
      <w:r w:rsidRPr="003C4DFF">
        <w:rPr>
          <w:rStyle w:val="FootnoteReference"/>
        </w:rPr>
        <w:t xml:space="preserve"> </w:t>
      </w:r>
      <w:r w:rsidRPr="00862632">
        <w:rPr>
          <w:rFonts w:cstheme="minorHAnsi"/>
          <w:lang w:val="es-ES"/>
        </w:rPr>
        <w:tab/>
      </w:r>
      <w:hyperlink r:id="rId200" w:history="1">
        <w:r w:rsidRPr="00862632">
          <w:rPr>
            <w:rStyle w:val="Hyperlink"/>
            <w:rFonts w:cstheme="minorHAnsi"/>
            <w:lang w:val="es-ES"/>
          </w:rPr>
          <w:t>http://www.internetgovernance.org/2008/02/15/eeny-meeny-miny-moe-will-verisign-control-the-root/</w:t>
        </w:r>
      </w:hyperlink>
      <w:r w:rsidRPr="00862632">
        <w:rPr>
          <w:rFonts w:cstheme="minorHAnsi"/>
          <w:lang w:val="es-ES"/>
        </w:rPr>
        <w:t>.</w:t>
      </w:r>
    </w:p>
  </w:footnote>
  <w:footnote w:id="188">
    <w:p w:rsidR="00831322" w:rsidRPr="00862632" w:rsidRDefault="00831322" w:rsidP="009568A8">
      <w:pPr>
        <w:pStyle w:val="FootnoteText"/>
        <w:tabs>
          <w:tab w:val="clear" w:pos="425"/>
          <w:tab w:val="left" w:pos="426"/>
        </w:tabs>
        <w:ind w:left="426" w:hanging="426"/>
        <w:rPr>
          <w:rFonts w:cstheme="minorHAnsi"/>
          <w:lang w:val="es-ES"/>
        </w:rPr>
      </w:pPr>
      <w:r w:rsidRPr="003C4DFF">
        <w:rPr>
          <w:rStyle w:val="FootnoteReference"/>
        </w:rPr>
        <w:footnoteRef/>
      </w:r>
      <w:r w:rsidRPr="003C4DFF">
        <w:rPr>
          <w:rStyle w:val="FootnoteReference"/>
        </w:rPr>
        <w:t xml:space="preserve"> </w:t>
      </w:r>
      <w:r w:rsidRPr="00862632">
        <w:rPr>
          <w:rFonts w:cstheme="minorHAnsi"/>
          <w:lang w:val="es-ES"/>
        </w:rPr>
        <w:tab/>
      </w:r>
      <w:hyperlink r:id="rId201" w:history="1">
        <w:r w:rsidRPr="00862632">
          <w:rPr>
            <w:rStyle w:val="Hyperlink"/>
            <w:rFonts w:cstheme="minorHAnsi"/>
            <w:lang w:val="es-ES"/>
          </w:rPr>
          <w:t>http://www.internetgovernance.org/2009/06/12/former-principal-scientist-at-verisign-blasts-us-control-of-dnssec-root-signing/</w:t>
        </w:r>
      </w:hyperlink>
      <w:r w:rsidRPr="00862632">
        <w:rPr>
          <w:rFonts w:cstheme="minorHAnsi"/>
          <w:lang w:val="es-ES"/>
        </w:rPr>
        <w:t>.</w:t>
      </w:r>
    </w:p>
  </w:footnote>
  <w:footnote w:id="189">
    <w:p w:rsidR="00831322" w:rsidRPr="00862632" w:rsidRDefault="00831322">
      <w:pPr>
        <w:pStyle w:val="FootnoteText"/>
        <w:tabs>
          <w:tab w:val="clear" w:pos="425"/>
          <w:tab w:val="left" w:pos="426"/>
        </w:tabs>
        <w:ind w:left="0" w:firstLine="0"/>
        <w:rPr>
          <w:rFonts w:cstheme="minorHAnsi"/>
          <w:lang w:val="es-ES"/>
        </w:rPr>
      </w:pPr>
      <w:r w:rsidRPr="003C4DFF">
        <w:rPr>
          <w:rStyle w:val="FootnoteReference"/>
        </w:rPr>
        <w:footnoteRef/>
      </w:r>
      <w:r w:rsidRPr="003C4DFF">
        <w:rPr>
          <w:rStyle w:val="FootnoteReference"/>
        </w:rPr>
        <w:t xml:space="preserve"> </w:t>
      </w:r>
      <w:r w:rsidRPr="00862632">
        <w:rPr>
          <w:rFonts w:cstheme="minorHAnsi"/>
          <w:lang w:val="es-ES"/>
        </w:rPr>
        <w:tab/>
      </w:r>
      <w:hyperlink r:id="rId202" w:history="1">
        <w:r w:rsidRPr="00862632">
          <w:rPr>
            <w:rStyle w:val="Hyperlink"/>
            <w:rFonts w:cstheme="minorHAnsi"/>
            <w:lang w:val="es-ES"/>
          </w:rPr>
          <w:t>Contribución de</w:t>
        </w:r>
        <w:r>
          <w:rPr>
            <w:rStyle w:val="Hyperlink"/>
            <w:rFonts w:cstheme="minorHAnsi"/>
            <w:lang w:val="es-ES"/>
          </w:rPr>
          <w:t>l</w:t>
        </w:r>
        <w:r w:rsidRPr="00862632">
          <w:rPr>
            <w:rStyle w:val="Hyperlink"/>
            <w:rFonts w:cstheme="minorHAnsi"/>
            <w:lang w:val="es-ES"/>
          </w:rPr>
          <w:t xml:space="preserve"> Reino Unido</w:t>
        </w:r>
      </w:hyperlink>
      <w:r w:rsidRPr="00862632">
        <w:rPr>
          <w:rFonts w:cstheme="minorHAnsi"/>
          <w:lang w:val="es-ES"/>
        </w:rPr>
        <w:t xml:space="preserve"> (25 de junio de 2012), </w:t>
      </w:r>
      <w:hyperlink r:id="rId203" w:history="1">
        <w:r w:rsidRPr="00862632">
          <w:rPr>
            <w:rStyle w:val="Hyperlink"/>
            <w:rFonts w:cstheme="minorHAnsi"/>
            <w:lang w:val="es-ES"/>
          </w:rPr>
          <w:t>Contribución de ISOC</w:t>
        </w:r>
      </w:hyperlink>
      <w:r w:rsidRPr="00862632">
        <w:rPr>
          <w:rFonts w:cstheme="minorHAnsi"/>
          <w:lang w:val="es-ES"/>
        </w:rPr>
        <w:t xml:space="preserve"> (26 de junio de 2012).</w:t>
      </w:r>
    </w:p>
  </w:footnote>
  <w:footnote w:id="190">
    <w:p w:rsidR="00831322" w:rsidRPr="00862632" w:rsidRDefault="00831322" w:rsidP="00A26E96">
      <w:pPr>
        <w:pStyle w:val="FootnoteText"/>
        <w:rPr>
          <w:rFonts w:cstheme="minorHAnsi"/>
          <w:lang w:val="es-ES"/>
        </w:rPr>
      </w:pPr>
      <w:r w:rsidRPr="003C4DFF">
        <w:rPr>
          <w:rStyle w:val="FootnoteReference"/>
        </w:rPr>
        <w:footnoteRef/>
      </w:r>
      <w:r w:rsidRPr="00862632">
        <w:rPr>
          <w:rFonts w:cstheme="minorHAnsi"/>
          <w:lang w:val="es-ES"/>
        </w:rPr>
        <w:t xml:space="preserve"> </w:t>
      </w:r>
      <w:r>
        <w:rPr>
          <w:rFonts w:cstheme="minorHAnsi"/>
          <w:lang w:val="es-ES"/>
        </w:rPr>
        <w:tab/>
      </w:r>
      <w:hyperlink r:id="rId204" w:history="1">
        <w:r w:rsidRPr="00A26E96">
          <w:rPr>
            <w:rStyle w:val="Hyperlink"/>
            <w:rFonts w:cstheme="minorHAnsi"/>
            <w:lang w:val="es-ES"/>
          </w:rPr>
          <w:t>Contribución de EE.UU.</w:t>
        </w:r>
      </w:hyperlink>
      <w:r w:rsidRPr="00862632">
        <w:rPr>
          <w:rFonts w:cstheme="minorHAnsi"/>
          <w:lang w:val="es-ES"/>
        </w:rPr>
        <w:t xml:space="preserve"> (2 de octubre de 2012).</w:t>
      </w:r>
    </w:p>
  </w:footnote>
  <w:footnote w:id="191">
    <w:p w:rsidR="00831322" w:rsidRPr="00862632" w:rsidRDefault="00831322" w:rsidP="00485F57">
      <w:pPr>
        <w:pStyle w:val="FootnoteText"/>
        <w:tabs>
          <w:tab w:val="clear" w:pos="425"/>
          <w:tab w:val="left" w:pos="426"/>
        </w:tabs>
        <w:rPr>
          <w:rFonts w:cstheme="minorHAnsi"/>
          <w:lang w:val="es-ES"/>
        </w:rPr>
      </w:pPr>
      <w:r w:rsidRPr="003C4DFF">
        <w:rPr>
          <w:rStyle w:val="FootnoteReference"/>
        </w:rPr>
        <w:footnoteRef/>
      </w:r>
      <w:r w:rsidRPr="00862632">
        <w:rPr>
          <w:rFonts w:cstheme="minorHAnsi"/>
          <w:lang w:val="es-ES"/>
        </w:rPr>
        <w:t xml:space="preserve"> </w:t>
      </w:r>
      <w:r w:rsidRPr="00862632">
        <w:rPr>
          <w:rFonts w:cstheme="minorHAnsi"/>
          <w:lang w:val="es-ES"/>
        </w:rPr>
        <w:tab/>
        <w:t>Resolución 133 (Rev. Guadalajara, 2010).</w:t>
      </w:r>
    </w:p>
  </w:footnote>
  <w:footnote w:id="192">
    <w:p w:rsidR="00831322" w:rsidRPr="00862632" w:rsidRDefault="00831322">
      <w:pPr>
        <w:pStyle w:val="FootnoteText"/>
        <w:tabs>
          <w:tab w:val="left" w:pos="284"/>
        </w:tabs>
        <w:rPr>
          <w:rFonts w:cstheme="minorHAnsi"/>
          <w:lang w:val="es-ES"/>
        </w:rPr>
      </w:pPr>
      <w:r w:rsidRPr="003C4DFF">
        <w:rPr>
          <w:rStyle w:val="FootnoteReference"/>
        </w:rPr>
        <w:footnoteRef/>
      </w:r>
      <w:r w:rsidRPr="00862632">
        <w:rPr>
          <w:rFonts w:cstheme="minorHAnsi"/>
          <w:lang w:val="es-ES"/>
        </w:rPr>
        <w:t xml:space="preserve"> </w:t>
      </w:r>
      <w:r w:rsidRPr="00862632">
        <w:rPr>
          <w:rFonts w:cstheme="minorHAnsi"/>
          <w:lang w:val="es-ES"/>
        </w:rPr>
        <w:tab/>
      </w:r>
      <w:hyperlink r:id="rId205" w:history="1">
        <w:r w:rsidRPr="00862632">
          <w:rPr>
            <w:rStyle w:val="Hyperlink"/>
            <w:rFonts w:cstheme="minorHAnsi"/>
            <w:lang w:val="es-ES"/>
          </w:rPr>
          <w:t>Contribución de</w:t>
        </w:r>
        <w:r>
          <w:rPr>
            <w:rStyle w:val="Hyperlink"/>
            <w:rFonts w:cstheme="minorHAnsi"/>
            <w:lang w:val="es-ES"/>
          </w:rPr>
          <w:t>l</w:t>
        </w:r>
        <w:r w:rsidRPr="00862632">
          <w:rPr>
            <w:rStyle w:val="Hyperlink"/>
            <w:rFonts w:cstheme="minorHAnsi"/>
            <w:lang w:val="es-ES"/>
          </w:rPr>
          <w:t xml:space="preserve"> Reino Unido</w:t>
        </w:r>
      </w:hyperlink>
      <w:r w:rsidRPr="00862632">
        <w:rPr>
          <w:rFonts w:cstheme="minorHAnsi"/>
          <w:lang w:val="es-ES"/>
        </w:rPr>
        <w:t xml:space="preserve"> (25 de junio de 2012).</w:t>
      </w:r>
    </w:p>
  </w:footnote>
  <w:footnote w:id="193">
    <w:p w:rsidR="00831322" w:rsidRPr="00862632" w:rsidRDefault="00831322" w:rsidP="00485F57">
      <w:pPr>
        <w:pStyle w:val="FootnoteText"/>
        <w:tabs>
          <w:tab w:val="left" w:pos="284"/>
        </w:tabs>
        <w:rPr>
          <w:rFonts w:cstheme="minorHAnsi"/>
          <w:lang w:val="es-ES"/>
        </w:rPr>
      </w:pPr>
      <w:r w:rsidRPr="003C4DFF">
        <w:rPr>
          <w:rStyle w:val="FootnoteReference"/>
        </w:rPr>
        <w:footnoteRef/>
      </w:r>
      <w:r w:rsidRPr="00862632">
        <w:rPr>
          <w:rFonts w:cstheme="minorHAnsi"/>
          <w:lang w:val="es-ES"/>
        </w:rPr>
        <w:t xml:space="preserve"> </w:t>
      </w:r>
      <w:r w:rsidRPr="00862632">
        <w:rPr>
          <w:rFonts w:cstheme="minorHAnsi"/>
          <w:lang w:val="es-ES"/>
        </w:rPr>
        <w:tab/>
      </w:r>
      <w:hyperlink r:id="rId206" w:history="1">
        <w:r w:rsidRPr="00862632">
          <w:rPr>
            <w:rStyle w:val="Hyperlink"/>
            <w:rFonts w:cstheme="minorHAnsi"/>
            <w:lang w:val="es-ES"/>
          </w:rPr>
          <w:t>Contribución de Arabia Saudita y Sudán</w:t>
        </w:r>
      </w:hyperlink>
      <w:r w:rsidRPr="00862632">
        <w:rPr>
          <w:rFonts w:cstheme="minorHAnsi"/>
          <w:lang w:val="es-ES"/>
        </w:rPr>
        <w:t xml:space="preserve"> (1 de agosto de 2012), </w:t>
      </w:r>
      <w:hyperlink r:id="rId207" w:history="1">
        <w:r w:rsidRPr="00862632">
          <w:rPr>
            <w:rStyle w:val="Hyperlink"/>
            <w:rFonts w:cstheme="minorHAnsi"/>
            <w:lang w:val="es-ES"/>
          </w:rPr>
          <w:t>Contribución de Argelia</w:t>
        </w:r>
      </w:hyperlink>
      <w:r w:rsidRPr="00862632">
        <w:rPr>
          <w:rFonts w:cstheme="minorHAnsi"/>
          <w:lang w:val="es-ES"/>
        </w:rPr>
        <w:t xml:space="preserve"> (2 de agosto de 2012).</w:t>
      </w:r>
    </w:p>
  </w:footnote>
  <w:footnote w:id="194">
    <w:p w:rsidR="00831322" w:rsidRPr="00862632" w:rsidRDefault="00831322">
      <w:pPr>
        <w:pStyle w:val="FootnoteText"/>
        <w:rPr>
          <w:rFonts w:cstheme="minorHAnsi"/>
          <w:lang w:val="es-ES"/>
        </w:rPr>
      </w:pPr>
      <w:r w:rsidRPr="003C4DFF">
        <w:rPr>
          <w:rStyle w:val="FootnoteReference"/>
        </w:rPr>
        <w:footnoteRef/>
      </w:r>
      <w:r w:rsidRPr="00862632">
        <w:rPr>
          <w:rFonts w:cstheme="minorHAnsi"/>
          <w:lang w:val="es-ES"/>
        </w:rPr>
        <w:t xml:space="preserve"> </w:t>
      </w:r>
      <w:r>
        <w:rPr>
          <w:rFonts w:cstheme="minorHAnsi"/>
          <w:lang w:val="es-ES"/>
        </w:rPr>
        <w:tab/>
      </w:r>
      <w:r w:rsidRPr="00862632">
        <w:rPr>
          <w:rFonts w:cstheme="minorHAnsi"/>
          <w:lang w:val="es-ES"/>
        </w:rPr>
        <w:t>La Versión 1.0 de la norma Unicode se publicó en octubre de 1991, pero los primeros ficheros de datos simplificando la aplicación y mejorando la compatibilidad no aparecieron hasta la versión 2.0 en julio de 1996. Para entonces internet estaba más que implantada y la World Wide Web reconocida como un importante desarrollo tecnológico.</w:t>
      </w:r>
    </w:p>
  </w:footnote>
  <w:footnote w:id="195">
    <w:p w:rsidR="00831322" w:rsidRPr="00862632" w:rsidRDefault="00831322" w:rsidP="00CD7920">
      <w:pPr>
        <w:pStyle w:val="FootnoteText"/>
        <w:rPr>
          <w:rFonts w:cstheme="minorHAnsi"/>
          <w:lang w:val="es-ES"/>
        </w:rPr>
      </w:pPr>
      <w:r w:rsidRPr="003C4DFF">
        <w:rPr>
          <w:rStyle w:val="FootnoteReference"/>
        </w:rPr>
        <w:footnoteRef/>
      </w:r>
      <w:r w:rsidRPr="00862632">
        <w:rPr>
          <w:rFonts w:cstheme="minorHAnsi"/>
          <w:lang w:val="es-ES"/>
        </w:rPr>
        <w:t xml:space="preserve"> </w:t>
      </w:r>
      <w:r>
        <w:rPr>
          <w:rFonts w:cstheme="minorHAnsi"/>
          <w:lang w:val="es-ES"/>
        </w:rPr>
        <w:tab/>
      </w:r>
      <w:hyperlink r:id="rId208" w:history="1">
        <w:r w:rsidRPr="00CD7920">
          <w:rPr>
            <w:rStyle w:val="Hyperlink"/>
          </w:rPr>
          <w:t>Contribución</w:t>
        </w:r>
        <w:r w:rsidRPr="00CD7920">
          <w:rPr>
            <w:rStyle w:val="Hyperlink"/>
            <w:lang w:val="es-ES"/>
          </w:rPr>
          <w:t xml:space="preserve"> de Nominet</w:t>
        </w:r>
      </w:hyperlink>
      <w:r w:rsidRPr="00862632">
        <w:rPr>
          <w:rFonts w:cstheme="minorHAnsi"/>
          <w:lang w:val="es-ES"/>
        </w:rPr>
        <w:t xml:space="preserve"> (30 de septiembre de 2012).</w:t>
      </w:r>
    </w:p>
  </w:footnote>
  <w:footnote w:id="196">
    <w:p w:rsidR="00831322" w:rsidRPr="00862632" w:rsidRDefault="00831322" w:rsidP="003C33B9">
      <w:pPr>
        <w:pStyle w:val="FootnoteText"/>
        <w:rPr>
          <w:rFonts w:cstheme="minorHAnsi"/>
          <w:lang w:val="es-ES"/>
        </w:rPr>
      </w:pPr>
      <w:r w:rsidRPr="003C4DFF">
        <w:rPr>
          <w:rStyle w:val="FootnoteReference"/>
        </w:rPr>
        <w:footnoteRef/>
      </w:r>
      <w:r w:rsidRPr="00862632">
        <w:rPr>
          <w:rFonts w:cstheme="minorHAnsi"/>
          <w:lang w:val="es-ES"/>
        </w:rPr>
        <w:t xml:space="preserve"> </w:t>
      </w:r>
      <w:r>
        <w:rPr>
          <w:rFonts w:cstheme="minorHAnsi"/>
          <w:lang w:val="es-ES"/>
        </w:rPr>
        <w:tab/>
      </w:r>
      <w:hyperlink r:id="rId209" w:history="1">
        <w:r w:rsidRPr="003C33B9">
          <w:rPr>
            <w:rStyle w:val="Hyperlink"/>
            <w:rFonts w:cstheme="minorHAnsi"/>
            <w:lang w:val="es-ES"/>
          </w:rPr>
          <w:t>Contribución de PayPal</w:t>
        </w:r>
      </w:hyperlink>
      <w:r w:rsidRPr="00862632">
        <w:rPr>
          <w:rFonts w:cstheme="minorHAnsi"/>
          <w:lang w:val="es-ES"/>
        </w:rPr>
        <w:t xml:space="preserve"> (octubre de 2012).</w:t>
      </w:r>
    </w:p>
  </w:footnote>
  <w:footnote w:id="197">
    <w:p w:rsidR="00831322" w:rsidRPr="00862632" w:rsidRDefault="00831322" w:rsidP="00016723">
      <w:pPr>
        <w:pStyle w:val="FootnoteText"/>
        <w:rPr>
          <w:lang w:val="es-ES"/>
        </w:rPr>
      </w:pPr>
      <w:r w:rsidRPr="003C4DFF">
        <w:rPr>
          <w:rStyle w:val="FootnoteReference"/>
        </w:rPr>
        <w:footnoteRef/>
      </w:r>
      <w:r w:rsidRPr="00862632">
        <w:rPr>
          <w:sz w:val="22"/>
          <w:szCs w:val="22"/>
          <w:vertAlign w:val="superscript"/>
          <w:lang w:val="es-ES"/>
        </w:rPr>
        <w:t xml:space="preserve"> </w:t>
      </w:r>
      <w:r w:rsidRPr="00862632">
        <w:rPr>
          <w:sz w:val="22"/>
          <w:szCs w:val="22"/>
          <w:vertAlign w:val="superscript"/>
          <w:lang w:val="es-ES"/>
        </w:rPr>
        <w:tab/>
      </w:r>
      <w:r w:rsidRPr="009E172F">
        <w:t>IDN</w:t>
      </w:r>
      <w:r w:rsidRPr="00862632">
        <w:rPr>
          <w:lang w:val="es-ES"/>
        </w:rPr>
        <w:t xml:space="preserve"> Variant TLD program, ICANN (4 de mayo de 2012),</w:t>
      </w:r>
      <w:r w:rsidR="00016723">
        <w:rPr>
          <w:lang w:val="es-ES"/>
        </w:rPr>
        <w:t xml:space="preserve"> </w:t>
      </w:r>
      <w:bookmarkStart w:id="0" w:name="_GoBack"/>
      <w:bookmarkEnd w:id="0"/>
      <w:r>
        <w:fldChar w:fldCharType="begin"/>
      </w:r>
      <w:r>
        <w:instrText xml:space="preserve"> HYPERLINK "http://www.icann.org/en/news/public-comment/idn-variant-tld-revised-program-plan-04may12-en.htm" </w:instrText>
      </w:r>
      <w:r>
        <w:fldChar w:fldCharType="separate"/>
      </w:r>
      <w:r w:rsidRPr="00862632">
        <w:rPr>
          <w:rStyle w:val="Hyperlink"/>
          <w:rFonts w:cstheme="minorHAnsi"/>
          <w:lang w:val="es-ES"/>
        </w:rPr>
        <w:t>http://www.icann.org/en/news/public-comment/idn-variant-tld-revised-program-plan-04may12-en.htm</w:t>
      </w:r>
      <w:r>
        <w:rPr>
          <w:rStyle w:val="Hyperlink"/>
          <w:rFonts w:cstheme="minorHAnsi"/>
          <w:lang w:val="es-ES"/>
        </w:rPr>
        <w:fldChar w:fldCharType="end"/>
      </w:r>
      <w:r>
        <w:rPr>
          <w:lang w:val="es-ES"/>
        </w:rPr>
        <w:t>.</w:t>
      </w:r>
    </w:p>
  </w:footnote>
  <w:footnote w:id="198">
    <w:p w:rsidR="00831322" w:rsidRPr="00862632" w:rsidRDefault="00831322" w:rsidP="009E172F">
      <w:pPr>
        <w:pStyle w:val="FootnoteText"/>
        <w:rPr>
          <w:lang w:val="es-ES"/>
        </w:rPr>
      </w:pPr>
      <w:r w:rsidRPr="003C4DFF">
        <w:rPr>
          <w:rStyle w:val="FootnoteReference"/>
        </w:rPr>
        <w:footnoteRef/>
      </w:r>
      <w:r w:rsidRPr="00862632">
        <w:rPr>
          <w:lang w:val="es-ES"/>
        </w:rPr>
        <w:t xml:space="preserve"> </w:t>
      </w:r>
      <w:r w:rsidRPr="00862632">
        <w:rPr>
          <w:lang w:val="es-ES"/>
        </w:rPr>
        <w:tab/>
        <w:t xml:space="preserve">En </w:t>
      </w:r>
      <w:hyperlink r:id="rId210" w:history="1">
        <w:r w:rsidRPr="00862632">
          <w:rPr>
            <w:rStyle w:val="Hyperlink"/>
            <w:rFonts w:cstheme="minorHAnsi"/>
            <w:lang w:val="es-ES"/>
          </w:rPr>
          <w:t>http://www.icann.org/en/resources/idn/announcementsI</w:t>
        </w:r>
      </w:hyperlink>
      <w:r w:rsidRPr="00862632">
        <w:rPr>
          <w:lang w:val="es-ES"/>
        </w:rPr>
        <w:t xml:space="preserve"> puede encontrarse información sobre la situación de implementaciones de ccTLD IDN en diferentes </w:t>
      </w:r>
      <w:r w:rsidRPr="009E172F">
        <w:t>guiones</w:t>
      </w:r>
      <w:r w:rsidRPr="00862632">
        <w:rPr>
          <w:lang w:val="es-ES"/>
        </w:rPr>
        <w:t>.</w:t>
      </w:r>
    </w:p>
  </w:footnote>
  <w:footnote w:id="199">
    <w:p w:rsidR="00831322" w:rsidRPr="00862632" w:rsidRDefault="00831322" w:rsidP="00485F57">
      <w:pPr>
        <w:pStyle w:val="FootnoteText"/>
        <w:tabs>
          <w:tab w:val="clear" w:pos="425"/>
          <w:tab w:val="left" w:pos="426"/>
        </w:tabs>
        <w:rPr>
          <w:rFonts w:cstheme="minorHAnsi"/>
          <w:lang w:val="es-ES"/>
        </w:rPr>
      </w:pPr>
      <w:r w:rsidRPr="003C4DFF">
        <w:rPr>
          <w:rStyle w:val="FootnoteReference"/>
        </w:rPr>
        <w:footnoteRef/>
      </w:r>
      <w:r w:rsidRPr="00862632">
        <w:rPr>
          <w:rFonts w:cstheme="minorHAnsi"/>
          <w:lang w:val="es-ES"/>
        </w:rPr>
        <w:t xml:space="preserve"> </w:t>
      </w:r>
      <w:r w:rsidRPr="00862632">
        <w:rPr>
          <w:rFonts w:cstheme="minorHAnsi"/>
          <w:lang w:val="es-ES"/>
        </w:rPr>
        <w:tab/>
        <w:t xml:space="preserve">En </w:t>
      </w:r>
      <w:hyperlink r:id="rId211" w:history="1">
        <w:r w:rsidRPr="00862632">
          <w:rPr>
            <w:rStyle w:val="Hyperlink"/>
            <w:rFonts w:cstheme="minorHAnsi"/>
            <w:lang w:val="es-ES"/>
          </w:rPr>
          <w:t>http://www.root-servers.org/</w:t>
        </w:r>
      </w:hyperlink>
      <w:r w:rsidRPr="00862632">
        <w:rPr>
          <w:rFonts w:cstheme="minorHAnsi"/>
          <w:lang w:val="es-ES"/>
        </w:rPr>
        <w:t xml:space="preserve"> pueden encontrarse detalles del despliegue de servidores raíz.</w:t>
      </w:r>
    </w:p>
  </w:footnote>
  <w:footnote w:id="200">
    <w:p w:rsidR="00831322" w:rsidRPr="00862632" w:rsidRDefault="00831322" w:rsidP="00485F57">
      <w:pPr>
        <w:pStyle w:val="FootnoteText"/>
        <w:tabs>
          <w:tab w:val="clear" w:pos="425"/>
          <w:tab w:val="left" w:pos="426"/>
        </w:tabs>
        <w:ind w:left="426" w:hanging="426"/>
        <w:rPr>
          <w:rFonts w:cstheme="minorHAnsi"/>
          <w:lang w:val="es-ES"/>
        </w:rPr>
      </w:pPr>
      <w:r w:rsidRPr="003C4DFF">
        <w:rPr>
          <w:rStyle w:val="FootnoteReference"/>
        </w:rPr>
        <w:footnoteRef/>
      </w:r>
      <w:r w:rsidRPr="003C4DFF">
        <w:rPr>
          <w:rStyle w:val="FootnoteReference"/>
        </w:rPr>
        <w:t xml:space="preserve"> </w:t>
      </w:r>
      <w:r w:rsidRPr="00862632">
        <w:rPr>
          <w:rFonts w:cstheme="minorHAnsi"/>
          <w:lang w:val="es-ES"/>
        </w:rPr>
        <w:tab/>
        <w:t xml:space="preserve">Véase más información sobre la distribución desequilibrada de servidores raíz DNS en Internet en </w:t>
      </w:r>
      <w:hyperlink r:id="rId212" w:history="1">
        <w:r w:rsidRPr="00862632">
          <w:rPr>
            <w:rStyle w:val="Hyperlink"/>
            <w:rFonts w:cstheme="minorHAnsi"/>
            <w:lang w:val="es-ES"/>
          </w:rPr>
          <w:t>http://royal.pingdom.com/2012/05/07/the-very-uneven-distribution-of-dns-root-servers-on-the-internet/</w:t>
        </w:r>
      </w:hyperlink>
      <w:r w:rsidRPr="00862632">
        <w:rPr>
          <w:rFonts w:cstheme="minorHAnsi"/>
          <w:lang w:val="es-ES"/>
        </w:rPr>
        <w:t>.</w:t>
      </w:r>
    </w:p>
  </w:footnote>
  <w:footnote w:id="201">
    <w:p w:rsidR="00831322" w:rsidRPr="00862632" w:rsidRDefault="00831322" w:rsidP="00CD7920">
      <w:pPr>
        <w:pStyle w:val="FootnoteText"/>
        <w:rPr>
          <w:rFonts w:cstheme="minorHAnsi"/>
          <w:lang w:val="es-ES"/>
        </w:rPr>
      </w:pPr>
      <w:r w:rsidRPr="003C4DFF">
        <w:rPr>
          <w:rStyle w:val="FootnoteReference"/>
        </w:rPr>
        <w:footnoteRef/>
      </w:r>
      <w:r w:rsidRPr="00862632">
        <w:rPr>
          <w:rFonts w:cstheme="minorHAnsi"/>
          <w:lang w:val="es-ES"/>
        </w:rPr>
        <w:t xml:space="preserve"> </w:t>
      </w:r>
      <w:r>
        <w:rPr>
          <w:rFonts w:cstheme="minorHAnsi"/>
          <w:lang w:val="es-ES"/>
        </w:rPr>
        <w:tab/>
      </w:r>
      <w:hyperlink r:id="rId213" w:history="1">
        <w:r w:rsidRPr="00CD7920">
          <w:rPr>
            <w:rStyle w:val="Hyperlink"/>
          </w:rPr>
          <w:t>Contribución</w:t>
        </w:r>
        <w:r w:rsidRPr="00CD7920">
          <w:rPr>
            <w:rStyle w:val="Hyperlink"/>
            <w:lang w:val="es-ES"/>
          </w:rPr>
          <w:t xml:space="preserve"> de Nominet</w:t>
        </w:r>
      </w:hyperlink>
      <w:r w:rsidRPr="00862632">
        <w:rPr>
          <w:rFonts w:cstheme="minorHAnsi"/>
          <w:lang w:val="es-ES"/>
        </w:rPr>
        <w:t xml:space="preserve"> (30 de septiembre de 2012).</w:t>
      </w:r>
    </w:p>
  </w:footnote>
  <w:footnote w:id="202">
    <w:p w:rsidR="00831322" w:rsidRPr="00862632" w:rsidRDefault="00831322" w:rsidP="00CD7920">
      <w:pPr>
        <w:pStyle w:val="FootnoteText"/>
        <w:rPr>
          <w:rFonts w:cstheme="minorHAnsi"/>
          <w:lang w:val="es-ES"/>
        </w:rPr>
      </w:pPr>
      <w:r w:rsidRPr="003C4DFF">
        <w:rPr>
          <w:rStyle w:val="FootnoteReference"/>
        </w:rPr>
        <w:footnoteRef/>
      </w:r>
      <w:r w:rsidRPr="00862632">
        <w:rPr>
          <w:rFonts w:cstheme="minorHAnsi"/>
          <w:lang w:val="es-ES"/>
        </w:rPr>
        <w:t xml:space="preserve"> </w:t>
      </w:r>
      <w:r>
        <w:rPr>
          <w:rFonts w:cstheme="minorHAnsi"/>
          <w:lang w:val="es-ES"/>
        </w:rPr>
        <w:tab/>
      </w:r>
      <w:hyperlink r:id="rId214" w:history="1">
        <w:r w:rsidRPr="00CD7920">
          <w:rPr>
            <w:rStyle w:val="Hyperlink"/>
          </w:rPr>
          <w:t>Contribución</w:t>
        </w:r>
        <w:r w:rsidRPr="00CD7920">
          <w:rPr>
            <w:rStyle w:val="Hyperlink"/>
            <w:lang w:val="es-ES"/>
          </w:rPr>
          <w:t xml:space="preserve"> de Nominet</w:t>
        </w:r>
      </w:hyperlink>
      <w:r w:rsidRPr="00862632">
        <w:rPr>
          <w:rFonts w:cstheme="minorHAnsi"/>
          <w:lang w:val="es-ES"/>
        </w:rPr>
        <w:t xml:space="preserve"> (30 de septiembre de 2012).</w:t>
      </w:r>
    </w:p>
  </w:footnote>
  <w:footnote w:id="203">
    <w:p w:rsidR="00831322" w:rsidRPr="00862632" w:rsidRDefault="00831322">
      <w:pPr>
        <w:pStyle w:val="FootnoteText"/>
        <w:tabs>
          <w:tab w:val="clear" w:pos="425"/>
          <w:tab w:val="left" w:pos="426"/>
        </w:tabs>
        <w:ind w:left="0" w:firstLine="0"/>
        <w:rPr>
          <w:rFonts w:cstheme="minorHAnsi"/>
          <w:lang w:val="es-ES"/>
        </w:rPr>
      </w:pPr>
      <w:r w:rsidRPr="003C4DFF">
        <w:rPr>
          <w:rStyle w:val="FootnoteReference"/>
        </w:rPr>
        <w:footnoteRef/>
      </w:r>
      <w:r w:rsidRPr="00862632">
        <w:rPr>
          <w:rFonts w:cstheme="minorHAnsi"/>
          <w:sz w:val="22"/>
          <w:szCs w:val="22"/>
          <w:vertAlign w:val="superscript"/>
          <w:lang w:val="es-ES"/>
        </w:rPr>
        <w:t xml:space="preserve"> </w:t>
      </w:r>
      <w:r w:rsidRPr="00862632">
        <w:rPr>
          <w:rFonts w:cstheme="minorHAnsi"/>
          <w:sz w:val="22"/>
          <w:szCs w:val="22"/>
          <w:vertAlign w:val="superscript"/>
          <w:lang w:val="es-ES"/>
        </w:rPr>
        <w:tab/>
      </w:r>
      <w:hyperlink r:id="rId215" w:history="1">
        <w:r w:rsidRPr="00862632">
          <w:rPr>
            <w:rStyle w:val="Hyperlink"/>
            <w:rFonts w:cstheme="minorHAnsi"/>
            <w:lang w:val="es-ES"/>
          </w:rPr>
          <w:t>Contribución de</w:t>
        </w:r>
        <w:r>
          <w:rPr>
            <w:rStyle w:val="Hyperlink"/>
            <w:rFonts w:cstheme="minorHAnsi"/>
            <w:lang w:val="es-ES"/>
          </w:rPr>
          <w:t>l</w:t>
        </w:r>
        <w:r w:rsidRPr="00862632">
          <w:rPr>
            <w:rStyle w:val="Hyperlink"/>
            <w:rFonts w:cstheme="minorHAnsi"/>
            <w:lang w:val="es-ES"/>
          </w:rPr>
          <w:t xml:space="preserve"> Reino Unido</w:t>
        </w:r>
      </w:hyperlink>
      <w:r w:rsidRPr="00862632">
        <w:rPr>
          <w:rFonts w:cstheme="minorHAnsi"/>
          <w:lang w:val="es-ES"/>
        </w:rPr>
        <w:t xml:space="preserve"> (25 de junio de 2012). </w:t>
      </w:r>
    </w:p>
  </w:footnote>
  <w:footnote w:id="204">
    <w:p w:rsidR="00831322" w:rsidRPr="00862632" w:rsidRDefault="00831322" w:rsidP="0065679A">
      <w:pPr>
        <w:pStyle w:val="FootnoteText"/>
        <w:tabs>
          <w:tab w:val="clear" w:pos="425"/>
          <w:tab w:val="left" w:pos="426"/>
        </w:tabs>
        <w:ind w:left="0" w:firstLine="0"/>
        <w:rPr>
          <w:rFonts w:cstheme="minorHAnsi"/>
          <w:lang w:val="es-ES"/>
        </w:rPr>
      </w:pPr>
      <w:r w:rsidRPr="003C4DFF">
        <w:rPr>
          <w:rStyle w:val="FootnoteReference"/>
        </w:rPr>
        <w:footnoteRef/>
      </w:r>
      <w:r w:rsidRPr="00862632">
        <w:rPr>
          <w:rFonts w:cstheme="minorHAnsi"/>
          <w:lang w:val="es-ES"/>
        </w:rPr>
        <w:t xml:space="preserve"> </w:t>
      </w:r>
      <w:r w:rsidRPr="00862632">
        <w:rPr>
          <w:rFonts w:cstheme="minorHAnsi"/>
          <w:lang w:val="es-ES"/>
        </w:rPr>
        <w:tab/>
      </w:r>
      <w:hyperlink r:id="rId216" w:history="1">
        <w:r w:rsidRPr="00862632">
          <w:rPr>
            <w:rStyle w:val="Hyperlink"/>
            <w:rFonts w:cstheme="minorHAnsi"/>
            <w:lang w:val="es-ES"/>
          </w:rPr>
          <w:t>http://royal.pingdom.com/2012/05/07/the-very-uneven-distribution-of-dns-root-servers-on-the-internet/</w:t>
        </w:r>
      </w:hyperlink>
      <w:r w:rsidRPr="00862632">
        <w:rPr>
          <w:rFonts w:cstheme="minorHAnsi"/>
          <w:lang w:val="es-ES"/>
        </w:rPr>
        <w:t>.</w:t>
      </w:r>
    </w:p>
  </w:footnote>
  <w:footnote w:id="205">
    <w:p w:rsidR="00831322" w:rsidRPr="00862632" w:rsidRDefault="00831322" w:rsidP="009E172F">
      <w:pPr>
        <w:pStyle w:val="FootnoteText"/>
        <w:rPr>
          <w:rFonts w:cstheme="minorHAnsi"/>
          <w:lang w:val="es-ES"/>
        </w:rPr>
      </w:pPr>
      <w:r w:rsidRPr="003C4DFF">
        <w:rPr>
          <w:rStyle w:val="FootnoteReference"/>
        </w:rPr>
        <w:footnoteRef/>
      </w:r>
      <w:r w:rsidRPr="003C4DFF">
        <w:rPr>
          <w:rStyle w:val="FootnoteReference"/>
        </w:rPr>
        <w:t xml:space="preserve"> </w:t>
      </w:r>
      <w:r>
        <w:rPr>
          <w:rStyle w:val="FootnoteReference"/>
        </w:rPr>
        <w:tab/>
      </w:r>
      <w:hyperlink r:id="rId217" w:history="1">
        <w:r w:rsidRPr="004A3FFC">
          <w:rPr>
            <w:rStyle w:val="Hyperlink"/>
            <w:rFonts w:cstheme="minorHAnsi"/>
            <w:lang w:val="es-ES"/>
          </w:rPr>
          <w:t>http://root-servers.org</w:t>
        </w:r>
      </w:hyperlink>
      <w:r w:rsidRPr="00862632">
        <w:rPr>
          <w:rFonts w:cstheme="minorHAnsi"/>
          <w:lang w:val="es-ES"/>
        </w:rPr>
        <w:t>.</w:t>
      </w:r>
    </w:p>
  </w:footnote>
  <w:footnote w:id="206">
    <w:p w:rsidR="00831322" w:rsidRPr="00862632" w:rsidRDefault="00831322" w:rsidP="009E172F">
      <w:pPr>
        <w:pStyle w:val="FootnoteText"/>
        <w:rPr>
          <w:rFonts w:cstheme="minorHAnsi"/>
          <w:lang w:val="es-ES"/>
        </w:rPr>
      </w:pPr>
      <w:r w:rsidRPr="003C4DFF">
        <w:rPr>
          <w:rStyle w:val="FootnoteReference"/>
        </w:rPr>
        <w:footnoteRef/>
      </w:r>
      <w:r w:rsidRPr="00862632">
        <w:rPr>
          <w:rFonts w:cstheme="minorHAnsi"/>
          <w:lang w:val="es-ES"/>
        </w:rPr>
        <w:t xml:space="preserve"> </w:t>
      </w:r>
      <w:r>
        <w:rPr>
          <w:rFonts w:cstheme="minorHAnsi"/>
          <w:lang w:val="es-ES"/>
        </w:rPr>
        <w:tab/>
        <w:t>"</w:t>
      </w:r>
      <w:r w:rsidRPr="00862632">
        <w:rPr>
          <w:rFonts w:cstheme="minorHAnsi"/>
          <w:lang w:val="es-ES"/>
        </w:rPr>
        <w:t>About the GAC</w:t>
      </w:r>
      <w:r>
        <w:rPr>
          <w:rFonts w:cstheme="minorHAnsi"/>
          <w:lang w:val="es-ES"/>
        </w:rPr>
        <w:t>"</w:t>
      </w:r>
      <w:r w:rsidRPr="00862632">
        <w:rPr>
          <w:rFonts w:cstheme="minorHAnsi"/>
          <w:lang w:val="es-ES"/>
        </w:rPr>
        <w:t xml:space="preserve">, disponible en </w:t>
      </w:r>
      <w:hyperlink r:id="rId218" w:history="1">
        <w:r w:rsidRPr="004A3FFC">
          <w:rPr>
            <w:rStyle w:val="Hyperlink"/>
            <w:rFonts w:cstheme="minorHAnsi"/>
            <w:lang w:val="es-ES"/>
          </w:rPr>
          <w:t>http://gacweb.icann.org/display/gacweb/About+The+GAC</w:t>
        </w:r>
      </w:hyperlink>
      <w:r w:rsidRPr="00862632">
        <w:rPr>
          <w:rFonts w:cstheme="minorHAnsi"/>
          <w:lang w:val="es-ES"/>
        </w:rPr>
        <w:t>.</w:t>
      </w:r>
    </w:p>
  </w:footnote>
  <w:footnote w:id="207">
    <w:p w:rsidR="00831322" w:rsidRPr="00862632" w:rsidRDefault="00831322" w:rsidP="009E172F">
      <w:pPr>
        <w:pStyle w:val="FootnoteText"/>
        <w:rPr>
          <w:rFonts w:cstheme="minorHAnsi"/>
          <w:lang w:val="es-ES"/>
        </w:rPr>
      </w:pPr>
      <w:r w:rsidRPr="003C4DFF">
        <w:rPr>
          <w:rStyle w:val="FootnoteReference"/>
        </w:rPr>
        <w:footnoteRef/>
      </w:r>
      <w:r w:rsidRPr="00862632">
        <w:rPr>
          <w:rFonts w:cstheme="minorHAnsi"/>
          <w:lang w:val="es-ES"/>
        </w:rPr>
        <w:t xml:space="preserve"> </w:t>
      </w:r>
      <w:r>
        <w:rPr>
          <w:rFonts w:cstheme="minorHAnsi"/>
          <w:lang w:val="es-ES"/>
        </w:rPr>
        <w:tab/>
      </w:r>
      <w:r w:rsidRPr="00862632">
        <w:rPr>
          <w:rFonts w:cstheme="minorHAnsi"/>
          <w:lang w:val="es-ES"/>
        </w:rPr>
        <w:t xml:space="preserve">ICANN Bylaws (marzo de 2012) – Article XI: Advisory Committees, </w:t>
      </w:r>
      <w:hyperlink r:id="rId219" w:history="1">
        <w:r w:rsidRPr="004A3FFC">
          <w:rPr>
            <w:rStyle w:val="Hyperlink"/>
            <w:rFonts w:cstheme="minorHAnsi"/>
            <w:lang w:val="es-ES"/>
          </w:rPr>
          <w:t>www.icann.org/en/about/governance/bylaws</w:t>
        </w:r>
      </w:hyperlink>
      <w:r w:rsidRPr="00862632">
        <w:rPr>
          <w:rFonts w:cstheme="minorHAnsi"/>
          <w:lang w:val="es-ES"/>
        </w:rPr>
        <w:t>.</w:t>
      </w:r>
    </w:p>
  </w:footnote>
  <w:footnote w:id="208">
    <w:p w:rsidR="00831322" w:rsidRPr="00862632" w:rsidRDefault="00831322" w:rsidP="009E172F">
      <w:pPr>
        <w:pStyle w:val="FootnoteText"/>
        <w:rPr>
          <w:rFonts w:cstheme="minorHAnsi"/>
          <w:lang w:val="es-ES"/>
        </w:rPr>
      </w:pPr>
      <w:r w:rsidRPr="003C4DFF">
        <w:rPr>
          <w:rStyle w:val="FootnoteReference"/>
        </w:rPr>
        <w:footnoteRef/>
      </w:r>
      <w:r w:rsidRPr="00862632">
        <w:rPr>
          <w:rFonts w:cstheme="minorHAnsi"/>
          <w:lang w:val="es-ES"/>
        </w:rPr>
        <w:t xml:space="preserve"> </w:t>
      </w:r>
      <w:r>
        <w:rPr>
          <w:rFonts w:cstheme="minorHAnsi"/>
          <w:lang w:val="es-ES"/>
        </w:rPr>
        <w:tab/>
      </w:r>
      <w:hyperlink r:id="rId220" w:history="1">
        <w:r w:rsidRPr="005C44EC">
          <w:rPr>
            <w:rStyle w:val="Hyperlink"/>
            <w:rFonts w:cstheme="minorHAnsi"/>
            <w:lang w:val="es-ES"/>
          </w:rPr>
          <w:t>Contribución de EE.UU.</w:t>
        </w:r>
      </w:hyperlink>
      <w:r w:rsidRPr="00862632">
        <w:rPr>
          <w:rFonts w:cstheme="minorHAnsi"/>
          <w:lang w:val="es-ES"/>
        </w:rPr>
        <w:t xml:space="preserve"> (4 de octubre de 2012).</w:t>
      </w:r>
    </w:p>
  </w:footnote>
  <w:footnote w:id="209">
    <w:p w:rsidR="00831322" w:rsidRPr="00862632" w:rsidRDefault="00831322" w:rsidP="007849C2">
      <w:pPr>
        <w:pStyle w:val="FootnoteText"/>
        <w:rPr>
          <w:rFonts w:cstheme="minorHAnsi"/>
          <w:lang w:val="es-ES"/>
        </w:rPr>
      </w:pPr>
      <w:r w:rsidRPr="003C4DFF">
        <w:rPr>
          <w:rStyle w:val="FootnoteReference"/>
        </w:rPr>
        <w:footnoteRef/>
      </w:r>
      <w:r w:rsidRPr="00862632">
        <w:rPr>
          <w:rFonts w:cstheme="minorHAnsi"/>
          <w:lang w:val="es-ES"/>
        </w:rPr>
        <w:t xml:space="preserve"> </w:t>
      </w:r>
      <w:r>
        <w:rPr>
          <w:rFonts w:cstheme="minorHAnsi"/>
          <w:lang w:val="es-ES"/>
        </w:rPr>
        <w:tab/>
      </w:r>
      <w:hyperlink r:id="rId221" w:history="1">
        <w:r w:rsidRPr="007849C2">
          <w:rPr>
            <w:rStyle w:val="Hyperlink"/>
            <w:rFonts w:cstheme="minorHAnsi"/>
            <w:lang w:val="es-ES"/>
          </w:rPr>
          <w:t>Contribución de</w:t>
        </w:r>
        <w:r>
          <w:rPr>
            <w:rStyle w:val="Hyperlink"/>
            <w:rFonts w:cstheme="minorHAnsi"/>
            <w:lang w:val="es-ES"/>
          </w:rPr>
          <w:t>l</w:t>
        </w:r>
        <w:r w:rsidRPr="007849C2">
          <w:rPr>
            <w:rStyle w:val="Hyperlink"/>
            <w:rFonts w:cstheme="minorHAnsi"/>
            <w:lang w:val="es-ES"/>
          </w:rPr>
          <w:t xml:space="preserve"> Reino Unido</w:t>
        </w:r>
      </w:hyperlink>
      <w:r w:rsidRPr="00862632">
        <w:rPr>
          <w:rFonts w:cstheme="minorHAnsi"/>
          <w:lang w:val="es-ES"/>
        </w:rPr>
        <w:t xml:space="preserve"> (21 de septiembre de 2012).</w:t>
      </w:r>
    </w:p>
  </w:footnote>
  <w:footnote w:id="210">
    <w:p w:rsidR="00831322" w:rsidRPr="00862632" w:rsidRDefault="00831322" w:rsidP="009E172F">
      <w:pPr>
        <w:pStyle w:val="FootnoteText"/>
        <w:tabs>
          <w:tab w:val="clear" w:pos="425"/>
          <w:tab w:val="left" w:pos="426"/>
        </w:tabs>
        <w:ind w:left="426" w:hanging="426"/>
        <w:rPr>
          <w:rFonts w:cstheme="minorHAnsi"/>
          <w:lang w:val="es-ES"/>
        </w:rPr>
      </w:pPr>
      <w:r w:rsidRPr="003C4DFF">
        <w:rPr>
          <w:rStyle w:val="FootnoteReference"/>
        </w:rPr>
        <w:footnoteRef/>
      </w:r>
      <w:r w:rsidRPr="00862632">
        <w:rPr>
          <w:rFonts w:cstheme="minorHAnsi"/>
          <w:lang w:val="es-ES"/>
        </w:rPr>
        <w:t xml:space="preserve"> </w:t>
      </w:r>
      <w:r w:rsidRPr="00862632">
        <w:rPr>
          <w:rFonts w:cstheme="minorHAnsi"/>
          <w:lang w:val="es-ES"/>
        </w:rPr>
        <w:tab/>
        <w:t xml:space="preserve">Miembros del GAC (a 12 de diciembre de 2012), véase </w:t>
      </w:r>
      <w:hyperlink r:id="rId222" w:history="1">
        <w:r w:rsidRPr="004A3FFC">
          <w:rPr>
            <w:rStyle w:val="Hyperlink"/>
            <w:rFonts w:cstheme="minorHAnsi"/>
            <w:lang w:val="es-ES"/>
          </w:rPr>
          <w:t>https://gacweb.icann.org/display/gacweb/GAC+Members</w:t>
        </w:r>
      </w:hyperlink>
      <w:r w:rsidRPr="00862632">
        <w:rPr>
          <w:rFonts w:cstheme="minorHAnsi"/>
          <w:lang w:val="es-ES"/>
        </w:rPr>
        <w:t>.</w:t>
      </w:r>
    </w:p>
  </w:footnote>
  <w:footnote w:id="211">
    <w:p w:rsidR="00831322" w:rsidRPr="00862632" w:rsidRDefault="00831322" w:rsidP="009E172F">
      <w:pPr>
        <w:pStyle w:val="FootnoteText"/>
        <w:rPr>
          <w:rFonts w:cstheme="minorHAnsi"/>
          <w:lang w:val="es-ES"/>
        </w:rPr>
      </w:pPr>
      <w:r w:rsidRPr="003C4DFF">
        <w:rPr>
          <w:rStyle w:val="FootnoteReference"/>
        </w:rPr>
        <w:footnoteRef/>
      </w:r>
      <w:r w:rsidRPr="003C4DFF">
        <w:rPr>
          <w:rStyle w:val="FootnoteReference"/>
        </w:rPr>
        <w:t xml:space="preserve"> </w:t>
      </w:r>
      <w:r>
        <w:rPr>
          <w:rStyle w:val="FootnoteReference"/>
        </w:rPr>
        <w:tab/>
      </w:r>
      <w:hyperlink r:id="rId223" w:history="1">
        <w:r w:rsidRPr="007849C2">
          <w:rPr>
            <w:rStyle w:val="Hyperlink"/>
            <w:rFonts w:cstheme="minorHAnsi"/>
            <w:lang w:val="es-ES"/>
          </w:rPr>
          <w:t>Contribución de</w:t>
        </w:r>
        <w:r>
          <w:rPr>
            <w:rStyle w:val="Hyperlink"/>
            <w:rFonts w:cstheme="minorHAnsi"/>
            <w:lang w:val="es-ES"/>
          </w:rPr>
          <w:t>l</w:t>
        </w:r>
        <w:r w:rsidRPr="007849C2">
          <w:rPr>
            <w:rStyle w:val="Hyperlink"/>
            <w:rFonts w:cstheme="minorHAnsi"/>
            <w:lang w:val="es-ES"/>
          </w:rPr>
          <w:t xml:space="preserve"> Reino Unido</w:t>
        </w:r>
      </w:hyperlink>
      <w:r w:rsidRPr="00862632">
        <w:rPr>
          <w:rFonts w:cstheme="minorHAnsi"/>
          <w:lang w:val="es-ES"/>
        </w:rPr>
        <w:t xml:space="preserve"> (21 de septiembre de 2012).</w:t>
      </w:r>
    </w:p>
  </w:footnote>
  <w:footnote w:id="212">
    <w:p w:rsidR="00831322" w:rsidRPr="00862632" w:rsidRDefault="00831322" w:rsidP="005C44EC">
      <w:pPr>
        <w:pStyle w:val="FootnoteText"/>
        <w:rPr>
          <w:rFonts w:cstheme="minorHAnsi"/>
          <w:lang w:val="es-ES"/>
        </w:rPr>
      </w:pPr>
      <w:r w:rsidRPr="003C4DFF">
        <w:rPr>
          <w:rStyle w:val="FootnoteReference"/>
        </w:rPr>
        <w:footnoteRef/>
      </w:r>
      <w:r w:rsidRPr="003C4DFF">
        <w:rPr>
          <w:rStyle w:val="FootnoteReference"/>
        </w:rPr>
        <w:t xml:space="preserve"> </w:t>
      </w:r>
      <w:r>
        <w:rPr>
          <w:rStyle w:val="FootnoteReference"/>
        </w:rPr>
        <w:tab/>
      </w:r>
      <w:hyperlink r:id="rId224" w:history="1">
        <w:r w:rsidRPr="00A26E96">
          <w:rPr>
            <w:rStyle w:val="Hyperlink"/>
            <w:rFonts w:cstheme="minorHAnsi"/>
            <w:lang w:val="es-ES"/>
          </w:rPr>
          <w:t>Contribución de EE.UU.</w:t>
        </w:r>
      </w:hyperlink>
      <w:r w:rsidRPr="00862632">
        <w:rPr>
          <w:rFonts w:cstheme="minorHAnsi"/>
          <w:lang w:val="es-ES"/>
        </w:rPr>
        <w:t xml:space="preserve"> (4 de octubre de 2012).</w:t>
      </w:r>
    </w:p>
  </w:footnote>
  <w:footnote w:id="213">
    <w:p w:rsidR="00831322" w:rsidRPr="00862632" w:rsidRDefault="00831322" w:rsidP="009E172F">
      <w:pPr>
        <w:pStyle w:val="FootnoteText"/>
        <w:rPr>
          <w:rFonts w:cstheme="minorHAnsi"/>
          <w:lang w:val="es-ES"/>
        </w:rPr>
      </w:pPr>
      <w:r w:rsidRPr="003C4DFF">
        <w:rPr>
          <w:rStyle w:val="FootnoteReference"/>
        </w:rPr>
        <w:footnoteRef/>
      </w:r>
      <w:r w:rsidRPr="003C4DFF">
        <w:rPr>
          <w:rStyle w:val="FootnoteReference"/>
        </w:rPr>
        <w:t xml:space="preserve"> </w:t>
      </w:r>
      <w:r>
        <w:rPr>
          <w:rStyle w:val="FootnoteReference"/>
        </w:rPr>
        <w:tab/>
      </w:r>
      <w:r>
        <w:rPr>
          <w:rFonts w:cstheme="minorHAnsi"/>
          <w:lang w:val="es-ES"/>
        </w:rPr>
        <w:t>"</w:t>
      </w:r>
      <w:r w:rsidRPr="00862632">
        <w:rPr>
          <w:rFonts w:cstheme="minorHAnsi"/>
          <w:lang w:val="es-ES"/>
        </w:rPr>
        <w:t>ICANN has rejected the GAC</w:t>
      </w:r>
      <w:r>
        <w:rPr>
          <w:rFonts w:cstheme="minorHAnsi"/>
          <w:lang w:val="es-ES"/>
        </w:rPr>
        <w:t>'</w:t>
      </w:r>
      <w:r w:rsidRPr="00862632">
        <w:rPr>
          <w:rFonts w:cstheme="minorHAnsi"/>
          <w:lang w:val="es-ES"/>
        </w:rPr>
        <w:t xml:space="preserve">s advice that the definition of </w:t>
      </w:r>
      <w:r>
        <w:rPr>
          <w:rFonts w:cstheme="minorHAnsi"/>
          <w:lang w:val="es-ES"/>
        </w:rPr>
        <w:t>"</w:t>
      </w:r>
      <w:r w:rsidRPr="00862632">
        <w:rPr>
          <w:rFonts w:cstheme="minorHAnsi"/>
          <w:lang w:val="es-ES"/>
        </w:rPr>
        <w:t>Community-based</w:t>
      </w:r>
      <w:r>
        <w:rPr>
          <w:rFonts w:cstheme="minorHAnsi"/>
          <w:lang w:val="es-ES"/>
        </w:rPr>
        <w:t>"</w:t>
      </w:r>
      <w:r w:rsidRPr="00862632">
        <w:rPr>
          <w:rFonts w:cstheme="minorHAnsi"/>
          <w:lang w:val="es-ES"/>
        </w:rPr>
        <w:t xml:space="preserve"> strings be expanded to include strings that purport to represent a particular group of people or interests based on historical, cultural, or social components of identity, such as nationality, race or ethnicity, religión, culture, etc., or particular sectors, on the grounds that doing so would be extremely difficul to implement</w:t>
      </w:r>
      <w:r>
        <w:rPr>
          <w:rFonts w:cstheme="minorHAnsi"/>
          <w:lang w:val="es-ES"/>
        </w:rPr>
        <w:t>"</w:t>
      </w:r>
      <w:r w:rsidRPr="00862632">
        <w:rPr>
          <w:rFonts w:cstheme="minorHAnsi"/>
          <w:lang w:val="es-ES"/>
        </w:rPr>
        <w:t>, GAC comments on the Applicant Guidebook (versión del 15 de abril de 2011).</w:t>
      </w:r>
    </w:p>
  </w:footnote>
  <w:footnote w:id="214">
    <w:p w:rsidR="00831322" w:rsidRPr="00862632" w:rsidRDefault="00831322" w:rsidP="00844E6E">
      <w:pPr>
        <w:pStyle w:val="FootnoteText"/>
        <w:tabs>
          <w:tab w:val="clear" w:pos="425"/>
          <w:tab w:val="left" w:pos="426"/>
        </w:tabs>
        <w:ind w:left="426" w:hanging="426"/>
        <w:rPr>
          <w:rFonts w:cstheme="minorHAnsi"/>
          <w:lang w:val="es-ES"/>
        </w:rPr>
      </w:pPr>
      <w:r w:rsidRPr="003C4DFF">
        <w:rPr>
          <w:rStyle w:val="FootnoteReference"/>
        </w:rPr>
        <w:footnoteRef/>
      </w:r>
      <w:r w:rsidRPr="00862632">
        <w:rPr>
          <w:rFonts w:cstheme="minorHAnsi"/>
          <w:sz w:val="22"/>
          <w:szCs w:val="22"/>
          <w:vertAlign w:val="superscript"/>
          <w:lang w:val="es-ES"/>
        </w:rPr>
        <w:tab/>
      </w:r>
      <w:r w:rsidRPr="00862632">
        <w:rPr>
          <w:rFonts w:cstheme="minorHAnsi"/>
          <w:lang w:val="es-ES"/>
        </w:rPr>
        <w:t>Informe publicado por el Grupo de Trabajo Mixto del Consejo de Administración de la ICANN y el GAC, junio de</w:t>
      </w:r>
      <w:r>
        <w:rPr>
          <w:rFonts w:cstheme="minorHAnsi"/>
          <w:lang w:val="es-ES"/>
        </w:rPr>
        <w:t> </w:t>
      </w:r>
      <w:r w:rsidRPr="00862632">
        <w:rPr>
          <w:rFonts w:cstheme="minorHAnsi"/>
          <w:lang w:val="es-ES"/>
        </w:rPr>
        <w:t xml:space="preserve">2011, en </w:t>
      </w:r>
      <w:hyperlink r:id="rId225" w:history="1">
        <w:r w:rsidRPr="00862632">
          <w:rPr>
            <w:rStyle w:val="Hyperlink"/>
            <w:rFonts w:cstheme="minorHAnsi"/>
            <w:lang w:val="es-ES"/>
          </w:rPr>
          <w:t>http://archive.icann.org/en/committees/board-gac-2009/board-gac-jwg-final-report-19jun11-en.pdf</w:t>
        </w:r>
      </w:hyperlink>
      <w:r w:rsidRPr="00862632">
        <w:rPr>
          <w:rFonts w:cstheme="minorHAnsi"/>
          <w:lang w:val="es-ES"/>
        </w:rPr>
        <w:t>.</w:t>
      </w:r>
    </w:p>
  </w:footnote>
  <w:footnote w:id="215">
    <w:p w:rsidR="00831322" w:rsidRPr="00862632" w:rsidRDefault="00831322" w:rsidP="009E172F">
      <w:pPr>
        <w:pStyle w:val="FootnoteText"/>
        <w:rPr>
          <w:rFonts w:cstheme="minorHAnsi"/>
          <w:lang w:val="es-ES"/>
        </w:rPr>
      </w:pPr>
      <w:r w:rsidRPr="003C4DFF">
        <w:rPr>
          <w:rStyle w:val="FootnoteReference"/>
        </w:rPr>
        <w:footnoteRef/>
      </w:r>
      <w:r w:rsidRPr="00862632">
        <w:rPr>
          <w:rFonts w:cstheme="minorHAnsi"/>
          <w:lang w:val="es-ES"/>
        </w:rPr>
        <w:t xml:space="preserve"> </w:t>
      </w:r>
      <w:r>
        <w:rPr>
          <w:rFonts w:cstheme="minorHAnsi"/>
          <w:lang w:val="es-ES"/>
        </w:rPr>
        <w:tab/>
      </w:r>
      <w:hyperlink r:id="rId226" w:history="1">
        <w:r w:rsidRPr="004A3FFC">
          <w:rPr>
            <w:rStyle w:val="Hyperlink"/>
            <w:rFonts w:cstheme="minorHAnsi"/>
            <w:lang w:val="es-ES"/>
          </w:rPr>
          <w:t>http://archive.icann.org/en/committees/board-gac-2009/board-gac-jwg-final-report-19jun11-en-pdf</w:t>
        </w:r>
      </w:hyperlink>
      <w:r w:rsidRPr="00862632">
        <w:rPr>
          <w:rFonts w:cstheme="minorHAnsi"/>
          <w:lang w:val="es-ES"/>
        </w:rPr>
        <w:t>.</w:t>
      </w:r>
    </w:p>
  </w:footnote>
  <w:footnote w:id="216">
    <w:p w:rsidR="00831322" w:rsidRPr="00862632" w:rsidRDefault="00831322" w:rsidP="00A26E96">
      <w:pPr>
        <w:pStyle w:val="FootnoteText"/>
        <w:rPr>
          <w:rFonts w:cstheme="minorHAnsi"/>
          <w:lang w:val="es-ES"/>
        </w:rPr>
      </w:pPr>
      <w:r w:rsidRPr="003C4DFF">
        <w:rPr>
          <w:rStyle w:val="FootnoteReference"/>
        </w:rPr>
        <w:footnoteRef/>
      </w:r>
      <w:r>
        <w:rPr>
          <w:rFonts w:cstheme="minorHAnsi"/>
          <w:lang w:val="es-ES"/>
        </w:rPr>
        <w:tab/>
      </w:r>
      <w:hyperlink r:id="rId227" w:history="1">
        <w:hyperlink r:id="rId228" w:history="1">
          <w:r w:rsidRPr="00A26E96">
            <w:rPr>
              <w:rStyle w:val="Hyperlink"/>
              <w:rFonts w:cstheme="minorHAnsi"/>
              <w:lang w:val="es-ES"/>
            </w:rPr>
            <w:t>Contribución de EE.UU.</w:t>
          </w:r>
        </w:hyperlink>
      </w:hyperlink>
      <w:r w:rsidRPr="00862632">
        <w:rPr>
          <w:rFonts w:cstheme="minorHAnsi"/>
          <w:lang w:val="es-ES"/>
        </w:rPr>
        <w:t xml:space="preserve"> (2 de octubre de 2012).</w:t>
      </w:r>
    </w:p>
  </w:footnote>
  <w:footnote w:id="217">
    <w:p w:rsidR="00831322" w:rsidRPr="00862632" w:rsidRDefault="00831322" w:rsidP="009E172F">
      <w:pPr>
        <w:pStyle w:val="FootnoteText"/>
        <w:rPr>
          <w:rFonts w:cstheme="minorHAnsi"/>
          <w:lang w:val="es-ES"/>
        </w:rPr>
      </w:pPr>
      <w:r w:rsidRPr="003C4DFF">
        <w:rPr>
          <w:rStyle w:val="FootnoteReference"/>
        </w:rPr>
        <w:footnoteRef/>
      </w:r>
      <w:r w:rsidRPr="00862632">
        <w:rPr>
          <w:rFonts w:cstheme="minorHAnsi"/>
          <w:lang w:val="es-ES"/>
        </w:rPr>
        <w:t xml:space="preserve"> </w:t>
      </w:r>
      <w:r>
        <w:rPr>
          <w:rFonts w:cstheme="minorHAnsi"/>
          <w:lang w:val="es-ES"/>
        </w:rPr>
        <w:tab/>
      </w:r>
      <w:r w:rsidRPr="00862632">
        <w:rPr>
          <w:rFonts w:cstheme="minorHAnsi"/>
          <w:lang w:val="es-ES"/>
        </w:rPr>
        <w:t>Cinco de las 27 recomendaciones del ATRT están relacionadas con la función del GAC dentro de la ICANN, y el Grupo de Trabajo sobre la aplicación de las recomendaciones del Consejo de Administración-GAC (BGRI) ha finalizado su labor sobre tres de las cinco recomendaciones. En la actualidad, el BGRI está estudiando propuestas para completar las dos recomendaciones restantes, que se centran específicamente en la participación en fases tempranas del GAC en los procesos de elaboración de políticas de la ICANN [origen: EE.UU.].</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43972315"/>
      <w:docPartObj>
        <w:docPartGallery w:val="Page Numbers (Top of Page)"/>
        <w:docPartUnique/>
      </w:docPartObj>
    </w:sdtPr>
    <w:sdtEndPr>
      <w:rPr>
        <w:noProof/>
      </w:rPr>
    </w:sdtEndPr>
    <w:sdtContent>
      <w:p w:rsidR="00831322" w:rsidRDefault="00831322">
        <w:pPr>
          <w:pStyle w:val="Header"/>
        </w:pPr>
        <w:r>
          <w:fldChar w:fldCharType="begin"/>
        </w:r>
        <w:r>
          <w:instrText xml:space="preserve"> PAGE   \* MERGEFORMAT </w:instrText>
        </w:r>
        <w:r>
          <w:fldChar w:fldCharType="separate"/>
        </w:r>
        <w:r w:rsidR="00016723">
          <w:rPr>
            <w:noProof/>
          </w:rPr>
          <w:t>33</w:t>
        </w:r>
        <w:r>
          <w:rPr>
            <w:noProof/>
          </w:rPr>
          <w:fldChar w:fldCharType="end"/>
        </w:r>
      </w:p>
    </w:sdtContent>
  </w:sdt>
  <w:p w:rsidR="00831322" w:rsidRDefault="00831322">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31322" w:rsidRDefault="00831322">
    <w:pPr>
      <w:pStyle w:val="Header"/>
    </w:pPr>
    <w:r>
      <w:rPr>
        <w:b/>
        <w:bCs/>
        <w:noProof/>
        <w:lang w:val="en-US" w:eastAsia="zh-CN"/>
      </w:rPr>
      <w:drawing>
        <wp:inline distT="0" distB="0" distL="0" distR="0" wp14:anchorId="197D5A01" wp14:editId="78F2A649">
          <wp:extent cx="638175" cy="723900"/>
          <wp:effectExtent l="1905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638175" cy="723900"/>
                  </a:xfrm>
                  <a:prstGeom prst="rect">
                    <a:avLst/>
                  </a:prstGeom>
                  <a:noFill/>
                  <a:ln w="9525">
                    <a:noFill/>
                    <a:miter lim="800000"/>
                    <a:headEnd/>
                    <a:tailEnd/>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213A00"/>
    <w:multiLevelType w:val="hybridMultilevel"/>
    <w:tmpl w:val="AA340722"/>
    <w:lvl w:ilvl="0" w:tplc="04090017">
      <w:start w:val="1"/>
      <w:numFmt w:val="lowerLetter"/>
      <w:lvlText w:val="%1)"/>
      <w:lvlJc w:val="left"/>
      <w:pPr>
        <w:ind w:left="720" w:hanging="360"/>
      </w:pPr>
    </w:lvl>
    <w:lvl w:ilvl="1" w:tplc="189C9918">
      <w:start w:val="1"/>
      <w:numFmt w:val="lowerRoman"/>
      <w:lvlText w:val="%2)"/>
      <w:lvlJc w:val="left"/>
      <w:pPr>
        <w:ind w:left="1800" w:hanging="720"/>
      </w:pPr>
      <w:rPr>
        <w:rFonts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B1676E6"/>
    <w:multiLevelType w:val="hybridMultilevel"/>
    <w:tmpl w:val="41B047F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nsid w:val="0CFF3660"/>
    <w:multiLevelType w:val="hybridMultilevel"/>
    <w:tmpl w:val="6602B43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0EC5188"/>
    <w:multiLevelType w:val="hybridMultilevel"/>
    <w:tmpl w:val="663C78F6"/>
    <w:lvl w:ilvl="0" w:tplc="AE84A29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138935AB"/>
    <w:multiLevelType w:val="multilevel"/>
    <w:tmpl w:val="0520FF34"/>
    <w:lvl w:ilvl="0">
      <w:start w:val="1"/>
      <w:numFmt w:val="lowerLetter"/>
      <w:lvlText w:val="%1."/>
      <w:lvlJc w:val="left"/>
      <w:pPr>
        <w:tabs>
          <w:tab w:val="num" w:pos="1449"/>
        </w:tabs>
        <w:ind w:left="1449" w:hanging="360"/>
      </w:pPr>
    </w:lvl>
    <w:lvl w:ilvl="1">
      <w:start w:val="7"/>
      <w:numFmt w:val="lowerLetter"/>
      <w:lvlText w:val="%2."/>
      <w:lvlJc w:val="left"/>
      <w:pPr>
        <w:ind w:left="2169" w:hanging="360"/>
      </w:pPr>
      <w:rPr>
        <w:rFonts w:hint="default"/>
      </w:rPr>
    </w:lvl>
    <w:lvl w:ilvl="2" w:tentative="1">
      <w:start w:val="1"/>
      <w:numFmt w:val="lowerLetter"/>
      <w:lvlText w:val="%3."/>
      <w:lvlJc w:val="left"/>
      <w:pPr>
        <w:tabs>
          <w:tab w:val="num" w:pos="2889"/>
        </w:tabs>
        <w:ind w:left="2889" w:hanging="360"/>
      </w:pPr>
    </w:lvl>
    <w:lvl w:ilvl="3" w:tentative="1">
      <w:start w:val="1"/>
      <w:numFmt w:val="lowerLetter"/>
      <w:lvlText w:val="%4."/>
      <w:lvlJc w:val="left"/>
      <w:pPr>
        <w:tabs>
          <w:tab w:val="num" w:pos="3609"/>
        </w:tabs>
        <w:ind w:left="3609" w:hanging="360"/>
      </w:pPr>
    </w:lvl>
    <w:lvl w:ilvl="4" w:tentative="1">
      <w:start w:val="1"/>
      <w:numFmt w:val="lowerLetter"/>
      <w:lvlText w:val="%5."/>
      <w:lvlJc w:val="left"/>
      <w:pPr>
        <w:tabs>
          <w:tab w:val="num" w:pos="4329"/>
        </w:tabs>
        <w:ind w:left="4329" w:hanging="360"/>
      </w:pPr>
    </w:lvl>
    <w:lvl w:ilvl="5" w:tentative="1">
      <w:start w:val="1"/>
      <w:numFmt w:val="lowerLetter"/>
      <w:lvlText w:val="%6."/>
      <w:lvlJc w:val="left"/>
      <w:pPr>
        <w:tabs>
          <w:tab w:val="num" w:pos="5049"/>
        </w:tabs>
        <w:ind w:left="5049" w:hanging="360"/>
      </w:pPr>
    </w:lvl>
    <w:lvl w:ilvl="6" w:tentative="1">
      <w:start w:val="1"/>
      <w:numFmt w:val="lowerLetter"/>
      <w:lvlText w:val="%7."/>
      <w:lvlJc w:val="left"/>
      <w:pPr>
        <w:tabs>
          <w:tab w:val="num" w:pos="5769"/>
        </w:tabs>
        <w:ind w:left="5769" w:hanging="360"/>
      </w:pPr>
    </w:lvl>
    <w:lvl w:ilvl="7" w:tentative="1">
      <w:start w:val="1"/>
      <w:numFmt w:val="lowerLetter"/>
      <w:lvlText w:val="%8."/>
      <w:lvlJc w:val="left"/>
      <w:pPr>
        <w:tabs>
          <w:tab w:val="num" w:pos="6489"/>
        </w:tabs>
        <w:ind w:left="6489" w:hanging="360"/>
      </w:pPr>
    </w:lvl>
    <w:lvl w:ilvl="8" w:tentative="1">
      <w:start w:val="1"/>
      <w:numFmt w:val="lowerLetter"/>
      <w:lvlText w:val="%9."/>
      <w:lvlJc w:val="left"/>
      <w:pPr>
        <w:tabs>
          <w:tab w:val="num" w:pos="7209"/>
        </w:tabs>
        <w:ind w:left="7209" w:hanging="360"/>
      </w:pPr>
    </w:lvl>
  </w:abstractNum>
  <w:abstractNum w:abstractNumId="5">
    <w:nsid w:val="15F45508"/>
    <w:multiLevelType w:val="hybridMultilevel"/>
    <w:tmpl w:val="EB1E85E4"/>
    <w:lvl w:ilvl="0" w:tplc="6B7AB5E2">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
    <w:nsid w:val="18EF35D5"/>
    <w:multiLevelType w:val="multilevel"/>
    <w:tmpl w:val="3EC470E2"/>
    <w:lvl w:ilvl="0">
      <w:start w:val="2"/>
      <w:numFmt w:val="decimal"/>
      <w:lvlText w:val="%1"/>
      <w:lvlJc w:val="left"/>
      <w:pPr>
        <w:ind w:left="480" w:hanging="480"/>
      </w:pPr>
      <w:rPr>
        <w:rFonts w:hint="default"/>
      </w:rPr>
    </w:lvl>
    <w:lvl w:ilvl="1">
      <w:start w:val="3"/>
      <w:numFmt w:val="decimal"/>
      <w:lvlText w:val="%1.%2"/>
      <w:lvlJc w:val="left"/>
      <w:pPr>
        <w:ind w:left="480" w:hanging="480"/>
      </w:pPr>
      <w:rPr>
        <w:rFonts w:hint="default"/>
      </w:rPr>
    </w:lvl>
    <w:lvl w:ilvl="2">
      <w:start w:val="5"/>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nsid w:val="1B251BBF"/>
    <w:multiLevelType w:val="multilevel"/>
    <w:tmpl w:val="3E5C9F6A"/>
    <w:lvl w:ilvl="0">
      <w:start w:val="2"/>
      <w:numFmt w:val="decimal"/>
      <w:lvlText w:val="%1"/>
      <w:lvlJc w:val="left"/>
      <w:pPr>
        <w:ind w:left="660" w:hanging="660"/>
      </w:pPr>
      <w:rPr>
        <w:rFonts w:hint="default"/>
      </w:rPr>
    </w:lvl>
    <w:lvl w:ilvl="1">
      <w:start w:val="3"/>
      <w:numFmt w:val="decimal"/>
      <w:lvlText w:val="%1.%2"/>
      <w:lvlJc w:val="left"/>
      <w:pPr>
        <w:ind w:left="900" w:hanging="660"/>
      </w:pPr>
      <w:rPr>
        <w:rFonts w:hint="default"/>
      </w:rPr>
    </w:lvl>
    <w:lvl w:ilvl="2">
      <w:start w:val="5"/>
      <w:numFmt w:val="decimal"/>
      <w:lvlText w:val="%1.%2.%3"/>
      <w:lvlJc w:val="left"/>
      <w:pPr>
        <w:ind w:left="1200" w:hanging="720"/>
      </w:pPr>
      <w:rPr>
        <w:rFonts w:hint="default"/>
      </w:rPr>
    </w:lvl>
    <w:lvl w:ilvl="3">
      <w:start w:val="1"/>
      <w:numFmt w:val="decimal"/>
      <w:lvlText w:val="%1.%2.%3.%4"/>
      <w:lvlJc w:val="left"/>
      <w:pPr>
        <w:ind w:left="1440" w:hanging="720"/>
      </w:pPr>
      <w:rPr>
        <w:rFonts w:hint="default"/>
      </w:rPr>
    </w:lvl>
    <w:lvl w:ilvl="4">
      <w:start w:val="1"/>
      <w:numFmt w:val="decimal"/>
      <w:lvlText w:val="%1.%2.%3.%4.%5"/>
      <w:lvlJc w:val="left"/>
      <w:pPr>
        <w:ind w:left="2040" w:hanging="1080"/>
      </w:pPr>
      <w:rPr>
        <w:rFonts w:hint="default"/>
      </w:rPr>
    </w:lvl>
    <w:lvl w:ilvl="5">
      <w:start w:val="1"/>
      <w:numFmt w:val="decimal"/>
      <w:lvlText w:val="%1.%2.%3.%4.%5.%6"/>
      <w:lvlJc w:val="left"/>
      <w:pPr>
        <w:ind w:left="2280" w:hanging="1080"/>
      </w:pPr>
      <w:rPr>
        <w:rFonts w:hint="default"/>
      </w:rPr>
    </w:lvl>
    <w:lvl w:ilvl="6">
      <w:start w:val="1"/>
      <w:numFmt w:val="decimal"/>
      <w:lvlText w:val="%1.%2.%3.%4.%5.%6.%7"/>
      <w:lvlJc w:val="left"/>
      <w:pPr>
        <w:ind w:left="2880" w:hanging="1440"/>
      </w:pPr>
      <w:rPr>
        <w:rFonts w:hint="default"/>
      </w:rPr>
    </w:lvl>
    <w:lvl w:ilvl="7">
      <w:start w:val="1"/>
      <w:numFmt w:val="decimal"/>
      <w:lvlText w:val="%1.%2.%3.%4.%5.%6.%7.%8"/>
      <w:lvlJc w:val="left"/>
      <w:pPr>
        <w:ind w:left="3120" w:hanging="1440"/>
      </w:pPr>
      <w:rPr>
        <w:rFonts w:hint="default"/>
      </w:rPr>
    </w:lvl>
    <w:lvl w:ilvl="8">
      <w:start w:val="1"/>
      <w:numFmt w:val="decimal"/>
      <w:lvlText w:val="%1.%2.%3.%4.%5.%6.%7.%8.%9"/>
      <w:lvlJc w:val="left"/>
      <w:pPr>
        <w:ind w:left="3720" w:hanging="1800"/>
      </w:pPr>
      <w:rPr>
        <w:rFonts w:hint="default"/>
      </w:rPr>
    </w:lvl>
  </w:abstractNum>
  <w:abstractNum w:abstractNumId="8">
    <w:nsid w:val="1B7E54DA"/>
    <w:multiLevelType w:val="hybridMultilevel"/>
    <w:tmpl w:val="506CB26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1DB01065"/>
    <w:multiLevelType w:val="hybridMultilevel"/>
    <w:tmpl w:val="2DF0BAF4"/>
    <w:lvl w:ilvl="0" w:tplc="367CBF88">
      <w:start w:val="2"/>
      <w:numFmt w:val="lowerLetter"/>
      <w:lvlText w:val="%1)"/>
      <w:lvlJc w:val="left"/>
      <w:pPr>
        <w:ind w:left="36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1EDF04A2"/>
    <w:multiLevelType w:val="hybridMultilevel"/>
    <w:tmpl w:val="E40ADD2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nsid w:val="20D54AA3"/>
    <w:multiLevelType w:val="hybridMultilevel"/>
    <w:tmpl w:val="24E02C66"/>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01">
      <w:start w:val="1"/>
      <w:numFmt w:val="bullet"/>
      <w:lvlText w:val=""/>
      <w:lvlJc w:val="left"/>
      <w:pPr>
        <w:ind w:left="2160" w:hanging="180"/>
      </w:pPr>
      <w:rPr>
        <w:rFonts w:ascii="Symbol" w:hAnsi="Symbol" w:hint="default"/>
      </w:r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2">
    <w:nsid w:val="27EB1B36"/>
    <w:multiLevelType w:val="multilevel"/>
    <w:tmpl w:val="44DAB93C"/>
    <w:lvl w:ilvl="0">
      <w:start w:val="1"/>
      <w:numFmt w:val="lowerLetter"/>
      <w:lvlText w:val="%1)"/>
      <w:lvlJc w:val="left"/>
      <w:pPr>
        <w:ind w:left="660" w:hanging="660"/>
      </w:pPr>
      <w:rPr>
        <w:rFonts w:hint="default"/>
      </w:rPr>
    </w:lvl>
    <w:lvl w:ilvl="1">
      <w:start w:val="3"/>
      <w:numFmt w:val="decimal"/>
      <w:lvlText w:val="%1.%2"/>
      <w:lvlJc w:val="left"/>
      <w:pPr>
        <w:ind w:left="660" w:hanging="660"/>
      </w:pPr>
      <w:rPr>
        <w:rFonts w:hint="default"/>
      </w:rPr>
    </w:lvl>
    <w:lvl w:ilvl="2">
      <w:start w:val="5"/>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nsid w:val="30573B7B"/>
    <w:multiLevelType w:val="multilevel"/>
    <w:tmpl w:val="44420464"/>
    <w:lvl w:ilvl="0">
      <w:start w:val="2"/>
      <w:numFmt w:val="decimal"/>
      <w:lvlText w:val="%1"/>
      <w:lvlJc w:val="left"/>
      <w:pPr>
        <w:ind w:left="480" w:hanging="480"/>
      </w:pPr>
      <w:rPr>
        <w:rFonts w:hint="default"/>
      </w:rPr>
    </w:lvl>
    <w:lvl w:ilvl="1">
      <w:start w:val="3"/>
      <w:numFmt w:val="decimal"/>
      <w:lvlText w:val="%1.%2"/>
      <w:lvlJc w:val="left"/>
      <w:pPr>
        <w:ind w:left="480" w:hanging="48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nsid w:val="32290D22"/>
    <w:multiLevelType w:val="hybridMultilevel"/>
    <w:tmpl w:val="15C20D88"/>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1">
      <w:start w:val="1"/>
      <w:numFmt w:val="decimal"/>
      <w:lvlText w:val="%3)"/>
      <w:lvlJc w:val="lef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5">
    <w:nsid w:val="3F7775B9"/>
    <w:multiLevelType w:val="multilevel"/>
    <w:tmpl w:val="7A6CDF72"/>
    <w:lvl w:ilvl="0">
      <w:start w:val="1"/>
      <w:numFmt w:val="lowerRoman"/>
      <w:lvlText w:val="%1."/>
      <w:lvlJc w:val="right"/>
      <w:pPr>
        <w:tabs>
          <w:tab w:val="num" w:pos="1440"/>
        </w:tabs>
        <w:ind w:left="1440" w:hanging="360"/>
      </w:pPr>
    </w:lvl>
    <w:lvl w:ilvl="1" w:tentative="1">
      <w:start w:val="1"/>
      <w:numFmt w:val="lowerLetter"/>
      <w:lvlText w:val="%2."/>
      <w:lvlJc w:val="left"/>
      <w:pPr>
        <w:tabs>
          <w:tab w:val="num" w:pos="2160"/>
        </w:tabs>
        <w:ind w:left="2160" w:hanging="360"/>
      </w:pPr>
    </w:lvl>
    <w:lvl w:ilvl="2" w:tentative="1">
      <w:start w:val="1"/>
      <w:numFmt w:val="lowerLetter"/>
      <w:lvlText w:val="%3."/>
      <w:lvlJc w:val="left"/>
      <w:pPr>
        <w:tabs>
          <w:tab w:val="num" w:pos="2880"/>
        </w:tabs>
        <w:ind w:left="2880" w:hanging="360"/>
      </w:pPr>
    </w:lvl>
    <w:lvl w:ilvl="3" w:tentative="1">
      <w:start w:val="1"/>
      <w:numFmt w:val="lowerLetter"/>
      <w:lvlText w:val="%4."/>
      <w:lvlJc w:val="left"/>
      <w:pPr>
        <w:tabs>
          <w:tab w:val="num" w:pos="3600"/>
        </w:tabs>
        <w:ind w:left="3600" w:hanging="360"/>
      </w:pPr>
    </w:lvl>
    <w:lvl w:ilvl="4" w:tentative="1">
      <w:start w:val="1"/>
      <w:numFmt w:val="lowerLetter"/>
      <w:lvlText w:val="%5."/>
      <w:lvlJc w:val="left"/>
      <w:pPr>
        <w:tabs>
          <w:tab w:val="num" w:pos="4320"/>
        </w:tabs>
        <w:ind w:left="4320" w:hanging="360"/>
      </w:pPr>
    </w:lvl>
    <w:lvl w:ilvl="5" w:tentative="1">
      <w:start w:val="1"/>
      <w:numFmt w:val="lowerLetter"/>
      <w:lvlText w:val="%6."/>
      <w:lvlJc w:val="left"/>
      <w:pPr>
        <w:tabs>
          <w:tab w:val="num" w:pos="5040"/>
        </w:tabs>
        <w:ind w:left="5040" w:hanging="360"/>
      </w:pPr>
    </w:lvl>
    <w:lvl w:ilvl="6" w:tentative="1">
      <w:start w:val="1"/>
      <w:numFmt w:val="lowerLetter"/>
      <w:lvlText w:val="%7."/>
      <w:lvlJc w:val="left"/>
      <w:pPr>
        <w:tabs>
          <w:tab w:val="num" w:pos="5760"/>
        </w:tabs>
        <w:ind w:left="5760" w:hanging="360"/>
      </w:pPr>
    </w:lvl>
    <w:lvl w:ilvl="7" w:tentative="1">
      <w:start w:val="1"/>
      <w:numFmt w:val="lowerLetter"/>
      <w:lvlText w:val="%8."/>
      <w:lvlJc w:val="left"/>
      <w:pPr>
        <w:tabs>
          <w:tab w:val="num" w:pos="6480"/>
        </w:tabs>
        <w:ind w:left="6480" w:hanging="360"/>
      </w:pPr>
    </w:lvl>
    <w:lvl w:ilvl="8" w:tentative="1">
      <w:start w:val="1"/>
      <w:numFmt w:val="lowerLetter"/>
      <w:lvlText w:val="%9."/>
      <w:lvlJc w:val="left"/>
      <w:pPr>
        <w:tabs>
          <w:tab w:val="num" w:pos="7200"/>
        </w:tabs>
        <w:ind w:left="7200" w:hanging="360"/>
      </w:pPr>
    </w:lvl>
  </w:abstractNum>
  <w:abstractNum w:abstractNumId="16">
    <w:nsid w:val="3FA73358"/>
    <w:multiLevelType w:val="hybridMultilevel"/>
    <w:tmpl w:val="FC722ED4"/>
    <w:lvl w:ilvl="0" w:tplc="1856120A">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41DF3783"/>
    <w:multiLevelType w:val="hybridMultilevel"/>
    <w:tmpl w:val="C45C82CA"/>
    <w:lvl w:ilvl="0" w:tplc="0AD60252">
      <w:start w:val="2"/>
      <w:numFmt w:val="lowerLetter"/>
      <w:lvlText w:val="%1)"/>
      <w:lvlJc w:val="left"/>
      <w:pPr>
        <w:ind w:left="762"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43C2353C"/>
    <w:multiLevelType w:val="multilevel"/>
    <w:tmpl w:val="1788305E"/>
    <w:lvl w:ilvl="0">
      <w:start w:val="2"/>
      <w:numFmt w:val="decimal"/>
      <w:lvlText w:val="%1"/>
      <w:lvlJc w:val="left"/>
      <w:pPr>
        <w:ind w:left="660" w:hanging="660"/>
      </w:pPr>
      <w:rPr>
        <w:rFonts w:hint="default"/>
      </w:rPr>
    </w:lvl>
    <w:lvl w:ilvl="1">
      <w:start w:val="3"/>
      <w:numFmt w:val="decimal"/>
      <w:lvlText w:val="%1.%2"/>
      <w:lvlJc w:val="left"/>
      <w:pPr>
        <w:ind w:left="660" w:hanging="660"/>
      </w:pPr>
      <w:rPr>
        <w:rFonts w:hint="default"/>
      </w:rPr>
    </w:lvl>
    <w:lvl w:ilvl="2">
      <w:start w:val="5"/>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nsid w:val="44301A9F"/>
    <w:multiLevelType w:val="hybridMultilevel"/>
    <w:tmpl w:val="FA82D3D6"/>
    <w:lvl w:ilvl="0" w:tplc="0409001B">
      <w:start w:val="1"/>
      <w:numFmt w:val="lowerRoman"/>
      <w:lvlText w:val="%1."/>
      <w:lvlJc w:val="righ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0">
    <w:nsid w:val="4552139E"/>
    <w:multiLevelType w:val="hybridMultilevel"/>
    <w:tmpl w:val="0E9A69C0"/>
    <w:lvl w:ilvl="0" w:tplc="4B4C09DE">
      <w:start w:val="16"/>
      <w:numFmt w:val="lowerLetter"/>
      <w:lvlText w:val="%1)"/>
      <w:lvlJc w:val="left"/>
      <w:pPr>
        <w:ind w:left="785" w:hanging="360"/>
      </w:pPr>
      <w:rPr>
        <w:rFonts w:hint="default"/>
      </w:rPr>
    </w:lvl>
    <w:lvl w:ilvl="1" w:tplc="04090019" w:tentative="1">
      <w:start w:val="1"/>
      <w:numFmt w:val="lowerLetter"/>
      <w:lvlText w:val="%2."/>
      <w:lvlJc w:val="left"/>
      <w:pPr>
        <w:ind w:left="1505" w:hanging="360"/>
      </w:pPr>
    </w:lvl>
    <w:lvl w:ilvl="2" w:tplc="0409001B" w:tentative="1">
      <w:start w:val="1"/>
      <w:numFmt w:val="lowerRoman"/>
      <w:lvlText w:val="%3."/>
      <w:lvlJc w:val="right"/>
      <w:pPr>
        <w:ind w:left="2225" w:hanging="180"/>
      </w:pPr>
    </w:lvl>
    <w:lvl w:ilvl="3" w:tplc="0409000F" w:tentative="1">
      <w:start w:val="1"/>
      <w:numFmt w:val="decimal"/>
      <w:lvlText w:val="%4."/>
      <w:lvlJc w:val="left"/>
      <w:pPr>
        <w:ind w:left="2945" w:hanging="360"/>
      </w:pPr>
    </w:lvl>
    <w:lvl w:ilvl="4" w:tplc="04090019" w:tentative="1">
      <w:start w:val="1"/>
      <w:numFmt w:val="lowerLetter"/>
      <w:lvlText w:val="%5."/>
      <w:lvlJc w:val="left"/>
      <w:pPr>
        <w:ind w:left="3665" w:hanging="360"/>
      </w:pPr>
    </w:lvl>
    <w:lvl w:ilvl="5" w:tplc="0409001B" w:tentative="1">
      <w:start w:val="1"/>
      <w:numFmt w:val="lowerRoman"/>
      <w:lvlText w:val="%6."/>
      <w:lvlJc w:val="right"/>
      <w:pPr>
        <w:ind w:left="4385" w:hanging="180"/>
      </w:pPr>
    </w:lvl>
    <w:lvl w:ilvl="6" w:tplc="0409000F" w:tentative="1">
      <w:start w:val="1"/>
      <w:numFmt w:val="decimal"/>
      <w:lvlText w:val="%7."/>
      <w:lvlJc w:val="left"/>
      <w:pPr>
        <w:ind w:left="5105" w:hanging="360"/>
      </w:pPr>
    </w:lvl>
    <w:lvl w:ilvl="7" w:tplc="04090019" w:tentative="1">
      <w:start w:val="1"/>
      <w:numFmt w:val="lowerLetter"/>
      <w:lvlText w:val="%8."/>
      <w:lvlJc w:val="left"/>
      <w:pPr>
        <w:ind w:left="5825" w:hanging="360"/>
      </w:pPr>
    </w:lvl>
    <w:lvl w:ilvl="8" w:tplc="0409001B" w:tentative="1">
      <w:start w:val="1"/>
      <w:numFmt w:val="lowerRoman"/>
      <w:lvlText w:val="%9."/>
      <w:lvlJc w:val="right"/>
      <w:pPr>
        <w:ind w:left="6545" w:hanging="180"/>
      </w:pPr>
    </w:lvl>
  </w:abstractNum>
  <w:abstractNum w:abstractNumId="21">
    <w:nsid w:val="4AAB4454"/>
    <w:multiLevelType w:val="multilevel"/>
    <w:tmpl w:val="6E7626C8"/>
    <w:lvl w:ilvl="0">
      <w:start w:val="1"/>
      <w:numFmt w:val="lowerLetter"/>
      <w:lvlText w:val="%1)"/>
      <w:lvlJc w:val="left"/>
      <w:pPr>
        <w:tabs>
          <w:tab w:val="num" w:pos="-4833"/>
        </w:tabs>
        <w:ind w:left="-4833" w:hanging="360"/>
      </w:pPr>
    </w:lvl>
    <w:lvl w:ilvl="1">
      <w:start w:val="7"/>
      <w:numFmt w:val="lowerLetter"/>
      <w:lvlText w:val="%2."/>
      <w:lvlJc w:val="left"/>
      <w:pPr>
        <w:ind w:left="-4113" w:hanging="360"/>
      </w:pPr>
      <w:rPr>
        <w:rFonts w:hint="default"/>
      </w:rPr>
    </w:lvl>
    <w:lvl w:ilvl="2" w:tentative="1">
      <w:start w:val="1"/>
      <w:numFmt w:val="lowerLetter"/>
      <w:lvlText w:val="%3."/>
      <w:lvlJc w:val="left"/>
      <w:pPr>
        <w:tabs>
          <w:tab w:val="num" w:pos="-3393"/>
        </w:tabs>
        <w:ind w:left="-3393" w:hanging="360"/>
      </w:pPr>
    </w:lvl>
    <w:lvl w:ilvl="3" w:tentative="1">
      <w:start w:val="1"/>
      <w:numFmt w:val="lowerLetter"/>
      <w:lvlText w:val="%4."/>
      <w:lvlJc w:val="left"/>
      <w:pPr>
        <w:tabs>
          <w:tab w:val="num" w:pos="-2673"/>
        </w:tabs>
        <w:ind w:left="-2673" w:hanging="360"/>
      </w:pPr>
    </w:lvl>
    <w:lvl w:ilvl="4" w:tentative="1">
      <w:start w:val="1"/>
      <w:numFmt w:val="lowerLetter"/>
      <w:lvlText w:val="%5."/>
      <w:lvlJc w:val="left"/>
      <w:pPr>
        <w:tabs>
          <w:tab w:val="num" w:pos="-1953"/>
        </w:tabs>
        <w:ind w:left="-1953" w:hanging="360"/>
      </w:pPr>
    </w:lvl>
    <w:lvl w:ilvl="5" w:tentative="1">
      <w:start w:val="1"/>
      <w:numFmt w:val="lowerLetter"/>
      <w:lvlText w:val="%6."/>
      <w:lvlJc w:val="left"/>
      <w:pPr>
        <w:tabs>
          <w:tab w:val="num" w:pos="-1233"/>
        </w:tabs>
        <w:ind w:left="-1233" w:hanging="360"/>
      </w:pPr>
    </w:lvl>
    <w:lvl w:ilvl="6">
      <w:start w:val="1"/>
      <w:numFmt w:val="lowerLetter"/>
      <w:lvlText w:val="%7."/>
      <w:lvlJc w:val="left"/>
      <w:pPr>
        <w:tabs>
          <w:tab w:val="num" w:pos="-513"/>
        </w:tabs>
        <w:ind w:left="-513" w:hanging="360"/>
      </w:pPr>
    </w:lvl>
    <w:lvl w:ilvl="7">
      <w:start w:val="1"/>
      <w:numFmt w:val="lowerLetter"/>
      <w:lvlText w:val="%8."/>
      <w:lvlJc w:val="left"/>
      <w:pPr>
        <w:tabs>
          <w:tab w:val="num" w:pos="207"/>
        </w:tabs>
        <w:ind w:left="207" w:hanging="360"/>
      </w:pPr>
    </w:lvl>
    <w:lvl w:ilvl="8">
      <w:start w:val="1"/>
      <w:numFmt w:val="lowerRoman"/>
      <w:lvlText w:val="%9."/>
      <w:lvlJc w:val="right"/>
      <w:pPr>
        <w:tabs>
          <w:tab w:val="num" w:pos="927"/>
        </w:tabs>
        <w:ind w:left="927" w:hanging="360"/>
      </w:pPr>
    </w:lvl>
  </w:abstractNum>
  <w:abstractNum w:abstractNumId="22">
    <w:nsid w:val="4B7C1879"/>
    <w:multiLevelType w:val="hybridMultilevel"/>
    <w:tmpl w:val="F6F84E2E"/>
    <w:lvl w:ilvl="0" w:tplc="0409001B">
      <w:start w:val="1"/>
      <w:numFmt w:val="lowerRoman"/>
      <w:lvlText w:val="%1."/>
      <w:lvlJc w:val="right"/>
      <w:pPr>
        <w:ind w:left="1080" w:hanging="360"/>
      </w:pPr>
      <w:rPr>
        <w:b w:val="0"/>
        <w:bCs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nsid w:val="52455FC1"/>
    <w:multiLevelType w:val="hybridMultilevel"/>
    <w:tmpl w:val="708C14F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525C6C71"/>
    <w:multiLevelType w:val="hybridMultilevel"/>
    <w:tmpl w:val="6D443DF6"/>
    <w:lvl w:ilvl="0" w:tplc="0409001B">
      <w:start w:val="1"/>
      <w:numFmt w:val="lowerRoman"/>
      <w:lvlText w:val="%1."/>
      <w:lvlJc w:val="righ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54C145D6"/>
    <w:multiLevelType w:val="hybridMultilevel"/>
    <w:tmpl w:val="B32AF72E"/>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5538110B"/>
    <w:multiLevelType w:val="hybridMultilevel"/>
    <w:tmpl w:val="60B68FA8"/>
    <w:lvl w:ilvl="0" w:tplc="04090017">
      <w:start w:val="1"/>
      <w:numFmt w:val="lowerLetter"/>
      <w:lvlText w:val="%1)"/>
      <w:lvlJc w:val="left"/>
      <w:pPr>
        <w:ind w:left="502"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56042EE5"/>
    <w:multiLevelType w:val="hybridMultilevel"/>
    <w:tmpl w:val="8B907976"/>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8">
    <w:nsid w:val="5A52390D"/>
    <w:multiLevelType w:val="hybridMultilevel"/>
    <w:tmpl w:val="680AC138"/>
    <w:lvl w:ilvl="0" w:tplc="04090017">
      <w:start w:val="1"/>
      <w:numFmt w:val="lowerLetter"/>
      <w:lvlText w:val="%1)"/>
      <w:lvlJc w:val="left"/>
      <w:pPr>
        <w:ind w:left="720" w:hanging="360"/>
      </w:pPr>
    </w:lvl>
    <w:lvl w:ilvl="1" w:tplc="0409001B">
      <w:start w:val="1"/>
      <w:numFmt w:val="lowerRoman"/>
      <w:lvlText w:val="%2."/>
      <w:lvlJc w:val="righ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9">
    <w:nsid w:val="5CDA582D"/>
    <w:multiLevelType w:val="hybridMultilevel"/>
    <w:tmpl w:val="E7FC3C40"/>
    <w:lvl w:ilvl="0" w:tplc="189C9918">
      <w:start w:val="1"/>
      <w:numFmt w:val="lowerRoman"/>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0">
    <w:nsid w:val="613A2D23"/>
    <w:multiLevelType w:val="hybridMultilevel"/>
    <w:tmpl w:val="83BC2BB2"/>
    <w:lvl w:ilvl="0" w:tplc="1EA2A820">
      <w:start w:val="6"/>
      <w:numFmt w:val="lowerLetter"/>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31">
    <w:nsid w:val="634237E3"/>
    <w:multiLevelType w:val="hybridMultilevel"/>
    <w:tmpl w:val="6F7C40E4"/>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65E84771"/>
    <w:multiLevelType w:val="hybridMultilevel"/>
    <w:tmpl w:val="154C567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3">
    <w:nsid w:val="670509DF"/>
    <w:multiLevelType w:val="hybridMultilevel"/>
    <w:tmpl w:val="E708C28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67DA5796"/>
    <w:multiLevelType w:val="hybridMultilevel"/>
    <w:tmpl w:val="6A2EF386"/>
    <w:lvl w:ilvl="0" w:tplc="0E505B88">
      <w:start w:val="1"/>
      <w:numFmt w:val="lowerLetter"/>
      <w:lvlText w:val="%1)"/>
      <w:lvlJc w:val="left"/>
      <w:pPr>
        <w:ind w:left="762" w:hanging="360"/>
      </w:pPr>
      <w:rPr>
        <w:rFonts w:hint="default"/>
        <w:b w:val="0"/>
        <w:bCs w:val="0"/>
        <w:color w:val="auto"/>
      </w:rPr>
    </w:lvl>
    <w:lvl w:ilvl="1" w:tplc="04090019" w:tentative="1">
      <w:start w:val="1"/>
      <w:numFmt w:val="lowerLetter"/>
      <w:lvlText w:val="%2."/>
      <w:lvlJc w:val="left"/>
      <w:pPr>
        <w:ind w:left="1482" w:hanging="360"/>
      </w:pPr>
    </w:lvl>
    <w:lvl w:ilvl="2" w:tplc="0409001B" w:tentative="1">
      <w:start w:val="1"/>
      <w:numFmt w:val="lowerRoman"/>
      <w:lvlText w:val="%3."/>
      <w:lvlJc w:val="right"/>
      <w:pPr>
        <w:ind w:left="2202" w:hanging="180"/>
      </w:pPr>
    </w:lvl>
    <w:lvl w:ilvl="3" w:tplc="0409000F" w:tentative="1">
      <w:start w:val="1"/>
      <w:numFmt w:val="decimal"/>
      <w:lvlText w:val="%4."/>
      <w:lvlJc w:val="left"/>
      <w:pPr>
        <w:ind w:left="2922" w:hanging="360"/>
      </w:pPr>
    </w:lvl>
    <w:lvl w:ilvl="4" w:tplc="04090019" w:tentative="1">
      <w:start w:val="1"/>
      <w:numFmt w:val="lowerLetter"/>
      <w:lvlText w:val="%5."/>
      <w:lvlJc w:val="left"/>
      <w:pPr>
        <w:ind w:left="3642" w:hanging="360"/>
      </w:pPr>
    </w:lvl>
    <w:lvl w:ilvl="5" w:tplc="0409001B" w:tentative="1">
      <w:start w:val="1"/>
      <w:numFmt w:val="lowerRoman"/>
      <w:lvlText w:val="%6."/>
      <w:lvlJc w:val="right"/>
      <w:pPr>
        <w:ind w:left="4362" w:hanging="180"/>
      </w:pPr>
    </w:lvl>
    <w:lvl w:ilvl="6" w:tplc="0409000F" w:tentative="1">
      <w:start w:val="1"/>
      <w:numFmt w:val="decimal"/>
      <w:lvlText w:val="%7."/>
      <w:lvlJc w:val="left"/>
      <w:pPr>
        <w:ind w:left="5082" w:hanging="360"/>
      </w:pPr>
    </w:lvl>
    <w:lvl w:ilvl="7" w:tplc="04090019" w:tentative="1">
      <w:start w:val="1"/>
      <w:numFmt w:val="lowerLetter"/>
      <w:lvlText w:val="%8."/>
      <w:lvlJc w:val="left"/>
      <w:pPr>
        <w:ind w:left="5802" w:hanging="360"/>
      </w:pPr>
    </w:lvl>
    <w:lvl w:ilvl="8" w:tplc="0409001B" w:tentative="1">
      <w:start w:val="1"/>
      <w:numFmt w:val="lowerRoman"/>
      <w:lvlText w:val="%9."/>
      <w:lvlJc w:val="right"/>
      <w:pPr>
        <w:ind w:left="6522" w:hanging="180"/>
      </w:pPr>
    </w:lvl>
  </w:abstractNum>
  <w:abstractNum w:abstractNumId="35">
    <w:nsid w:val="6B561887"/>
    <w:multiLevelType w:val="multilevel"/>
    <w:tmpl w:val="F97A4852"/>
    <w:lvl w:ilvl="0">
      <w:start w:val="1"/>
      <w:numFmt w:val="lowerLetter"/>
      <w:lvlText w:val="%1)"/>
      <w:lvlJc w:val="left"/>
      <w:pPr>
        <w:ind w:left="660" w:hanging="660"/>
      </w:pPr>
      <w:rPr>
        <w:rFonts w:hint="default"/>
      </w:rPr>
    </w:lvl>
    <w:lvl w:ilvl="1">
      <w:start w:val="3"/>
      <w:numFmt w:val="decimal"/>
      <w:lvlText w:val="%1.%2"/>
      <w:lvlJc w:val="left"/>
      <w:pPr>
        <w:ind w:left="660" w:hanging="660"/>
      </w:pPr>
      <w:rPr>
        <w:rFonts w:hint="default"/>
      </w:rPr>
    </w:lvl>
    <w:lvl w:ilvl="2">
      <w:start w:val="5"/>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nsid w:val="6C1B254C"/>
    <w:multiLevelType w:val="hybridMultilevel"/>
    <w:tmpl w:val="D7AA0FE8"/>
    <w:lvl w:ilvl="0" w:tplc="798A4228">
      <w:start w:val="1"/>
      <w:numFmt w:val="lowerLetter"/>
      <w:lvlText w:val="%1)"/>
      <w:lvlJc w:val="left"/>
      <w:pPr>
        <w:ind w:left="360" w:hanging="360"/>
      </w:pPr>
      <w:rPr>
        <w:b w:val="0"/>
        <w:bCs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7">
    <w:nsid w:val="6D275018"/>
    <w:multiLevelType w:val="hybridMultilevel"/>
    <w:tmpl w:val="90DCE6B6"/>
    <w:lvl w:ilvl="0" w:tplc="04090017">
      <w:start w:val="1"/>
      <w:numFmt w:val="lowerLetter"/>
      <w:lvlText w:val="%1)"/>
      <w:lvlJc w:val="left"/>
      <w:pPr>
        <w:ind w:left="360" w:hanging="360"/>
      </w:pPr>
      <w:rPr>
        <w:rFont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8">
    <w:nsid w:val="6F7F2829"/>
    <w:multiLevelType w:val="hybridMultilevel"/>
    <w:tmpl w:val="7BEEFF4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nsid w:val="73636710"/>
    <w:multiLevelType w:val="hybridMultilevel"/>
    <w:tmpl w:val="565C640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nsid w:val="769864A9"/>
    <w:multiLevelType w:val="hybridMultilevel"/>
    <w:tmpl w:val="493002C4"/>
    <w:lvl w:ilvl="0" w:tplc="CF1C123C">
      <w:start w:val="5"/>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nsid w:val="7E5A25CE"/>
    <w:multiLevelType w:val="multilevel"/>
    <w:tmpl w:val="FEE2C3EA"/>
    <w:lvl w:ilvl="0">
      <w:start w:val="1"/>
      <w:numFmt w:val="lowerRoman"/>
      <w:lvlText w:val="%1."/>
      <w:lvlJc w:val="right"/>
      <w:pPr>
        <w:tabs>
          <w:tab w:val="num" w:pos="1449"/>
        </w:tabs>
        <w:ind w:left="1449" w:hanging="360"/>
      </w:pPr>
    </w:lvl>
    <w:lvl w:ilvl="1">
      <w:start w:val="7"/>
      <w:numFmt w:val="lowerLetter"/>
      <w:lvlText w:val="%2."/>
      <w:lvlJc w:val="left"/>
      <w:pPr>
        <w:ind w:left="2169" w:hanging="360"/>
      </w:pPr>
      <w:rPr>
        <w:rFonts w:hint="default"/>
      </w:rPr>
    </w:lvl>
    <w:lvl w:ilvl="2" w:tentative="1">
      <w:start w:val="1"/>
      <w:numFmt w:val="lowerLetter"/>
      <w:lvlText w:val="%3."/>
      <w:lvlJc w:val="left"/>
      <w:pPr>
        <w:tabs>
          <w:tab w:val="num" w:pos="2889"/>
        </w:tabs>
        <w:ind w:left="2889" w:hanging="360"/>
      </w:pPr>
    </w:lvl>
    <w:lvl w:ilvl="3" w:tentative="1">
      <w:start w:val="1"/>
      <w:numFmt w:val="lowerLetter"/>
      <w:lvlText w:val="%4."/>
      <w:lvlJc w:val="left"/>
      <w:pPr>
        <w:tabs>
          <w:tab w:val="num" w:pos="3609"/>
        </w:tabs>
        <w:ind w:left="3609" w:hanging="360"/>
      </w:pPr>
    </w:lvl>
    <w:lvl w:ilvl="4" w:tentative="1">
      <w:start w:val="1"/>
      <w:numFmt w:val="lowerLetter"/>
      <w:lvlText w:val="%5."/>
      <w:lvlJc w:val="left"/>
      <w:pPr>
        <w:tabs>
          <w:tab w:val="num" w:pos="4329"/>
        </w:tabs>
        <w:ind w:left="4329" w:hanging="360"/>
      </w:pPr>
    </w:lvl>
    <w:lvl w:ilvl="5" w:tentative="1">
      <w:start w:val="1"/>
      <w:numFmt w:val="lowerLetter"/>
      <w:lvlText w:val="%6."/>
      <w:lvlJc w:val="left"/>
      <w:pPr>
        <w:tabs>
          <w:tab w:val="num" w:pos="5049"/>
        </w:tabs>
        <w:ind w:left="5049" w:hanging="360"/>
      </w:pPr>
    </w:lvl>
    <w:lvl w:ilvl="6" w:tentative="1">
      <w:start w:val="1"/>
      <w:numFmt w:val="lowerLetter"/>
      <w:lvlText w:val="%7."/>
      <w:lvlJc w:val="left"/>
      <w:pPr>
        <w:tabs>
          <w:tab w:val="num" w:pos="5769"/>
        </w:tabs>
        <w:ind w:left="5769" w:hanging="360"/>
      </w:pPr>
    </w:lvl>
    <w:lvl w:ilvl="7" w:tentative="1">
      <w:start w:val="1"/>
      <w:numFmt w:val="lowerLetter"/>
      <w:lvlText w:val="%8."/>
      <w:lvlJc w:val="left"/>
      <w:pPr>
        <w:tabs>
          <w:tab w:val="num" w:pos="6489"/>
        </w:tabs>
        <w:ind w:left="6489" w:hanging="360"/>
      </w:pPr>
    </w:lvl>
    <w:lvl w:ilvl="8" w:tentative="1">
      <w:start w:val="1"/>
      <w:numFmt w:val="lowerLetter"/>
      <w:lvlText w:val="%9."/>
      <w:lvlJc w:val="left"/>
      <w:pPr>
        <w:tabs>
          <w:tab w:val="num" w:pos="7209"/>
        </w:tabs>
        <w:ind w:left="7209" w:hanging="360"/>
      </w:pPr>
    </w:lvl>
  </w:abstractNum>
  <w:num w:numId="1">
    <w:abstractNumId w:val="4"/>
  </w:num>
  <w:num w:numId="2">
    <w:abstractNumId w:val="3"/>
  </w:num>
  <w:num w:numId="3">
    <w:abstractNumId w:val="36"/>
  </w:num>
  <w:num w:numId="4">
    <w:abstractNumId w:val="31"/>
  </w:num>
  <w:num w:numId="5">
    <w:abstractNumId w:val="0"/>
  </w:num>
  <w:num w:numId="6">
    <w:abstractNumId w:val="26"/>
  </w:num>
  <w:num w:numId="7">
    <w:abstractNumId w:val="34"/>
  </w:num>
  <w:num w:numId="8">
    <w:abstractNumId w:val="29"/>
  </w:num>
  <w:num w:numId="9">
    <w:abstractNumId w:val="15"/>
  </w:num>
  <w:num w:numId="10">
    <w:abstractNumId w:val="2"/>
  </w:num>
  <w:num w:numId="11">
    <w:abstractNumId w:val="40"/>
  </w:num>
  <w:num w:numId="12">
    <w:abstractNumId w:val="16"/>
  </w:num>
  <w:num w:numId="13">
    <w:abstractNumId w:val="27"/>
  </w:num>
  <w:num w:numId="14">
    <w:abstractNumId w:val="17"/>
  </w:num>
  <w:num w:numId="15">
    <w:abstractNumId w:val="21"/>
  </w:num>
  <w:num w:numId="16">
    <w:abstractNumId w:val="8"/>
  </w:num>
  <w:num w:numId="17">
    <w:abstractNumId w:val="22"/>
  </w:num>
  <w:num w:numId="18">
    <w:abstractNumId w:val="37"/>
  </w:num>
  <w:num w:numId="19">
    <w:abstractNumId w:val="24"/>
  </w:num>
  <w:num w:numId="20">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38"/>
  </w:num>
  <w:num w:numId="22">
    <w:abstractNumId w:val="39"/>
  </w:num>
  <w:num w:numId="23">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2"/>
  </w:num>
  <w:num w:numId="25">
    <w:abstractNumId w:val="30"/>
  </w:num>
  <w:num w:numId="26">
    <w:abstractNumId w:val="20"/>
  </w:num>
  <w:num w:numId="27">
    <w:abstractNumId w:val="13"/>
  </w:num>
  <w:num w:numId="28">
    <w:abstractNumId w:val="9"/>
  </w:num>
  <w:num w:numId="29">
    <w:abstractNumId w:val="1"/>
  </w:num>
  <w:num w:numId="30">
    <w:abstractNumId w:val="32"/>
  </w:num>
  <w:num w:numId="31">
    <w:abstractNumId w:val="10"/>
  </w:num>
  <w:num w:numId="3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35"/>
  </w:num>
  <w:num w:numId="35">
    <w:abstractNumId w:val="7"/>
  </w:num>
  <w:num w:numId="36">
    <w:abstractNumId w:val="18"/>
  </w:num>
  <w:num w:numId="37">
    <w:abstractNumId w:val="28"/>
  </w:num>
  <w:num w:numId="38">
    <w:abstractNumId w:val="14"/>
  </w:num>
  <w:num w:numId="39">
    <w:abstractNumId w:val="19"/>
  </w:num>
  <w:num w:numId="40">
    <w:abstractNumId w:val="11"/>
  </w:num>
  <w:num w:numId="41">
    <w:abstractNumId w:val="41"/>
  </w:num>
  <w:num w:numId="42">
    <w:abstractNumId w:val="23"/>
  </w:num>
  <w:num w:numId="4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5"/>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isplayHorizontalDrawingGridEvery w:val="0"/>
  <w:displayVerticalDrawingGridEvery w:val="0"/>
  <w:doNotUseMarginsForDrawingGridOrigin/>
  <w:doNotShadeFormData/>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554F1"/>
    <w:rsid w:val="00016664"/>
    <w:rsid w:val="00016723"/>
    <w:rsid w:val="00053322"/>
    <w:rsid w:val="00056910"/>
    <w:rsid w:val="00062C65"/>
    <w:rsid w:val="00084229"/>
    <w:rsid w:val="00090413"/>
    <w:rsid w:val="000A35E5"/>
    <w:rsid w:val="000A5287"/>
    <w:rsid w:val="000B0369"/>
    <w:rsid w:val="000C4D30"/>
    <w:rsid w:val="000D0D0C"/>
    <w:rsid w:val="000D6684"/>
    <w:rsid w:val="000F0B9B"/>
    <w:rsid w:val="00110408"/>
    <w:rsid w:val="0012727B"/>
    <w:rsid w:val="0016466E"/>
    <w:rsid w:val="001758C7"/>
    <w:rsid w:val="00175C95"/>
    <w:rsid w:val="00177644"/>
    <w:rsid w:val="0018010C"/>
    <w:rsid w:val="001832E2"/>
    <w:rsid w:val="001A082C"/>
    <w:rsid w:val="001A79F6"/>
    <w:rsid w:val="001A7B7E"/>
    <w:rsid w:val="001B01B4"/>
    <w:rsid w:val="001D503E"/>
    <w:rsid w:val="001D67F2"/>
    <w:rsid w:val="001E5B3A"/>
    <w:rsid w:val="00217792"/>
    <w:rsid w:val="00223A68"/>
    <w:rsid w:val="0023443F"/>
    <w:rsid w:val="002706A4"/>
    <w:rsid w:val="002B0239"/>
    <w:rsid w:val="002B1A35"/>
    <w:rsid w:val="002B2F01"/>
    <w:rsid w:val="002E7F63"/>
    <w:rsid w:val="00300DBE"/>
    <w:rsid w:val="00322852"/>
    <w:rsid w:val="00323F00"/>
    <w:rsid w:val="00344D10"/>
    <w:rsid w:val="00346B32"/>
    <w:rsid w:val="003635CE"/>
    <w:rsid w:val="00372EAB"/>
    <w:rsid w:val="003856C0"/>
    <w:rsid w:val="00387733"/>
    <w:rsid w:val="0039449A"/>
    <w:rsid w:val="00395D2D"/>
    <w:rsid w:val="00396A92"/>
    <w:rsid w:val="003C33B9"/>
    <w:rsid w:val="003C4DFF"/>
    <w:rsid w:val="003E1365"/>
    <w:rsid w:val="004366E5"/>
    <w:rsid w:val="00443123"/>
    <w:rsid w:val="00454D1D"/>
    <w:rsid w:val="00485F57"/>
    <w:rsid w:val="004E5F1B"/>
    <w:rsid w:val="004F44D7"/>
    <w:rsid w:val="005237FE"/>
    <w:rsid w:val="00535054"/>
    <w:rsid w:val="00543D71"/>
    <w:rsid w:val="00554A3D"/>
    <w:rsid w:val="00573557"/>
    <w:rsid w:val="005922C5"/>
    <w:rsid w:val="00596BEA"/>
    <w:rsid w:val="005C44EC"/>
    <w:rsid w:val="005F0B86"/>
    <w:rsid w:val="00633AD5"/>
    <w:rsid w:val="00651E4D"/>
    <w:rsid w:val="00652F74"/>
    <w:rsid w:val="0065679A"/>
    <w:rsid w:val="00656FA4"/>
    <w:rsid w:val="006A18A2"/>
    <w:rsid w:val="006A3517"/>
    <w:rsid w:val="006A730C"/>
    <w:rsid w:val="006B2177"/>
    <w:rsid w:val="006B4E25"/>
    <w:rsid w:val="006D2733"/>
    <w:rsid w:val="006E533E"/>
    <w:rsid w:val="006F3B37"/>
    <w:rsid w:val="00731597"/>
    <w:rsid w:val="007412D1"/>
    <w:rsid w:val="007670C2"/>
    <w:rsid w:val="007849C2"/>
    <w:rsid w:val="007A2DED"/>
    <w:rsid w:val="007C1231"/>
    <w:rsid w:val="007D1436"/>
    <w:rsid w:val="007E01B0"/>
    <w:rsid w:val="007E328E"/>
    <w:rsid w:val="007F0BA7"/>
    <w:rsid w:val="00804AEC"/>
    <w:rsid w:val="00816C8D"/>
    <w:rsid w:val="00830E5C"/>
    <w:rsid w:val="00831322"/>
    <w:rsid w:val="00843645"/>
    <w:rsid w:val="00843B6D"/>
    <w:rsid w:val="00844E6E"/>
    <w:rsid w:val="00851438"/>
    <w:rsid w:val="008534F5"/>
    <w:rsid w:val="00857DB5"/>
    <w:rsid w:val="00862632"/>
    <w:rsid w:val="008631F7"/>
    <w:rsid w:val="00885A78"/>
    <w:rsid w:val="00886B49"/>
    <w:rsid w:val="00897365"/>
    <w:rsid w:val="008A296E"/>
    <w:rsid w:val="009000A3"/>
    <w:rsid w:val="00903174"/>
    <w:rsid w:val="00906BF6"/>
    <w:rsid w:val="009331AD"/>
    <w:rsid w:val="00935EC3"/>
    <w:rsid w:val="00942C19"/>
    <w:rsid w:val="009554F1"/>
    <w:rsid w:val="009568A8"/>
    <w:rsid w:val="00966363"/>
    <w:rsid w:val="009723BC"/>
    <w:rsid w:val="00976F97"/>
    <w:rsid w:val="00992517"/>
    <w:rsid w:val="009A726A"/>
    <w:rsid w:val="009D50A2"/>
    <w:rsid w:val="009E0D5F"/>
    <w:rsid w:val="009E172F"/>
    <w:rsid w:val="009F0FF9"/>
    <w:rsid w:val="00A037C4"/>
    <w:rsid w:val="00A05B43"/>
    <w:rsid w:val="00A258D7"/>
    <w:rsid w:val="00A26E96"/>
    <w:rsid w:val="00A3454C"/>
    <w:rsid w:val="00A45C13"/>
    <w:rsid w:val="00A536FC"/>
    <w:rsid w:val="00A65B91"/>
    <w:rsid w:val="00A756BB"/>
    <w:rsid w:val="00A912B5"/>
    <w:rsid w:val="00AB68D3"/>
    <w:rsid w:val="00AC4E8D"/>
    <w:rsid w:val="00B01478"/>
    <w:rsid w:val="00B211C6"/>
    <w:rsid w:val="00B42CB6"/>
    <w:rsid w:val="00B45277"/>
    <w:rsid w:val="00B465CB"/>
    <w:rsid w:val="00B64CDB"/>
    <w:rsid w:val="00B740D0"/>
    <w:rsid w:val="00B85204"/>
    <w:rsid w:val="00B859D8"/>
    <w:rsid w:val="00BA1F3F"/>
    <w:rsid w:val="00BC5045"/>
    <w:rsid w:val="00BC6F41"/>
    <w:rsid w:val="00BE0D41"/>
    <w:rsid w:val="00BE7824"/>
    <w:rsid w:val="00BF0A06"/>
    <w:rsid w:val="00BF1F84"/>
    <w:rsid w:val="00BF4C77"/>
    <w:rsid w:val="00C22FBF"/>
    <w:rsid w:val="00C23F33"/>
    <w:rsid w:val="00C27922"/>
    <w:rsid w:val="00C442B0"/>
    <w:rsid w:val="00C64ABF"/>
    <w:rsid w:val="00C855B9"/>
    <w:rsid w:val="00C968E8"/>
    <w:rsid w:val="00CA71FF"/>
    <w:rsid w:val="00CD0D71"/>
    <w:rsid w:val="00CD7920"/>
    <w:rsid w:val="00CE7D59"/>
    <w:rsid w:val="00CF5949"/>
    <w:rsid w:val="00D26758"/>
    <w:rsid w:val="00D35816"/>
    <w:rsid w:val="00D63346"/>
    <w:rsid w:val="00D72B31"/>
    <w:rsid w:val="00D81122"/>
    <w:rsid w:val="00D86CB7"/>
    <w:rsid w:val="00DA7A1C"/>
    <w:rsid w:val="00DE0C1B"/>
    <w:rsid w:val="00DE4907"/>
    <w:rsid w:val="00DF2488"/>
    <w:rsid w:val="00DF7EB7"/>
    <w:rsid w:val="00E308DC"/>
    <w:rsid w:val="00E31887"/>
    <w:rsid w:val="00E345D4"/>
    <w:rsid w:val="00E36815"/>
    <w:rsid w:val="00E36D69"/>
    <w:rsid w:val="00E42C4E"/>
    <w:rsid w:val="00E64459"/>
    <w:rsid w:val="00EB1992"/>
    <w:rsid w:val="00EC650D"/>
    <w:rsid w:val="00EE0715"/>
    <w:rsid w:val="00EF2436"/>
    <w:rsid w:val="00F1221C"/>
    <w:rsid w:val="00F262D9"/>
    <w:rsid w:val="00F42727"/>
    <w:rsid w:val="00F46FA1"/>
    <w:rsid w:val="00F50649"/>
    <w:rsid w:val="00F90A10"/>
    <w:rsid w:val="00FE1DB7"/>
    <w:rsid w:val="00FE3D51"/>
    <w:rsid w:val="00FE7679"/>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G Times" w:eastAsia="Times New Roman" w:hAnsi="CG Times"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note text" w:uiPriority="99"/>
    <w:lsdException w:name="annotation text" w:uiPriority="99"/>
    <w:lsdException w:name="header" w:uiPriority="99"/>
    <w:lsdException w:name="caption" w:semiHidden="1" w:unhideWhenUsed="1" w:qFormat="1"/>
    <w:lsdException w:name="footnote reference" w:uiPriority="99"/>
    <w:lsdException w:name="annotation reference" w:uiPriority="99"/>
    <w:lsdException w:name="endnote reference" w:uiPriority="99"/>
    <w:lsdException w:name="endnote text" w:uiPriority="99"/>
    <w:lsdException w:name="Title" w:qFormat="1"/>
    <w:lsdException w:name="Subtitle" w:qFormat="1"/>
    <w:lsdException w:name="Date" w:uiPriority="99"/>
    <w:lsdException w:name="FollowedHyperlink" w:uiPriority="99"/>
    <w:lsdException w:name="Strong" w:qFormat="1"/>
    <w:lsdException w:name="Emphasis" w:qFormat="1"/>
    <w:lsdException w:name="Plain Text" w:uiPriority="99"/>
    <w:lsdException w:name="Normal (Web)" w:uiPriority="99"/>
    <w:lsdException w:name="HTML Cite" w:uiPriority="99"/>
    <w:lsdException w:name="annotation subject" w:uiPriority="99"/>
    <w:lsdException w:name="No List" w:uiPriority="99"/>
    <w:lsdException w:name="Balloo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9723BC"/>
    <w:pPr>
      <w:tabs>
        <w:tab w:val="left" w:pos="794"/>
        <w:tab w:val="left" w:pos="1191"/>
        <w:tab w:val="left" w:pos="1588"/>
        <w:tab w:val="left" w:pos="1985"/>
      </w:tabs>
      <w:overflowPunct w:val="0"/>
      <w:autoSpaceDE w:val="0"/>
      <w:autoSpaceDN w:val="0"/>
      <w:adjustRightInd w:val="0"/>
      <w:spacing w:before="120"/>
      <w:textAlignment w:val="baseline"/>
    </w:pPr>
    <w:rPr>
      <w:rFonts w:ascii="Calibri" w:hAnsi="Calibri"/>
      <w:sz w:val="22"/>
      <w:lang w:val="es-ES_tradnl" w:eastAsia="en-US"/>
    </w:rPr>
  </w:style>
  <w:style w:type="paragraph" w:styleId="Heading1">
    <w:name w:val="heading 1"/>
    <w:basedOn w:val="Normal"/>
    <w:next w:val="Normal"/>
    <w:link w:val="Heading1Char"/>
    <w:qFormat/>
    <w:pPr>
      <w:keepNext/>
      <w:keepLines/>
      <w:spacing w:before="360"/>
      <w:ind w:left="794" w:hanging="794"/>
      <w:outlineLvl w:val="0"/>
    </w:pPr>
    <w:rPr>
      <w:b/>
    </w:rPr>
  </w:style>
  <w:style w:type="paragraph" w:styleId="Heading2">
    <w:name w:val="heading 2"/>
    <w:basedOn w:val="Heading1"/>
    <w:next w:val="Normal"/>
    <w:link w:val="Heading2Char"/>
    <w:qFormat/>
    <w:pPr>
      <w:spacing w:before="240"/>
      <w:outlineLvl w:val="1"/>
    </w:pPr>
  </w:style>
  <w:style w:type="paragraph" w:styleId="Heading3">
    <w:name w:val="heading 3"/>
    <w:basedOn w:val="Heading1"/>
    <w:next w:val="Normal"/>
    <w:link w:val="Heading3Char"/>
    <w:qFormat/>
    <w:pPr>
      <w:spacing w:before="160"/>
      <w:outlineLvl w:val="2"/>
    </w:pPr>
  </w:style>
  <w:style w:type="paragraph" w:styleId="Heading4">
    <w:name w:val="heading 4"/>
    <w:basedOn w:val="Heading3"/>
    <w:next w:val="Normal"/>
    <w:qFormat/>
    <w:pPr>
      <w:tabs>
        <w:tab w:val="clear" w:pos="794"/>
        <w:tab w:val="left" w:pos="1021"/>
      </w:tabs>
      <w:ind w:left="1021" w:hanging="1021"/>
      <w:outlineLvl w:val="3"/>
    </w:pPr>
  </w:style>
  <w:style w:type="paragraph" w:styleId="Heading5">
    <w:name w:val="heading 5"/>
    <w:basedOn w:val="Heading4"/>
    <w:next w:val="Normal"/>
    <w:qFormat/>
    <w:pPr>
      <w:outlineLvl w:val="4"/>
    </w:pPr>
  </w:style>
  <w:style w:type="paragraph" w:styleId="Heading6">
    <w:name w:val="heading 6"/>
    <w:basedOn w:val="Heading4"/>
    <w:next w:val="Normal"/>
    <w:qFormat/>
    <w:pPr>
      <w:tabs>
        <w:tab w:val="clear" w:pos="1021"/>
        <w:tab w:val="clear" w:pos="1191"/>
      </w:tabs>
      <w:ind w:left="1588" w:hanging="1588"/>
      <w:outlineLvl w:val="5"/>
    </w:pPr>
  </w:style>
  <w:style w:type="paragraph" w:styleId="Heading7">
    <w:name w:val="heading 7"/>
    <w:basedOn w:val="Heading6"/>
    <w:next w:val="Normal"/>
    <w:qFormat/>
    <w:pPr>
      <w:outlineLvl w:val="6"/>
    </w:pPr>
  </w:style>
  <w:style w:type="paragraph" w:styleId="Heading8">
    <w:name w:val="heading 8"/>
    <w:basedOn w:val="Heading6"/>
    <w:next w:val="Normal"/>
    <w:qFormat/>
    <w:pPr>
      <w:outlineLvl w:val="7"/>
    </w:pPr>
  </w:style>
  <w:style w:type="paragraph" w:styleId="Heading9">
    <w:name w:val="heading 9"/>
    <w:basedOn w:val="Heading6"/>
    <w:next w:val="Normal"/>
    <w:qFormat/>
    <w:pPr>
      <w:outlineLvl w:val="8"/>
    </w:p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nnexNotitle">
    <w:name w:val="Annex_No &amp; title"/>
    <w:basedOn w:val="Normal"/>
    <w:next w:val="Normalaftertitle"/>
    <w:pPr>
      <w:keepNext/>
      <w:keepLines/>
      <w:spacing w:before="480"/>
      <w:jc w:val="center"/>
    </w:pPr>
    <w:rPr>
      <w:b/>
      <w:sz w:val="28"/>
    </w:rPr>
  </w:style>
  <w:style w:type="character" w:customStyle="1" w:styleId="Appdef">
    <w:name w:val="App_def"/>
    <w:basedOn w:val="DefaultParagraphFont"/>
    <w:rPr>
      <w:rFonts w:ascii="Times New Roman" w:hAnsi="Times New Roman"/>
      <w:b/>
    </w:rPr>
  </w:style>
  <w:style w:type="character" w:customStyle="1" w:styleId="Appref">
    <w:name w:val="App_ref"/>
    <w:basedOn w:val="DefaultParagraphFont"/>
  </w:style>
  <w:style w:type="paragraph" w:customStyle="1" w:styleId="AppendixNotitle">
    <w:name w:val="Appendix_No &amp; title"/>
    <w:basedOn w:val="AnnexNotitle"/>
    <w:next w:val="Normalaftertitle"/>
  </w:style>
  <w:style w:type="character" w:customStyle="1" w:styleId="Artdef">
    <w:name w:val="Art_def"/>
    <w:basedOn w:val="DefaultParagraphFont"/>
    <w:rPr>
      <w:rFonts w:ascii="Times New Roman" w:hAnsi="Times New Roman"/>
      <w:b/>
    </w:rPr>
  </w:style>
  <w:style w:type="paragraph" w:customStyle="1" w:styleId="Artheading">
    <w:name w:val="Art_heading"/>
    <w:basedOn w:val="Normal"/>
    <w:next w:val="Normalaftertitle"/>
    <w:pPr>
      <w:spacing w:before="480"/>
      <w:jc w:val="center"/>
    </w:pPr>
    <w:rPr>
      <w:b/>
      <w:sz w:val="28"/>
    </w:rPr>
  </w:style>
  <w:style w:type="paragraph" w:customStyle="1" w:styleId="ArtNo">
    <w:name w:val="Art_No"/>
    <w:basedOn w:val="Normal"/>
    <w:next w:val="Arttitle"/>
    <w:pPr>
      <w:keepNext/>
      <w:keepLines/>
      <w:spacing w:before="480"/>
      <w:jc w:val="center"/>
    </w:pPr>
    <w:rPr>
      <w:caps/>
      <w:sz w:val="28"/>
    </w:rPr>
  </w:style>
  <w:style w:type="character" w:customStyle="1" w:styleId="Artref">
    <w:name w:val="Art_ref"/>
    <w:basedOn w:val="DefaultParagraphFont"/>
  </w:style>
  <w:style w:type="paragraph" w:customStyle="1" w:styleId="Arttitle">
    <w:name w:val="Art_title"/>
    <w:basedOn w:val="Normal"/>
    <w:next w:val="Normalaftertitle"/>
    <w:pPr>
      <w:keepNext/>
      <w:keepLines/>
      <w:spacing w:before="240"/>
      <w:jc w:val="center"/>
    </w:pPr>
    <w:rPr>
      <w:b/>
      <w:sz w:val="28"/>
    </w:rPr>
  </w:style>
  <w:style w:type="paragraph" w:customStyle="1" w:styleId="ASN1">
    <w:name w:val="ASN.1"/>
    <w:basedOn w:val="Normal"/>
    <w:pPr>
      <w:tabs>
        <w:tab w:val="left" w:pos="567"/>
        <w:tab w:val="left" w:pos="1134"/>
        <w:tab w:val="left" w:pos="1701"/>
        <w:tab w:val="left" w:pos="2268"/>
        <w:tab w:val="left" w:pos="2835"/>
        <w:tab w:val="left" w:pos="3402"/>
        <w:tab w:val="left" w:pos="3969"/>
        <w:tab w:val="left" w:pos="4536"/>
        <w:tab w:val="left" w:pos="5103"/>
        <w:tab w:val="left" w:pos="5670"/>
      </w:tabs>
      <w:spacing w:before="0"/>
    </w:pPr>
    <w:rPr>
      <w:rFonts w:ascii="Courier New" w:hAnsi="Courier New"/>
      <w:b/>
      <w:noProof/>
      <w:sz w:val="20"/>
    </w:rPr>
  </w:style>
  <w:style w:type="paragraph" w:customStyle="1" w:styleId="Call">
    <w:name w:val="Call"/>
    <w:basedOn w:val="Normal"/>
    <w:next w:val="Normal"/>
    <w:pPr>
      <w:keepNext/>
      <w:keepLines/>
      <w:spacing w:before="160"/>
      <w:ind w:left="794"/>
    </w:pPr>
    <w:rPr>
      <w:i/>
    </w:rPr>
  </w:style>
  <w:style w:type="paragraph" w:customStyle="1" w:styleId="ChapNo">
    <w:name w:val="Chap_No"/>
    <w:basedOn w:val="Normal"/>
    <w:next w:val="Chaptitle"/>
    <w:pPr>
      <w:keepNext/>
      <w:keepLines/>
      <w:spacing w:before="480"/>
      <w:jc w:val="center"/>
    </w:pPr>
    <w:rPr>
      <w:b/>
      <w:caps/>
      <w:sz w:val="28"/>
    </w:rPr>
  </w:style>
  <w:style w:type="paragraph" w:customStyle="1" w:styleId="Chaptitle">
    <w:name w:val="Chap_title"/>
    <w:basedOn w:val="Normal"/>
    <w:next w:val="Normalaftertitle"/>
    <w:pPr>
      <w:keepNext/>
      <w:keepLines/>
      <w:spacing w:before="240"/>
      <w:jc w:val="center"/>
    </w:pPr>
    <w:rPr>
      <w:b/>
      <w:sz w:val="28"/>
    </w:rPr>
  </w:style>
  <w:style w:type="character" w:styleId="EndnoteReference">
    <w:name w:val="endnote reference"/>
    <w:basedOn w:val="DefaultParagraphFont"/>
    <w:uiPriority w:val="99"/>
    <w:rPr>
      <w:vertAlign w:val="superscript"/>
    </w:rPr>
  </w:style>
  <w:style w:type="paragraph" w:customStyle="1" w:styleId="enumlev1">
    <w:name w:val="enumlev1"/>
    <w:basedOn w:val="Normal"/>
    <w:rsid w:val="00D81122"/>
    <w:pPr>
      <w:spacing w:before="80"/>
      <w:ind w:left="794" w:hanging="794"/>
    </w:pPr>
    <w:rPr>
      <w:rFonts w:asciiTheme="minorHAnsi" w:hAnsiTheme="minorHAnsi"/>
    </w:rPr>
  </w:style>
  <w:style w:type="paragraph" w:customStyle="1" w:styleId="enumlev2">
    <w:name w:val="enumlev2"/>
    <w:basedOn w:val="enumlev1"/>
    <w:pPr>
      <w:ind w:left="1191" w:hanging="397"/>
    </w:pPr>
  </w:style>
  <w:style w:type="paragraph" w:customStyle="1" w:styleId="enumlev3">
    <w:name w:val="enumlev3"/>
    <w:basedOn w:val="enumlev2"/>
    <w:pPr>
      <w:ind w:left="1588"/>
    </w:pPr>
  </w:style>
  <w:style w:type="paragraph" w:customStyle="1" w:styleId="Equation">
    <w:name w:val="Equation"/>
    <w:basedOn w:val="Normal"/>
    <w:pPr>
      <w:tabs>
        <w:tab w:val="clear" w:pos="1191"/>
        <w:tab w:val="clear" w:pos="1588"/>
        <w:tab w:val="clear" w:pos="1985"/>
        <w:tab w:val="center" w:pos="4820"/>
        <w:tab w:val="right" w:pos="9639"/>
      </w:tabs>
    </w:pPr>
  </w:style>
  <w:style w:type="paragraph" w:customStyle="1" w:styleId="Equationlegend">
    <w:name w:val="Equation_legend"/>
    <w:basedOn w:val="Normal"/>
    <w:pPr>
      <w:tabs>
        <w:tab w:val="clear" w:pos="794"/>
        <w:tab w:val="clear" w:pos="1191"/>
        <w:tab w:val="clear" w:pos="1588"/>
        <w:tab w:val="right" w:pos="1814"/>
      </w:tabs>
      <w:spacing w:before="80"/>
      <w:ind w:left="1985" w:hanging="1985"/>
    </w:pPr>
  </w:style>
  <w:style w:type="paragraph" w:customStyle="1" w:styleId="Figure">
    <w:name w:val="Figure"/>
    <w:basedOn w:val="Normal"/>
    <w:next w:val="FigureNotitle"/>
    <w:pPr>
      <w:keepNext/>
      <w:keepLines/>
      <w:spacing w:before="240" w:after="120"/>
      <w:jc w:val="center"/>
    </w:pPr>
  </w:style>
  <w:style w:type="paragraph" w:customStyle="1" w:styleId="Figurelegend">
    <w:name w:val="Figure_legend"/>
    <w:basedOn w:val="Normal"/>
    <w:pPr>
      <w:keepNext/>
      <w:keepLines/>
      <w:tabs>
        <w:tab w:val="clear" w:pos="794"/>
        <w:tab w:val="clear" w:pos="1191"/>
        <w:tab w:val="clear" w:pos="1588"/>
        <w:tab w:val="clear" w:pos="1985"/>
      </w:tabs>
      <w:spacing w:before="20" w:after="20"/>
    </w:pPr>
    <w:rPr>
      <w:sz w:val="18"/>
    </w:rPr>
  </w:style>
  <w:style w:type="paragraph" w:customStyle="1" w:styleId="FigureNotitle">
    <w:name w:val="Figure_No &amp; title"/>
    <w:basedOn w:val="Normal"/>
    <w:next w:val="Normalaftertitle"/>
    <w:pPr>
      <w:keepLines/>
      <w:spacing w:before="240" w:after="120"/>
      <w:jc w:val="center"/>
    </w:pPr>
    <w:rPr>
      <w:b/>
    </w:rPr>
  </w:style>
  <w:style w:type="paragraph" w:customStyle="1" w:styleId="Figurewithouttitle">
    <w:name w:val="Figure_without_title"/>
    <w:basedOn w:val="Normal"/>
    <w:next w:val="Normalaftertitle"/>
    <w:pPr>
      <w:keepLines/>
      <w:spacing w:before="240" w:after="120"/>
      <w:jc w:val="center"/>
    </w:pPr>
  </w:style>
  <w:style w:type="paragraph" w:styleId="Footer">
    <w:name w:val="footer"/>
    <w:basedOn w:val="Normal"/>
    <w:link w:val="FooterChar"/>
    <w:pPr>
      <w:tabs>
        <w:tab w:val="clear" w:pos="794"/>
        <w:tab w:val="clear" w:pos="1191"/>
        <w:tab w:val="clear" w:pos="1588"/>
        <w:tab w:val="clear" w:pos="1985"/>
        <w:tab w:val="left" w:pos="5954"/>
        <w:tab w:val="right" w:pos="9639"/>
      </w:tabs>
      <w:spacing w:before="0"/>
    </w:pPr>
    <w:rPr>
      <w:caps/>
      <w:noProof/>
      <w:sz w:val="16"/>
    </w:rPr>
  </w:style>
  <w:style w:type="paragraph" w:customStyle="1" w:styleId="FirstFooter">
    <w:name w:val="FirstFooter"/>
    <w:basedOn w:val="Footer"/>
    <w:pPr>
      <w:tabs>
        <w:tab w:val="clear" w:pos="5954"/>
        <w:tab w:val="clear" w:pos="9639"/>
      </w:tabs>
      <w:overflowPunct/>
      <w:autoSpaceDE/>
      <w:autoSpaceDN/>
      <w:adjustRightInd/>
      <w:spacing w:before="40"/>
      <w:textAlignment w:val="auto"/>
    </w:pPr>
    <w:rPr>
      <w:caps w:val="0"/>
      <w:noProof w:val="0"/>
    </w:rPr>
  </w:style>
  <w:style w:type="paragraph" w:customStyle="1" w:styleId="FooterQP">
    <w:name w:val="Footer_QP"/>
    <w:basedOn w:val="Normal"/>
    <w:pPr>
      <w:tabs>
        <w:tab w:val="clear" w:pos="794"/>
        <w:tab w:val="clear" w:pos="1191"/>
        <w:tab w:val="clear" w:pos="1588"/>
        <w:tab w:val="clear" w:pos="1985"/>
        <w:tab w:val="left" w:pos="907"/>
        <w:tab w:val="right" w:pos="8789"/>
        <w:tab w:val="right" w:pos="9639"/>
      </w:tabs>
      <w:spacing w:before="0"/>
    </w:pPr>
    <w:rPr>
      <w:b/>
    </w:rPr>
  </w:style>
  <w:style w:type="character" w:styleId="FootnoteReference">
    <w:name w:val="footnote reference"/>
    <w:basedOn w:val="DefaultParagraphFont"/>
    <w:uiPriority w:val="99"/>
    <w:rsid w:val="00084229"/>
    <w:rPr>
      <w:rFonts w:ascii="Calibri" w:hAnsi="Calibri"/>
      <w:caps w:val="0"/>
      <w:smallCaps w:val="0"/>
      <w:strike w:val="0"/>
      <w:dstrike w:val="0"/>
      <w:vanish w:val="0"/>
      <w:position w:val="6"/>
      <w:sz w:val="16"/>
      <w:vertAlign w:val="baseline"/>
    </w:rPr>
  </w:style>
  <w:style w:type="paragraph" w:customStyle="1" w:styleId="Note">
    <w:name w:val="Note"/>
    <w:basedOn w:val="Normal"/>
    <w:pPr>
      <w:spacing w:before="80"/>
    </w:pPr>
  </w:style>
  <w:style w:type="paragraph" w:styleId="FootnoteText">
    <w:name w:val="footnote text"/>
    <w:basedOn w:val="Note"/>
    <w:link w:val="FootnoteTextChar"/>
    <w:uiPriority w:val="99"/>
    <w:rsid w:val="00F50649"/>
    <w:pPr>
      <w:keepLines/>
      <w:tabs>
        <w:tab w:val="left" w:pos="425"/>
      </w:tabs>
      <w:ind w:left="425" w:hanging="425"/>
    </w:pPr>
    <w:rPr>
      <w:rFonts w:asciiTheme="minorHAnsi" w:hAnsiTheme="minorHAnsi"/>
      <w:sz w:val="20"/>
    </w:rPr>
  </w:style>
  <w:style w:type="paragraph" w:customStyle="1" w:styleId="Formal">
    <w:name w:val="Formal"/>
    <w:basedOn w:val="ASN1"/>
    <w:rPr>
      <w:b w:val="0"/>
    </w:rPr>
  </w:style>
  <w:style w:type="paragraph" w:styleId="Header">
    <w:name w:val="header"/>
    <w:basedOn w:val="Normal"/>
    <w:link w:val="HeaderChar"/>
    <w:uiPriority w:val="99"/>
    <w:pPr>
      <w:tabs>
        <w:tab w:val="clear" w:pos="794"/>
        <w:tab w:val="clear" w:pos="1191"/>
        <w:tab w:val="clear" w:pos="1588"/>
        <w:tab w:val="clear" w:pos="1985"/>
      </w:tabs>
      <w:spacing w:before="0"/>
      <w:jc w:val="center"/>
    </w:pPr>
    <w:rPr>
      <w:sz w:val="18"/>
    </w:rPr>
  </w:style>
  <w:style w:type="paragraph" w:customStyle="1" w:styleId="Headingb">
    <w:name w:val="Heading_b"/>
    <w:basedOn w:val="Normal"/>
    <w:next w:val="Normal"/>
    <w:pPr>
      <w:keepNext/>
      <w:spacing w:before="160"/>
    </w:pPr>
    <w:rPr>
      <w:b/>
    </w:rPr>
  </w:style>
  <w:style w:type="paragraph" w:customStyle="1" w:styleId="Headingi">
    <w:name w:val="Heading_i"/>
    <w:basedOn w:val="Normal"/>
    <w:next w:val="Normal"/>
    <w:pPr>
      <w:keepNext/>
      <w:spacing w:before="160"/>
    </w:pPr>
    <w:rPr>
      <w:i/>
    </w:rPr>
  </w:style>
  <w:style w:type="paragraph" w:styleId="Index1">
    <w:name w:val="index 1"/>
    <w:basedOn w:val="Normal"/>
    <w:next w:val="Normal"/>
  </w:style>
  <w:style w:type="paragraph" w:styleId="Index2">
    <w:name w:val="index 2"/>
    <w:basedOn w:val="Normal"/>
    <w:next w:val="Normal"/>
    <w:pPr>
      <w:ind w:left="283"/>
    </w:pPr>
  </w:style>
  <w:style w:type="paragraph" w:styleId="Index3">
    <w:name w:val="index 3"/>
    <w:basedOn w:val="Normal"/>
    <w:next w:val="Normal"/>
    <w:pPr>
      <w:ind w:left="566"/>
    </w:pPr>
  </w:style>
  <w:style w:type="paragraph" w:customStyle="1" w:styleId="Normalaftertitle">
    <w:name w:val="Normal_after_title"/>
    <w:basedOn w:val="Normal"/>
    <w:next w:val="Normal"/>
    <w:pPr>
      <w:spacing w:before="360"/>
    </w:pPr>
  </w:style>
  <w:style w:type="character" w:styleId="PageNumber">
    <w:name w:val="page number"/>
    <w:basedOn w:val="DefaultParagraphFont"/>
  </w:style>
  <w:style w:type="paragraph" w:customStyle="1" w:styleId="PartNo">
    <w:name w:val="Part_No"/>
    <w:basedOn w:val="Normal"/>
    <w:next w:val="Partref"/>
    <w:pPr>
      <w:keepNext/>
      <w:keepLines/>
      <w:spacing w:before="480" w:after="80"/>
      <w:jc w:val="center"/>
    </w:pPr>
    <w:rPr>
      <w:caps/>
      <w:sz w:val="28"/>
    </w:rPr>
  </w:style>
  <w:style w:type="paragraph" w:customStyle="1" w:styleId="Partref">
    <w:name w:val="Part_ref"/>
    <w:basedOn w:val="Normal"/>
    <w:next w:val="Parttitle"/>
    <w:pPr>
      <w:keepNext/>
      <w:keepLines/>
      <w:spacing w:before="280"/>
      <w:jc w:val="center"/>
    </w:pPr>
  </w:style>
  <w:style w:type="paragraph" w:customStyle="1" w:styleId="Parttitle">
    <w:name w:val="Part_title"/>
    <w:basedOn w:val="Normal"/>
    <w:next w:val="Normalaftertitle"/>
    <w:pPr>
      <w:keepNext/>
      <w:keepLines/>
      <w:spacing w:before="240" w:after="280"/>
      <w:jc w:val="center"/>
    </w:pPr>
    <w:rPr>
      <w:b/>
      <w:sz w:val="28"/>
    </w:rPr>
  </w:style>
  <w:style w:type="paragraph" w:customStyle="1" w:styleId="Recdate">
    <w:name w:val="Rec_date"/>
    <w:basedOn w:val="Normal"/>
    <w:next w:val="Normalaftertitle"/>
    <w:pPr>
      <w:keepNext/>
      <w:keepLines/>
      <w:tabs>
        <w:tab w:val="clear" w:pos="794"/>
        <w:tab w:val="clear" w:pos="1191"/>
        <w:tab w:val="clear" w:pos="1588"/>
        <w:tab w:val="clear" w:pos="1985"/>
      </w:tabs>
      <w:jc w:val="right"/>
    </w:pPr>
    <w:rPr>
      <w:i/>
    </w:rPr>
  </w:style>
  <w:style w:type="paragraph" w:customStyle="1" w:styleId="Questiondate">
    <w:name w:val="Question_date"/>
    <w:basedOn w:val="Recdate"/>
    <w:next w:val="Normalaftertitle"/>
  </w:style>
  <w:style w:type="paragraph" w:customStyle="1" w:styleId="RecNo">
    <w:name w:val="Rec_No"/>
    <w:basedOn w:val="Normal"/>
    <w:next w:val="Rectitle"/>
    <w:pPr>
      <w:keepNext/>
      <w:keepLines/>
      <w:spacing w:before="0"/>
    </w:pPr>
    <w:rPr>
      <w:b/>
      <w:sz w:val="28"/>
    </w:rPr>
  </w:style>
  <w:style w:type="paragraph" w:customStyle="1" w:styleId="QuestionNo">
    <w:name w:val="Question_No"/>
    <w:basedOn w:val="RecNo"/>
    <w:next w:val="Questiontitle"/>
  </w:style>
  <w:style w:type="paragraph" w:customStyle="1" w:styleId="RecNoBR">
    <w:name w:val="Rec_No_BR"/>
    <w:basedOn w:val="Normal"/>
    <w:next w:val="Rectitle"/>
    <w:pPr>
      <w:keepNext/>
      <w:keepLines/>
      <w:spacing w:before="480"/>
      <w:jc w:val="center"/>
    </w:pPr>
    <w:rPr>
      <w:caps/>
      <w:sz w:val="28"/>
    </w:rPr>
  </w:style>
  <w:style w:type="paragraph" w:customStyle="1" w:styleId="QuestionNoBR">
    <w:name w:val="Question_No_BR"/>
    <w:basedOn w:val="RecNoBR"/>
    <w:next w:val="Questiontitle"/>
  </w:style>
  <w:style w:type="paragraph" w:customStyle="1" w:styleId="Recref">
    <w:name w:val="Rec_ref"/>
    <w:basedOn w:val="Normal"/>
    <w:next w:val="Recdate"/>
    <w:pPr>
      <w:keepNext/>
      <w:keepLines/>
      <w:tabs>
        <w:tab w:val="clear" w:pos="794"/>
        <w:tab w:val="clear" w:pos="1191"/>
        <w:tab w:val="clear" w:pos="1588"/>
        <w:tab w:val="clear" w:pos="1985"/>
      </w:tabs>
      <w:jc w:val="center"/>
    </w:pPr>
    <w:rPr>
      <w:i/>
    </w:rPr>
  </w:style>
  <w:style w:type="paragraph" w:customStyle="1" w:styleId="Questionref">
    <w:name w:val="Question_ref"/>
    <w:basedOn w:val="Recref"/>
    <w:next w:val="Questiondate"/>
  </w:style>
  <w:style w:type="paragraph" w:customStyle="1" w:styleId="Rectitle">
    <w:name w:val="Rec_title"/>
    <w:basedOn w:val="Normal"/>
    <w:next w:val="Normalaftertitle"/>
    <w:pPr>
      <w:keepNext/>
      <w:keepLines/>
      <w:spacing w:before="360"/>
      <w:jc w:val="center"/>
    </w:pPr>
    <w:rPr>
      <w:b/>
      <w:sz w:val="28"/>
    </w:rPr>
  </w:style>
  <w:style w:type="paragraph" w:customStyle="1" w:styleId="Questiontitle">
    <w:name w:val="Question_title"/>
    <w:basedOn w:val="Rectitle"/>
    <w:next w:val="Questionref"/>
  </w:style>
  <w:style w:type="character" w:customStyle="1" w:styleId="Recdef">
    <w:name w:val="Rec_def"/>
    <w:basedOn w:val="DefaultParagraphFont"/>
    <w:rPr>
      <w:b/>
    </w:rPr>
  </w:style>
  <w:style w:type="paragraph" w:customStyle="1" w:styleId="Reftext">
    <w:name w:val="Ref_text"/>
    <w:basedOn w:val="Normal"/>
    <w:pPr>
      <w:ind w:left="794" w:hanging="794"/>
    </w:pPr>
  </w:style>
  <w:style w:type="paragraph" w:customStyle="1" w:styleId="Reftitle">
    <w:name w:val="Ref_title"/>
    <w:basedOn w:val="Normal"/>
    <w:next w:val="Reftext"/>
    <w:pPr>
      <w:spacing w:before="480"/>
      <w:jc w:val="center"/>
    </w:pPr>
    <w:rPr>
      <w:b/>
    </w:rPr>
  </w:style>
  <w:style w:type="paragraph" w:customStyle="1" w:styleId="Repdate">
    <w:name w:val="Rep_date"/>
    <w:basedOn w:val="Recdate"/>
    <w:next w:val="Normalaftertitle"/>
  </w:style>
  <w:style w:type="paragraph" w:customStyle="1" w:styleId="RepNo">
    <w:name w:val="Rep_No"/>
    <w:basedOn w:val="RecNo"/>
    <w:next w:val="Reptitle"/>
  </w:style>
  <w:style w:type="paragraph" w:customStyle="1" w:styleId="RepNoBR">
    <w:name w:val="Rep_No_BR"/>
    <w:basedOn w:val="RecNoBR"/>
    <w:next w:val="Reptitle"/>
  </w:style>
  <w:style w:type="paragraph" w:customStyle="1" w:styleId="Repref">
    <w:name w:val="Rep_ref"/>
    <w:basedOn w:val="Recref"/>
    <w:next w:val="Repdate"/>
  </w:style>
  <w:style w:type="paragraph" w:customStyle="1" w:styleId="Reptitle">
    <w:name w:val="Rep_title"/>
    <w:basedOn w:val="Rectitle"/>
    <w:next w:val="Repref"/>
  </w:style>
  <w:style w:type="paragraph" w:customStyle="1" w:styleId="Resdate">
    <w:name w:val="Res_date"/>
    <w:basedOn w:val="Recdate"/>
    <w:next w:val="Normalaftertitle"/>
  </w:style>
  <w:style w:type="character" w:customStyle="1" w:styleId="Resdef">
    <w:name w:val="Res_def"/>
    <w:basedOn w:val="DefaultParagraphFont"/>
    <w:rPr>
      <w:rFonts w:ascii="Times New Roman" w:hAnsi="Times New Roman"/>
      <w:b/>
    </w:rPr>
  </w:style>
  <w:style w:type="paragraph" w:customStyle="1" w:styleId="ResNo">
    <w:name w:val="Res_No"/>
    <w:basedOn w:val="RecNo"/>
    <w:next w:val="Restitle"/>
  </w:style>
  <w:style w:type="paragraph" w:customStyle="1" w:styleId="ResNoBR">
    <w:name w:val="Res_No_BR"/>
    <w:basedOn w:val="RecNoBR"/>
    <w:next w:val="Restitle"/>
  </w:style>
  <w:style w:type="paragraph" w:customStyle="1" w:styleId="Resref">
    <w:name w:val="Res_ref"/>
    <w:basedOn w:val="Recref"/>
    <w:next w:val="Resdate"/>
  </w:style>
  <w:style w:type="paragraph" w:customStyle="1" w:styleId="Restitle">
    <w:name w:val="Res_title"/>
    <w:basedOn w:val="Rectitle"/>
    <w:next w:val="Resref"/>
  </w:style>
  <w:style w:type="paragraph" w:customStyle="1" w:styleId="Section1">
    <w:name w:val="Section_1"/>
    <w:basedOn w:val="Normal"/>
    <w:next w:val="Normal"/>
    <w:pPr>
      <w:tabs>
        <w:tab w:val="clear" w:pos="794"/>
        <w:tab w:val="clear" w:pos="1191"/>
        <w:tab w:val="clear" w:pos="1588"/>
        <w:tab w:val="clear" w:pos="1985"/>
      </w:tabs>
      <w:spacing w:before="624"/>
      <w:jc w:val="center"/>
    </w:pPr>
    <w:rPr>
      <w:b/>
    </w:rPr>
  </w:style>
  <w:style w:type="paragraph" w:customStyle="1" w:styleId="Section2">
    <w:name w:val="Section_2"/>
    <w:basedOn w:val="Normal"/>
    <w:next w:val="Normal"/>
    <w:pPr>
      <w:tabs>
        <w:tab w:val="clear" w:pos="794"/>
        <w:tab w:val="clear" w:pos="1191"/>
        <w:tab w:val="clear" w:pos="1588"/>
        <w:tab w:val="clear" w:pos="1985"/>
      </w:tabs>
      <w:spacing w:before="240"/>
      <w:jc w:val="center"/>
    </w:pPr>
    <w:rPr>
      <w:i/>
    </w:rPr>
  </w:style>
  <w:style w:type="paragraph" w:customStyle="1" w:styleId="SectionNo">
    <w:name w:val="Section_No"/>
    <w:basedOn w:val="Normal"/>
    <w:next w:val="Sectiontitle"/>
    <w:pPr>
      <w:keepNext/>
      <w:keepLines/>
      <w:spacing w:before="480" w:after="80"/>
      <w:jc w:val="center"/>
    </w:pPr>
    <w:rPr>
      <w:caps/>
      <w:sz w:val="28"/>
    </w:rPr>
  </w:style>
  <w:style w:type="paragraph" w:customStyle="1" w:styleId="Sectiontitle">
    <w:name w:val="Section_title"/>
    <w:basedOn w:val="Normal"/>
    <w:next w:val="Normalaftertitle"/>
    <w:pPr>
      <w:keepNext/>
      <w:keepLines/>
      <w:spacing w:before="480" w:after="280"/>
      <w:jc w:val="center"/>
    </w:pPr>
    <w:rPr>
      <w:b/>
      <w:sz w:val="28"/>
    </w:rPr>
  </w:style>
  <w:style w:type="paragraph" w:customStyle="1" w:styleId="Source">
    <w:name w:val="Source"/>
    <w:basedOn w:val="Normal"/>
    <w:next w:val="Normalaftertitle"/>
    <w:pPr>
      <w:spacing w:before="840" w:after="200"/>
      <w:jc w:val="center"/>
    </w:pPr>
    <w:rPr>
      <w:b/>
      <w:sz w:val="28"/>
    </w:rPr>
  </w:style>
  <w:style w:type="paragraph" w:customStyle="1" w:styleId="SpecialFooter">
    <w:name w:val="Special Footer"/>
    <w:basedOn w:val="Footer"/>
    <w:pPr>
      <w:tabs>
        <w:tab w:val="left" w:pos="567"/>
        <w:tab w:val="left" w:pos="1134"/>
        <w:tab w:val="left" w:pos="1701"/>
        <w:tab w:val="left" w:pos="2268"/>
        <w:tab w:val="left" w:pos="2835"/>
      </w:tabs>
      <w:jc w:val="both"/>
    </w:pPr>
    <w:rPr>
      <w:caps w:val="0"/>
      <w:noProof w:val="0"/>
    </w:rPr>
  </w:style>
  <w:style w:type="character" w:customStyle="1" w:styleId="Tablefreq">
    <w:name w:val="Table_freq"/>
    <w:basedOn w:val="DefaultParagraphFont"/>
    <w:rPr>
      <w:b/>
      <w:color w:val="auto"/>
    </w:rPr>
  </w:style>
  <w:style w:type="paragraph" w:customStyle="1" w:styleId="Tablehead">
    <w:name w:val="Table_head"/>
    <w:basedOn w:val="Normal"/>
    <w:next w:val="Tabletext"/>
    <w:pPr>
      <w:keepNext/>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80" w:after="80"/>
      <w:jc w:val="center"/>
    </w:pPr>
    <w:rPr>
      <w:b/>
    </w:rPr>
  </w:style>
  <w:style w:type="paragraph" w:customStyle="1" w:styleId="Tablelegend">
    <w:name w:val="Table_legend"/>
    <w:basedOn w:val="Normal"/>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after="40"/>
    </w:pPr>
  </w:style>
  <w:style w:type="paragraph" w:customStyle="1" w:styleId="TableNotitle">
    <w:name w:val="Table_No &amp; title"/>
    <w:basedOn w:val="Normal"/>
    <w:next w:val="Tablehead"/>
    <w:pPr>
      <w:keepNext/>
      <w:keepLines/>
      <w:spacing w:before="360" w:after="120"/>
      <w:jc w:val="center"/>
    </w:pPr>
    <w:rPr>
      <w:b/>
    </w:rPr>
  </w:style>
  <w:style w:type="paragraph" w:customStyle="1" w:styleId="TableNoBR">
    <w:name w:val="Table_No_BR"/>
    <w:basedOn w:val="Normal"/>
    <w:next w:val="TabletitleBR"/>
    <w:pPr>
      <w:keepNext/>
      <w:spacing w:before="560" w:after="120"/>
      <w:jc w:val="center"/>
    </w:pPr>
    <w:rPr>
      <w:caps/>
    </w:rPr>
  </w:style>
  <w:style w:type="paragraph" w:customStyle="1" w:styleId="Tableref">
    <w:name w:val="Table_ref"/>
    <w:basedOn w:val="Normal"/>
    <w:next w:val="TabletitleBR"/>
    <w:pPr>
      <w:keepNext/>
      <w:spacing w:before="0" w:after="120"/>
      <w:jc w:val="center"/>
    </w:pPr>
  </w:style>
  <w:style w:type="paragraph" w:customStyle="1" w:styleId="Tabletext">
    <w:name w:val="Table_text"/>
    <w:basedOn w:val="Normal"/>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pPr>
  </w:style>
  <w:style w:type="paragraph" w:customStyle="1" w:styleId="TabletitleBR">
    <w:name w:val="Table_title_BR"/>
    <w:basedOn w:val="Normal"/>
    <w:next w:val="Tablehead"/>
    <w:pPr>
      <w:keepNext/>
      <w:keepLines/>
      <w:spacing w:before="0" w:after="120"/>
      <w:jc w:val="center"/>
    </w:pPr>
    <w:rPr>
      <w:b/>
    </w:rPr>
  </w:style>
  <w:style w:type="paragraph" w:customStyle="1" w:styleId="Title1">
    <w:name w:val="Title 1"/>
    <w:basedOn w:val="Source"/>
    <w:next w:val="Title2"/>
    <w:pPr>
      <w:tabs>
        <w:tab w:val="clear" w:pos="794"/>
        <w:tab w:val="clear" w:pos="1191"/>
        <w:tab w:val="clear" w:pos="1588"/>
        <w:tab w:val="clear" w:pos="1985"/>
        <w:tab w:val="left" w:pos="567"/>
        <w:tab w:val="left" w:pos="1134"/>
        <w:tab w:val="left" w:pos="1701"/>
        <w:tab w:val="left" w:pos="2268"/>
        <w:tab w:val="left" w:pos="2835"/>
      </w:tabs>
      <w:spacing w:before="240" w:after="0"/>
    </w:pPr>
    <w:rPr>
      <w:b w:val="0"/>
      <w:caps/>
    </w:rPr>
  </w:style>
  <w:style w:type="paragraph" w:customStyle="1" w:styleId="Title2">
    <w:name w:val="Title 2"/>
    <w:basedOn w:val="Title1"/>
    <w:next w:val="Title3"/>
  </w:style>
  <w:style w:type="paragraph" w:customStyle="1" w:styleId="Title3">
    <w:name w:val="Title 3"/>
    <w:basedOn w:val="Title2"/>
    <w:next w:val="Title4"/>
    <w:rPr>
      <w:caps w:val="0"/>
    </w:rPr>
  </w:style>
  <w:style w:type="paragraph" w:customStyle="1" w:styleId="Title4">
    <w:name w:val="Title 4"/>
    <w:basedOn w:val="Title3"/>
    <w:next w:val="Heading1"/>
    <w:rPr>
      <w:b/>
    </w:rPr>
  </w:style>
  <w:style w:type="paragraph" w:customStyle="1" w:styleId="toc0">
    <w:name w:val="toc 0"/>
    <w:basedOn w:val="Normal"/>
    <w:next w:val="TOC1"/>
    <w:pPr>
      <w:tabs>
        <w:tab w:val="clear" w:pos="794"/>
        <w:tab w:val="clear" w:pos="1191"/>
        <w:tab w:val="clear" w:pos="1588"/>
        <w:tab w:val="clear" w:pos="1985"/>
        <w:tab w:val="right" w:pos="9639"/>
      </w:tabs>
    </w:pPr>
    <w:rPr>
      <w:b/>
    </w:rPr>
  </w:style>
  <w:style w:type="paragraph" w:styleId="TOC1">
    <w:name w:val="toc 1"/>
    <w:basedOn w:val="Normal"/>
    <w:pPr>
      <w:keepLines/>
      <w:tabs>
        <w:tab w:val="clear" w:pos="794"/>
        <w:tab w:val="clear" w:pos="1191"/>
        <w:tab w:val="clear" w:pos="1588"/>
        <w:tab w:val="clear" w:pos="1985"/>
        <w:tab w:val="left" w:pos="964"/>
        <w:tab w:val="left" w:leader="dot" w:pos="8789"/>
        <w:tab w:val="right" w:pos="9639"/>
      </w:tabs>
      <w:spacing w:before="240"/>
      <w:ind w:left="680" w:right="851" w:hanging="680"/>
    </w:pPr>
  </w:style>
  <w:style w:type="paragraph" w:styleId="TOC2">
    <w:name w:val="toc 2"/>
    <w:basedOn w:val="TOC1"/>
    <w:pPr>
      <w:spacing w:before="80"/>
      <w:ind w:left="1531" w:hanging="851"/>
    </w:pPr>
  </w:style>
  <w:style w:type="paragraph" w:styleId="TOC3">
    <w:name w:val="toc 3"/>
    <w:basedOn w:val="TOC2"/>
  </w:style>
  <w:style w:type="paragraph" w:styleId="TOC4">
    <w:name w:val="toc 4"/>
    <w:basedOn w:val="TOC3"/>
  </w:style>
  <w:style w:type="paragraph" w:styleId="TOC5">
    <w:name w:val="toc 5"/>
    <w:basedOn w:val="TOC4"/>
  </w:style>
  <w:style w:type="paragraph" w:styleId="TOC6">
    <w:name w:val="toc 6"/>
    <w:basedOn w:val="TOC4"/>
  </w:style>
  <w:style w:type="paragraph" w:styleId="TOC7">
    <w:name w:val="toc 7"/>
    <w:basedOn w:val="TOC4"/>
  </w:style>
  <w:style w:type="paragraph" w:styleId="TOC8">
    <w:name w:val="toc 8"/>
    <w:basedOn w:val="TOC4"/>
  </w:style>
  <w:style w:type="paragraph" w:customStyle="1" w:styleId="FiguretitleBR">
    <w:name w:val="Figure_title_BR"/>
    <w:basedOn w:val="TabletitleBR"/>
    <w:next w:val="Figurewithouttitle"/>
    <w:pPr>
      <w:keepNext w:val="0"/>
      <w:spacing w:after="480"/>
    </w:pPr>
  </w:style>
  <w:style w:type="paragraph" w:customStyle="1" w:styleId="FigureNoBR">
    <w:name w:val="Figure_No_BR"/>
    <w:basedOn w:val="Normal"/>
    <w:next w:val="FiguretitleBR"/>
    <w:pPr>
      <w:keepNext/>
      <w:keepLines/>
      <w:spacing w:before="480" w:after="120"/>
      <w:jc w:val="center"/>
    </w:pPr>
    <w:rPr>
      <w:caps/>
    </w:rPr>
  </w:style>
  <w:style w:type="paragraph" w:styleId="ListParagraph">
    <w:name w:val="List Paragraph"/>
    <w:basedOn w:val="Normal"/>
    <w:uiPriority w:val="34"/>
    <w:qFormat/>
    <w:rsid w:val="009554F1"/>
    <w:pPr>
      <w:tabs>
        <w:tab w:val="clear" w:pos="794"/>
        <w:tab w:val="clear" w:pos="1191"/>
        <w:tab w:val="clear" w:pos="1588"/>
        <w:tab w:val="clear" w:pos="1985"/>
      </w:tabs>
      <w:overflowPunct/>
      <w:autoSpaceDE/>
      <w:autoSpaceDN/>
      <w:adjustRightInd/>
      <w:spacing w:before="0" w:after="200" w:line="276" w:lineRule="auto"/>
      <w:ind w:left="720"/>
      <w:contextualSpacing/>
      <w:textAlignment w:val="auto"/>
    </w:pPr>
    <w:rPr>
      <w:rFonts w:asciiTheme="minorHAnsi" w:eastAsiaTheme="minorEastAsia" w:hAnsiTheme="minorHAnsi" w:cstheme="minorBidi"/>
      <w:szCs w:val="22"/>
      <w:lang w:val="en-US" w:eastAsia="zh-CN"/>
    </w:rPr>
  </w:style>
  <w:style w:type="paragraph" w:styleId="NormalWeb">
    <w:name w:val="Normal (Web)"/>
    <w:basedOn w:val="Normal"/>
    <w:uiPriority w:val="99"/>
    <w:unhideWhenUsed/>
    <w:rsid w:val="009554F1"/>
    <w:pPr>
      <w:tabs>
        <w:tab w:val="clear" w:pos="794"/>
        <w:tab w:val="clear" w:pos="1191"/>
        <w:tab w:val="clear" w:pos="1588"/>
        <w:tab w:val="clear" w:pos="1985"/>
      </w:tabs>
      <w:overflowPunct/>
      <w:autoSpaceDE/>
      <w:autoSpaceDN/>
      <w:adjustRightInd/>
      <w:spacing w:before="100" w:beforeAutospacing="1" w:after="100" w:afterAutospacing="1"/>
      <w:textAlignment w:val="auto"/>
    </w:pPr>
    <w:rPr>
      <w:szCs w:val="24"/>
      <w:lang w:val="en-US" w:eastAsia="zh-CN"/>
    </w:rPr>
  </w:style>
  <w:style w:type="character" w:customStyle="1" w:styleId="apple-converted-space">
    <w:name w:val="apple-converted-space"/>
    <w:basedOn w:val="DefaultParagraphFont"/>
    <w:rsid w:val="009554F1"/>
  </w:style>
  <w:style w:type="character" w:styleId="Hyperlink">
    <w:name w:val="Hyperlink"/>
    <w:basedOn w:val="DefaultParagraphFont"/>
    <w:unhideWhenUsed/>
    <w:rsid w:val="009554F1"/>
    <w:rPr>
      <w:color w:val="0000FF"/>
      <w:u w:val="single"/>
    </w:rPr>
  </w:style>
  <w:style w:type="character" w:customStyle="1" w:styleId="Heading1Char">
    <w:name w:val="Heading 1 Char"/>
    <w:basedOn w:val="DefaultParagraphFont"/>
    <w:link w:val="Heading1"/>
    <w:rsid w:val="009554F1"/>
    <w:rPr>
      <w:rFonts w:ascii="Times New Roman" w:hAnsi="Times New Roman"/>
      <w:b/>
      <w:sz w:val="24"/>
      <w:lang w:val="es-ES_tradnl" w:eastAsia="en-US"/>
    </w:rPr>
  </w:style>
  <w:style w:type="paragraph" w:customStyle="1" w:styleId="Normalaftertitle0">
    <w:name w:val="Normal after title"/>
    <w:basedOn w:val="Normal"/>
    <w:next w:val="Normal"/>
    <w:rsid w:val="009554F1"/>
    <w:pPr>
      <w:tabs>
        <w:tab w:val="clear" w:pos="794"/>
        <w:tab w:val="clear" w:pos="1191"/>
        <w:tab w:val="clear" w:pos="1588"/>
        <w:tab w:val="clear" w:pos="1985"/>
        <w:tab w:val="left" w:pos="567"/>
        <w:tab w:val="left" w:pos="1134"/>
        <w:tab w:val="left" w:pos="1701"/>
        <w:tab w:val="left" w:pos="2268"/>
        <w:tab w:val="left" w:pos="2835"/>
      </w:tabs>
      <w:spacing w:before="240"/>
    </w:pPr>
    <w:rPr>
      <w:lang w:val="en-GB"/>
    </w:rPr>
  </w:style>
  <w:style w:type="paragraph" w:styleId="Date">
    <w:name w:val="Date"/>
    <w:basedOn w:val="Normal"/>
    <w:next w:val="Normal"/>
    <w:link w:val="DateChar"/>
    <w:uiPriority w:val="99"/>
    <w:unhideWhenUsed/>
    <w:rsid w:val="009554F1"/>
    <w:pPr>
      <w:tabs>
        <w:tab w:val="clear" w:pos="794"/>
        <w:tab w:val="clear" w:pos="1191"/>
        <w:tab w:val="clear" w:pos="1588"/>
        <w:tab w:val="clear" w:pos="1985"/>
      </w:tabs>
      <w:overflowPunct/>
      <w:autoSpaceDE/>
      <w:autoSpaceDN/>
      <w:adjustRightInd/>
      <w:spacing w:before="0" w:after="200" w:line="276" w:lineRule="auto"/>
      <w:textAlignment w:val="auto"/>
    </w:pPr>
    <w:rPr>
      <w:rFonts w:asciiTheme="minorHAnsi" w:eastAsiaTheme="minorEastAsia" w:hAnsiTheme="minorHAnsi" w:cstheme="minorBidi"/>
      <w:szCs w:val="22"/>
      <w:lang w:val="en-US" w:eastAsia="zh-CN"/>
    </w:rPr>
  </w:style>
  <w:style w:type="character" w:customStyle="1" w:styleId="DateChar">
    <w:name w:val="Date Char"/>
    <w:basedOn w:val="DefaultParagraphFont"/>
    <w:link w:val="Date"/>
    <w:uiPriority w:val="99"/>
    <w:rsid w:val="009554F1"/>
    <w:rPr>
      <w:rFonts w:asciiTheme="minorHAnsi" w:eastAsiaTheme="minorEastAsia" w:hAnsiTheme="minorHAnsi" w:cstheme="minorBidi"/>
      <w:sz w:val="22"/>
      <w:szCs w:val="22"/>
    </w:rPr>
  </w:style>
  <w:style w:type="character" w:customStyle="1" w:styleId="HeaderChar">
    <w:name w:val="Header Char"/>
    <w:basedOn w:val="DefaultParagraphFont"/>
    <w:link w:val="Header"/>
    <w:uiPriority w:val="99"/>
    <w:rsid w:val="009554F1"/>
    <w:rPr>
      <w:rFonts w:ascii="Times New Roman" w:hAnsi="Times New Roman"/>
      <w:sz w:val="18"/>
      <w:lang w:val="es-ES_tradnl" w:eastAsia="en-US"/>
    </w:rPr>
  </w:style>
  <w:style w:type="character" w:customStyle="1" w:styleId="FooterChar">
    <w:name w:val="Footer Char"/>
    <w:basedOn w:val="DefaultParagraphFont"/>
    <w:link w:val="Footer"/>
    <w:uiPriority w:val="99"/>
    <w:rsid w:val="009554F1"/>
    <w:rPr>
      <w:rFonts w:ascii="Times New Roman" w:hAnsi="Times New Roman"/>
      <w:caps/>
      <w:noProof/>
      <w:sz w:val="16"/>
      <w:lang w:val="es-ES_tradnl" w:eastAsia="en-US"/>
    </w:rPr>
  </w:style>
  <w:style w:type="paragraph" w:styleId="BalloonText">
    <w:name w:val="Balloon Text"/>
    <w:basedOn w:val="Normal"/>
    <w:link w:val="BalloonTextChar"/>
    <w:uiPriority w:val="99"/>
    <w:unhideWhenUsed/>
    <w:rsid w:val="009554F1"/>
    <w:pPr>
      <w:tabs>
        <w:tab w:val="clear" w:pos="794"/>
        <w:tab w:val="clear" w:pos="1191"/>
        <w:tab w:val="clear" w:pos="1588"/>
        <w:tab w:val="clear" w:pos="1985"/>
      </w:tabs>
      <w:overflowPunct/>
      <w:autoSpaceDE/>
      <w:autoSpaceDN/>
      <w:adjustRightInd/>
      <w:spacing w:before="0"/>
      <w:textAlignment w:val="auto"/>
    </w:pPr>
    <w:rPr>
      <w:rFonts w:ascii="Tahoma" w:eastAsiaTheme="minorEastAsia" w:hAnsi="Tahoma" w:cs="Tahoma"/>
      <w:sz w:val="16"/>
      <w:szCs w:val="16"/>
      <w:lang w:val="en-US" w:eastAsia="zh-CN"/>
    </w:rPr>
  </w:style>
  <w:style w:type="character" w:customStyle="1" w:styleId="BalloonTextChar">
    <w:name w:val="Balloon Text Char"/>
    <w:basedOn w:val="DefaultParagraphFont"/>
    <w:link w:val="BalloonText"/>
    <w:uiPriority w:val="99"/>
    <w:rsid w:val="009554F1"/>
    <w:rPr>
      <w:rFonts w:ascii="Tahoma" w:eastAsiaTheme="minorEastAsia" w:hAnsi="Tahoma" w:cs="Tahoma"/>
      <w:sz w:val="16"/>
      <w:szCs w:val="16"/>
    </w:rPr>
  </w:style>
  <w:style w:type="character" w:styleId="CommentReference">
    <w:name w:val="annotation reference"/>
    <w:basedOn w:val="DefaultParagraphFont"/>
    <w:uiPriority w:val="99"/>
    <w:unhideWhenUsed/>
    <w:rsid w:val="009554F1"/>
    <w:rPr>
      <w:sz w:val="16"/>
      <w:szCs w:val="16"/>
    </w:rPr>
  </w:style>
  <w:style w:type="paragraph" w:styleId="CommentText">
    <w:name w:val="annotation text"/>
    <w:basedOn w:val="Normal"/>
    <w:link w:val="CommentTextChar"/>
    <w:uiPriority w:val="99"/>
    <w:unhideWhenUsed/>
    <w:rsid w:val="009554F1"/>
    <w:pPr>
      <w:tabs>
        <w:tab w:val="clear" w:pos="794"/>
        <w:tab w:val="clear" w:pos="1191"/>
        <w:tab w:val="clear" w:pos="1588"/>
        <w:tab w:val="clear" w:pos="1985"/>
      </w:tabs>
      <w:overflowPunct/>
      <w:autoSpaceDE/>
      <w:autoSpaceDN/>
      <w:adjustRightInd/>
      <w:spacing w:before="0" w:after="200"/>
      <w:textAlignment w:val="auto"/>
    </w:pPr>
    <w:rPr>
      <w:rFonts w:asciiTheme="minorHAnsi" w:eastAsiaTheme="minorEastAsia" w:hAnsiTheme="minorHAnsi" w:cstheme="minorBidi"/>
      <w:sz w:val="20"/>
      <w:lang w:val="en-US" w:eastAsia="zh-CN"/>
    </w:rPr>
  </w:style>
  <w:style w:type="character" w:customStyle="1" w:styleId="CommentTextChar">
    <w:name w:val="Comment Text Char"/>
    <w:basedOn w:val="DefaultParagraphFont"/>
    <w:link w:val="CommentText"/>
    <w:uiPriority w:val="99"/>
    <w:rsid w:val="009554F1"/>
    <w:rPr>
      <w:rFonts w:asciiTheme="minorHAnsi" w:eastAsiaTheme="minorEastAsia" w:hAnsiTheme="minorHAnsi" w:cstheme="minorBidi"/>
    </w:rPr>
  </w:style>
  <w:style w:type="paragraph" w:styleId="CommentSubject">
    <w:name w:val="annotation subject"/>
    <w:basedOn w:val="CommentText"/>
    <w:next w:val="CommentText"/>
    <w:link w:val="CommentSubjectChar"/>
    <w:uiPriority w:val="99"/>
    <w:unhideWhenUsed/>
    <w:rsid w:val="009554F1"/>
    <w:rPr>
      <w:b/>
      <w:bCs/>
    </w:rPr>
  </w:style>
  <w:style w:type="character" w:customStyle="1" w:styleId="CommentSubjectChar">
    <w:name w:val="Comment Subject Char"/>
    <w:basedOn w:val="CommentTextChar"/>
    <w:link w:val="CommentSubject"/>
    <w:uiPriority w:val="99"/>
    <w:rsid w:val="009554F1"/>
    <w:rPr>
      <w:rFonts w:asciiTheme="minorHAnsi" w:eastAsiaTheme="minorEastAsia" w:hAnsiTheme="minorHAnsi" w:cstheme="minorBidi"/>
      <w:b/>
      <w:bCs/>
    </w:rPr>
  </w:style>
  <w:style w:type="character" w:customStyle="1" w:styleId="FootnoteTextChar">
    <w:name w:val="Footnote Text Char"/>
    <w:basedOn w:val="DefaultParagraphFont"/>
    <w:link w:val="FootnoteText"/>
    <w:uiPriority w:val="99"/>
    <w:rsid w:val="00F50649"/>
    <w:rPr>
      <w:rFonts w:asciiTheme="minorHAnsi" w:hAnsiTheme="minorHAnsi"/>
      <w:lang w:val="es-ES_tradnl" w:eastAsia="en-US"/>
    </w:rPr>
  </w:style>
  <w:style w:type="paragraph" w:customStyle="1" w:styleId="Default">
    <w:name w:val="Default"/>
    <w:uiPriority w:val="99"/>
    <w:rsid w:val="009554F1"/>
    <w:pPr>
      <w:autoSpaceDE w:val="0"/>
      <w:autoSpaceDN w:val="0"/>
      <w:adjustRightInd w:val="0"/>
    </w:pPr>
    <w:rPr>
      <w:rFonts w:ascii="Verdana" w:hAnsi="Verdana"/>
      <w:color w:val="000000"/>
      <w:sz w:val="24"/>
      <w:szCs w:val="24"/>
      <w:lang w:eastAsia="en-US"/>
    </w:rPr>
  </w:style>
  <w:style w:type="character" w:styleId="Emphasis">
    <w:name w:val="Emphasis"/>
    <w:basedOn w:val="DefaultParagraphFont"/>
    <w:qFormat/>
    <w:rsid w:val="009554F1"/>
    <w:rPr>
      <w:i/>
      <w:iCs/>
    </w:rPr>
  </w:style>
  <w:style w:type="paragraph" w:customStyle="1" w:styleId="a">
    <w:name w:val="Абзац списка"/>
    <w:basedOn w:val="Normal"/>
    <w:uiPriority w:val="34"/>
    <w:qFormat/>
    <w:rsid w:val="009554F1"/>
    <w:pPr>
      <w:tabs>
        <w:tab w:val="clear" w:pos="794"/>
        <w:tab w:val="clear" w:pos="1191"/>
        <w:tab w:val="clear" w:pos="1588"/>
        <w:tab w:val="clear" w:pos="1985"/>
      </w:tabs>
      <w:overflowPunct/>
      <w:autoSpaceDE/>
      <w:autoSpaceDN/>
      <w:adjustRightInd/>
      <w:spacing w:before="0" w:after="200" w:line="276" w:lineRule="auto"/>
      <w:ind w:left="720"/>
      <w:contextualSpacing/>
      <w:textAlignment w:val="auto"/>
    </w:pPr>
    <w:rPr>
      <w:rFonts w:eastAsia="SimSun" w:cs="Arial"/>
      <w:szCs w:val="22"/>
      <w:lang w:val="en-US" w:eastAsia="zh-CN"/>
    </w:rPr>
  </w:style>
  <w:style w:type="table" w:styleId="TableGrid">
    <w:name w:val="Table Grid"/>
    <w:basedOn w:val="TableNormal"/>
    <w:rsid w:val="009554F1"/>
    <w:rPr>
      <w:rFonts w:asciiTheme="minorHAnsi" w:eastAsiaTheme="minorEastAsia"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Revision">
    <w:name w:val="Revision"/>
    <w:hidden/>
    <w:uiPriority w:val="99"/>
    <w:semiHidden/>
    <w:rsid w:val="009554F1"/>
    <w:rPr>
      <w:rFonts w:asciiTheme="minorHAnsi" w:eastAsiaTheme="minorEastAsia" w:hAnsiTheme="minorHAnsi" w:cstheme="minorBidi"/>
      <w:sz w:val="22"/>
      <w:szCs w:val="22"/>
    </w:rPr>
  </w:style>
  <w:style w:type="character" w:styleId="FollowedHyperlink">
    <w:name w:val="FollowedHyperlink"/>
    <w:basedOn w:val="DefaultParagraphFont"/>
    <w:uiPriority w:val="99"/>
    <w:unhideWhenUsed/>
    <w:rsid w:val="009554F1"/>
    <w:rPr>
      <w:color w:val="800080" w:themeColor="followedHyperlink"/>
      <w:u w:val="single"/>
    </w:rPr>
  </w:style>
  <w:style w:type="character" w:customStyle="1" w:styleId="Heading3Char">
    <w:name w:val="Heading 3 Char"/>
    <w:basedOn w:val="DefaultParagraphFont"/>
    <w:link w:val="Heading3"/>
    <w:rsid w:val="009554F1"/>
    <w:rPr>
      <w:rFonts w:ascii="Times New Roman" w:hAnsi="Times New Roman"/>
      <w:b/>
      <w:sz w:val="24"/>
      <w:lang w:val="es-ES_tradnl" w:eastAsia="en-US"/>
    </w:rPr>
  </w:style>
  <w:style w:type="paragraph" w:styleId="EndnoteText">
    <w:name w:val="endnote text"/>
    <w:basedOn w:val="Normal"/>
    <w:link w:val="EndnoteTextChar"/>
    <w:uiPriority w:val="99"/>
    <w:unhideWhenUsed/>
    <w:rsid w:val="009554F1"/>
    <w:pPr>
      <w:tabs>
        <w:tab w:val="clear" w:pos="794"/>
        <w:tab w:val="clear" w:pos="1191"/>
        <w:tab w:val="clear" w:pos="1588"/>
        <w:tab w:val="clear" w:pos="1985"/>
      </w:tabs>
      <w:overflowPunct/>
      <w:autoSpaceDE/>
      <w:autoSpaceDN/>
      <w:adjustRightInd/>
      <w:spacing w:before="0"/>
      <w:textAlignment w:val="auto"/>
    </w:pPr>
    <w:rPr>
      <w:rFonts w:asciiTheme="minorHAnsi" w:eastAsiaTheme="minorEastAsia" w:hAnsiTheme="minorHAnsi" w:cstheme="minorBidi"/>
      <w:sz w:val="20"/>
      <w:lang w:val="en-US" w:eastAsia="zh-CN"/>
    </w:rPr>
  </w:style>
  <w:style w:type="character" w:customStyle="1" w:styleId="EndnoteTextChar">
    <w:name w:val="Endnote Text Char"/>
    <w:basedOn w:val="DefaultParagraphFont"/>
    <w:link w:val="EndnoteText"/>
    <w:uiPriority w:val="99"/>
    <w:rsid w:val="009554F1"/>
    <w:rPr>
      <w:rFonts w:asciiTheme="minorHAnsi" w:eastAsiaTheme="minorEastAsia" w:hAnsiTheme="minorHAnsi" w:cstheme="minorBidi"/>
    </w:rPr>
  </w:style>
  <w:style w:type="paragraph" w:customStyle="1" w:styleId="HPMbodytext">
    <w:name w:val="HPMbodytext"/>
    <w:basedOn w:val="Normal"/>
    <w:rsid w:val="009554F1"/>
    <w:pPr>
      <w:tabs>
        <w:tab w:val="clear" w:pos="794"/>
        <w:tab w:val="clear" w:pos="1191"/>
        <w:tab w:val="clear" w:pos="1588"/>
        <w:tab w:val="clear" w:pos="1985"/>
      </w:tabs>
      <w:overflowPunct/>
      <w:autoSpaceDE/>
      <w:autoSpaceDN/>
      <w:adjustRightInd/>
      <w:spacing w:after="120"/>
      <w:textAlignment w:val="auto"/>
    </w:pPr>
    <w:rPr>
      <w:rFonts w:ascii="Arial" w:eastAsia="SimSun" w:hAnsi="Arial"/>
      <w:lang w:val="en-US" w:eastAsia="zh-CN"/>
    </w:rPr>
  </w:style>
  <w:style w:type="paragraph" w:styleId="PlainText">
    <w:name w:val="Plain Text"/>
    <w:basedOn w:val="Normal"/>
    <w:link w:val="PlainTextChar"/>
    <w:uiPriority w:val="99"/>
    <w:unhideWhenUsed/>
    <w:rsid w:val="009554F1"/>
    <w:pPr>
      <w:tabs>
        <w:tab w:val="clear" w:pos="794"/>
        <w:tab w:val="clear" w:pos="1191"/>
        <w:tab w:val="clear" w:pos="1588"/>
        <w:tab w:val="clear" w:pos="1985"/>
      </w:tabs>
      <w:overflowPunct/>
      <w:autoSpaceDE/>
      <w:autoSpaceDN/>
      <w:adjustRightInd/>
      <w:spacing w:before="0"/>
      <w:textAlignment w:val="auto"/>
    </w:pPr>
    <w:rPr>
      <w:rFonts w:ascii="Consolas" w:eastAsiaTheme="minorEastAsia" w:hAnsi="Consolas" w:cstheme="minorBidi"/>
      <w:sz w:val="21"/>
      <w:szCs w:val="21"/>
      <w:lang w:val="en-US" w:eastAsia="zh-CN"/>
    </w:rPr>
  </w:style>
  <w:style w:type="character" w:customStyle="1" w:styleId="PlainTextChar">
    <w:name w:val="Plain Text Char"/>
    <w:basedOn w:val="DefaultParagraphFont"/>
    <w:link w:val="PlainText"/>
    <w:uiPriority w:val="99"/>
    <w:rsid w:val="009554F1"/>
    <w:rPr>
      <w:rFonts w:ascii="Consolas" w:eastAsiaTheme="minorEastAsia" w:hAnsi="Consolas" w:cstheme="minorBidi"/>
      <w:sz w:val="21"/>
      <w:szCs w:val="21"/>
    </w:rPr>
  </w:style>
  <w:style w:type="character" w:styleId="HTMLCite">
    <w:name w:val="HTML Cite"/>
    <w:basedOn w:val="DefaultParagraphFont"/>
    <w:uiPriority w:val="99"/>
    <w:unhideWhenUsed/>
    <w:rsid w:val="009554F1"/>
    <w:rPr>
      <w:i w:val="0"/>
      <w:iCs w:val="0"/>
      <w:color w:val="009933"/>
    </w:rPr>
  </w:style>
  <w:style w:type="character" w:customStyle="1" w:styleId="longtext">
    <w:name w:val="long_text"/>
    <w:basedOn w:val="DefaultParagraphFont"/>
    <w:rsid w:val="009554F1"/>
  </w:style>
  <w:style w:type="character" w:customStyle="1" w:styleId="Heading2Char">
    <w:name w:val="Heading 2 Char"/>
    <w:basedOn w:val="DefaultParagraphFont"/>
    <w:link w:val="Heading2"/>
    <w:rsid w:val="00344D10"/>
    <w:rPr>
      <w:rFonts w:ascii="Times New Roman" w:hAnsi="Times New Roman"/>
      <w:b/>
      <w:sz w:val="24"/>
      <w:lang w:val="es-ES_tradnl" w:eastAsia="en-US"/>
    </w:rPr>
  </w:style>
  <w:style w:type="paragraph" w:customStyle="1" w:styleId="Reasons">
    <w:name w:val="Reasons"/>
    <w:basedOn w:val="Normal"/>
    <w:qFormat/>
    <w:rsid w:val="0065679A"/>
    <w:pPr>
      <w:tabs>
        <w:tab w:val="clear" w:pos="794"/>
        <w:tab w:val="clear" w:pos="1191"/>
        <w:tab w:val="clear" w:pos="1588"/>
        <w:tab w:val="clear" w:pos="1985"/>
      </w:tabs>
      <w:overflowPunct/>
      <w:autoSpaceDE/>
      <w:autoSpaceDN/>
      <w:adjustRightInd/>
      <w:spacing w:before="0"/>
      <w:textAlignment w:val="auto"/>
    </w:pPr>
    <w:rPr>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G Times" w:eastAsia="Times New Roman" w:hAnsi="CG Times"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note text" w:uiPriority="99"/>
    <w:lsdException w:name="annotation text" w:uiPriority="99"/>
    <w:lsdException w:name="header" w:uiPriority="99"/>
    <w:lsdException w:name="caption" w:semiHidden="1" w:unhideWhenUsed="1" w:qFormat="1"/>
    <w:lsdException w:name="footnote reference" w:uiPriority="99"/>
    <w:lsdException w:name="annotation reference" w:uiPriority="99"/>
    <w:lsdException w:name="endnote reference" w:uiPriority="99"/>
    <w:lsdException w:name="endnote text" w:uiPriority="99"/>
    <w:lsdException w:name="Title" w:qFormat="1"/>
    <w:lsdException w:name="Subtitle" w:qFormat="1"/>
    <w:lsdException w:name="Date" w:uiPriority="99"/>
    <w:lsdException w:name="FollowedHyperlink" w:uiPriority="99"/>
    <w:lsdException w:name="Strong" w:qFormat="1"/>
    <w:lsdException w:name="Emphasis" w:qFormat="1"/>
    <w:lsdException w:name="Plain Text" w:uiPriority="99"/>
    <w:lsdException w:name="Normal (Web)" w:uiPriority="99"/>
    <w:lsdException w:name="HTML Cite" w:uiPriority="99"/>
    <w:lsdException w:name="annotation subject" w:uiPriority="99"/>
    <w:lsdException w:name="No List" w:uiPriority="99"/>
    <w:lsdException w:name="Balloo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9723BC"/>
    <w:pPr>
      <w:tabs>
        <w:tab w:val="left" w:pos="794"/>
        <w:tab w:val="left" w:pos="1191"/>
        <w:tab w:val="left" w:pos="1588"/>
        <w:tab w:val="left" w:pos="1985"/>
      </w:tabs>
      <w:overflowPunct w:val="0"/>
      <w:autoSpaceDE w:val="0"/>
      <w:autoSpaceDN w:val="0"/>
      <w:adjustRightInd w:val="0"/>
      <w:spacing w:before="120"/>
      <w:textAlignment w:val="baseline"/>
    </w:pPr>
    <w:rPr>
      <w:rFonts w:ascii="Calibri" w:hAnsi="Calibri"/>
      <w:sz w:val="22"/>
      <w:lang w:val="es-ES_tradnl" w:eastAsia="en-US"/>
    </w:rPr>
  </w:style>
  <w:style w:type="paragraph" w:styleId="Heading1">
    <w:name w:val="heading 1"/>
    <w:basedOn w:val="Normal"/>
    <w:next w:val="Normal"/>
    <w:link w:val="Heading1Char"/>
    <w:qFormat/>
    <w:pPr>
      <w:keepNext/>
      <w:keepLines/>
      <w:spacing w:before="360"/>
      <w:ind w:left="794" w:hanging="794"/>
      <w:outlineLvl w:val="0"/>
    </w:pPr>
    <w:rPr>
      <w:b/>
    </w:rPr>
  </w:style>
  <w:style w:type="paragraph" w:styleId="Heading2">
    <w:name w:val="heading 2"/>
    <w:basedOn w:val="Heading1"/>
    <w:next w:val="Normal"/>
    <w:link w:val="Heading2Char"/>
    <w:qFormat/>
    <w:pPr>
      <w:spacing w:before="240"/>
      <w:outlineLvl w:val="1"/>
    </w:pPr>
  </w:style>
  <w:style w:type="paragraph" w:styleId="Heading3">
    <w:name w:val="heading 3"/>
    <w:basedOn w:val="Heading1"/>
    <w:next w:val="Normal"/>
    <w:link w:val="Heading3Char"/>
    <w:qFormat/>
    <w:pPr>
      <w:spacing w:before="160"/>
      <w:outlineLvl w:val="2"/>
    </w:pPr>
  </w:style>
  <w:style w:type="paragraph" w:styleId="Heading4">
    <w:name w:val="heading 4"/>
    <w:basedOn w:val="Heading3"/>
    <w:next w:val="Normal"/>
    <w:qFormat/>
    <w:pPr>
      <w:tabs>
        <w:tab w:val="clear" w:pos="794"/>
        <w:tab w:val="left" w:pos="1021"/>
      </w:tabs>
      <w:ind w:left="1021" w:hanging="1021"/>
      <w:outlineLvl w:val="3"/>
    </w:pPr>
  </w:style>
  <w:style w:type="paragraph" w:styleId="Heading5">
    <w:name w:val="heading 5"/>
    <w:basedOn w:val="Heading4"/>
    <w:next w:val="Normal"/>
    <w:qFormat/>
    <w:pPr>
      <w:outlineLvl w:val="4"/>
    </w:pPr>
  </w:style>
  <w:style w:type="paragraph" w:styleId="Heading6">
    <w:name w:val="heading 6"/>
    <w:basedOn w:val="Heading4"/>
    <w:next w:val="Normal"/>
    <w:qFormat/>
    <w:pPr>
      <w:tabs>
        <w:tab w:val="clear" w:pos="1021"/>
        <w:tab w:val="clear" w:pos="1191"/>
      </w:tabs>
      <w:ind w:left="1588" w:hanging="1588"/>
      <w:outlineLvl w:val="5"/>
    </w:pPr>
  </w:style>
  <w:style w:type="paragraph" w:styleId="Heading7">
    <w:name w:val="heading 7"/>
    <w:basedOn w:val="Heading6"/>
    <w:next w:val="Normal"/>
    <w:qFormat/>
    <w:pPr>
      <w:outlineLvl w:val="6"/>
    </w:pPr>
  </w:style>
  <w:style w:type="paragraph" w:styleId="Heading8">
    <w:name w:val="heading 8"/>
    <w:basedOn w:val="Heading6"/>
    <w:next w:val="Normal"/>
    <w:qFormat/>
    <w:pPr>
      <w:outlineLvl w:val="7"/>
    </w:pPr>
  </w:style>
  <w:style w:type="paragraph" w:styleId="Heading9">
    <w:name w:val="heading 9"/>
    <w:basedOn w:val="Heading6"/>
    <w:next w:val="Normal"/>
    <w:qFormat/>
    <w:pPr>
      <w:outlineLvl w:val="8"/>
    </w:p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nnexNotitle">
    <w:name w:val="Annex_No &amp; title"/>
    <w:basedOn w:val="Normal"/>
    <w:next w:val="Normalaftertitle"/>
    <w:pPr>
      <w:keepNext/>
      <w:keepLines/>
      <w:spacing w:before="480"/>
      <w:jc w:val="center"/>
    </w:pPr>
    <w:rPr>
      <w:b/>
      <w:sz w:val="28"/>
    </w:rPr>
  </w:style>
  <w:style w:type="character" w:customStyle="1" w:styleId="Appdef">
    <w:name w:val="App_def"/>
    <w:basedOn w:val="DefaultParagraphFont"/>
    <w:rPr>
      <w:rFonts w:ascii="Times New Roman" w:hAnsi="Times New Roman"/>
      <w:b/>
    </w:rPr>
  </w:style>
  <w:style w:type="character" w:customStyle="1" w:styleId="Appref">
    <w:name w:val="App_ref"/>
    <w:basedOn w:val="DefaultParagraphFont"/>
  </w:style>
  <w:style w:type="paragraph" w:customStyle="1" w:styleId="AppendixNotitle">
    <w:name w:val="Appendix_No &amp; title"/>
    <w:basedOn w:val="AnnexNotitle"/>
    <w:next w:val="Normalaftertitle"/>
  </w:style>
  <w:style w:type="character" w:customStyle="1" w:styleId="Artdef">
    <w:name w:val="Art_def"/>
    <w:basedOn w:val="DefaultParagraphFont"/>
    <w:rPr>
      <w:rFonts w:ascii="Times New Roman" w:hAnsi="Times New Roman"/>
      <w:b/>
    </w:rPr>
  </w:style>
  <w:style w:type="paragraph" w:customStyle="1" w:styleId="Artheading">
    <w:name w:val="Art_heading"/>
    <w:basedOn w:val="Normal"/>
    <w:next w:val="Normalaftertitle"/>
    <w:pPr>
      <w:spacing w:before="480"/>
      <w:jc w:val="center"/>
    </w:pPr>
    <w:rPr>
      <w:b/>
      <w:sz w:val="28"/>
    </w:rPr>
  </w:style>
  <w:style w:type="paragraph" w:customStyle="1" w:styleId="ArtNo">
    <w:name w:val="Art_No"/>
    <w:basedOn w:val="Normal"/>
    <w:next w:val="Arttitle"/>
    <w:pPr>
      <w:keepNext/>
      <w:keepLines/>
      <w:spacing w:before="480"/>
      <w:jc w:val="center"/>
    </w:pPr>
    <w:rPr>
      <w:caps/>
      <w:sz w:val="28"/>
    </w:rPr>
  </w:style>
  <w:style w:type="character" w:customStyle="1" w:styleId="Artref">
    <w:name w:val="Art_ref"/>
    <w:basedOn w:val="DefaultParagraphFont"/>
  </w:style>
  <w:style w:type="paragraph" w:customStyle="1" w:styleId="Arttitle">
    <w:name w:val="Art_title"/>
    <w:basedOn w:val="Normal"/>
    <w:next w:val="Normalaftertitle"/>
    <w:pPr>
      <w:keepNext/>
      <w:keepLines/>
      <w:spacing w:before="240"/>
      <w:jc w:val="center"/>
    </w:pPr>
    <w:rPr>
      <w:b/>
      <w:sz w:val="28"/>
    </w:rPr>
  </w:style>
  <w:style w:type="paragraph" w:customStyle="1" w:styleId="ASN1">
    <w:name w:val="ASN.1"/>
    <w:basedOn w:val="Normal"/>
    <w:pPr>
      <w:tabs>
        <w:tab w:val="left" w:pos="567"/>
        <w:tab w:val="left" w:pos="1134"/>
        <w:tab w:val="left" w:pos="1701"/>
        <w:tab w:val="left" w:pos="2268"/>
        <w:tab w:val="left" w:pos="2835"/>
        <w:tab w:val="left" w:pos="3402"/>
        <w:tab w:val="left" w:pos="3969"/>
        <w:tab w:val="left" w:pos="4536"/>
        <w:tab w:val="left" w:pos="5103"/>
        <w:tab w:val="left" w:pos="5670"/>
      </w:tabs>
      <w:spacing w:before="0"/>
    </w:pPr>
    <w:rPr>
      <w:rFonts w:ascii="Courier New" w:hAnsi="Courier New"/>
      <w:b/>
      <w:noProof/>
      <w:sz w:val="20"/>
    </w:rPr>
  </w:style>
  <w:style w:type="paragraph" w:customStyle="1" w:styleId="Call">
    <w:name w:val="Call"/>
    <w:basedOn w:val="Normal"/>
    <w:next w:val="Normal"/>
    <w:pPr>
      <w:keepNext/>
      <w:keepLines/>
      <w:spacing w:before="160"/>
      <w:ind w:left="794"/>
    </w:pPr>
    <w:rPr>
      <w:i/>
    </w:rPr>
  </w:style>
  <w:style w:type="paragraph" w:customStyle="1" w:styleId="ChapNo">
    <w:name w:val="Chap_No"/>
    <w:basedOn w:val="Normal"/>
    <w:next w:val="Chaptitle"/>
    <w:pPr>
      <w:keepNext/>
      <w:keepLines/>
      <w:spacing w:before="480"/>
      <w:jc w:val="center"/>
    </w:pPr>
    <w:rPr>
      <w:b/>
      <w:caps/>
      <w:sz w:val="28"/>
    </w:rPr>
  </w:style>
  <w:style w:type="paragraph" w:customStyle="1" w:styleId="Chaptitle">
    <w:name w:val="Chap_title"/>
    <w:basedOn w:val="Normal"/>
    <w:next w:val="Normalaftertitle"/>
    <w:pPr>
      <w:keepNext/>
      <w:keepLines/>
      <w:spacing w:before="240"/>
      <w:jc w:val="center"/>
    </w:pPr>
    <w:rPr>
      <w:b/>
      <w:sz w:val="28"/>
    </w:rPr>
  </w:style>
  <w:style w:type="character" w:styleId="EndnoteReference">
    <w:name w:val="endnote reference"/>
    <w:basedOn w:val="DefaultParagraphFont"/>
    <w:uiPriority w:val="99"/>
    <w:rPr>
      <w:vertAlign w:val="superscript"/>
    </w:rPr>
  </w:style>
  <w:style w:type="paragraph" w:customStyle="1" w:styleId="enumlev1">
    <w:name w:val="enumlev1"/>
    <w:basedOn w:val="Normal"/>
    <w:rsid w:val="00D81122"/>
    <w:pPr>
      <w:spacing w:before="80"/>
      <w:ind w:left="794" w:hanging="794"/>
    </w:pPr>
    <w:rPr>
      <w:rFonts w:asciiTheme="minorHAnsi" w:hAnsiTheme="minorHAnsi"/>
    </w:rPr>
  </w:style>
  <w:style w:type="paragraph" w:customStyle="1" w:styleId="enumlev2">
    <w:name w:val="enumlev2"/>
    <w:basedOn w:val="enumlev1"/>
    <w:pPr>
      <w:ind w:left="1191" w:hanging="397"/>
    </w:pPr>
  </w:style>
  <w:style w:type="paragraph" w:customStyle="1" w:styleId="enumlev3">
    <w:name w:val="enumlev3"/>
    <w:basedOn w:val="enumlev2"/>
    <w:pPr>
      <w:ind w:left="1588"/>
    </w:pPr>
  </w:style>
  <w:style w:type="paragraph" w:customStyle="1" w:styleId="Equation">
    <w:name w:val="Equation"/>
    <w:basedOn w:val="Normal"/>
    <w:pPr>
      <w:tabs>
        <w:tab w:val="clear" w:pos="1191"/>
        <w:tab w:val="clear" w:pos="1588"/>
        <w:tab w:val="clear" w:pos="1985"/>
        <w:tab w:val="center" w:pos="4820"/>
        <w:tab w:val="right" w:pos="9639"/>
      </w:tabs>
    </w:pPr>
  </w:style>
  <w:style w:type="paragraph" w:customStyle="1" w:styleId="Equationlegend">
    <w:name w:val="Equation_legend"/>
    <w:basedOn w:val="Normal"/>
    <w:pPr>
      <w:tabs>
        <w:tab w:val="clear" w:pos="794"/>
        <w:tab w:val="clear" w:pos="1191"/>
        <w:tab w:val="clear" w:pos="1588"/>
        <w:tab w:val="right" w:pos="1814"/>
      </w:tabs>
      <w:spacing w:before="80"/>
      <w:ind w:left="1985" w:hanging="1985"/>
    </w:pPr>
  </w:style>
  <w:style w:type="paragraph" w:customStyle="1" w:styleId="Figure">
    <w:name w:val="Figure"/>
    <w:basedOn w:val="Normal"/>
    <w:next w:val="FigureNotitle"/>
    <w:pPr>
      <w:keepNext/>
      <w:keepLines/>
      <w:spacing w:before="240" w:after="120"/>
      <w:jc w:val="center"/>
    </w:pPr>
  </w:style>
  <w:style w:type="paragraph" w:customStyle="1" w:styleId="Figurelegend">
    <w:name w:val="Figure_legend"/>
    <w:basedOn w:val="Normal"/>
    <w:pPr>
      <w:keepNext/>
      <w:keepLines/>
      <w:tabs>
        <w:tab w:val="clear" w:pos="794"/>
        <w:tab w:val="clear" w:pos="1191"/>
        <w:tab w:val="clear" w:pos="1588"/>
        <w:tab w:val="clear" w:pos="1985"/>
      </w:tabs>
      <w:spacing w:before="20" w:after="20"/>
    </w:pPr>
    <w:rPr>
      <w:sz w:val="18"/>
    </w:rPr>
  </w:style>
  <w:style w:type="paragraph" w:customStyle="1" w:styleId="FigureNotitle">
    <w:name w:val="Figure_No &amp; title"/>
    <w:basedOn w:val="Normal"/>
    <w:next w:val="Normalaftertitle"/>
    <w:pPr>
      <w:keepLines/>
      <w:spacing w:before="240" w:after="120"/>
      <w:jc w:val="center"/>
    </w:pPr>
    <w:rPr>
      <w:b/>
    </w:rPr>
  </w:style>
  <w:style w:type="paragraph" w:customStyle="1" w:styleId="Figurewithouttitle">
    <w:name w:val="Figure_without_title"/>
    <w:basedOn w:val="Normal"/>
    <w:next w:val="Normalaftertitle"/>
    <w:pPr>
      <w:keepLines/>
      <w:spacing w:before="240" w:after="120"/>
      <w:jc w:val="center"/>
    </w:pPr>
  </w:style>
  <w:style w:type="paragraph" w:styleId="Footer">
    <w:name w:val="footer"/>
    <w:basedOn w:val="Normal"/>
    <w:link w:val="FooterChar"/>
    <w:pPr>
      <w:tabs>
        <w:tab w:val="clear" w:pos="794"/>
        <w:tab w:val="clear" w:pos="1191"/>
        <w:tab w:val="clear" w:pos="1588"/>
        <w:tab w:val="clear" w:pos="1985"/>
        <w:tab w:val="left" w:pos="5954"/>
        <w:tab w:val="right" w:pos="9639"/>
      </w:tabs>
      <w:spacing w:before="0"/>
    </w:pPr>
    <w:rPr>
      <w:caps/>
      <w:noProof/>
      <w:sz w:val="16"/>
    </w:rPr>
  </w:style>
  <w:style w:type="paragraph" w:customStyle="1" w:styleId="FirstFooter">
    <w:name w:val="FirstFooter"/>
    <w:basedOn w:val="Footer"/>
    <w:pPr>
      <w:tabs>
        <w:tab w:val="clear" w:pos="5954"/>
        <w:tab w:val="clear" w:pos="9639"/>
      </w:tabs>
      <w:overflowPunct/>
      <w:autoSpaceDE/>
      <w:autoSpaceDN/>
      <w:adjustRightInd/>
      <w:spacing w:before="40"/>
      <w:textAlignment w:val="auto"/>
    </w:pPr>
    <w:rPr>
      <w:caps w:val="0"/>
      <w:noProof w:val="0"/>
    </w:rPr>
  </w:style>
  <w:style w:type="paragraph" w:customStyle="1" w:styleId="FooterQP">
    <w:name w:val="Footer_QP"/>
    <w:basedOn w:val="Normal"/>
    <w:pPr>
      <w:tabs>
        <w:tab w:val="clear" w:pos="794"/>
        <w:tab w:val="clear" w:pos="1191"/>
        <w:tab w:val="clear" w:pos="1588"/>
        <w:tab w:val="clear" w:pos="1985"/>
        <w:tab w:val="left" w:pos="907"/>
        <w:tab w:val="right" w:pos="8789"/>
        <w:tab w:val="right" w:pos="9639"/>
      </w:tabs>
      <w:spacing w:before="0"/>
    </w:pPr>
    <w:rPr>
      <w:b/>
    </w:rPr>
  </w:style>
  <w:style w:type="character" w:styleId="FootnoteReference">
    <w:name w:val="footnote reference"/>
    <w:basedOn w:val="DefaultParagraphFont"/>
    <w:uiPriority w:val="99"/>
    <w:rsid w:val="00084229"/>
    <w:rPr>
      <w:rFonts w:ascii="Calibri" w:hAnsi="Calibri"/>
      <w:caps w:val="0"/>
      <w:smallCaps w:val="0"/>
      <w:strike w:val="0"/>
      <w:dstrike w:val="0"/>
      <w:vanish w:val="0"/>
      <w:position w:val="6"/>
      <w:sz w:val="16"/>
      <w:vertAlign w:val="baseline"/>
    </w:rPr>
  </w:style>
  <w:style w:type="paragraph" w:customStyle="1" w:styleId="Note">
    <w:name w:val="Note"/>
    <w:basedOn w:val="Normal"/>
    <w:pPr>
      <w:spacing w:before="80"/>
    </w:pPr>
  </w:style>
  <w:style w:type="paragraph" w:styleId="FootnoteText">
    <w:name w:val="footnote text"/>
    <w:basedOn w:val="Note"/>
    <w:link w:val="FootnoteTextChar"/>
    <w:uiPriority w:val="99"/>
    <w:rsid w:val="00F50649"/>
    <w:pPr>
      <w:keepLines/>
      <w:tabs>
        <w:tab w:val="left" w:pos="425"/>
      </w:tabs>
      <w:ind w:left="425" w:hanging="425"/>
    </w:pPr>
    <w:rPr>
      <w:rFonts w:asciiTheme="minorHAnsi" w:hAnsiTheme="minorHAnsi"/>
      <w:sz w:val="20"/>
    </w:rPr>
  </w:style>
  <w:style w:type="paragraph" w:customStyle="1" w:styleId="Formal">
    <w:name w:val="Formal"/>
    <w:basedOn w:val="ASN1"/>
    <w:rPr>
      <w:b w:val="0"/>
    </w:rPr>
  </w:style>
  <w:style w:type="paragraph" w:styleId="Header">
    <w:name w:val="header"/>
    <w:basedOn w:val="Normal"/>
    <w:link w:val="HeaderChar"/>
    <w:uiPriority w:val="99"/>
    <w:pPr>
      <w:tabs>
        <w:tab w:val="clear" w:pos="794"/>
        <w:tab w:val="clear" w:pos="1191"/>
        <w:tab w:val="clear" w:pos="1588"/>
        <w:tab w:val="clear" w:pos="1985"/>
      </w:tabs>
      <w:spacing w:before="0"/>
      <w:jc w:val="center"/>
    </w:pPr>
    <w:rPr>
      <w:sz w:val="18"/>
    </w:rPr>
  </w:style>
  <w:style w:type="paragraph" w:customStyle="1" w:styleId="Headingb">
    <w:name w:val="Heading_b"/>
    <w:basedOn w:val="Normal"/>
    <w:next w:val="Normal"/>
    <w:pPr>
      <w:keepNext/>
      <w:spacing w:before="160"/>
    </w:pPr>
    <w:rPr>
      <w:b/>
    </w:rPr>
  </w:style>
  <w:style w:type="paragraph" w:customStyle="1" w:styleId="Headingi">
    <w:name w:val="Heading_i"/>
    <w:basedOn w:val="Normal"/>
    <w:next w:val="Normal"/>
    <w:pPr>
      <w:keepNext/>
      <w:spacing w:before="160"/>
    </w:pPr>
    <w:rPr>
      <w:i/>
    </w:rPr>
  </w:style>
  <w:style w:type="paragraph" w:styleId="Index1">
    <w:name w:val="index 1"/>
    <w:basedOn w:val="Normal"/>
    <w:next w:val="Normal"/>
  </w:style>
  <w:style w:type="paragraph" w:styleId="Index2">
    <w:name w:val="index 2"/>
    <w:basedOn w:val="Normal"/>
    <w:next w:val="Normal"/>
    <w:pPr>
      <w:ind w:left="283"/>
    </w:pPr>
  </w:style>
  <w:style w:type="paragraph" w:styleId="Index3">
    <w:name w:val="index 3"/>
    <w:basedOn w:val="Normal"/>
    <w:next w:val="Normal"/>
    <w:pPr>
      <w:ind w:left="566"/>
    </w:pPr>
  </w:style>
  <w:style w:type="paragraph" w:customStyle="1" w:styleId="Normalaftertitle">
    <w:name w:val="Normal_after_title"/>
    <w:basedOn w:val="Normal"/>
    <w:next w:val="Normal"/>
    <w:pPr>
      <w:spacing w:before="360"/>
    </w:pPr>
  </w:style>
  <w:style w:type="character" w:styleId="PageNumber">
    <w:name w:val="page number"/>
    <w:basedOn w:val="DefaultParagraphFont"/>
  </w:style>
  <w:style w:type="paragraph" w:customStyle="1" w:styleId="PartNo">
    <w:name w:val="Part_No"/>
    <w:basedOn w:val="Normal"/>
    <w:next w:val="Partref"/>
    <w:pPr>
      <w:keepNext/>
      <w:keepLines/>
      <w:spacing w:before="480" w:after="80"/>
      <w:jc w:val="center"/>
    </w:pPr>
    <w:rPr>
      <w:caps/>
      <w:sz w:val="28"/>
    </w:rPr>
  </w:style>
  <w:style w:type="paragraph" w:customStyle="1" w:styleId="Partref">
    <w:name w:val="Part_ref"/>
    <w:basedOn w:val="Normal"/>
    <w:next w:val="Parttitle"/>
    <w:pPr>
      <w:keepNext/>
      <w:keepLines/>
      <w:spacing w:before="280"/>
      <w:jc w:val="center"/>
    </w:pPr>
  </w:style>
  <w:style w:type="paragraph" w:customStyle="1" w:styleId="Parttitle">
    <w:name w:val="Part_title"/>
    <w:basedOn w:val="Normal"/>
    <w:next w:val="Normalaftertitle"/>
    <w:pPr>
      <w:keepNext/>
      <w:keepLines/>
      <w:spacing w:before="240" w:after="280"/>
      <w:jc w:val="center"/>
    </w:pPr>
    <w:rPr>
      <w:b/>
      <w:sz w:val="28"/>
    </w:rPr>
  </w:style>
  <w:style w:type="paragraph" w:customStyle="1" w:styleId="Recdate">
    <w:name w:val="Rec_date"/>
    <w:basedOn w:val="Normal"/>
    <w:next w:val="Normalaftertitle"/>
    <w:pPr>
      <w:keepNext/>
      <w:keepLines/>
      <w:tabs>
        <w:tab w:val="clear" w:pos="794"/>
        <w:tab w:val="clear" w:pos="1191"/>
        <w:tab w:val="clear" w:pos="1588"/>
        <w:tab w:val="clear" w:pos="1985"/>
      </w:tabs>
      <w:jc w:val="right"/>
    </w:pPr>
    <w:rPr>
      <w:i/>
    </w:rPr>
  </w:style>
  <w:style w:type="paragraph" w:customStyle="1" w:styleId="Questiondate">
    <w:name w:val="Question_date"/>
    <w:basedOn w:val="Recdate"/>
    <w:next w:val="Normalaftertitle"/>
  </w:style>
  <w:style w:type="paragraph" w:customStyle="1" w:styleId="RecNo">
    <w:name w:val="Rec_No"/>
    <w:basedOn w:val="Normal"/>
    <w:next w:val="Rectitle"/>
    <w:pPr>
      <w:keepNext/>
      <w:keepLines/>
      <w:spacing w:before="0"/>
    </w:pPr>
    <w:rPr>
      <w:b/>
      <w:sz w:val="28"/>
    </w:rPr>
  </w:style>
  <w:style w:type="paragraph" w:customStyle="1" w:styleId="QuestionNo">
    <w:name w:val="Question_No"/>
    <w:basedOn w:val="RecNo"/>
    <w:next w:val="Questiontitle"/>
  </w:style>
  <w:style w:type="paragraph" w:customStyle="1" w:styleId="RecNoBR">
    <w:name w:val="Rec_No_BR"/>
    <w:basedOn w:val="Normal"/>
    <w:next w:val="Rectitle"/>
    <w:pPr>
      <w:keepNext/>
      <w:keepLines/>
      <w:spacing w:before="480"/>
      <w:jc w:val="center"/>
    </w:pPr>
    <w:rPr>
      <w:caps/>
      <w:sz w:val="28"/>
    </w:rPr>
  </w:style>
  <w:style w:type="paragraph" w:customStyle="1" w:styleId="QuestionNoBR">
    <w:name w:val="Question_No_BR"/>
    <w:basedOn w:val="RecNoBR"/>
    <w:next w:val="Questiontitle"/>
  </w:style>
  <w:style w:type="paragraph" w:customStyle="1" w:styleId="Recref">
    <w:name w:val="Rec_ref"/>
    <w:basedOn w:val="Normal"/>
    <w:next w:val="Recdate"/>
    <w:pPr>
      <w:keepNext/>
      <w:keepLines/>
      <w:tabs>
        <w:tab w:val="clear" w:pos="794"/>
        <w:tab w:val="clear" w:pos="1191"/>
        <w:tab w:val="clear" w:pos="1588"/>
        <w:tab w:val="clear" w:pos="1985"/>
      </w:tabs>
      <w:jc w:val="center"/>
    </w:pPr>
    <w:rPr>
      <w:i/>
    </w:rPr>
  </w:style>
  <w:style w:type="paragraph" w:customStyle="1" w:styleId="Questionref">
    <w:name w:val="Question_ref"/>
    <w:basedOn w:val="Recref"/>
    <w:next w:val="Questiondate"/>
  </w:style>
  <w:style w:type="paragraph" w:customStyle="1" w:styleId="Rectitle">
    <w:name w:val="Rec_title"/>
    <w:basedOn w:val="Normal"/>
    <w:next w:val="Normalaftertitle"/>
    <w:pPr>
      <w:keepNext/>
      <w:keepLines/>
      <w:spacing w:before="360"/>
      <w:jc w:val="center"/>
    </w:pPr>
    <w:rPr>
      <w:b/>
      <w:sz w:val="28"/>
    </w:rPr>
  </w:style>
  <w:style w:type="paragraph" w:customStyle="1" w:styleId="Questiontitle">
    <w:name w:val="Question_title"/>
    <w:basedOn w:val="Rectitle"/>
    <w:next w:val="Questionref"/>
  </w:style>
  <w:style w:type="character" w:customStyle="1" w:styleId="Recdef">
    <w:name w:val="Rec_def"/>
    <w:basedOn w:val="DefaultParagraphFont"/>
    <w:rPr>
      <w:b/>
    </w:rPr>
  </w:style>
  <w:style w:type="paragraph" w:customStyle="1" w:styleId="Reftext">
    <w:name w:val="Ref_text"/>
    <w:basedOn w:val="Normal"/>
    <w:pPr>
      <w:ind w:left="794" w:hanging="794"/>
    </w:pPr>
  </w:style>
  <w:style w:type="paragraph" w:customStyle="1" w:styleId="Reftitle">
    <w:name w:val="Ref_title"/>
    <w:basedOn w:val="Normal"/>
    <w:next w:val="Reftext"/>
    <w:pPr>
      <w:spacing w:before="480"/>
      <w:jc w:val="center"/>
    </w:pPr>
    <w:rPr>
      <w:b/>
    </w:rPr>
  </w:style>
  <w:style w:type="paragraph" w:customStyle="1" w:styleId="Repdate">
    <w:name w:val="Rep_date"/>
    <w:basedOn w:val="Recdate"/>
    <w:next w:val="Normalaftertitle"/>
  </w:style>
  <w:style w:type="paragraph" w:customStyle="1" w:styleId="RepNo">
    <w:name w:val="Rep_No"/>
    <w:basedOn w:val="RecNo"/>
    <w:next w:val="Reptitle"/>
  </w:style>
  <w:style w:type="paragraph" w:customStyle="1" w:styleId="RepNoBR">
    <w:name w:val="Rep_No_BR"/>
    <w:basedOn w:val="RecNoBR"/>
    <w:next w:val="Reptitle"/>
  </w:style>
  <w:style w:type="paragraph" w:customStyle="1" w:styleId="Repref">
    <w:name w:val="Rep_ref"/>
    <w:basedOn w:val="Recref"/>
    <w:next w:val="Repdate"/>
  </w:style>
  <w:style w:type="paragraph" w:customStyle="1" w:styleId="Reptitle">
    <w:name w:val="Rep_title"/>
    <w:basedOn w:val="Rectitle"/>
    <w:next w:val="Repref"/>
  </w:style>
  <w:style w:type="paragraph" w:customStyle="1" w:styleId="Resdate">
    <w:name w:val="Res_date"/>
    <w:basedOn w:val="Recdate"/>
    <w:next w:val="Normalaftertitle"/>
  </w:style>
  <w:style w:type="character" w:customStyle="1" w:styleId="Resdef">
    <w:name w:val="Res_def"/>
    <w:basedOn w:val="DefaultParagraphFont"/>
    <w:rPr>
      <w:rFonts w:ascii="Times New Roman" w:hAnsi="Times New Roman"/>
      <w:b/>
    </w:rPr>
  </w:style>
  <w:style w:type="paragraph" w:customStyle="1" w:styleId="ResNo">
    <w:name w:val="Res_No"/>
    <w:basedOn w:val="RecNo"/>
    <w:next w:val="Restitle"/>
  </w:style>
  <w:style w:type="paragraph" w:customStyle="1" w:styleId="ResNoBR">
    <w:name w:val="Res_No_BR"/>
    <w:basedOn w:val="RecNoBR"/>
    <w:next w:val="Restitle"/>
  </w:style>
  <w:style w:type="paragraph" w:customStyle="1" w:styleId="Resref">
    <w:name w:val="Res_ref"/>
    <w:basedOn w:val="Recref"/>
    <w:next w:val="Resdate"/>
  </w:style>
  <w:style w:type="paragraph" w:customStyle="1" w:styleId="Restitle">
    <w:name w:val="Res_title"/>
    <w:basedOn w:val="Rectitle"/>
    <w:next w:val="Resref"/>
  </w:style>
  <w:style w:type="paragraph" w:customStyle="1" w:styleId="Section1">
    <w:name w:val="Section_1"/>
    <w:basedOn w:val="Normal"/>
    <w:next w:val="Normal"/>
    <w:pPr>
      <w:tabs>
        <w:tab w:val="clear" w:pos="794"/>
        <w:tab w:val="clear" w:pos="1191"/>
        <w:tab w:val="clear" w:pos="1588"/>
        <w:tab w:val="clear" w:pos="1985"/>
      </w:tabs>
      <w:spacing w:before="624"/>
      <w:jc w:val="center"/>
    </w:pPr>
    <w:rPr>
      <w:b/>
    </w:rPr>
  </w:style>
  <w:style w:type="paragraph" w:customStyle="1" w:styleId="Section2">
    <w:name w:val="Section_2"/>
    <w:basedOn w:val="Normal"/>
    <w:next w:val="Normal"/>
    <w:pPr>
      <w:tabs>
        <w:tab w:val="clear" w:pos="794"/>
        <w:tab w:val="clear" w:pos="1191"/>
        <w:tab w:val="clear" w:pos="1588"/>
        <w:tab w:val="clear" w:pos="1985"/>
      </w:tabs>
      <w:spacing w:before="240"/>
      <w:jc w:val="center"/>
    </w:pPr>
    <w:rPr>
      <w:i/>
    </w:rPr>
  </w:style>
  <w:style w:type="paragraph" w:customStyle="1" w:styleId="SectionNo">
    <w:name w:val="Section_No"/>
    <w:basedOn w:val="Normal"/>
    <w:next w:val="Sectiontitle"/>
    <w:pPr>
      <w:keepNext/>
      <w:keepLines/>
      <w:spacing w:before="480" w:after="80"/>
      <w:jc w:val="center"/>
    </w:pPr>
    <w:rPr>
      <w:caps/>
      <w:sz w:val="28"/>
    </w:rPr>
  </w:style>
  <w:style w:type="paragraph" w:customStyle="1" w:styleId="Sectiontitle">
    <w:name w:val="Section_title"/>
    <w:basedOn w:val="Normal"/>
    <w:next w:val="Normalaftertitle"/>
    <w:pPr>
      <w:keepNext/>
      <w:keepLines/>
      <w:spacing w:before="480" w:after="280"/>
      <w:jc w:val="center"/>
    </w:pPr>
    <w:rPr>
      <w:b/>
      <w:sz w:val="28"/>
    </w:rPr>
  </w:style>
  <w:style w:type="paragraph" w:customStyle="1" w:styleId="Source">
    <w:name w:val="Source"/>
    <w:basedOn w:val="Normal"/>
    <w:next w:val="Normalaftertitle"/>
    <w:pPr>
      <w:spacing w:before="840" w:after="200"/>
      <w:jc w:val="center"/>
    </w:pPr>
    <w:rPr>
      <w:b/>
      <w:sz w:val="28"/>
    </w:rPr>
  </w:style>
  <w:style w:type="paragraph" w:customStyle="1" w:styleId="SpecialFooter">
    <w:name w:val="Special Footer"/>
    <w:basedOn w:val="Footer"/>
    <w:pPr>
      <w:tabs>
        <w:tab w:val="left" w:pos="567"/>
        <w:tab w:val="left" w:pos="1134"/>
        <w:tab w:val="left" w:pos="1701"/>
        <w:tab w:val="left" w:pos="2268"/>
        <w:tab w:val="left" w:pos="2835"/>
      </w:tabs>
      <w:jc w:val="both"/>
    </w:pPr>
    <w:rPr>
      <w:caps w:val="0"/>
      <w:noProof w:val="0"/>
    </w:rPr>
  </w:style>
  <w:style w:type="character" w:customStyle="1" w:styleId="Tablefreq">
    <w:name w:val="Table_freq"/>
    <w:basedOn w:val="DefaultParagraphFont"/>
    <w:rPr>
      <w:b/>
      <w:color w:val="auto"/>
    </w:rPr>
  </w:style>
  <w:style w:type="paragraph" w:customStyle="1" w:styleId="Tablehead">
    <w:name w:val="Table_head"/>
    <w:basedOn w:val="Normal"/>
    <w:next w:val="Tabletext"/>
    <w:pPr>
      <w:keepNext/>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80" w:after="80"/>
      <w:jc w:val="center"/>
    </w:pPr>
    <w:rPr>
      <w:b/>
    </w:rPr>
  </w:style>
  <w:style w:type="paragraph" w:customStyle="1" w:styleId="Tablelegend">
    <w:name w:val="Table_legend"/>
    <w:basedOn w:val="Normal"/>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after="40"/>
    </w:pPr>
  </w:style>
  <w:style w:type="paragraph" w:customStyle="1" w:styleId="TableNotitle">
    <w:name w:val="Table_No &amp; title"/>
    <w:basedOn w:val="Normal"/>
    <w:next w:val="Tablehead"/>
    <w:pPr>
      <w:keepNext/>
      <w:keepLines/>
      <w:spacing w:before="360" w:after="120"/>
      <w:jc w:val="center"/>
    </w:pPr>
    <w:rPr>
      <w:b/>
    </w:rPr>
  </w:style>
  <w:style w:type="paragraph" w:customStyle="1" w:styleId="TableNoBR">
    <w:name w:val="Table_No_BR"/>
    <w:basedOn w:val="Normal"/>
    <w:next w:val="TabletitleBR"/>
    <w:pPr>
      <w:keepNext/>
      <w:spacing w:before="560" w:after="120"/>
      <w:jc w:val="center"/>
    </w:pPr>
    <w:rPr>
      <w:caps/>
    </w:rPr>
  </w:style>
  <w:style w:type="paragraph" w:customStyle="1" w:styleId="Tableref">
    <w:name w:val="Table_ref"/>
    <w:basedOn w:val="Normal"/>
    <w:next w:val="TabletitleBR"/>
    <w:pPr>
      <w:keepNext/>
      <w:spacing w:before="0" w:after="120"/>
      <w:jc w:val="center"/>
    </w:pPr>
  </w:style>
  <w:style w:type="paragraph" w:customStyle="1" w:styleId="Tabletext">
    <w:name w:val="Table_text"/>
    <w:basedOn w:val="Normal"/>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pPr>
  </w:style>
  <w:style w:type="paragraph" w:customStyle="1" w:styleId="TabletitleBR">
    <w:name w:val="Table_title_BR"/>
    <w:basedOn w:val="Normal"/>
    <w:next w:val="Tablehead"/>
    <w:pPr>
      <w:keepNext/>
      <w:keepLines/>
      <w:spacing w:before="0" w:after="120"/>
      <w:jc w:val="center"/>
    </w:pPr>
    <w:rPr>
      <w:b/>
    </w:rPr>
  </w:style>
  <w:style w:type="paragraph" w:customStyle="1" w:styleId="Title1">
    <w:name w:val="Title 1"/>
    <w:basedOn w:val="Source"/>
    <w:next w:val="Title2"/>
    <w:pPr>
      <w:tabs>
        <w:tab w:val="clear" w:pos="794"/>
        <w:tab w:val="clear" w:pos="1191"/>
        <w:tab w:val="clear" w:pos="1588"/>
        <w:tab w:val="clear" w:pos="1985"/>
        <w:tab w:val="left" w:pos="567"/>
        <w:tab w:val="left" w:pos="1134"/>
        <w:tab w:val="left" w:pos="1701"/>
        <w:tab w:val="left" w:pos="2268"/>
        <w:tab w:val="left" w:pos="2835"/>
      </w:tabs>
      <w:spacing w:before="240" w:after="0"/>
    </w:pPr>
    <w:rPr>
      <w:b w:val="0"/>
      <w:caps/>
    </w:rPr>
  </w:style>
  <w:style w:type="paragraph" w:customStyle="1" w:styleId="Title2">
    <w:name w:val="Title 2"/>
    <w:basedOn w:val="Title1"/>
    <w:next w:val="Title3"/>
  </w:style>
  <w:style w:type="paragraph" w:customStyle="1" w:styleId="Title3">
    <w:name w:val="Title 3"/>
    <w:basedOn w:val="Title2"/>
    <w:next w:val="Title4"/>
    <w:rPr>
      <w:caps w:val="0"/>
    </w:rPr>
  </w:style>
  <w:style w:type="paragraph" w:customStyle="1" w:styleId="Title4">
    <w:name w:val="Title 4"/>
    <w:basedOn w:val="Title3"/>
    <w:next w:val="Heading1"/>
    <w:rPr>
      <w:b/>
    </w:rPr>
  </w:style>
  <w:style w:type="paragraph" w:customStyle="1" w:styleId="toc0">
    <w:name w:val="toc 0"/>
    <w:basedOn w:val="Normal"/>
    <w:next w:val="TOC1"/>
    <w:pPr>
      <w:tabs>
        <w:tab w:val="clear" w:pos="794"/>
        <w:tab w:val="clear" w:pos="1191"/>
        <w:tab w:val="clear" w:pos="1588"/>
        <w:tab w:val="clear" w:pos="1985"/>
        <w:tab w:val="right" w:pos="9639"/>
      </w:tabs>
    </w:pPr>
    <w:rPr>
      <w:b/>
    </w:rPr>
  </w:style>
  <w:style w:type="paragraph" w:styleId="TOC1">
    <w:name w:val="toc 1"/>
    <w:basedOn w:val="Normal"/>
    <w:pPr>
      <w:keepLines/>
      <w:tabs>
        <w:tab w:val="clear" w:pos="794"/>
        <w:tab w:val="clear" w:pos="1191"/>
        <w:tab w:val="clear" w:pos="1588"/>
        <w:tab w:val="clear" w:pos="1985"/>
        <w:tab w:val="left" w:pos="964"/>
        <w:tab w:val="left" w:leader="dot" w:pos="8789"/>
        <w:tab w:val="right" w:pos="9639"/>
      </w:tabs>
      <w:spacing w:before="240"/>
      <w:ind w:left="680" w:right="851" w:hanging="680"/>
    </w:pPr>
  </w:style>
  <w:style w:type="paragraph" w:styleId="TOC2">
    <w:name w:val="toc 2"/>
    <w:basedOn w:val="TOC1"/>
    <w:pPr>
      <w:spacing w:before="80"/>
      <w:ind w:left="1531" w:hanging="851"/>
    </w:pPr>
  </w:style>
  <w:style w:type="paragraph" w:styleId="TOC3">
    <w:name w:val="toc 3"/>
    <w:basedOn w:val="TOC2"/>
  </w:style>
  <w:style w:type="paragraph" w:styleId="TOC4">
    <w:name w:val="toc 4"/>
    <w:basedOn w:val="TOC3"/>
  </w:style>
  <w:style w:type="paragraph" w:styleId="TOC5">
    <w:name w:val="toc 5"/>
    <w:basedOn w:val="TOC4"/>
  </w:style>
  <w:style w:type="paragraph" w:styleId="TOC6">
    <w:name w:val="toc 6"/>
    <w:basedOn w:val="TOC4"/>
  </w:style>
  <w:style w:type="paragraph" w:styleId="TOC7">
    <w:name w:val="toc 7"/>
    <w:basedOn w:val="TOC4"/>
  </w:style>
  <w:style w:type="paragraph" w:styleId="TOC8">
    <w:name w:val="toc 8"/>
    <w:basedOn w:val="TOC4"/>
  </w:style>
  <w:style w:type="paragraph" w:customStyle="1" w:styleId="FiguretitleBR">
    <w:name w:val="Figure_title_BR"/>
    <w:basedOn w:val="TabletitleBR"/>
    <w:next w:val="Figurewithouttitle"/>
    <w:pPr>
      <w:keepNext w:val="0"/>
      <w:spacing w:after="480"/>
    </w:pPr>
  </w:style>
  <w:style w:type="paragraph" w:customStyle="1" w:styleId="FigureNoBR">
    <w:name w:val="Figure_No_BR"/>
    <w:basedOn w:val="Normal"/>
    <w:next w:val="FiguretitleBR"/>
    <w:pPr>
      <w:keepNext/>
      <w:keepLines/>
      <w:spacing w:before="480" w:after="120"/>
      <w:jc w:val="center"/>
    </w:pPr>
    <w:rPr>
      <w:caps/>
    </w:rPr>
  </w:style>
  <w:style w:type="paragraph" w:styleId="ListParagraph">
    <w:name w:val="List Paragraph"/>
    <w:basedOn w:val="Normal"/>
    <w:uiPriority w:val="34"/>
    <w:qFormat/>
    <w:rsid w:val="009554F1"/>
    <w:pPr>
      <w:tabs>
        <w:tab w:val="clear" w:pos="794"/>
        <w:tab w:val="clear" w:pos="1191"/>
        <w:tab w:val="clear" w:pos="1588"/>
        <w:tab w:val="clear" w:pos="1985"/>
      </w:tabs>
      <w:overflowPunct/>
      <w:autoSpaceDE/>
      <w:autoSpaceDN/>
      <w:adjustRightInd/>
      <w:spacing w:before="0" w:after="200" w:line="276" w:lineRule="auto"/>
      <w:ind w:left="720"/>
      <w:contextualSpacing/>
      <w:textAlignment w:val="auto"/>
    </w:pPr>
    <w:rPr>
      <w:rFonts w:asciiTheme="minorHAnsi" w:eastAsiaTheme="minorEastAsia" w:hAnsiTheme="minorHAnsi" w:cstheme="minorBidi"/>
      <w:szCs w:val="22"/>
      <w:lang w:val="en-US" w:eastAsia="zh-CN"/>
    </w:rPr>
  </w:style>
  <w:style w:type="paragraph" w:styleId="NormalWeb">
    <w:name w:val="Normal (Web)"/>
    <w:basedOn w:val="Normal"/>
    <w:uiPriority w:val="99"/>
    <w:unhideWhenUsed/>
    <w:rsid w:val="009554F1"/>
    <w:pPr>
      <w:tabs>
        <w:tab w:val="clear" w:pos="794"/>
        <w:tab w:val="clear" w:pos="1191"/>
        <w:tab w:val="clear" w:pos="1588"/>
        <w:tab w:val="clear" w:pos="1985"/>
      </w:tabs>
      <w:overflowPunct/>
      <w:autoSpaceDE/>
      <w:autoSpaceDN/>
      <w:adjustRightInd/>
      <w:spacing w:before="100" w:beforeAutospacing="1" w:after="100" w:afterAutospacing="1"/>
      <w:textAlignment w:val="auto"/>
    </w:pPr>
    <w:rPr>
      <w:szCs w:val="24"/>
      <w:lang w:val="en-US" w:eastAsia="zh-CN"/>
    </w:rPr>
  </w:style>
  <w:style w:type="character" w:customStyle="1" w:styleId="apple-converted-space">
    <w:name w:val="apple-converted-space"/>
    <w:basedOn w:val="DefaultParagraphFont"/>
    <w:rsid w:val="009554F1"/>
  </w:style>
  <w:style w:type="character" w:styleId="Hyperlink">
    <w:name w:val="Hyperlink"/>
    <w:basedOn w:val="DefaultParagraphFont"/>
    <w:unhideWhenUsed/>
    <w:rsid w:val="009554F1"/>
    <w:rPr>
      <w:color w:val="0000FF"/>
      <w:u w:val="single"/>
    </w:rPr>
  </w:style>
  <w:style w:type="character" w:customStyle="1" w:styleId="Heading1Char">
    <w:name w:val="Heading 1 Char"/>
    <w:basedOn w:val="DefaultParagraphFont"/>
    <w:link w:val="Heading1"/>
    <w:rsid w:val="009554F1"/>
    <w:rPr>
      <w:rFonts w:ascii="Times New Roman" w:hAnsi="Times New Roman"/>
      <w:b/>
      <w:sz w:val="24"/>
      <w:lang w:val="es-ES_tradnl" w:eastAsia="en-US"/>
    </w:rPr>
  </w:style>
  <w:style w:type="paragraph" w:customStyle="1" w:styleId="Normalaftertitle0">
    <w:name w:val="Normal after title"/>
    <w:basedOn w:val="Normal"/>
    <w:next w:val="Normal"/>
    <w:rsid w:val="009554F1"/>
    <w:pPr>
      <w:tabs>
        <w:tab w:val="clear" w:pos="794"/>
        <w:tab w:val="clear" w:pos="1191"/>
        <w:tab w:val="clear" w:pos="1588"/>
        <w:tab w:val="clear" w:pos="1985"/>
        <w:tab w:val="left" w:pos="567"/>
        <w:tab w:val="left" w:pos="1134"/>
        <w:tab w:val="left" w:pos="1701"/>
        <w:tab w:val="left" w:pos="2268"/>
        <w:tab w:val="left" w:pos="2835"/>
      </w:tabs>
      <w:spacing w:before="240"/>
    </w:pPr>
    <w:rPr>
      <w:lang w:val="en-GB"/>
    </w:rPr>
  </w:style>
  <w:style w:type="paragraph" w:styleId="Date">
    <w:name w:val="Date"/>
    <w:basedOn w:val="Normal"/>
    <w:next w:val="Normal"/>
    <w:link w:val="DateChar"/>
    <w:uiPriority w:val="99"/>
    <w:unhideWhenUsed/>
    <w:rsid w:val="009554F1"/>
    <w:pPr>
      <w:tabs>
        <w:tab w:val="clear" w:pos="794"/>
        <w:tab w:val="clear" w:pos="1191"/>
        <w:tab w:val="clear" w:pos="1588"/>
        <w:tab w:val="clear" w:pos="1985"/>
      </w:tabs>
      <w:overflowPunct/>
      <w:autoSpaceDE/>
      <w:autoSpaceDN/>
      <w:adjustRightInd/>
      <w:spacing w:before="0" w:after="200" w:line="276" w:lineRule="auto"/>
      <w:textAlignment w:val="auto"/>
    </w:pPr>
    <w:rPr>
      <w:rFonts w:asciiTheme="minorHAnsi" w:eastAsiaTheme="minorEastAsia" w:hAnsiTheme="minorHAnsi" w:cstheme="minorBidi"/>
      <w:szCs w:val="22"/>
      <w:lang w:val="en-US" w:eastAsia="zh-CN"/>
    </w:rPr>
  </w:style>
  <w:style w:type="character" w:customStyle="1" w:styleId="DateChar">
    <w:name w:val="Date Char"/>
    <w:basedOn w:val="DefaultParagraphFont"/>
    <w:link w:val="Date"/>
    <w:uiPriority w:val="99"/>
    <w:rsid w:val="009554F1"/>
    <w:rPr>
      <w:rFonts w:asciiTheme="minorHAnsi" w:eastAsiaTheme="minorEastAsia" w:hAnsiTheme="minorHAnsi" w:cstheme="minorBidi"/>
      <w:sz w:val="22"/>
      <w:szCs w:val="22"/>
    </w:rPr>
  </w:style>
  <w:style w:type="character" w:customStyle="1" w:styleId="HeaderChar">
    <w:name w:val="Header Char"/>
    <w:basedOn w:val="DefaultParagraphFont"/>
    <w:link w:val="Header"/>
    <w:uiPriority w:val="99"/>
    <w:rsid w:val="009554F1"/>
    <w:rPr>
      <w:rFonts w:ascii="Times New Roman" w:hAnsi="Times New Roman"/>
      <w:sz w:val="18"/>
      <w:lang w:val="es-ES_tradnl" w:eastAsia="en-US"/>
    </w:rPr>
  </w:style>
  <w:style w:type="character" w:customStyle="1" w:styleId="FooterChar">
    <w:name w:val="Footer Char"/>
    <w:basedOn w:val="DefaultParagraphFont"/>
    <w:link w:val="Footer"/>
    <w:uiPriority w:val="99"/>
    <w:rsid w:val="009554F1"/>
    <w:rPr>
      <w:rFonts w:ascii="Times New Roman" w:hAnsi="Times New Roman"/>
      <w:caps/>
      <w:noProof/>
      <w:sz w:val="16"/>
      <w:lang w:val="es-ES_tradnl" w:eastAsia="en-US"/>
    </w:rPr>
  </w:style>
  <w:style w:type="paragraph" w:styleId="BalloonText">
    <w:name w:val="Balloon Text"/>
    <w:basedOn w:val="Normal"/>
    <w:link w:val="BalloonTextChar"/>
    <w:uiPriority w:val="99"/>
    <w:unhideWhenUsed/>
    <w:rsid w:val="009554F1"/>
    <w:pPr>
      <w:tabs>
        <w:tab w:val="clear" w:pos="794"/>
        <w:tab w:val="clear" w:pos="1191"/>
        <w:tab w:val="clear" w:pos="1588"/>
        <w:tab w:val="clear" w:pos="1985"/>
      </w:tabs>
      <w:overflowPunct/>
      <w:autoSpaceDE/>
      <w:autoSpaceDN/>
      <w:adjustRightInd/>
      <w:spacing w:before="0"/>
      <w:textAlignment w:val="auto"/>
    </w:pPr>
    <w:rPr>
      <w:rFonts w:ascii="Tahoma" w:eastAsiaTheme="minorEastAsia" w:hAnsi="Tahoma" w:cs="Tahoma"/>
      <w:sz w:val="16"/>
      <w:szCs w:val="16"/>
      <w:lang w:val="en-US" w:eastAsia="zh-CN"/>
    </w:rPr>
  </w:style>
  <w:style w:type="character" w:customStyle="1" w:styleId="BalloonTextChar">
    <w:name w:val="Balloon Text Char"/>
    <w:basedOn w:val="DefaultParagraphFont"/>
    <w:link w:val="BalloonText"/>
    <w:uiPriority w:val="99"/>
    <w:rsid w:val="009554F1"/>
    <w:rPr>
      <w:rFonts w:ascii="Tahoma" w:eastAsiaTheme="minorEastAsia" w:hAnsi="Tahoma" w:cs="Tahoma"/>
      <w:sz w:val="16"/>
      <w:szCs w:val="16"/>
    </w:rPr>
  </w:style>
  <w:style w:type="character" w:styleId="CommentReference">
    <w:name w:val="annotation reference"/>
    <w:basedOn w:val="DefaultParagraphFont"/>
    <w:uiPriority w:val="99"/>
    <w:unhideWhenUsed/>
    <w:rsid w:val="009554F1"/>
    <w:rPr>
      <w:sz w:val="16"/>
      <w:szCs w:val="16"/>
    </w:rPr>
  </w:style>
  <w:style w:type="paragraph" w:styleId="CommentText">
    <w:name w:val="annotation text"/>
    <w:basedOn w:val="Normal"/>
    <w:link w:val="CommentTextChar"/>
    <w:uiPriority w:val="99"/>
    <w:unhideWhenUsed/>
    <w:rsid w:val="009554F1"/>
    <w:pPr>
      <w:tabs>
        <w:tab w:val="clear" w:pos="794"/>
        <w:tab w:val="clear" w:pos="1191"/>
        <w:tab w:val="clear" w:pos="1588"/>
        <w:tab w:val="clear" w:pos="1985"/>
      </w:tabs>
      <w:overflowPunct/>
      <w:autoSpaceDE/>
      <w:autoSpaceDN/>
      <w:adjustRightInd/>
      <w:spacing w:before="0" w:after="200"/>
      <w:textAlignment w:val="auto"/>
    </w:pPr>
    <w:rPr>
      <w:rFonts w:asciiTheme="minorHAnsi" w:eastAsiaTheme="minorEastAsia" w:hAnsiTheme="minorHAnsi" w:cstheme="minorBidi"/>
      <w:sz w:val="20"/>
      <w:lang w:val="en-US" w:eastAsia="zh-CN"/>
    </w:rPr>
  </w:style>
  <w:style w:type="character" w:customStyle="1" w:styleId="CommentTextChar">
    <w:name w:val="Comment Text Char"/>
    <w:basedOn w:val="DefaultParagraphFont"/>
    <w:link w:val="CommentText"/>
    <w:uiPriority w:val="99"/>
    <w:rsid w:val="009554F1"/>
    <w:rPr>
      <w:rFonts w:asciiTheme="minorHAnsi" w:eastAsiaTheme="minorEastAsia" w:hAnsiTheme="minorHAnsi" w:cstheme="minorBidi"/>
    </w:rPr>
  </w:style>
  <w:style w:type="paragraph" w:styleId="CommentSubject">
    <w:name w:val="annotation subject"/>
    <w:basedOn w:val="CommentText"/>
    <w:next w:val="CommentText"/>
    <w:link w:val="CommentSubjectChar"/>
    <w:uiPriority w:val="99"/>
    <w:unhideWhenUsed/>
    <w:rsid w:val="009554F1"/>
    <w:rPr>
      <w:b/>
      <w:bCs/>
    </w:rPr>
  </w:style>
  <w:style w:type="character" w:customStyle="1" w:styleId="CommentSubjectChar">
    <w:name w:val="Comment Subject Char"/>
    <w:basedOn w:val="CommentTextChar"/>
    <w:link w:val="CommentSubject"/>
    <w:uiPriority w:val="99"/>
    <w:rsid w:val="009554F1"/>
    <w:rPr>
      <w:rFonts w:asciiTheme="minorHAnsi" w:eastAsiaTheme="minorEastAsia" w:hAnsiTheme="minorHAnsi" w:cstheme="minorBidi"/>
      <w:b/>
      <w:bCs/>
    </w:rPr>
  </w:style>
  <w:style w:type="character" w:customStyle="1" w:styleId="FootnoteTextChar">
    <w:name w:val="Footnote Text Char"/>
    <w:basedOn w:val="DefaultParagraphFont"/>
    <w:link w:val="FootnoteText"/>
    <w:uiPriority w:val="99"/>
    <w:rsid w:val="00F50649"/>
    <w:rPr>
      <w:rFonts w:asciiTheme="minorHAnsi" w:hAnsiTheme="minorHAnsi"/>
      <w:lang w:val="es-ES_tradnl" w:eastAsia="en-US"/>
    </w:rPr>
  </w:style>
  <w:style w:type="paragraph" w:customStyle="1" w:styleId="Default">
    <w:name w:val="Default"/>
    <w:uiPriority w:val="99"/>
    <w:rsid w:val="009554F1"/>
    <w:pPr>
      <w:autoSpaceDE w:val="0"/>
      <w:autoSpaceDN w:val="0"/>
      <w:adjustRightInd w:val="0"/>
    </w:pPr>
    <w:rPr>
      <w:rFonts w:ascii="Verdana" w:hAnsi="Verdana"/>
      <w:color w:val="000000"/>
      <w:sz w:val="24"/>
      <w:szCs w:val="24"/>
      <w:lang w:eastAsia="en-US"/>
    </w:rPr>
  </w:style>
  <w:style w:type="character" w:styleId="Emphasis">
    <w:name w:val="Emphasis"/>
    <w:basedOn w:val="DefaultParagraphFont"/>
    <w:qFormat/>
    <w:rsid w:val="009554F1"/>
    <w:rPr>
      <w:i/>
      <w:iCs/>
    </w:rPr>
  </w:style>
  <w:style w:type="paragraph" w:customStyle="1" w:styleId="a">
    <w:name w:val="Абзац списка"/>
    <w:basedOn w:val="Normal"/>
    <w:uiPriority w:val="34"/>
    <w:qFormat/>
    <w:rsid w:val="009554F1"/>
    <w:pPr>
      <w:tabs>
        <w:tab w:val="clear" w:pos="794"/>
        <w:tab w:val="clear" w:pos="1191"/>
        <w:tab w:val="clear" w:pos="1588"/>
        <w:tab w:val="clear" w:pos="1985"/>
      </w:tabs>
      <w:overflowPunct/>
      <w:autoSpaceDE/>
      <w:autoSpaceDN/>
      <w:adjustRightInd/>
      <w:spacing w:before="0" w:after="200" w:line="276" w:lineRule="auto"/>
      <w:ind w:left="720"/>
      <w:contextualSpacing/>
      <w:textAlignment w:val="auto"/>
    </w:pPr>
    <w:rPr>
      <w:rFonts w:eastAsia="SimSun" w:cs="Arial"/>
      <w:szCs w:val="22"/>
      <w:lang w:val="en-US" w:eastAsia="zh-CN"/>
    </w:rPr>
  </w:style>
  <w:style w:type="table" w:styleId="TableGrid">
    <w:name w:val="Table Grid"/>
    <w:basedOn w:val="TableNormal"/>
    <w:rsid w:val="009554F1"/>
    <w:rPr>
      <w:rFonts w:asciiTheme="minorHAnsi" w:eastAsiaTheme="minorEastAsia"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Revision">
    <w:name w:val="Revision"/>
    <w:hidden/>
    <w:uiPriority w:val="99"/>
    <w:semiHidden/>
    <w:rsid w:val="009554F1"/>
    <w:rPr>
      <w:rFonts w:asciiTheme="minorHAnsi" w:eastAsiaTheme="minorEastAsia" w:hAnsiTheme="minorHAnsi" w:cstheme="minorBidi"/>
      <w:sz w:val="22"/>
      <w:szCs w:val="22"/>
    </w:rPr>
  </w:style>
  <w:style w:type="character" w:styleId="FollowedHyperlink">
    <w:name w:val="FollowedHyperlink"/>
    <w:basedOn w:val="DefaultParagraphFont"/>
    <w:uiPriority w:val="99"/>
    <w:unhideWhenUsed/>
    <w:rsid w:val="009554F1"/>
    <w:rPr>
      <w:color w:val="800080" w:themeColor="followedHyperlink"/>
      <w:u w:val="single"/>
    </w:rPr>
  </w:style>
  <w:style w:type="character" w:customStyle="1" w:styleId="Heading3Char">
    <w:name w:val="Heading 3 Char"/>
    <w:basedOn w:val="DefaultParagraphFont"/>
    <w:link w:val="Heading3"/>
    <w:rsid w:val="009554F1"/>
    <w:rPr>
      <w:rFonts w:ascii="Times New Roman" w:hAnsi="Times New Roman"/>
      <w:b/>
      <w:sz w:val="24"/>
      <w:lang w:val="es-ES_tradnl" w:eastAsia="en-US"/>
    </w:rPr>
  </w:style>
  <w:style w:type="paragraph" w:styleId="EndnoteText">
    <w:name w:val="endnote text"/>
    <w:basedOn w:val="Normal"/>
    <w:link w:val="EndnoteTextChar"/>
    <w:uiPriority w:val="99"/>
    <w:unhideWhenUsed/>
    <w:rsid w:val="009554F1"/>
    <w:pPr>
      <w:tabs>
        <w:tab w:val="clear" w:pos="794"/>
        <w:tab w:val="clear" w:pos="1191"/>
        <w:tab w:val="clear" w:pos="1588"/>
        <w:tab w:val="clear" w:pos="1985"/>
      </w:tabs>
      <w:overflowPunct/>
      <w:autoSpaceDE/>
      <w:autoSpaceDN/>
      <w:adjustRightInd/>
      <w:spacing w:before="0"/>
      <w:textAlignment w:val="auto"/>
    </w:pPr>
    <w:rPr>
      <w:rFonts w:asciiTheme="minorHAnsi" w:eastAsiaTheme="minorEastAsia" w:hAnsiTheme="minorHAnsi" w:cstheme="minorBidi"/>
      <w:sz w:val="20"/>
      <w:lang w:val="en-US" w:eastAsia="zh-CN"/>
    </w:rPr>
  </w:style>
  <w:style w:type="character" w:customStyle="1" w:styleId="EndnoteTextChar">
    <w:name w:val="Endnote Text Char"/>
    <w:basedOn w:val="DefaultParagraphFont"/>
    <w:link w:val="EndnoteText"/>
    <w:uiPriority w:val="99"/>
    <w:rsid w:val="009554F1"/>
    <w:rPr>
      <w:rFonts w:asciiTheme="minorHAnsi" w:eastAsiaTheme="minorEastAsia" w:hAnsiTheme="minorHAnsi" w:cstheme="minorBidi"/>
    </w:rPr>
  </w:style>
  <w:style w:type="paragraph" w:customStyle="1" w:styleId="HPMbodytext">
    <w:name w:val="HPMbodytext"/>
    <w:basedOn w:val="Normal"/>
    <w:rsid w:val="009554F1"/>
    <w:pPr>
      <w:tabs>
        <w:tab w:val="clear" w:pos="794"/>
        <w:tab w:val="clear" w:pos="1191"/>
        <w:tab w:val="clear" w:pos="1588"/>
        <w:tab w:val="clear" w:pos="1985"/>
      </w:tabs>
      <w:overflowPunct/>
      <w:autoSpaceDE/>
      <w:autoSpaceDN/>
      <w:adjustRightInd/>
      <w:spacing w:after="120"/>
      <w:textAlignment w:val="auto"/>
    </w:pPr>
    <w:rPr>
      <w:rFonts w:ascii="Arial" w:eastAsia="SimSun" w:hAnsi="Arial"/>
      <w:lang w:val="en-US" w:eastAsia="zh-CN"/>
    </w:rPr>
  </w:style>
  <w:style w:type="paragraph" w:styleId="PlainText">
    <w:name w:val="Plain Text"/>
    <w:basedOn w:val="Normal"/>
    <w:link w:val="PlainTextChar"/>
    <w:uiPriority w:val="99"/>
    <w:unhideWhenUsed/>
    <w:rsid w:val="009554F1"/>
    <w:pPr>
      <w:tabs>
        <w:tab w:val="clear" w:pos="794"/>
        <w:tab w:val="clear" w:pos="1191"/>
        <w:tab w:val="clear" w:pos="1588"/>
        <w:tab w:val="clear" w:pos="1985"/>
      </w:tabs>
      <w:overflowPunct/>
      <w:autoSpaceDE/>
      <w:autoSpaceDN/>
      <w:adjustRightInd/>
      <w:spacing w:before="0"/>
      <w:textAlignment w:val="auto"/>
    </w:pPr>
    <w:rPr>
      <w:rFonts w:ascii="Consolas" w:eastAsiaTheme="minorEastAsia" w:hAnsi="Consolas" w:cstheme="minorBidi"/>
      <w:sz w:val="21"/>
      <w:szCs w:val="21"/>
      <w:lang w:val="en-US" w:eastAsia="zh-CN"/>
    </w:rPr>
  </w:style>
  <w:style w:type="character" w:customStyle="1" w:styleId="PlainTextChar">
    <w:name w:val="Plain Text Char"/>
    <w:basedOn w:val="DefaultParagraphFont"/>
    <w:link w:val="PlainText"/>
    <w:uiPriority w:val="99"/>
    <w:rsid w:val="009554F1"/>
    <w:rPr>
      <w:rFonts w:ascii="Consolas" w:eastAsiaTheme="minorEastAsia" w:hAnsi="Consolas" w:cstheme="minorBidi"/>
      <w:sz w:val="21"/>
      <w:szCs w:val="21"/>
    </w:rPr>
  </w:style>
  <w:style w:type="character" w:styleId="HTMLCite">
    <w:name w:val="HTML Cite"/>
    <w:basedOn w:val="DefaultParagraphFont"/>
    <w:uiPriority w:val="99"/>
    <w:unhideWhenUsed/>
    <w:rsid w:val="009554F1"/>
    <w:rPr>
      <w:i w:val="0"/>
      <w:iCs w:val="0"/>
      <w:color w:val="009933"/>
    </w:rPr>
  </w:style>
  <w:style w:type="character" w:customStyle="1" w:styleId="longtext">
    <w:name w:val="long_text"/>
    <w:basedOn w:val="DefaultParagraphFont"/>
    <w:rsid w:val="009554F1"/>
  </w:style>
  <w:style w:type="character" w:customStyle="1" w:styleId="Heading2Char">
    <w:name w:val="Heading 2 Char"/>
    <w:basedOn w:val="DefaultParagraphFont"/>
    <w:link w:val="Heading2"/>
    <w:rsid w:val="00344D10"/>
    <w:rPr>
      <w:rFonts w:ascii="Times New Roman" w:hAnsi="Times New Roman"/>
      <w:b/>
      <w:sz w:val="24"/>
      <w:lang w:val="es-ES_tradnl" w:eastAsia="en-US"/>
    </w:rPr>
  </w:style>
  <w:style w:type="paragraph" w:customStyle="1" w:styleId="Reasons">
    <w:name w:val="Reasons"/>
    <w:basedOn w:val="Normal"/>
    <w:qFormat/>
    <w:rsid w:val="0065679A"/>
    <w:pPr>
      <w:tabs>
        <w:tab w:val="clear" w:pos="794"/>
        <w:tab w:val="clear" w:pos="1191"/>
        <w:tab w:val="clear" w:pos="1588"/>
        <w:tab w:val="clear" w:pos="1985"/>
      </w:tabs>
      <w:overflowPunct/>
      <w:autoSpaceDE/>
      <w:autoSpaceDN/>
      <w:adjustRightInd/>
      <w:spacing w:before="0"/>
      <w:textAlignment w:val="auto"/>
    </w:pPr>
    <w:rPr>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26" Type="http://schemas.openxmlformats.org/officeDocument/2006/relationships/hyperlink" Target="http://www.whitehouse.gov/sites/default/files/rss_viewer/international_strategy_for_cyberspace.pdf" TargetMode="External"/><Relationship Id="rId117" Type="http://schemas.openxmlformats.org/officeDocument/2006/relationships/hyperlink" Target="http://www.itu.int/md/S12-WTPF13PREP-C-0027/en" TargetMode="External"/><Relationship Id="rId21" Type="http://schemas.openxmlformats.org/officeDocument/2006/relationships/image" Target="media/image1.png"/><Relationship Id="rId42" Type="http://schemas.openxmlformats.org/officeDocument/2006/relationships/hyperlink" Target="http://www.itu.int/md/S12-WTPF13PREP-C-0015/en" TargetMode="External"/><Relationship Id="rId47" Type="http://schemas.openxmlformats.org/officeDocument/2006/relationships/hyperlink" Target="http://www.itu.int/md/S12-WTPF13PREP-C-0037/en" TargetMode="External"/><Relationship Id="rId63" Type="http://schemas.openxmlformats.org/officeDocument/2006/relationships/hyperlink" Target="http://www.itu.int/md/S12-WTPF13PREP-C-0019/en" TargetMode="External"/><Relationship Id="rId68" Type="http://schemas.openxmlformats.org/officeDocument/2006/relationships/hyperlink" Target="http://www.itu.int/md/S12-WTPF13PREP-C-0023/en" TargetMode="External"/><Relationship Id="rId84" Type="http://schemas.openxmlformats.org/officeDocument/2006/relationships/hyperlink" Target="http://www.itu.int/md/S12-WTPF13PREP-C-0024/en" TargetMode="External"/><Relationship Id="rId89" Type="http://schemas.openxmlformats.org/officeDocument/2006/relationships/hyperlink" Target="http://www.itu.int/md/S12-WTPF13PREP-C-0033/en" TargetMode="External"/><Relationship Id="rId112" Type="http://schemas.openxmlformats.org/officeDocument/2006/relationships/hyperlink" Target="http://www.itu.int/md/S12-WTPF13PREP-C-0023/en" TargetMode="External"/><Relationship Id="rId133" Type="http://schemas.openxmlformats.org/officeDocument/2006/relationships/theme" Target="theme/theme1.xml"/><Relationship Id="rId16" Type="http://schemas.openxmlformats.org/officeDocument/2006/relationships/hyperlink" Target="http://www.itu.int/md/S12-WTPF13PREP-C-0033/en" TargetMode="External"/><Relationship Id="rId107" Type="http://schemas.openxmlformats.org/officeDocument/2006/relationships/hyperlink" Target="http://www.itu.int/md/S12-WTPF13PREP-C-0024/en" TargetMode="External"/><Relationship Id="rId11" Type="http://schemas.openxmlformats.org/officeDocument/2006/relationships/hyperlink" Target="http://www.itu.int/wtpf" TargetMode="External"/><Relationship Id="rId32" Type="http://schemas.openxmlformats.org/officeDocument/2006/relationships/hyperlink" Target="http://www.itu.int/md/S12-WTPF13PREP-C-0013/en" TargetMode="External"/><Relationship Id="rId37" Type="http://schemas.openxmlformats.org/officeDocument/2006/relationships/hyperlink" Target="http://www.itu.int/md/S12-WTPF13PREP-C-0021/en" TargetMode="External"/><Relationship Id="rId53" Type="http://schemas.openxmlformats.org/officeDocument/2006/relationships/hyperlink" Target="http://www.itu.int/md/S12-WTPF13PREP-C-0017/en" TargetMode="External"/><Relationship Id="rId58" Type="http://schemas.openxmlformats.org/officeDocument/2006/relationships/hyperlink" Target="http://www.itu.int/md/S12-WTPF13PREP-C-0017/en" TargetMode="External"/><Relationship Id="rId74" Type="http://schemas.openxmlformats.org/officeDocument/2006/relationships/hyperlink" Target="http://www.itu.int/md/S12-WTPF13PREP-C-0015/en" TargetMode="External"/><Relationship Id="rId79" Type="http://schemas.openxmlformats.org/officeDocument/2006/relationships/hyperlink" Target="http://www.itu.int/md/S12-WTPF13PREP-C-0013/en" TargetMode="External"/><Relationship Id="rId102" Type="http://schemas.openxmlformats.org/officeDocument/2006/relationships/hyperlink" Target="http://www.itu.int/md/S12-WTPF13PREP-C-0017/en" TargetMode="External"/><Relationship Id="rId123" Type="http://schemas.openxmlformats.org/officeDocument/2006/relationships/hyperlink" Target="http://www.itu.int/md/S12-WTPF13PREP-C-0034/en" TargetMode="External"/><Relationship Id="rId128" Type="http://schemas.openxmlformats.org/officeDocument/2006/relationships/header" Target="header1.xml"/><Relationship Id="rId5" Type="http://schemas.openxmlformats.org/officeDocument/2006/relationships/settings" Target="settings.xml"/><Relationship Id="rId90" Type="http://schemas.openxmlformats.org/officeDocument/2006/relationships/hyperlink" Target="http://www.itu.int/md/S12-WTPF13PREP-C-0033/en" TargetMode="External"/><Relationship Id="rId95" Type="http://schemas.openxmlformats.org/officeDocument/2006/relationships/hyperlink" Target="http://www.itu.int/md/S12-WTPF13PREP-C-0024/en" TargetMode="External"/><Relationship Id="rId14" Type="http://schemas.openxmlformats.org/officeDocument/2006/relationships/hyperlink" Target="http://www.itu.int/md/S12-WTPF13PREP-C-0019/en" TargetMode="External"/><Relationship Id="rId22" Type="http://schemas.openxmlformats.org/officeDocument/2006/relationships/image" Target="media/image2.png"/><Relationship Id="rId27" Type="http://schemas.openxmlformats.org/officeDocument/2006/relationships/hyperlink" Target="http://cgi.br/" TargetMode="External"/><Relationship Id="rId30" Type="http://schemas.openxmlformats.org/officeDocument/2006/relationships/hyperlink" Target="http://www.itu.int/md/S12-WTPF13PREP-C-0009/en" TargetMode="External"/><Relationship Id="rId35" Type="http://schemas.openxmlformats.org/officeDocument/2006/relationships/hyperlink" Target="http://www.itu.int/md/S12-WTPF13PREP-C-0013/en" TargetMode="External"/><Relationship Id="rId43" Type="http://schemas.openxmlformats.org/officeDocument/2006/relationships/hyperlink" Target="http://www.itu.int/md/S12-WTPF13PREP-C-0039/en" TargetMode="External"/><Relationship Id="rId48" Type="http://schemas.openxmlformats.org/officeDocument/2006/relationships/hyperlink" Target="http://www.itu.int/md/S12-WTPF13PREP-C-0013/en" TargetMode="External"/><Relationship Id="rId56" Type="http://schemas.openxmlformats.org/officeDocument/2006/relationships/hyperlink" Target="http://www.itu.int/md/S12-WTPF13PREP-C-0014/en" TargetMode="External"/><Relationship Id="rId64" Type="http://schemas.openxmlformats.org/officeDocument/2006/relationships/hyperlink" Target="http://www.itu.int/md/S12-WTPF13PREP-C-0021/en" TargetMode="External"/><Relationship Id="rId69" Type="http://schemas.openxmlformats.org/officeDocument/2006/relationships/hyperlink" Target="http://www.itu.int/wsis/wgig/docs/wgig-background-report.pdf" TargetMode="External"/><Relationship Id="rId77" Type="http://schemas.openxmlformats.org/officeDocument/2006/relationships/hyperlink" Target="http://www.itu.int/md/S12-WTPF13PREP-C-0010/en" TargetMode="External"/><Relationship Id="rId100" Type="http://schemas.openxmlformats.org/officeDocument/2006/relationships/hyperlink" Target="http://www.itu.int/md/S12-WTPF13PREP-C-0033/en" TargetMode="External"/><Relationship Id="rId105" Type="http://schemas.openxmlformats.org/officeDocument/2006/relationships/hyperlink" Target="http://www.itu.int/md/S12-WTPF13PREP-C-0039/en" TargetMode="External"/><Relationship Id="rId113" Type="http://schemas.openxmlformats.org/officeDocument/2006/relationships/hyperlink" Target="http://www.itu.int/md/S12-WTPF13PREP-C-0023/en" TargetMode="External"/><Relationship Id="rId118" Type="http://schemas.openxmlformats.org/officeDocument/2006/relationships/hyperlink" Target="http://www.itu.int/md/S12-WTPF13PREP-C-0028/en" TargetMode="External"/><Relationship Id="rId126" Type="http://schemas.openxmlformats.org/officeDocument/2006/relationships/hyperlink" Target="http://www.itu.int/md/S12-WTPF13PREP-C-0036/en" TargetMode="External"/><Relationship Id="rId8" Type="http://schemas.openxmlformats.org/officeDocument/2006/relationships/endnotes" Target="endnotes.xml"/><Relationship Id="rId51" Type="http://schemas.openxmlformats.org/officeDocument/2006/relationships/hyperlink" Target="http://www.itu.int/md/S12-WTPF13PREP-C-0039/en" TargetMode="External"/><Relationship Id="rId72" Type="http://schemas.openxmlformats.org/officeDocument/2006/relationships/hyperlink" Target="http://www.itu.int/md/S12-WTPF13PREP-C-0014/en" TargetMode="External"/><Relationship Id="rId80" Type="http://schemas.openxmlformats.org/officeDocument/2006/relationships/hyperlink" Target="http://www.itu.int/md/S12-WTPF13PREP-C-0015/en" TargetMode="External"/><Relationship Id="rId85" Type="http://schemas.openxmlformats.org/officeDocument/2006/relationships/hyperlink" Target="http://www.itu.int/md/S12-WTPF13PREP-C-0033/en" TargetMode="External"/><Relationship Id="rId93" Type="http://schemas.openxmlformats.org/officeDocument/2006/relationships/hyperlink" Target="http://www.itu.int/md/S12-WTPF13PREP-C-0040/en" TargetMode="External"/><Relationship Id="rId98" Type="http://schemas.openxmlformats.org/officeDocument/2006/relationships/hyperlink" Target="http://www.itu.int/md/S12-WTPF13PREP-C-0013/en" TargetMode="External"/><Relationship Id="rId121" Type="http://schemas.openxmlformats.org/officeDocument/2006/relationships/hyperlink" Target="http://www.itu.int/md/S12-WTPF13PREP-C-0029/en" TargetMode="External"/><Relationship Id="rId3" Type="http://schemas.openxmlformats.org/officeDocument/2006/relationships/styles" Target="styles.xml"/><Relationship Id="rId12" Type="http://schemas.openxmlformats.org/officeDocument/2006/relationships/hyperlink" Target="http://www.itu.int/md/S12-WTPF13PREP-C-0018/en" TargetMode="External"/><Relationship Id="rId17" Type="http://schemas.openxmlformats.org/officeDocument/2006/relationships/hyperlink" Target="http://www.itu.int/md/S12-WTPF13PREP-C-0032/en" TargetMode="External"/><Relationship Id="rId25" Type="http://schemas.openxmlformats.org/officeDocument/2006/relationships/hyperlink" Target="http://www.itu.int/md/S12-WTPF13PREP-C-0033/en" TargetMode="External"/><Relationship Id="rId33" Type="http://schemas.openxmlformats.org/officeDocument/2006/relationships/hyperlink" Target="http://www.itu.int/md/S12-WTPF13PREP-C-0007/en" TargetMode="External"/><Relationship Id="rId38" Type="http://schemas.openxmlformats.org/officeDocument/2006/relationships/hyperlink" Target="http://www.itu.int/md/S12-WTPF13PREP-C-0013/en" TargetMode="External"/><Relationship Id="rId46" Type="http://schemas.openxmlformats.org/officeDocument/2006/relationships/hyperlink" Target="http://www.itu.int/md/S12-WTPF13PREP-C-0033/en" TargetMode="External"/><Relationship Id="rId59" Type="http://schemas.openxmlformats.org/officeDocument/2006/relationships/hyperlink" Target="http://www.itu.int/md/S12-WTPF13PREP-C-0024/en" TargetMode="External"/><Relationship Id="rId67" Type="http://schemas.openxmlformats.org/officeDocument/2006/relationships/hyperlink" Target="http://www.itu.int/md/S12-WTPF13PREP-C-0014/en" TargetMode="External"/><Relationship Id="rId103" Type="http://schemas.openxmlformats.org/officeDocument/2006/relationships/hyperlink" Target="http://www.itu.int/md/S12-WTPF13PREP-C-0021/en" TargetMode="External"/><Relationship Id="rId108" Type="http://schemas.openxmlformats.org/officeDocument/2006/relationships/hyperlink" Target="http://www.itu.int/md/S12-WTPF13PREP-C-0013/en" TargetMode="External"/><Relationship Id="rId116" Type="http://schemas.openxmlformats.org/officeDocument/2006/relationships/hyperlink" Target="http://www.itu.int/md/S12-WTPF13PREP-C-0027/en" TargetMode="External"/><Relationship Id="rId124" Type="http://schemas.openxmlformats.org/officeDocument/2006/relationships/hyperlink" Target="http://www.itu.int/md/S12-WTPF13PREP-C-0035/en" TargetMode="External"/><Relationship Id="rId129" Type="http://schemas.openxmlformats.org/officeDocument/2006/relationships/footer" Target="footer1.xml"/><Relationship Id="rId20" Type="http://schemas.openxmlformats.org/officeDocument/2006/relationships/hyperlink" Target="http://www.itu.int/md/S12-WTPF13PREP-C-0033/en" TargetMode="External"/><Relationship Id="rId41" Type="http://schemas.openxmlformats.org/officeDocument/2006/relationships/hyperlink" Target="http://www.itu.int/md/S12-WTPF13PREP-C-0014/en" TargetMode="External"/><Relationship Id="rId54" Type="http://schemas.openxmlformats.org/officeDocument/2006/relationships/hyperlink" Target="http://www.itu.int/md/S12-WTPF13PREP-C-0010/en" TargetMode="External"/><Relationship Id="rId62" Type="http://schemas.openxmlformats.org/officeDocument/2006/relationships/hyperlink" Target="http://www.itu.int/md/S12-WTPF13PREP-C-0012/en" TargetMode="External"/><Relationship Id="rId70" Type="http://schemas.openxmlformats.org/officeDocument/2006/relationships/hyperlink" Target="http://www.itu.int/md/S12-WTPF13PREP-C-0039/en" TargetMode="External"/><Relationship Id="rId75" Type="http://schemas.openxmlformats.org/officeDocument/2006/relationships/hyperlink" Target="http://www.itu.int/md/S12-WTPF13PREP-C-0013/en" TargetMode="External"/><Relationship Id="rId83" Type="http://schemas.openxmlformats.org/officeDocument/2006/relationships/hyperlink" Target="http://www.itu.int/md/S12-WTPF13PREP-C-0024/en" TargetMode="External"/><Relationship Id="rId88" Type="http://schemas.openxmlformats.org/officeDocument/2006/relationships/hyperlink" Target="http://www.itu.int/md/S12-WTPF13PREP-C-0024/en" TargetMode="External"/><Relationship Id="rId91" Type="http://schemas.openxmlformats.org/officeDocument/2006/relationships/hyperlink" Target="http://www.itu.int/md/S12-WTPF13PREP-C-0033/en" TargetMode="External"/><Relationship Id="rId96" Type="http://schemas.openxmlformats.org/officeDocument/2006/relationships/hyperlink" Target="http://www.itu.int/md/S12-WTPF13PREP-C-0039/en" TargetMode="External"/><Relationship Id="rId111" Type="http://schemas.openxmlformats.org/officeDocument/2006/relationships/hyperlink" Target="http://www.itu.int/md/S12-WTPF13PREP-C-0033/en" TargetMode="External"/><Relationship Id="rId132"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hyperlink" Target="http://www.itu.int/md/S12-WTPF13PREP-C-0033/en" TargetMode="External"/><Relationship Id="rId23" Type="http://schemas.openxmlformats.org/officeDocument/2006/relationships/hyperlink" Target="http://www.itu.int/ITU-D/ict/statistics/at_glance/KeyTelecom.html" TargetMode="External"/><Relationship Id="rId28" Type="http://schemas.openxmlformats.org/officeDocument/2006/relationships/hyperlink" Target="http://www.itu.int/md/S12-WTPF13PREP-C-0019/en" TargetMode="External"/><Relationship Id="rId36" Type="http://schemas.openxmlformats.org/officeDocument/2006/relationships/hyperlink" Target="file:///\\blue\dfs\pool\TRAD\S\SG\CONF-SG\WTPF13\hab&#237;a%20saudita%20y%20Sud&#225;n%20http:\www.itu.int\md\S12-WTPF13PREP-C-0017\en" TargetMode="External"/><Relationship Id="rId49" Type="http://schemas.openxmlformats.org/officeDocument/2006/relationships/hyperlink" Target="http://www.itu.int/md/S12-WTPF13PREP-C-0014/en" TargetMode="External"/><Relationship Id="rId57" Type="http://schemas.openxmlformats.org/officeDocument/2006/relationships/hyperlink" Target="http://www.itu.int/md/S12-WTPF13PREP-C-0013/en" TargetMode="External"/><Relationship Id="rId106" Type="http://schemas.openxmlformats.org/officeDocument/2006/relationships/hyperlink" Target="http://www.itu.int/md/S12-WTPF13PREP-C-0024/en" TargetMode="External"/><Relationship Id="rId114" Type="http://schemas.openxmlformats.org/officeDocument/2006/relationships/hyperlink" Target="http://www.itu.int/md/S12-WTPF13PREP-C-0033/en" TargetMode="External"/><Relationship Id="rId119" Type="http://schemas.openxmlformats.org/officeDocument/2006/relationships/hyperlink" Target="http://www.itu.int/md/S12-WTPF13PREP-C-0028/en" TargetMode="External"/><Relationship Id="rId127" Type="http://schemas.openxmlformats.org/officeDocument/2006/relationships/hyperlink" Target="http://www.itu.int/md/S12-WTPF13PREP-C-0035/en" TargetMode="External"/><Relationship Id="rId10" Type="http://schemas.openxmlformats.org/officeDocument/2006/relationships/hyperlink" Target="http://www.itu.int/wtpf" TargetMode="External"/><Relationship Id="rId31" Type="http://schemas.openxmlformats.org/officeDocument/2006/relationships/hyperlink" Target="http://www.itu.int/md/S12-WTPF13PREP-C-0014/en" TargetMode="External"/><Relationship Id="rId44" Type="http://schemas.openxmlformats.org/officeDocument/2006/relationships/hyperlink" Target="http://www.itu.int/md/S12-WTPF13PREP-C-0024/en" TargetMode="External"/><Relationship Id="rId52" Type="http://schemas.openxmlformats.org/officeDocument/2006/relationships/hyperlink" Target="http://www.itu.int/md/S12-WTPF13PREP-C-0013/en" TargetMode="External"/><Relationship Id="rId60" Type="http://schemas.openxmlformats.org/officeDocument/2006/relationships/image" Target="media/image3.png"/><Relationship Id="rId65" Type="http://schemas.openxmlformats.org/officeDocument/2006/relationships/hyperlink" Target="http://www.itu.int/md/S12-WTPF13PREP-C-0012/en" TargetMode="External"/><Relationship Id="rId73" Type="http://schemas.openxmlformats.org/officeDocument/2006/relationships/hyperlink" Target="http://www.itu.int/md/S12-WTPF13PREP-C-0014/en" TargetMode="External"/><Relationship Id="rId78" Type="http://schemas.openxmlformats.org/officeDocument/2006/relationships/hyperlink" Target="http://www.itu.int/md/S12-WTPF13PREP-C-0021/en" TargetMode="External"/><Relationship Id="rId81" Type="http://schemas.openxmlformats.org/officeDocument/2006/relationships/hyperlink" Target="http://www.itu.int/md/S12-WTPF13PREP-C-0012/en" TargetMode="External"/><Relationship Id="rId86" Type="http://schemas.openxmlformats.org/officeDocument/2006/relationships/hyperlink" Target="http://www.itu.int/md/S12-WTPF13PREP-C-0033/en" TargetMode="External"/><Relationship Id="rId94" Type="http://schemas.openxmlformats.org/officeDocument/2006/relationships/hyperlink" Target="http://www.itu.int/md/S12-WTPF13PREP-C-0013/en" TargetMode="External"/><Relationship Id="rId99" Type="http://schemas.openxmlformats.org/officeDocument/2006/relationships/hyperlink" Target="http://www.itu.int/md/S12-WTPF13PREP-C-0015/en" TargetMode="External"/><Relationship Id="rId101" Type="http://schemas.openxmlformats.org/officeDocument/2006/relationships/hyperlink" Target="http://www.itu.int/md/S12-WTPF13PREP-C-0013/en" TargetMode="External"/><Relationship Id="rId122" Type="http://schemas.openxmlformats.org/officeDocument/2006/relationships/hyperlink" Target="http://www.itu.int/md/S12-WTPF13PREP-C-0034/en" TargetMode="External"/><Relationship Id="rId13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yperlink" Target="http://www.itu.int/council/groups/CWG-internet/index.html" TargetMode="External"/><Relationship Id="rId13" Type="http://schemas.openxmlformats.org/officeDocument/2006/relationships/hyperlink" Target="http://www.itu.int/md/S12-WTPF13PREP-C-0015/en" TargetMode="External"/><Relationship Id="rId18" Type="http://schemas.openxmlformats.org/officeDocument/2006/relationships/hyperlink" Target="http://www.itu.int/md/S12-WTPF13PREP-C-0017/en" TargetMode="External"/><Relationship Id="rId39" Type="http://schemas.openxmlformats.org/officeDocument/2006/relationships/hyperlink" Target="http://www.itu.int/md/S12-WTPF13PREP-C-0017/en" TargetMode="External"/><Relationship Id="rId109" Type="http://schemas.openxmlformats.org/officeDocument/2006/relationships/image" Target="media/image4.png"/><Relationship Id="rId34" Type="http://schemas.openxmlformats.org/officeDocument/2006/relationships/hyperlink" Target="http://www.itu.int/md/S12-WTPF13PREP-C-0015/en" TargetMode="External"/><Relationship Id="rId50" Type="http://schemas.openxmlformats.org/officeDocument/2006/relationships/hyperlink" Target="http://www.itu.int/md/S12-WTPF13PREP-C-0023/en" TargetMode="External"/><Relationship Id="rId55" Type="http://schemas.openxmlformats.org/officeDocument/2006/relationships/hyperlink" Target="http://www.itu.int/md/S12-WTPF13PREP-C-0014/en" TargetMode="External"/><Relationship Id="rId76" Type="http://schemas.openxmlformats.org/officeDocument/2006/relationships/hyperlink" Target="http://www.itu.int/md/S12-WTPF13PREP-C-0021/en" TargetMode="External"/><Relationship Id="rId97" Type="http://schemas.openxmlformats.org/officeDocument/2006/relationships/hyperlink" Target="http://www.itu.int/md/S12-WTPF13PREP-C-0033/en" TargetMode="External"/><Relationship Id="rId104" Type="http://schemas.openxmlformats.org/officeDocument/2006/relationships/hyperlink" Target="http://www.itu.int/md/S12-WTPF13PREP-C-0024/en" TargetMode="External"/><Relationship Id="rId120" Type="http://schemas.openxmlformats.org/officeDocument/2006/relationships/hyperlink" Target="http://www.itu.int/md/S12-WTPF13PREP-C-0029/en" TargetMode="External"/><Relationship Id="rId125" Type="http://schemas.openxmlformats.org/officeDocument/2006/relationships/hyperlink" Target="http://www.itu.int/md/S12-WTPF13PREP-C-0035/en" TargetMode="External"/><Relationship Id="rId7" Type="http://schemas.openxmlformats.org/officeDocument/2006/relationships/footnotes" Target="footnotes.xml"/><Relationship Id="rId71" Type="http://schemas.openxmlformats.org/officeDocument/2006/relationships/hyperlink" Target="http://www.itu.int/md/S12-WTPF13PREP-C-0014/en" TargetMode="External"/><Relationship Id="rId92" Type="http://schemas.openxmlformats.org/officeDocument/2006/relationships/hyperlink" Target="http://www.itu.int/md/S12-WTPF13PREP-C-0033/en" TargetMode="External"/><Relationship Id="rId2" Type="http://schemas.openxmlformats.org/officeDocument/2006/relationships/numbering" Target="numbering.xml"/><Relationship Id="rId29" Type="http://schemas.openxmlformats.org/officeDocument/2006/relationships/hyperlink" Target="http://www.itu.int/md/S12-WTPF13PREP-C-0037/en" TargetMode="External"/><Relationship Id="rId24" Type="http://schemas.openxmlformats.org/officeDocument/2006/relationships/hyperlink" Target="http://www.internetworldstats.com/stats7.htm" TargetMode="External"/><Relationship Id="rId40" Type="http://schemas.openxmlformats.org/officeDocument/2006/relationships/hyperlink" Target="http://www.itu.int/md/S12-WTPF13PREP-C-0021/en" TargetMode="External"/><Relationship Id="rId45" Type="http://schemas.openxmlformats.org/officeDocument/2006/relationships/hyperlink" Target="http://www.itu.int/md/S12-WTPF13PREP-C-0024/en" TargetMode="External"/><Relationship Id="rId66" Type="http://schemas.openxmlformats.org/officeDocument/2006/relationships/hyperlink" Target="http://www.itu.int/md/S12-WTPF13PREP-C-0014/en" TargetMode="External"/><Relationship Id="rId87" Type="http://schemas.openxmlformats.org/officeDocument/2006/relationships/hyperlink" Target="http://www.itu.int/md/S12-WTPF13PREP-C-0033/en" TargetMode="External"/><Relationship Id="rId110" Type="http://schemas.openxmlformats.org/officeDocument/2006/relationships/image" Target="media/image5.png"/><Relationship Id="rId115" Type="http://schemas.openxmlformats.org/officeDocument/2006/relationships/hyperlink" Target="http://www.itu.int/md/S12-WTPF13PREP-C-0033/en" TargetMode="External"/><Relationship Id="rId131" Type="http://schemas.openxmlformats.org/officeDocument/2006/relationships/footer" Target="footer2.xml"/><Relationship Id="rId61" Type="http://schemas.openxmlformats.org/officeDocument/2006/relationships/hyperlink" Target="http://www.itu.int/md/S12-WTPF13PREP-C-0039/en" TargetMode="External"/><Relationship Id="rId82" Type="http://schemas.openxmlformats.org/officeDocument/2006/relationships/hyperlink" Target="http://www.itu.int/md/S12-WTPF13PREP-C-0015/en" TargetMode="External"/><Relationship Id="rId19" Type="http://schemas.openxmlformats.org/officeDocument/2006/relationships/hyperlink" Target="http://www.itu.int/md/S12-WTPF13PREP-C-0033/en" TargetMode="External"/></Relationships>
</file>

<file path=word/_rels/footnotes.xml.rels><?xml version="1.0" encoding="UTF-8" standalone="yes"?>
<Relationships xmlns="http://schemas.openxmlformats.org/package/2006/relationships"><Relationship Id="rId117" Type="http://schemas.openxmlformats.org/officeDocument/2006/relationships/hyperlink" Target="http://www.itu.int/md/S12-WTPF13PREP-C-0014/en" TargetMode="External"/><Relationship Id="rId21" Type="http://schemas.openxmlformats.org/officeDocument/2006/relationships/hyperlink" Target="http://www.itu.int/md/S12-WTPF13PREP-C-0017/en" TargetMode="External"/><Relationship Id="rId42" Type="http://schemas.openxmlformats.org/officeDocument/2006/relationships/hyperlink" Target="http://www.itu.int/md/S12-WTPF13PREP-C-0037/en" TargetMode="External"/><Relationship Id="rId63" Type="http://schemas.openxmlformats.org/officeDocument/2006/relationships/hyperlink" Target="http://www.itu.int/md/S12-WTPF13PREP-C-0015/en" TargetMode="External"/><Relationship Id="rId84" Type="http://schemas.openxmlformats.org/officeDocument/2006/relationships/hyperlink" Target="http://www.itu.int/md/T09-CWG.WCIT12-INF-0005/en" TargetMode="External"/><Relationship Id="rId138" Type="http://schemas.openxmlformats.org/officeDocument/2006/relationships/hyperlink" Target="http://www.itu.int/md/S12-WTPF13PREP-C-0015/en" TargetMode="External"/><Relationship Id="rId159" Type="http://schemas.openxmlformats.org/officeDocument/2006/relationships/hyperlink" Target="http://archive.icann.org/en/topics/new-gtlds/summary-of-impact-root-zone-scaling-06oct10-en.pdf" TargetMode="External"/><Relationship Id="rId170" Type="http://schemas.openxmlformats.org/officeDocument/2006/relationships/hyperlink" Target="http://www.ana.net/getfile/16997" TargetMode="External"/><Relationship Id="rId191" Type="http://schemas.openxmlformats.org/officeDocument/2006/relationships/hyperlink" Target="http://www.ntia.doc.gov/files/ntia/publications/sf_26_pg_1-2-final_award_and_sacs.pdf" TargetMode="External"/><Relationship Id="rId205" Type="http://schemas.openxmlformats.org/officeDocument/2006/relationships/hyperlink" Target="http://www.itu.int/md/S12-WTPF13PREP-C-0013/en" TargetMode="External"/><Relationship Id="rId226" Type="http://schemas.openxmlformats.org/officeDocument/2006/relationships/hyperlink" Target="http://archive.icann.org/en/committees/board-gac-2009/board-gac-jwg-final-report-19jun11-en-pdf" TargetMode="External"/><Relationship Id="rId107" Type="http://schemas.openxmlformats.org/officeDocument/2006/relationships/hyperlink" Target="http://www.itu.int/md/S12-WTPF13PREP-C-0021/en" TargetMode="External"/><Relationship Id="rId11" Type="http://schemas.openxmlformats.org/officeDocument/2006/relationships/hyperlink" Target="http://www.isoc.org/inet2000/cdproceedings/8e/8e_1.htm" TargetMode="External"/><Relationship Id="rId32" Type="http://schemas.openxmlformats.org/officeDocument/2006/relationships/hyperlink" Target="http://en.wikipedia.org/wiki/Network_effect" TargetMode="External"/><Relationship Id="rId53" Type="http://schemas.openxmlformats.org/officeDocument/2006/relationships/hyperlink" Target="http://articles.timesofindia.indiatimes.com/2012-07-30/edit-page/32924041_1_internet-governance-internet-corporation-root-servers" TargetMode="External"/><Relationship Id="rId74" Type="http://schemas.openxmlformats.org/officeDocument/2006/relationships/hyperlink" Target="http://www.itu.int/md/S11-RDG5-C-0004/en" TargetMode="External"/><Relationship Id="rId128" Type="http://schemas.openxmlformats.org/officeDocument/2006/relationships/hyperlink" Target="http://www.itu.int/md/S12-WTPF13PREP-C-0010/en" TargetMode="External"/><Relationship Id="rId149" Type="http://schemas.openxmlformats.org/officeDocument/2006/relationships/hyperlink" Target="http://www.itu.int/md/S12-WTPF13PREP-C-0024/en" TargetMode="External"/><Relationship Id="rId5" Type="http://schemas.openxmlformats.org/officeDocument/2006/relationships/hyperlink" Target="http://www.itu.int/md/S12-WTPF13PREP-C-0018/en" TargetMode="External"/><Relationship Id="rId95" Type="http://schemas.openxmlformats.org/officeDocument/2006/relationships/hyperlink" Target="http://www.itu.int/md/S11-RDG5-C-0004/en" TargetMode="External"/><Relationship Id="rId160" Type="http://schemas.openxmlformats.org/officeDocument/2006/relationships/hyperlink" Target="http://www.domainnamenews.com/new-gtlds/new-gtlds-competition-or-concentration-innovation-or-domination/11833" TargetMode="External"/><Relationship Id="rId181" Type="http://schemas.openxmlformats.org/officeDocument/2006/relationships/hyperlink" Target="http://www.ntia.doc.gov/files/ntia/publications/affirmation_of_commitments_2009.pdf" TargetMode="External"/><Relationship Id="rId216" Type="http://schemas.openxmlformats.org/officeDocument/2006/relationships/hyperlink" Target="http://royal.pingdom.com/2012/05/07/the-very-uneven-distribution-of-dns-root-servers-on-the-internet/" TargetMode="External"/><Relationship Id="rId211" Type="http://schemas.openxmlformats.org/officeDocument/2006/relationships/hyperlink" Target="http://www.root-servers.org/" TargetMode="External"/><Relationship Id="rId22" Type="http://schemas.openxmlformats.org/officeDocument/2006/relationships/hyperlink" Target="http://www.internetsociety.org/localcontent/" TargetMode="External"/><Relationship Id="rId27" Type="http://schemas.openxmlformats.org/officeDocument/2006/relationships/hyperlink" Target="http://www.itu.int/ITU-D/ict/publications/wtdr_02/" TargetMode="External"/><Relationship Id="rId43" Type="http://schemas.openxmlformats.org/officeDocument/2006/relationships/hyperlink" Target="http://www.itu.int/md/S12-WTPF13PREP-C-0009/en" TargetMode="External"/><Relationship Id="rId48" Type="http://schemas.openxmlformats.org/officeDocument/2006/relationships/hyperlink" Target="http://www.itu.int/md/S12-WTPF13PREP-C-0013/en" TargetMode="External"/><Relationship Id="rId64" Type="http://schemas.openxmlformats.org/officeDocument/2006/relationships/hyperlink" Target="http://www.itu.int/md/S12-CL-C-0106/en" TargetMode="External"/><Relationship Id="rId69" Type="http://schemas.openxmlformats.org/officeDocument/2006/relationships/hyperlink" Target="http://www.itu.int/md/S12-WTPF13PREP-C-0024/en" TargetMode="External"/><Relationship Id="rId113" Type="http://schemas.openxmlformats.org/officeDocument/2006/relationships/hyperlink" Target="http://www.itu.int/md/S12-WTPF13PREP-C-0023/en" TargetMode="External"/><Relationship Id="rId118" Type="http://schemas.openxmlformats.org/officeDocument/2006/relationships/hyperlink" Target="http://www.itu.int/md/S12-WTPF13PREP-C-0015/en" TargetMode="External"/><Relationship Id="rId134" Type="http://schemas.openxmlformats.org/officeDocument/2006/relationships/hyperlink" Target="http://www.itu.int/md/S12-WTPF13PREP-C-0015/en" TargetMode="External"/><Relationship Id="rId139" Type="http://schemas.openxmlformats.org/officeDocument/2006/relationships/hyperlink" Target="http://wsms1.intgovforum.org/content/no69-teaching-internet-governance-developing-countries" TargetMode="External"/><Relationship Id="rId80" Type="http://schemas.openxmlformats.org/officeDocument/2006/relationships/hyperlink" Target="http://www.itu.int/en/wcit-12/Documents/final-acts-wcit-12.pdf" TargetMode="External"/><Relationship Id="rId85" Type="http://schemas.openxmlformats.org/officeDocument/2006/relationships/hyperlink" Target="http://www.itu.int/md/S12-WTPF13PREP-C-0013/en" TargetMode="External"/><Relationship Id="rId150" Type="http://schemas.openxmlformats.org/officeDocument/2006/relationships/hyperlink" Target="http://www.ana.net/getfile/17073" TargetMode="External"/><Relationship Id="rId155" Type="http://schemas.openxmlformats.org/officeDocument/2006/relationships/hyperlink" Target="http://www.itu.int/md/S12-WTPF13PREP-C-0033/en" TargetMode="External"/><Relationship Id="rId171" Type="http://schemas.openxmlformats.org/officeDocument/2006/relationships/hyperlink" Target="http://www.bakerlaw.com/files/Uploads/Documents/News/Articles/INTELLECTUAL%20PROPERTY/2011/IPO_Comments_Einhorn-3-2011.pdf" TargetMode="External"/><Relationship Id="rId176" Type="http://schemas.openxmlformats.org/officeDocument/2006/relationships/hyperlink" Target="http://www.icann.org/en/news/correspondence/leahy-et-al-to-atallah-07aug12-en" TargetMode="External"/><Relationship Id="rId192" Type="http://schemas.openxmlformats.org/officeDocument/2006/relationships/hyperlink" Target="http://www.itu.int/md/S12-WTPF13PREP-C-0013/en" TargetMode="External"/><Relationship Id="rId197" Type="http://schemas.openxmlformats.org/officeDocument/2006/relationships/hyperlink" Target="http://www.itu.int/md/S12-WTPF13PREP-C-0039/en" TargetMode="External"/><Relationship Id="rId206" Type="http://schemas.openxmlformats.org/officeDocument/2006/relationships/hyperlink" Target="http://www.itu.int/md/S12-WTPF13PREP-C-0017/en" TargetMode="External"/><Relationship Id="rId227" Type="http://schemas.openxmlformats.org/officeDocument/2006/relationships/hyperlink" Target="http://www.itu.int/md/S12-WTPF13PREP-C-0033/en" TargetMode="External"/><Relationship Id="rId201" Type="http://schemas.openxmlformats.org/officeDocument/2006/relationships/hyperlink" Target="http://www.internetgovernance.org/2009/06/12/former-principal-scientist-at-verisign-blasts-us-control-of-dnssec-root-signing/" TargetMode="External"/><Relationship Id="rId222" Type="http://schemas.openxmlformats.org/officeDocument/2006/relationships/hyperlink" Target="https://gacweb.icann.org/display/gacweb/GAC+Members" TargetMode="External"/><Relationship Id="rId12" Type="http://schemas.openxmlformats.org/officeDocument/2006/relationships/hyperlink" Target="http://www.symantec.com/about/news/release/article.jsp?prid=20110524_02" TargetMode="External"/><Relationship Id="rId17" Type="http://schemas.openxmlformats.org/officeDocument/2006/relationships/hyperlink" Target="http://www.extremetech.com/computing/123929-just-how-big-are-porn-sites" TargetMode="External"/><Relationship Id="rId33" Type="http://schemas.openxmlformats.org/officeDocument/2006/relationships/hyperlink" Target="http://en.wikipedia.org/wiki/metcalfe%27s_law" TargetMode="External"/><Relationship Id="rId38" Type="http://schemas.openxmlformats.org/officeDocument/2006/relationships/hyperlink" Target="http://www.oecd.org/dataoecd/11/58/49258588.pdf" TargetMode="External"/><Relationship Id="rId59" Type="http://schemas.openxmlformats.org/officeDocument/2006/relationships/hyperlink" Target="http://www.itu.int/md/S12-WTPF13PREP-C-0013/en" TargetMode="External"/><Relationship Id="rId103" Type="http://schemas.openxmlformats.org/officeDocument/2006/relationships/hyperlink" Target="http://www.itu.int/md/S12-WTPF13PREP-C-0012/en" TargetMode="External"/><Relationship Id="rId108" Type="http://schemas.openxmlformats.org/officeDocument/2006/relationships/hyperlink" Target="http://www.itu.int/ITU-D/cyb/ip/index.html" TargetMode="External"/><Relationship Id="rId124" Type="http://schemas.openxmlformats.org/officeDocument/2006/relationships/hyperlink" Target="http://internetgovernance.org/pdf/CyberDialogue2012_Mueller.pdf" TargetMode="External"/><Relationship Id="rId129" Type="http://schemas.openxmlformats.org/officeDocument/2006/relationships/hyperlink" Target="http://www.itu.int/md/S12-WTPF13PREP-C-0021/en" TargetMode="External"/><Relationship Id="rId54" Type="http://schemas.openxmlformats.org/officeDocument/2006/relationships/hyperlink" Target="http://www.itu.int/md/S12-WTPF13PREP-C-0017/en" TargetMode="External"/><Relationship Id="rId70" Type="http://schemas.openxmlformats.org/officeDocument/2006/relationships/hyperlink" Target="http://www.itu.int/md/S12-WTPF13PREP-C-0024/en" TargetMode="External"/><Relationship Id="rId75" Type="http://schemas.openxmlformats.org/officeDocument/2006/relationships/hyperlink" Target="http://files.hisashikobayashi.com/articles/20080623_Keynote_NICT_slide.pdf" TargetMode="External"/><Relationship Id="rId91" Type="http://schemas.openxmlformats.org/officeDocument/2006/relationships/hyperlink" Target="http://blog.telegeography.com/post/32390008437" TargetMode="External"/><Relationship Id="rId96" Type="http://schemas.openxmlformats.org/officeDocument/2006/relationships/hyperlink" Target="http://kccc.nict.go.jp/keihanna-lab/document/20080623_kobayasi2.pdf" TargetMode="External"/><Relationship Id="rId140" Type="http://schemas.openxmlformats.org/officeDocument/2006/relationships/hyperlink" Target="http://www.itu.int/md/S12-WTPF13PREP-C-0024/en" TargetMode="External"/><Relationship Id="rId145" Type="http://schemas.openxmlformats.org/officeDocument/2006/relationships/hyperlink" Target="http://www.itu.int/en/ITU-T/inr/enum" TargetMode="External"/><Relationship Id="rId161" Type="http://schemas.openxmlformats.org/officeDocument/2006/relationships/hyperlink" Target="http://www.icann.org/en/correspondence/strickling-to-dengate-thrush-16jun11-en.pdf" TargetMode="External"/><Relationship Id="rId166" Type="http://schemas.openxmlformats.org/officeDocument/2006/relationships/hyperlink" Target="http://www.icann.org/en/groups/board/documents/rationale-economic-studies-21mar11-en" TargetMode="External"/><Relationship Id="rId182" Type="http://schemas.openxmlformats.org/officeDocument/2006/relationships/hyperlink" Target="http://www.ntia.doc.gov/files/ntia/publications/affirmation_of_commitments_2009.pdf" TargetMode="External"/><Relationship Id="rId187" Type="http://schemas.openxmlformats.org/officeDocument/2006/relationships/hyperlink" Target="http://www.itu.int/md/S12-WTPF13PREP-C-0033/en" TargetMode="External"/><Relationship Id="rId217" Type="http://schemas.openxmlformats.org/officeDocument/2006/relationships/hyperlink" Target="http://root-servers.org" TargetMode="External"/><Relationship Id="rId1" Type="http://schemas.openxmlformats.org/officeDocument/2006/relationships/hyperlink" Target="http://www.itu.int/council/groups/CWG-Internet/index.html" TargetMode="External"/><Relationship Id="rId6" Type="http://schemas.openxmlformats.org/officeDocument/2006/relationships/hyperlink" Target="http://www.itu.int/md/S12-WTPF13PREP-C-0015/en" TargetMode="External"/><Relationship Id="rId212" Type="http://schemas.openxmlformats.org/officeDocument/2006/relationships/hyperlink" Target="http://royal.pingdom.com/2012/05/07/the-very-uneven-distribution-of-dns-root-servers-on-the-internet/" TargetMode="External"/><Relationship Id="rId23" Type="http://schemas.openxmlformats.org/officeDocument/2006/relationships/hyperlink" Target="http://www.itu.int/md/S12-WTPF13PREP-C-0033/en" TargetMode="External"/><Relationship Id="rId28" Type="http://schemas.openxmlformats.org/officeDocument/2006/relationships/hyperlink" Target="http://www.itu.int/ITU-D/treg/publications/trends07.html" TargetMode="External"/><Relationship Id="rId49" Type="http://schemas.openxmlformats.org/officeDocument/2006/relationships/hyperlink" Target="http://www.itu.int/md/S12-WTPF13PREP-C-0007/en" TargetMode="External"/><Relationship Id="rId114" Type="http://schemas.openxmlformats.org/officeDocument/2006/relationships/hyperlink" Target="https://labs.ripe.net/Members/emileaben/world-ipv6-launch-lasting-effect-on-content" TargetMode="External"/><Relationship Id="rId119" Type="http://schemas.openxmlformats.org/officeDocument/2006/relationships/hyperlink" Target="http://www.itu.int/md/S12-WTPF13PREP-C-0012/en" TargetMode="External"/><Relationship Id="rId44" Type="http://schemas.openxmlformats.org/officeDocument/2006/relationships/hyperlink" Target="http://www.whitehouse.gov/sites/default/files/rss_viewer/international_strategy_for_cyberspace.pdf" TargetMode="External"/><Relationship Id="rId60" Type="http://schemas.openxmlformats.org/officeDocument/2006/relationships/hyperlink" Target="http://www.itu.int/md/S12-WTPF13PREP-C-0017/en" TargetMode="External"/><Relationship Id="rId65" Type="http://schemas.openxmlformats.org/officeDocument/2006/relationships/hyperlink" Target="http://www.itu.int/en/membership/Pages/default.aspx" TargetMode="External"/><Relationship Id="rId81" Type="http://schemas.openxmlformats.org/officeDocument/2006/relationships/hyperlink" Target="http://www.itu.int/md/S12-WTPF13PREP-C-0023/en" TargetMode="External"/><Relationship Id="rId86" Type="http://schemas.openxmlformats.org/officeDocument/2006/relationships/hyperlink" Target="http://www.itu.int/md/S12-WTPF13PREP-C-0017/en" TargetMode="External"/><Relationship Id="rId130" Type="http://schemas.openxmlformats.org/officeDocument/2006/relationships/hyperlink" Target="http://www.itu.int/md/S12-WTPF13PREP-C-0013/en" TargetMode="External"/><Relationship Id="rId135" Type="http://schemas.openxmlformats.org/officeDocument/2006/relationships/hyperlink" Target="http://www.itu.int/md/S12-WTPF13PREP-C-0016/en" TargetMode="External"/><Relationship Id="rId151" Type="http://schemas.openxmlformats.org/officeDocument/2006/relationships/hyperlink" Target="http://www.google.ch/url?sa=t&amp;rct=j&amp;q=consumer%20protection%20concerns%20regarding%20new%20gtlds%20ftc&amp;source=web&amp;cd=1&amp;cad=rja&amp;ved=0CEcQFjAA&amp;url=http%3A%2F%2Fwww.ftc.gov%2Fos%2Fclosings%2Fpublicltrs%2F111216letter-to-icann.pdf&amp;ei=VkkuUMSFMsnN4QTitIDIBg&amp;usg" TargetMode="External"/><Relationship Id="rId156" Type="http://schemas.openxmlformats.org/officeDocument/2006/relationships/hyperlink" Target="http://dakar42.icann.org/node/26925" TargetMode="External"/><Relationship Id="rId177" Type="http://schemas.openxmlformats.org/officeDocument/2006/relationships/hyperlink" Target="http://www.bakerlaw.com/files/Uploads/Documents/News/Articles/INTELLECTUAL%20PROPERTY/2011/IPO_Comments_Einhorn-3-2011.pdf" TargetMode="External"/><Relationship Id="rId198" Type="http://schemas.openxmlformats.org/officeDocument/2006/relationships/hyperlink" Target="http://www.itu.int/md/S12-WTPF13PREP-C-0033/en" TargetMode="External"/><Relationship Id="rId172" Type="http://schemas.openxmlformats.org/officeDocument/2006/relationships/hyperlink" Target="http://www.intgovforum.org/cms/component/content/article/102-transcripts2010/634-61" TargetMode="External"/><Relationship Id="rId193" Type="http://schemas.openxmlformats.org/officeDocument/2006/relationships/hyperlink" Target="http://jolt.richmond.edu/v9i1/article4.html" TargetMode="External"/><Relationship Id="rId202" Type="http://schemas.openxmlformats.org/officeDocument/2006/relationships/hyperlink" Target="http://www.itu.int/md/S12-WTPF13PREP-C-0013/en" TargetMode="External"/><Relationship Id="rId207" Type="http://schemas.openxmlformats.org/officeDocument/2006/relationships/hyperlink" Target="http://www.itu.int/md/S12-WTPF13PREP-C-0021/en" TargetMode="External"/><Relationship Id="rId223" Type="http://schemas.openxmlformats.org/officeDocument/2006/relationships/hyperlink" Target="http://www.itu.int/md/S12-WTPF13PREP-C-0023/en" TargetMode="External"/><Relationship Id="rId228" Type="http://schemas.openxmlformats.org/officeDocument/2006/relationships/hyperlink" Target="http://www.itu.int/md/S12-WTPF13PREP-C-0033/en" TargetMode="External"/><Relationship Id="rId13" Type="http://schemas.openxmlformats.org/officeDocument/2006/relationships/hyperlink" Target="http://www.itu.int/osg/csd/cybersecurity/gca/cop/" TargetMode="External"/><Relationship Id="rId18" Type="http://schemas.openxmlformats.org/officeDocument/2006/relationships/hyperlink" Target="http://www.forbes.com/sites/julieruvolo/2011/09/07/how-much-of-the-internet-is-actually-for-porn/" TargetMode="External"/><Relationship Id="rId39" Type="http://schemas.openxmlformats.org/officeDocument/2006/relationships/hyperlink" Target="http://www.itu.int/md/S12-WTPF13PREP-C-0019/en" TargetMode="External"/><Relationship Id="rId109" Type="http://schemas.openxmlformats.org/officeDocument/2006/relationships/hyperlink" Target="http://www.worldipv6launch.org/" TargetMode="External"/><Relationship Id="rId34" Type="http://schemas.openxmlformats.org/officeDocument/2006/relationships/hyperlink" Target="http://point-topic.com/dslanalysis.php" TargetMode="External"/><Relationship Id="rId50" Type="http://schemas.openxmlformats.org/officeDocument/2006/relationships/hyperlink" Target="http://www.itu.int/md/S12-WTPF13PREP-C-0015/en" TargetMode="External"/><Relationship Id="rId55" Type="http://schemas.openxmlformats.org/officeDocument/2006/relationships/hyperlink" Target="http://www.itu.int/md/S12-WTPF13PREP-C-0021/en" TargetMode="External"/><Relationship Id="rId76" Type="http://schemas.openxmlformats.org/officeDocument/2006/relationships/hyperlink" Target="http://www.itu.int/md/S12-WTPF13PREP-C-0013/en" TargetMode="External"/><Relationship Id="rId97" Type="http://schemas.openxmlformats.org/officeDocument/2006/relationships/hyperlink" Target="http://www.ntia.doc.gov/files/ntia/publications/sf_26_pg_1-2-final_award_and_sacs.pdf" TargetMode="External"/><Relationship Id="rId104" Type="http://schemas.openxmlformats.org/officeDocument/2006/relationships/hyperlink" Target="http://www.itu.int/md/S12-WTPF13PREP-C-0019/en" TargetMode="External"/><Relationship Id="rId120" Type="http://schemas.openxmlformats.org/officeDocument/2006/relationships/hyperlink" Target="http://www.itu.int/md/S12-WTPF13PREP-C-0013/en" TargetMode="External"/><Relationship Id="rId125" Type="http://schemas.openxmlformats.org/officeDocument/2006/relationships/hyperlink" Target="http://ieeexplore.ieee.org/xpl/articleDetails.jsp?reload=true&amp;arnumber=5423069&amp;contentType=Conference+Publications" TargetMode="External"/><Relationship Id="rId141" Type="http://schemas.openxmlformats.org/officeDocument/2006/relationships/hyperlink" Target="http://www.itu.int/md/S12-WTPF13PREP-C-0024/en" TargetMode="External"/><Relationship Id="rId146" Type="http://schemas.openxmlformats.org/officeDocument/2006/relationships/hyperlink" Target="http://www.itu.int/md/S12-WTPF13PREP-C-0033/en" TargetMode="External"/><Relationship Id="rId167" Type="http://schemas.openxmlformats.org/officeDocument/2006/relationships/hyperlink" Target="http://www.itu.int/md/S12-WTPF13PREP-C-0033/en" TargetMode="External"/><Relationship Id="rId188" Type="http://schemas.openxmlformats.org/officeDocument/2006/relationships/hyperlink" Target="http://www.google.ch/url?q=http://www.icann.org/en/resources/idn/ccnso-gac-idn-issues-report-09jul07-en.pdf&amp;ei=iVkuUIqvLMbSsgaP3YHICw&amp;sa=X&amp;oi=unauthorizedredirect&amp;ct=targetlink&amp;ust=1345216657728943&amp;usg=AFQjCNHiiu2iAC48cetGlMbgBdxqDiJ_YA" TargetMode="External"/><Relationship Id="rId7" Type="http://schemas.openxmlformats.org/officeDocument/2006/relationships/hyperlink" Target="http://www.internetsociety.org/internet/internet-51/history-internet/brief-history-internet/" TargetMode="External"/><Relationship Id="rId71" Type="http://schemas.openxmlformats.org/officeDocument/2006/relationships/hyperlink" Target="http://www.itu.int/md/S12-WTPF13PREP-C-0033/en" TargetMode="External"/><Relationship Id="rId92" Type="http://schemas.openxmlformats.org/officeDocument/2006/relationships/hyperlink" Target="http://www.telegeography.com" TargetMode="External"/><Relationship Id="rId162" Type="http://schemas.openxmlformats.org/officeDocument/2006/relationships/hyperlink" Target="http://www.icann.org/en/groups/board/documents/rationale-economic-studies-21mar11-en" TargetMode="External"/><Relationship Id="rId183" Type="http://schemas.openxmlformats.org/officeDocument/2006/relationships/hyperlink" Target="http://www.itu.int/md/S12-WTPF13PREP-C-0033/en" TargetMode="External"/><Relationship Id="rId213" Type="http://schemas.openxmlformats.org/officeDocument/2006/relationships/hyperlink" Target="http://www.itu.int/md/S12-WTPF13PREP-C-0024/en" TargetMode="External"/><Relationship Id="rId218" Type="http://schemas.openxmlformats.org/officeDocument/2006/relationships/hyperlink" Target="http://gacweb.icann.org/display/gacweb/About+The+GAC" TargetMode="External"/><Relationship Id="rId2" Type="http://schemas.openxmlformats.org/officeDocument/2006/relationships/hyperlink" Target="http://www.itu.int/md/S12-CL-C-0086/en" TargetMode="External"/><Relationship Id="rId29" Type="http://schemas.openxmlformats.org/officeDocument/2006/relationships/hyperlink" Target="http://papers.ssrn.com/sol3/papers.cfm?abstract_id=1926768" TargetMode="External"/><Relationship Id="rId24" Type="http://schemas.openxmlformats.org/officeDocument/2006/relationships/hyperlink" Target="http://www.itu.int/broadband/" TargetMode="External"/><Relationship Id="rId40" Type="http://schemas.openxmlformats.org/officeDocument/2006/relationships/hyperlink" Target="http://www.itu.int/wsis/docs2/tunis/off/6rev1.html" TargetMode="External"/><Relationship Id="rId45" Type="http://schemas.openxmlformats.org/officeDocument/2006/relationships/hyperlink" Target="http://cgi.br/" TargetMode="External"/><Relationship Id="rId66" Type="http://schemas.openxmlformats.org/officeDocument/2006/relationships/hyperlink" Target="http://www.itu.int/en/membership/Pages/default.aspx" TargetMode="External"/><Relationship Id="rId87" Type="http://schemas.openxmlformats.org/officeDocument/2006/relationships/hyperlink" Target="http://www.itu.int/md/S12-WTPF13PREP-C-0010/en" TargetMode="External"/><Relationship Id="rId110" Type="http://schemas.openxmlformats.org/officeDocument/2006/relationships/hyperlink" Target="http://www.itu.int/md/T09-IPV6-C-0019/en" TargetMode="External"/><Relationship Id="rId115" Type="http://schemas.openxmlformats.org/officeDocument/2006/relationships/hyperlink" Target="http://labs.apnic.net/dists/v6dcc.html" TargetMode="External"/><Relationship Id="rId131" Type="http://schemas.openxmlformats.org/officeDocument/2006/relationships/hyperlink" Target="http://www.itu.int/md/S12-WTPF13PREP-C-0023/en" TargetMode="External"/><Relationship Id="rId136" Type="http://schemas.openxmlformats.org/officeDocument/2006/relationships/hyperlink" Target="http://blog.internetgovernance.org/blog/_archives/2010/3/13/4479658.html" TargetMode="External"/><Relationship Id="rId157" Type="http://schemas.openxmlformats.org/officeDocument/2006/relationships/hyperlink" Target="http://archive.icann.org/en/topics/new-gtlds/gac-board-root-zone-scaling-21feb11-en.pdf" TargetMode="External"/><Relationship Id="rId178" Type="http://schemas.openxmlformats.org/officeDocument/2006/relationships/hyperlink" Target="http://www.icann.org/en/news/correspondence/igo-counsels-to-beckstrom-et-al-13dec11-en.pdf" TargetMode="External"/><Relationship Id="rId61" Type="http://schemas.openxmlformats.org/officeDocument/2006/relationships/hyperlink" Target="http://www.itu.int/md/S12-WTPF13PREP-C-0021/en" TargetMode="External"/><Relationship Id="rId82" Type="http://schemas.openxmlformats.org/officeDocument/2006/relationships/hyperlink" Target="http://www.itu.int/md/S12-WTPF13PREP-C-0039/en" TargetMode="External"/><Relationship Id="rId152" Type="http://schemas.openxmlformats.org/officeDocument/2006/relationships/hyperlink" Target="http://www.ftc.gov/os/.../111216letter-to-icann.pdf" TargetMode="External"/><Relationship Id="rId173" Type="http://schemas.openxmlformats.org/officeDocument/2006/relationships/hyperlink" Target="http://www.icann.org/en/correspondence/wilbers-to-beckstrom-13may11-en.pdf" TargetMode="External"/><Relationship Id="rId194" Type="http://schemas.openxmlformats.org/officeDocument/2006/relationships/hyperlink" Target="http://ijclp.net/files/ijclp_web-doc_10-13-2009.pdf" TargetMode="External"/><Relationship Id="rId199" Type="http://schemas.openxmlformats.org/officeDocument/2006/relationships/hyperlink" Target="http://www.zoomerang.com/Shared/SharedResultsSurveyResultsPage.aspx?ID=L23VTKJEXCE9" TargetMode="External"/><Relationship Id="rId203" Type="http://schemas.openxmlformats.org/officeDocument/2006/relationships/hyperlink" Target="http://www.itu.int/md/S12-WTPF13PREP-C-0015/en" TargetMode="External"/><Relationship Id="rId208" Type="http://schemas.openxmlformats.org/officeDocument/2006/relationships/hyperlink" Target="http://www.itu.int/md/S12-WTPF13PREP-C-0024/en" TargetMode="External"/><Relationship Id="rId19" Type="http://schemas.openxmlformats.org/officeDocument/2006/relationships/hyperlink" Target="http://www.itu.int/md/S12-WTPF13PREP-C-0032/en" TargetMode="External"/><Relationship Id="rId224" Type="http://schemas.openxmlformats.org/officeDocument/2006/relationships/hyperlink" Target="http://www.itu.int/md/S12-WTPF13PREP-C-0033/en" TargetMode="External"/><Relationship Id="rId14" Type="http://schemas.openxmlformats.org/officeDocument/2006/relationships/hyperlink" Target="http://www.justice.gov/criminal/ceos/downloads/G8MinistersDeclaration20090530.pdf" TargetMode="External"/><Relationship Id="rId30" Type="http://schemas.openxmlformats.org/officeDocument/2006/relationships/hyperlink" Target="http://www.itu.int/md/S12-WTPF13PREP-C-0033/en" TargetMode="External"/><Relationship Id="rId35" Type="http://schemas.openxmlformats.org/officeDocument/2006/relationships/hyperlink" Target="http://www.itu.int/ITU-D/ict/publications/idi/index.html" TargetMode="External"/><Relationship Id="rId56" Type="http://schemas.openxmlformats.org/officeDocument/2006/relationships/hyperlink" Target="http://unctad.org/en/Pages/MeetingDetails.aspx?meetingid=61" TargetMode="External"/><Relationship Id="rId77" Type="http://schemas.openxmlformats.org/officeDocument/2006/relationships/hyperlink" Target="http://www.itu.int/ITU-T/worksem/apportionment/201201/index.html" TargetMode="External"/><Relationship Id="rId100" Type="http://schemas.openxmlformats.org/officeDocument/2006/relationships/hyperlink" Target="http://tools.ietf.org/html/rfc2460" TargetMode="External"/><Relationship Id="rId105" Type="http://schemas.openxmlformats.org/officeDocument/2006/relationships/hyperlink" Target="http://bgp.potaroo.net/v6/as2.0/" TargetMode="External"/><Relationship Id="rId126" Type="http://schemas.openxmlformats.org/officeDocument/2006/relationships/hyperlink" Target="http://www.itu.int/md/T09-IPV6-120612-R/en" TargetMode="External"/><Relationship Id="rId147" Type="http://schemas.openxmlformats.org/officeDocument/2006/relationships/hyperlink" Target="http://www.itu.int/md/S12-WTPF13PREP-C-0033/en" TargetMode="External"/><Relationship Id="rId168" Type="http://schemas.openxmlformats.org/officeDocument/2006/relationships/hyperlink" Target="http://www.itu.int/md/S12-WTPF13PREP-C-0033/en" TargetMode="External"/><Relationship Id="rId8" Type="http://schemas.openxmlformats.org/officeDocument/2006/relationships/hyperlink" Target="http://www.itu.int/md/S12-WTPF13PREP-C-0019/en" TargetMode="External"/><Relationship Id="rId51" Type="http://schemas.openxmlformats.org/officeDocument/2006/relationships/hyperlink" Target="http://www.itu.int/md/S12-WTPF13PREP-C-0013/en" TargetMode="External"/><Relationship Id="rId72" Type="http://schemas.openxmlformats.org/officeDocument/2006/relationships/hyperlink" Target="http://www.itu.int/md/S12-WTPF13PREP-C-0037/en" TargetMode="External"/><Relationship Id="rId93" Type="http://schemas.openxmlformats.org/officeDocument/2006/relationships/hyperlink" Target="http://www.atkearney.com/index.php/Publications/a-viable-future-model-for-the-internet.html" TargetMode="External"/><Relationship Id="rId98" Type="http://schemas.openxmlformats.org/officeDocument/2006/relationships/hyperlink" Target="http://www.itu.int/md/S12-WTPF13PREP-C-0039/en" TargetMode="External"/><Relationship Id="rId121" Type="http://schemas.openxmlformats.org/officeDocument/2006/relationships/hyperlink" Target="http://www.itu.int/md/T09-IPV6-C-0005/en" TargetMode="External"/><Relationship Id="rId142" Type="http://schemas.openxmlformats.org/officeDocument/2006/relationships/hyperlink" Target="http://www.itu.int/md/S12-WTPF13PREP-C-0033/en" TargetMode="External"/><Relationship Id="rId163" Type="http://schemas.openxmlformats.org/officeDocument/2006/relationships/hyperlink" Target="http://lawreview.wustl.edu/in-print/icanns-escape-from-antitrust-liability/" TargetMode="External"/><Relationship Id="rId184" Type="http://schemas.openxmlformats.org/officeDocument/2006/relationships/hyperlink" Target="http://www.itu.int/md/S12-WTPF13PREP-C-0040/en" TargetMode="External"/><Relationship Id="rId189" Type="http://schemas.openxmlformats.org/officeDocument/2006/relationships/hyperlink" Target="http://www.iso.org/iso/country_codes" TargetMode="External"/><Relationship Id="rId219" Type="http://schemas.openxmlformats.org/officeDocument/2006/relationships/hyperlink" Target="http://www.icann.org/en/about/governance/bylaws" TargetMode="External"/><Relationship Id="rId3" Type="http://schemas.openxmlformats.org/officeDocument/2006/relationships/hyperlink" Target="http://www.itu.int/md/S12-CL-C-0027/en" TargetMode="External"/><Relationship Id="rId214" Type="http://schemas.openxmlformats.org/officeDocument/2006/relationships/hyperlink" Target="http://www.itu.int/md/S12-WTPF13PREP-C-0024/en" TargetMode="External"/><Relationship Id="rId25" Type="http://schemas.openxmlformats.org/officeDocument/2006/relationships/hyperlink" Target="http://www.itu.int/newsarchive/press/WTPF98/TradeInTelecomsExSum.html" TargetMode="External"/><Relationship Id="rId46" Type="http://schemas.openxmlformats.org/officeDocument/2006/relationships/hyperlink" Target="http://www.circleid.com/posts/us_european_union_to_support_icann_but_demand_reform/" TargetMode="External"/><Relationship Id="rId67" Type="http://schemas.openxmlformats.org/officeDocument/2006/relationships/hyperlink" Target="http://www.itu.int/md/S12-WTPF13PREP-C-0039/en" TargetMode="External"/><Relationship Id="rId116" Type="http://schemas.openxmlformats.org/officeDocument/2006/relationships/hyperlink" Target="http://www.itu.int/md/S12-WTPF13PREP-C-0039/en" TargetMode="External"/><Relationship Id="rId137" Type="http://schemas.openxmlformats.org/officeDocument/2006/relationships/hyperlink" Target="http://www.itu.int/md/S12-WTPF13PREP-C-0012/en" TargetMode="External"/><Relationship Id="rId158" Type="http://schemas.openxmlformats.org/officeDocument/2006/relationships/hyperlink" Target="http://www.icann.org/en/committees/security/sac046.pdf" TargetMode="External"/><Relationship Id="rId20" Type="http://schemas.openxmlformats.org/officeDocument/2006/relationships/hyperlink" Target="http://www.internetsociety.org/localcontent/" TargetMode="External"/><Relationship Id="rId41" Type="http://schemas.openxmlformats.org/officeDocument/2006/relationships/hyperlink" Target="http://www.wgig.org/members.html" TargetMode="External"/><Relationship Id="rId62" Type="http://schemas.openxmlformats.org/officeDocument/2006/relationships/hyperlink" Target="http://www.itu.int/md/S12-WTPF13PREP-C-0014/en" TargetMode="External"/><Relationship Id="rId83" Type="http://schemas.openxmlformats.org/officeDocument/2006/relationships/hyperlink" Target="http://www.internetsociety.org/qos-emperors-wardrobe-geoff-huston-isp-column" TargetMode="External"/><Relationship Id="rId88" Type="http://schemas.openxmlformats.org/officeDocument/2006/relationships/hyperlink" Target="http://www.itu.int/md/S12-WTPF13PREP-C-0014/en" TargetMode="External"/><Relationship Id="rId111" Type="http://schemas.openxmlformats.org/officeDocument/2006/relationships/hyperlink" Target="http://www.itu.int/md/S12-WTPF13PREP-C-0012/en" TargetMode="External"/><Relationship Id="rId132" Type="http://schemas.openxmlformats.org/officeDocument/2006/relationships/hyperlink" Target="http://www.apnic.net/services/services-apnic-provides/resource-certification/RPKI" TargetMode="External"/><Relationship Id="rId153" Type="http://schemas.openxmlformats.org/officeDocument/2006/relationships/hyperlink" Target="http://www.icann.org/en/news/correspondence/leahy-et-al-to-atallah-07aug12-en" TargetMode="External"/><Relationship Id="rId174" Type="http://schemas.openxmlformats.org/officeDocument/2006/relationships/hyperlink" Target="http://newgtids.icann.org/en/applicants/agb" TargetMode="External"/><Relationship Id="rId179" Type="http://schemas.openxmlformats.org/officeDocument/2006/relationships/hyperlink" Target="http://www.icann.org/en/news/correspondence/stelzer-to-atallah-11jul12-en" TargetMode="External"/><Relationship Id="rId195" Type="http://schemas.openxmlformats.org/officeDocument/2006/relationships/hyperlink" Target="http://www.iana.org/reports/2009/so-report-03feb2009.html" TargetMode="External"/><Relationship Id="rId209" Type="http://schemas.openxmlformats.org/officeDocument/2006/relationships/hyperlink" Target="http://www.itu.int/md/S12-WTPF13PREP-C-0039/en" TargetMode="External"/><Relationship Id="rId190" Type="http://schemas.openxmlformats.org/officeDocument/2006/relationships/hyperlink" Target="http://www.iana.org/domains/root/delegation-guide/" TargetMode="External"/><Relationship Id="rId204" Type="http://schemas.openxmlformats.org/officeDocument/2006/relationships/hyperlink" Target="http://www.itu.int/md/S12-WTPF13PREP-C-0033/en" TargetMode="External"/><Relationship Id="rId220" Type="http://schemas.openxmlformats.org/officeDocument/2006/relationships/hyperlink" Target="http://www.itu.int/md/S12-WTPF13PREP-C-0033/en" TargetMode="External"/><Relationship Id="rId225" Type="http://schemas.openxmlformats.org/officeDocument/2006/relationships/hyperlink" Target="http://archive.icann.org/en/committees/board-gac-2009/board-gac-jwg-final-report-19jun11-en.pdf" TargetMode="External"/><Relationship Id="rId15" Type="http://schemas.openxmlformats.org/officeDocument/2006/relationships/hyperlink" Target="http://www.symanteccloud.com/en/us/globalthreats/" TargetMode="External"/><Relationship Id="rId36" Type="http://schemas.openxmlformats.org/officeDocument/2006/relationships/hyperlink" Target="http://cgt.columbia.edu/files/papers/1999_Knowledge_as_Global_Public_Good_stiglitz.pdf" TargetMode="External"/><Relationship Id="rId57" Type="http://schemas.openxmlformats.org/officeDocument/2006/relationships/hyperlink" Target="http://unctad.org/meetings/en/SessionalDocuments/a66d77_en.pdf" TargetMode="External"/><Relationship Id="rId106" Type="http://schemas.openxmlformats.org/officeDocument/2006/relationships/hyperlink" Target="http://labs.apnic.net/dists/v6dcc.html" TargetMode="External"/><Relationship Id="rId127" Type="http://schemas.openxmlformats.org/officeDocument/2006/relationships/hyperlink" Target="http://www.itu.int/md/S12-CL-C-0062/en" TargetMode="External"/><Relationship Id="rId10" Type="http://schemas.openxmlformats.org/officeDocument/2006/relationships/hyperlink" Target="http://www.itu.int/md/S12-WTPF13PREP-C-0033/en" TargetMode="External"/><Relationship Id="rId31" Type="http://schemas.openxmlformats.org/officeDocument/2006/relationships/hyperlink" Target="http://www.internetsociety.org/ixpimpact" TargetMode="External"/><Relationship Id="rId52" Type="http://schemas.openxmlformats.org/officeDocument/2006/relationships/hyperlink" Target="http://www.itu.int/md/S12-WTPF13PREP-C-0023/en" TargetMode="External"/><Relationship Id="rId73" Type="http://schemas.openxmlformats.org/officeDocument/2006/relationships/hyperlink" Target="http://www.itu.int/dms_pub/itu-t/oth/23/01/T230100000A0001PDFE.pdf" TargetMode="External"/><Relationship Id="rId78" Type="http://schemas.openxmlformats.org/officeDocument/2006/relationships/hyperlink" Target="http://www.itu.int/md/S12-WTPF13PREP-C-0014/en" TargetMode="External"/><Relationship Id="rId94" Type="http://schemas.openxmlformats.org/officeDocument/2006/relationships/hyperlink" Target="http://www.itu.int/md/S11-RDG5-C-0004/en" TargetMode="External"/><Relationship Id="rId99" Type="http://schemas.openxmlformats.org/officeDocument/2006/relationships/hyperlink" Target="http://www.ntia.doc.gov/page/iana-functions-purchase-order" TargetMode="External"/><Relationship Id="rId101" Type="http://schemas.openxmlformats.org/officeDocument/2006/relationships/hyperlink" Target="http://www.iana.org/numbers" TargetMode="External"/><Relationship Id="rId122" Type="http://schemas.openxmlformats.org/officeDocument/2006/relationships/hyperlink" Target="http://www.itu.int/md/S12-WTPF13PREP-C-0021/en" TargetMode="External"/><Relationship Id="rId143" Type="http://schemas.openxmlformats.org/officeDocument/2006/relationships/hyperlink" Target="http://www.icann.org/en/resources/registries/about" TargetMode="External"/><Relationship Id="rId148" Type="http://schemas.openxmlformats.org/officeDocument/2006/relationships/hyperlink" Target="http://www.ntia.doc.gov/speechtestimany/2011/testimony-associate-administrator-alexander-icann-s-expansion-top-level-domains" TargetMode="External"/><Relationship Id="rId164" Type="http://schemas.openxmlformats.org/officeDocument/2006/relationships/hyperlink" Target="http://www.icann.org/en/topics/new-gtlds/economic-analysis-of-new-gtlds-16jun10-en.pdf" TargetMode="External"/><Relationship Id="rId169" Type="http://schemas.openxmlformats.org/officeDocument/2006/relationships/hyperlink" Target="http://www.icann.org/en/news/correspondence/jaffe-to-beckstrom-07may12-en.pdf" TargetMode="External"/><Relationship Id="rId185" Type="http://schemas.openxmlformats.org/officeDocument/2006/relationships/hyperlink" Target="http://www.itu.int/md/S12-WTPF13PREP-C-0040/en" TargetMode="External"/><Relationship Id="rId4" Type="http://schemas.openxmlformats.org/officeDocument/2006/relationships/hyperlink" Target="http://www.itu.int/md/S12-CL-C-0027/en" TargetMode="External"/><Relationship Id="rId9" Type="http://schemas.openxmlformats.org/officeDocument/2006/relationships/hyperlink" Target="http://www.itu.int/md/S12-WTPF13PREP-C-0033/en" TargetMode="External"/><Relationship Id="rId180" Type="http://schemas.openxmlformats.org/officeDocument/2006/relationships/hyperlink" Target="http://archive.icann.org/en/topics/new-gtlds/gac-principles-regarding-new-gtlds-28mar07-en.pdf" TargetMode="External"/><Relationship Id="rId210" Type="http://schemas.openxmlformats.org/officeDocument/2006/relationships/hyperlink" Target="http://www.icann.org/en/resources/idn/announcementsI" TargetMode="External"/><Relationship Id="rId215" Type="http://schemas.openxmlformats.org/officeDocument/2006/relationships/hyperlink" Target="http://www.itu.int/md/S12-WTPF13PREP-C-0013/en" TargetMode="External"/><Relationship Id="rId26" Type="http://schemas.openxmlformats.org/officeDocument/2006/relationships/hyperlink" Target="http://www.itu.int/ITU-D/ict/publications/wtdr_02/" TargetMode="External"/><Relationship Id="rId47" Type="http://schemas.openxmlformats.org/officeDocument/2006/relationships/hyperlink" Target="http://www.itu.int/md/S12-WTPF13PREP-C-0014/en" TargetMode="External"/><Relationship Id="rId68" Type="http://schemas.openxmlformats.org/officeDocument/2006/relationships/hyperlink" Target="http://www.itu.int/en/wcit-12/Documents/final-acts-wcit-12.pdf" TargetMode="External"/><Relationship Id="rId89" Type="http://schemas.openxmlformats.org/officeDocument/2006/relationships/hyperlink" Target="http://www.itu.int/md/S12-WTPF13PREP-C-0013/en" TargetMode="External"/><Relationship Id="rId112" Type="http://schemas.openxmlformats.org/officeDocument/2006/relationships/hyperlink" Target="http://www.itu.int/md/S12-WTPF13PREP-C-0014/en" TargetMode="External"/><Relationship Id="rId133" Type="http://schemas.openxmlformats.org/officeDocument/2006/relationships/hyperlink" Target="https://www.internetsociety.org/doc/technopolicy-primer-resource-public-key-infrastructure-rpki-0" TargetMode="External"/><Relationship Id="rId154" Type="http://schemas.openxmlformats.org/officeDocument/2006/relationships/hyperlink" Target="http://newgtids.icann.org/en/announcements-and-media/announcement-29jul12-en" TargetMode="External"/><Relationship Id="rId175" Type="http://schemas.openxmlformats.org/officeDocument/2006/relationships/hyperlink" Target="http://www.itu.int/md/S12-WTPF13PREP-C-0033/en" TargetMode="External"/><Relationship Id="rId196" Type="http://schemas.openxmlformats.org/officeDocument/2006/relationships/hyperlink" Target="http://www.itu.int/md/S12-WTPF13PREP-C-0024/en" TargetMode="External"/><Relationship Id="rId200" Type="http://schemas.openxmlformats.org/officeDocument/2006/relationships/hyperlink" Target="http://www.internetgovernance.org/2008/02/15/eeny-meeny-miny-moe-will-verisign-control-the-root/" TargetMode="External"/><Relationship Id="rId16" Type="http://schemas.openxmlformats.org/officeDocument/2006/relationships/hyperlink" Target="http://www.cisco.com/en/US/prod/collateral/vpndevc/security_annual_report_2011.pdf" TargetMode="External"/><Relationship Id="rId221" Type="http://schemas.openxmlformats.org/officeDocument/2006/relationships/hyperlink" Target="http://www.itu.int/md/S12-WTPF13PREP-C-0023/en" TargetMode="External"/><Relationship Id="rId37" Type="http://schemas.openxmlformats.org/officeDocument/2006/relationships/hyperlink" Target="http://www.itu.int/md/S12-WTPF13PREP-C-0033/en" TargetMode="External"/><Relationship Id="rId58" Type="http://schemas.openxmlformats.org/officeDocument/2006/relationships/hyperlink" Target="http://www.unpan.org/DPADM/EGovernment/WSISImplementationMechanism/CommentsonWSISFollowup/tabid/1448/language/en-US/Default.aspx" TargetMode="External"/><Relationship Id="rId79" Type="http://schemas.openxmlformats.org/officeDocument/2006/relationships/hyperlink" Target="http://www.itu.int/ITU-T/worksem/apportionment/201201/index.html" TargetMode="External"/><Relationship Id="rId102" Type="http://schemas.openxmlformats.org/officeDocument/2006/relationships/hyperlink" Target="https://www.iana.org/reports/1999/Ipv6-announcement.html" TargetMode="External"/><Relationship Id="rId123" Type="http://schemas.openxmlformats.org/officeDocument/2006/relationships/hyperlink" Target="http://internetgovernance.org/pdf/CyberDialogue2012_Mueller.pdf" TargetMode="External"/><Relationship Id="rId144" Type="http://schemas.openxmlformats.org/officeDocument/2006/relationships/hyperlink" Target="http://data.iana.org/TLD/tlds-alpha-by-domain.txt" TargetMode="External"/><Relationship Id="rId90" Type="http://schemas.openxmlformats.org/officeDocument/2006/relationships/hyperlink" Target="http://www.itu.int/md/S12-WTPF13PREP-C-0024/en" TargetMode="External"/><Relationship Id="rId165" Type="http://schemas.openxmlformats.org/officeDocument/2006/relationships/hyperlink" Target="http://www.icann.org/en/topics/new-gtlds/phase-two-economic-considerations-03dec10-en.pdf" TargetMode="External"/><Relationship Id="rId186" Type="http://schemas.openxmlformats.org/officeDocument/2006/relationships/hyperlink" Target="http://www.ietf.org/rfc/rfc1591.txt"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6.emf"/></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iguez\Application%20Data\Microsoft\Templates\POOL%20S%20-%20ITU\PS_POOL.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3105DF7-AF27-4AD5-B91A-2FD197C24D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PS_POOL</Template>
  <TotalTime>431</TotalTime>
  <Pages>41</Pages>
  <Words>17072</Words>
  <Characters>98326</Characters>
  <Application>Microsoft Office Word</Application>
  <DocSecurity>0</DocSecurity>
  <Lines>819</Lines>
  <Paragraphs>230</Paragraphs>
  <ScaleCrop>false</ScaleCrop>
  <HeadingPairs>
    <vt:vector size="2" baseType="variant">
      <vt:variant>
        <vt:lpstr>Title</vt:lpstr>
      </vt:variant>
      <vt:variant>
        <vt:i4>1</vt:i4>
      </vt:variant>
    </vt:vector>
  </HeadingPairs>
  <TitlesOfParts>
    <vt:vector size="1" baseType="lpstr">
      <vt:lpstr/>
    </vt:vector>
  </TitlesOfParts>
  <Company>ITU</Company>
  <LinksUpToDate>false</LinksUpToDate>
  <CharactersWithSpaces>115168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Miguez Rey, Maria Del Carmen</dc:creator>
  <cp:lastModifiedBy>De La Rosa Trivino, Maria Dolores</cp:lastModifiedBy>
  <cp:revision>101</cp:revision>
  <cp:lastPrinted>2013-02-06T07:38:00Z</cp:lastPrinted>
  <dcterms:created xsi:type="dcterms:W3CDTF">2013-02-01T14:02:00Z</dcterms:created>
  <dcterms:modified xsi:type="dcterms:W3CDTF">2013-02-06T08:28:00Z</dcterms:modified>
</cp:coreProperties>
</file>