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s-US" w:eastAsia="es-US"/>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s-US" w:eastAsia="es-US"/>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EE1170" w:rsidP="00F00DDC">
            <w:pPr>
              <w:pStyle w:val="Committee"/>
            </w:pPr>
            <w:r>
              <w:t>PLENARY MEETING</w:t>
            </w:r>
          </w:p>
        </w:tc>
        <w:tc>
          <w:tcPr>
            <w:tcW w:w="3194" w:type="dxa"/>
            <w:gridSpan w:val="2"/>
          </w:tcPr>
          <w:p w:rsidR="005D0F80" w:rsidRDefault="005D0F80" w:rsidP="00683CF3">
            <w:pPr>
              <w:pStyle w:val="Docnumber"/>
              <w:ind w:left="-57"/>
            </w:pPr>
            <w:r>
              <w:t xml:space="preserve">Addendum </w:t>
            </w:r>
            <w:r w:rsidR="00A82EFF">
              <w:t>1</w:t>
            </w:r>
            <w:r w:rsidR="005736AA">
              <w:t>3</w:t>
            </w:r>
            <w:r>
              <w:t xml:space="preserve"> to</w:t>
            </w:r>
          </w:p>
          <w:p w:rsidR="00BC7D84" w:rsidRPr="003251EA" w:rsidRDefault="00EE1170" w:rsidP="00683CF3">
            <w:pPr>
              <w:pStyle w:val="Docnumber"/>
              <w:ind w:left="-57"/>
            </w:pPr>
            <w:r w:rsidRPr="00EE1170">
              <w:t xml:space="preserve">Document </w:t>
            </w:r>
            <w:r w:rsidR="00683CF3">
              <w:t>46</w:t>
            </w:r>
            <w:r w:rsidRPr="00EE1170">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683CF3" w:rsidP="00E94DBA">
            <w:pPr>
              <w:pStyle w:val="Docnumber"/>
              <w:ind w:left="-57"/>
            </w:pPr>
            <w:r>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EE1170" w:rsidP="00EE1170">
            <w:pPr>
              <w:pStyle w:val="Docnumber"/>
              <w:ind w:left="-57"/>
            </w:pPr>
            <w:r>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683CF3"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5736AA" w:rsidRDefault="005736AA" w:rsidP="00A82EFF">
            <w:pPr>
              <w:jc w:val="center"/>
              <w:rPr>
                <w:sz w:val="28"/>
                <w:szCs w:val="28"/>
                <w:highlight w:val="yellow"/>
              </w:rPr>
            </w:pPr>
            <w:r w:rsidRPr="005736AA">
              <w:rPr>
                <w:caps/>
                <w:sz w:val="28"/>
                <w:szCs w:val="28"/>
                <w:lang w:eastAsia="ja-JP"/>
              </w:rPr>
              <w:t>PROPOSED SUPPRESSION OF WTSA-12 RESOLUTION 11 – Collaboration with the Postal Operations Council of the Universal Postal Union in the study of services concerning both the postal and the telecommunication sectors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A82EFF" w:rsidRDefault="00BC7D84" w:rsidP="00F00DDC">
            <w:pPr>
              <w:pStyle w:val="Agendaitem"/>
              <w:rPr>
                <w:lang w:val="en-US"/>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bCs/>
              <w:bdr w:val="none" w:sz="0" w:space="0" w:color="auto" w:frame="1"/>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8E11E7" w:rsidP="008E11E7">
                <w:pPr>
                  <w:rPr>
                    <w:color w:val="000000" w:themeColor="text1"/>
                  </w:rPr>
                </w:pPr>
                <w:r>
                  <w:rPr>
                    <w:bCs/>
                    <w:bdr w:val="none" w:sz="0" w:space="0" w:color="auto" w:frame="1"/>
                  </w:rPr>
                  <w:t>CITEL</w:t>
                </w:r>
                <w:r w:rsidR="00F34B74" w:rsidRPr="00F34B74">
                  <w:rPr>
                    <w:bCs/>
                    <w:bdr w:val="none" w:sz="0" w:space="0" w:color="auto" w:frame="1"/>
                  </w:rPr>
                  <w:t xml:space="preserve"> proposes suppression of Resolution 11, as it has served its original purpose and is no longer needed.</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A82EFF" w:rsidRDefault="00A82EFF" w:rsidP="00A82EFF">
      <w:pPr>
        <w:tabs>
          <w:tab w:val="clear" w:pos="1134"/>
          <w:tab w:val="clear" w:pos="1871"/>
          <w:tab w:val="clear" w:pos="2268"/>
        </w:tabs>
        <w:overflowPunct/>
        <w:autoSpaceDE/>
        <w:autoSpaceDN/>
        <w:adjustRightInd/>
        <w:spacing w:before="0"/>
        <w:textAlignment w:val="auto"/>
        <w:rPr>
          <w:b/>
          <w:sz w:val="22"/>
          <w:szCs w:val="22"/>
          <w:lang w:val="en-US"/>
        </w:rPr>
      </w:pPr>
    </w:p>
    <w:p w:rsidR="00F7267B" w:rsidRDefault="00F7267B" w:rsidP="00F34B74">
      <w:pPr>
        <w:keepNext/>
        <w:keepLines/>
        <w:tabs>
          <w:tab w:val="clear" w:pos="1134"/>
          <w:tab w:val="clear" w:pos="1871"/>
          <w:tab w:val="clear" w:pos="2268"/>
        </w:tabs>
        <w:overflowPunct/>
        <w:autoSpaceDE/>
        <w:autoSpaceDN/>
        <w:adjustRightInd/>
        <w:spacing w:before="0"/>
        <w:ind w:left="794" w:hanging="794"/>
        <w:textAlignment w:val="auto"/>
        <w:outlineLvl w:val="0"/>
        <w:rPr>
          <w:b/>
          <w:szCs w:val="24"/>
          <w:lang w:eastAsia="ja-JP"/>
        </w:rPr>
      </w:pPr>
    </w:p>
    <w:p w:rsidR="00F34B74" w:rsidRPr="00F7267B" w:rsidRDefault="00F34B74" w:rsidP="00F34B74">
      <w:pPr>
        <w:keepNext/>
        <w:keepLines/>
        <w:tabs>
          <w:tab w:val="clear" w:pos="1134"/>
          <w:tab w:val="clear" w:pos="1871"/>
          <w:tab w:val="clear" w:pos="2268"/>
        </w:tabs>
        <w:overflowPunct/>
        <w:autoSpaceDE/>
        <w:autoSpaceDN/>
        <w:adjustRightInd/>
        <w:spacing w:before="0"/>
        <w:ind w:left="794" w:hanging="794"/>
        <w:textAlignment w:val="auto"/>
        <w:outlineLvl w:val="0"/>
        <w:rPr>
          <w:b/>
          <w:szCs w:val="24"/>
          <w:lang w:eastAsia="ja-JP"/>
        </w:rPr>
      </w:pPr>
      <w:r w:rsidRPr="00F34B74">
        <w:rPr>
          <w:b/>
          <w:szCs w:val="24"/>
          <w:lang w:eastAsia="ja-JP"/>
        </w:rPr>
        <w:t>Introduction</w:t>
      </w:r>
    </w:p>
    <w:p w:rsidR="00F34B74" w:rsidRPr="00F34B74" w:rsidRDefault="00F34B74" w:rsidP="00F34B74">
      <w:pPr>
        <w:keepNext/>
        <w:keepLines/>
        <w:tabs>
          <w:tab w:val="clear" w:pos="1134"/>
          <w:tab w:val="clear" w:pos="1871"/>
          <w:tab w:val="clear" w:pos="2268"/>
        </w:tabs>
        <w:overflowPunct/>
        <w:autoSpaceDE/>
        <w:autoSpaceDN/>
        <w:adjustRightInd/>
        <w:spacing w:before="0"/>
        <w:ind w:left="794" w:hanging="794"/>
        <w:textAlignment w:val="auto"/>
        <w:outlineLvl w:val="0"/>
        <w:rPr>
          <w:b/>
          <w:szCs w:val="24"/>
          <w:lang w:eastAsia="ja-JP"/>
        </w:rPr>
      </w:pPr>
    </w:p>
    <w:p w:rsidR="00F34B74" w:rsidRPr="00F34B74" w:rsidRDefault="00F34B74" w:rsidP="00F34B74">
      <w:pPr>
        <w:tabs>
          <w:tab w:val="clear" w:pos="1134"/>
          <w:tab w:val="clear" w:pos="1871"/>
          <w:tab w:val="clear" w:pos="2268"/>
        </w:tabs>
        <w:overflowPunct/>
        <w:autoSpaceDE/>
        <w:autoSpaceDN/>
        <w:adjustRightInd/>
        <w:spacing w:before="0"/>
        <w:jc w:val="both"/>
        <w:textAlignment w:val="auto"/>
        <w:rPr>
          <w:rFonts w:eastAsia="Calibri"/>
          <w:szCs w:val="24"/>
          <w:lang w:val="en-US"/>
        </w:rPr>
      </w:pPr>
      <w:r w:rsidRPr="00F34B74">
        <w:rPr>
          <w:rFonts w:eastAsia="Calibri"/>
          <w:szCs w:val="24"/>
          <w:lang w:val="en-US"/>
        </w:rPr>
        <w:t xml:space="preserve">Resolution 11, </w:t>
      </w:r>
      <w:r w:rsidRPr="00F34B74">
        <w:rPr>
          <w:bCs/>
          <w:i/>
          <w:szCs w:val="24"/>
          <w:bdr w:val="none" w:sz="0" w:space="0" w:color="auto" w:frame="1"/>
          <w:lang w:val="en-US"/>
        </w:rPr>
        <w:t>Collaboration with the Postal Operations Council of the Universal Postal Union in the study of services concerning both the postal and the telecommunication sectors</w:t>
      </w:r>
      <w:r w:rsidRPr="00F34B74">
        <w:rPr>
          <w:bCs/>
          <w:szCs w:val="24"/>
          <w:bdr w:val="none" w:sz="0" w:space="0" w:color="auto" w:frame="1"/>
          <w:lang w:val="en-US"/>
        </w:rPr>
        <w:t>,</w:t>
      </w:r>
      <w:r w:rsidRPr="00F34B74">
        <w:rPr>
          <w:rFonts w:eastAsia="Calibri"/>
          <w:szCs w:val="24"/>
          <w:lang w:val="en-US"/>
        </w:rPr>
        <w:t xml:space="preserve"> has been in place since the Plenary Assembly of CCITT was held in 1984 at Malaga-</w:t>
      </w:r>
      <w:proofErr w:type="spellStart"/>
      <w:r w:rsidRPr="00F34B74">
        <w:rPr>
          <w:rFonts w:eastAsia="Calibri"/>
          <w:szCs w:val="24"/>
          <w:lang w:val="en-US"/>
        </w:rPr>
        <w:t>Torremolinos</w:t>
      </w:r>
      <w:proofErr w:type="spellEnd"/>
      <w:r w:rsidRPr="00F34B74">
        <w:rPr>
          <w:rFonts w:eastAsia="Calibri"/>
          <w:szCs w:val="24"/>
          <w:lang w:val="en-US"/>
        </w:rPr>
        <w:t>, and it resolves “that the relevant ITU</w:t>
      </w:r>
      <w:r w:rsidRPr="00F34B74">
        <w:rPr>
          <w:rFonts w:eastAsia="Calibri"/>
          <w:szCs w:val="24"/>
          <w:lang w:val="en-US"/>
        </w:rPr>
        <w:noBreakHyphen/>
        <w:t xml:space="preserve">T study groups should continue to collaborate with the Postal Operations Council (POC) committees as necessary, on a reciprocal basis and with a minimum of formality, in particular by investigating issues of common interest such as </w:t>
      </w:r>
      <w:r w:rsidRPr="00F7267B">
        <w:rPr>
          <w:rFonts w:eastAsia="Calibri"/>
          <w:szCs w:val="24"/>
          <w:lang w:val="en-US"/>
        </w:rPr>
        <w:t>quality of service</w:t>
      </w:r>
      <w:r w:rsidRPr="00F34B74">
        <w:rPr>
          <w:rFonts w:eastAsia="Calibri"/>
          <w:szCs w:val="24"/>
          <w:lang w:val="en-US"/>
        </w:rPr>
        <w:t xml:space="preserve">, </w:t>
      </w:r>
      <w:r w:rsidRPr="00F7267B">
        <w:rPr>
          <w:rFonts w:eastAsia="Calibri"/>
          <w:szCs w:val="24"/>
          <w:lang w:val="en-US"/>
        </w:rPr>
        <w:t>electronic services</w:t>
      </w:r>
      <w:r w:rsidRPr="00F34B74">
        <w:rPr>
          <w:rFonts w:eastAsia="Calibri"/>
          <w:szCs w:val="24"/>
          <w:lang w:val="en-US"/>
        </w:rPr>
        <w:t xml:space="preserve"> and security of </w:t>
      </w:r>
      <w:r w:rsidRPr="00F7267B">
        <w:rPr>
          <w:rFonts w:eastAsia="Calibri"/>
          <w:szCs w:val="24"/>
          <w:lang w:val="en-US"/>
        </w:rPr>
        <w:t>mobile payment.</w:t>
      </w:r>
      <w:r w:rsidRPr="00F34B74">
        <w:rPr>
          <w:rFonts w:eastAsia="Calibri"/>
          <w:szCs w:val="24"/>
          <w:lang w:val="en-US"/>
        </w:rPr>
        <w:t>”  The ‘in particular’ clause was added in 2012.  The Resolution also instructs the TSB Director “to encourage and assist this collaboration between the two organs”.</w:t>
      </w:r>
    </w:p>
    <w:p w:rsidR="00F34B74" w:rsidRPr="00F34B74" w:rsidRDefault="00F34B74" w:rsidP="00F34B74">
      <w:pPr>
        <w:keepNext/>
        <w:keepLines/>
        <w:tabs>
          <w:tab w:val="clear" w:pos="1134"/>
          <w:tab w:val="clear" w:pos="1871"/>
          <w:tab w:val="clear" w:pos="2268"/>
        </w:tabs>
        <w:overflowPunct/>
        <w:autoSpaceDE/>
        <w:autoSpaceDN/>
        <w:adjustRightInd/>
        <w:spacing w:before="0"/>
        <w:jc w:val="both"/>
        <w:textAlignment w:val="auto"/>
        <w:outlineLvl w:val="0"/>
        <w:rPr>
          <w:szCs w:val="24"/>
          <w:lang w:eastAsia="ja-JP"/>
        </w:rPr>
      </w:pPr>
      <w:r w:rsidRPr="00F34B74">
        <w:rPr>
          <w:szCs w:val="24"/>
          <w:lang w:eastAsia="ja-JP"/>
        </w:rPr>
        <w:lastRenderedPageBreak/>
        <w:t>ITU-T has not collaborated with UPU on any of these specific “issues of common interest”.  During this study period, there had been only one liaison from SG17 to UPU requesting comments on the proposed ITU-T X.1341 and one response that essential raised a number of technical issues with the draft document.  UPU also highlighted in its response that it was engaged in “extensive standardisation and regulations efforts” and sought a common standard. There is no record that SG17 responded to the UPU-identified technical issues were accommodated prior to publication of ITU-T X.1341 in 2015.</w:t>
      </w:r>
    </w:p>
    <w:p w:rsidR="00F34B74" w:rsidRPr="00F34B74" w:rsidRDefault="00F34B74" w:rsidP="00F34B74">
      <w:pPr>
        <w:tabs>
          <w:tab w:val="clear" w:pos="1134"/>
          <w:tab w:val="clear" w:pos="1871"/>
          <w:tab w:val="clear" w:pos="2268"/>
        </w:tabs>
        <w:overflowPunct/>
        <w:autoSpaceDE/>
        <w:autoSpaceDN/>
        <w:adjustRightInd/>
        <w:spacing w:before="0"/>
        <w:jc w:val="both"/>
        <w:textAlignment w:val="auto"/>
        <w:rPr>
          <w:rFonts w:eastAsia="Calibri"/>
          <w:szCs w:val="24"/>
          <w:lang w:val="en-US"/>
        </w:rPr>
      </w:pPr>
    </w:p>
    <w:p w:rsidR="00F34B74" w:rsidRPr="00F34B74" w:rsidRDefault="00F34B74" w:rsidP="00F34B74">
      <w:pPr>
        <w:tabs>
          <w:tab w:val="clear" w:pos="1134"/>
          <w:tab w:val="clear" w:pos="1871"/>
          <w:tab w:val="clear" w:pos="2268"/>
        </w:tabs>
        <w:overflowPunct/>
        <w:autoSpaceDE/>
        <w:autoSpaceDN/>
        <w:adjustRightInd/>
        <w:spacing w:before="0"/>
        <w:jc w:val="both"/>
        <w:textAlignment w:val="auto"/>
        <w:rPr>
          <w:rFonts w:eastAsia="Calibri"/>
          <w:szCs w:val="24"/>
          <w:lang w:val="en-US"/>
        </w:rPr>
      </w:pPr>
      <w:r w:rsidRPr="00F34B74">
        <w:rPr>
          <w:rFonts w:eastAsia="Calibri"/>
          <w:szCs w:val="24"/>
          <w:lang w:val="en-US"/>
        </w:rPr>
        <w:t>There is no longer a need for this Resolution on collaboration with UPU, since its original intent was satisfied when the ITU-T X.400-series Recommendations were created in the 1990s. Consistent with the TSB Director’s suggested principle 1 for review of the WTSA Resolutions, this Resolution should be suppressed.</w:t>
      </w:r>
    </w:p>
    <w:p w:rsidR="00F34B74" w:rsidRPr="00F34B74" w:rsidRDefault="00F34B74" w:rsidP="00F34B74">
      <w:pPr>
        <w:keepNext/>
        <w:keepLines/>
        <w:tabs>
          <w:tab w:val="clear" w:pos="1134"/>
          <w:tab w:val="clear" w:pos="1871"/>
          <w:tab w:val="clear" w:pos="2268"/>
        </w:tabs>
        <w:overflowPunct/>
        <w:autoSpaceDE/>
        <w:autoSpaceDN/>
        <w:adjustRightInd/>
        <w:spacing w:before="0"/>
        <w:ind w:left="794" w:hanging="794"/>
        <w:textAlignment w:val="auto"/>
        <w:outlineLvl w:val="0"/>
        <w:rPr>
          <w:b/>
          <w:szCs w:val="24"/>
          <w:lang w:eastAsia="ja-JP"/>
        </w:rPr>
      </w:pPr>
    </w:p>
    <w:p w:rsidR="00F34B74" w:rsidRPr="00F7267B" w:rsidRDefault="00F34B74" w:rsidP="00F34B74">
      <w:pPr>
        <w:keepNext/>
        <w:keepLines/>
        <w:tabs>
          <w:tab w:val="clear" w:pos="1134"/>
          <w:tab w:val="clear" w:pos="1871"/>
          <w:tab w:val="clear" w:pos="2268"/>
        </w:tabs>
        <w:overflowPunct/>
        <w:autoSpaceDE/>
        <w:autoSpaceDN/>
        <w:adjustRightInd/>
        <w:spacing w:before="0"/>
        <w:ind w:left="794" w:hanging="794"/>
        <w:textAlignment w:val="auto"/>
        <w:outlineLvl w:val="0"/>
        <w:rPr>
          <w:b/>
          <w:szCs w:val="24"/>
          <w:lang w:eastAsia="ja-JP"/>
        </w:rPr>
      </w:pPr>
      <w:r w:rsidRPr="00F34B74">
        <w:rPr>
          <w:b/>
          <w:szCs w:val="24"/>
          <w:lang w:eastAsia="ja-JP"/>
        </w:rPr>
        <w:t>Proposal</w:t>
      </w:r>
      <w:bookmarkStart w:id="0" w:name="_GoBack"/>
      <w:bookmarkEnd w:id="0"/>
    </w:p>
    <w:p w:rsidR="00F34B74" w:rsidRPr="00F34B74" w:rsidRDefault="00F34B74" w:rsidP="00F34B74">
      <w:pPr>
        <w:keepNext/>
        <w:keepLines/>
        <w:tabs>
          <w:tab w:val="clear" w:pos="1134"/>
          <w:tab w:val="clear" w:pos="1871"/>
          <w:tab w:val="clear" w:pos="2268"/>
        </w:tabs>
        <w:overflowPunct/>
        <w:autoSpaceDE/>
        <w:autoSpaceDN/>
        <w:adjustRightInd/>
        <w:spacing w:before="0"/>
        <w:ind w:left="794" w:hanging="794"/>
        <w:textAlignment w:val="auto"/>
        <w:outlineLvl w:val="0"/>
        <w:rPr>
          <w:b/>
          <w:szCs w:val="24"/>
          <w:lang w:eastAsia="ja-JP"/>
        </w:rPr>
      </w:pPr>
    </w:p>
    <w:p w:rsidR="00F34B74" w:rsidRPr="00F34B74" w:rsidRDefault="008E11E7" w:rsidP="00F34B74">
      <w:pPr>
        <w:tabs>
          <w:tab w:val="clear" w:pos="1134"/>
          <w:tab w:val="clear" w:pos="1871"/>
          <w:tab w:val="clear" w:pos="2268"/>
        </w:tabs>
        <w:overflowPunct/>
        <w:autoSpaceDE/>
        <w:autoSpaceDN/>
        <w:adjustRightInd/>
        <w:spacing w:before="0"/>
        <w:textAlignment w:val="auto"/>
        <w:rPr>
          <w:rFonts w:eastAsia="Calibri"/>
          <w:szCs w:val="24"/>
          <w:lang w:val="en-US"/>
        </w:rPr>
      </w:pPr>
      <w:r>
        <w:rPr>
          <w:rFonts w:eastAsia="Calibri"/>
          <w:szCs w:val="24"/>
        </w:rPr>
        <w:t>CITEL</w:t>
      </w:r>
      <w:r w:rsidR="00F34B74" w:rsidRPr="00F34B74">
        <w:rPr>
          <w:rFonts w:eastAsia="Calibri"/>
          <w:szCs w:val="24"/>
        </w:rPr>
        <w:t xml:space="preserve"> proposes that </w:t>
      </w:r>
      <w:r w:rsidR="00F34B74" w:rsidRPr="00F34B74">
        <w:rPr>
          <w:rFonts w:eastAsia="Calibri"/>
          <w:szCs w:val="24"/>
          <w:lang w:val="en-US"/>
        </w:rPr>
        <w:t>Resolution 11 be suppressed.</w:t>
      </w:r>
    </w:p>
    <w:p w:rsidR="00F34B74" w:rsidRPr="00F34B74" w:rsidRDefault="00F34B74" w:rsidP="00F34B74">
      <w:pPr>
        <w:tabs>
          <w:tab w:val="clear" w:pos="1134"/>
          <w:tab w:val="clear" w:pos="1871"/>
          <w:tab w:val="clear" w:pos="2268"/>
        </w:tabs>
        <w:overflowPunct/>
        <w:autoSpaceDE/>
        <w:autoSpaceDN/>
        <w:adjustRightInd/>
        <w:spacing w:before="0" w:after="200" w:line="276" w:lineRule="auto"/>
        <w:textAlignment w:val="auto"/>
        <w:rPr>
          <w:rFonts w:eastAsia="Calibri"/>
          <w:b/>
          <w:szCs w:val="24"/>
          <w:lang w:val="en-US"/>
        </w:rPr>
      </w:pPr>
    </w:p>
    <w:p w:rsidR="00F34B74" w:rsidRDefault="00F34B74"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BC0425" w:rsidRDefault="00BC0425" w:rsidP="00F34B7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rPr>
      </w:pPr>
    </w:p>
    <w:p w:rsidR="00F34B74" w:rsidRPr="00F34B74" w:rsidRDefault="00F34B74" w:rsidP="00F34B74">
      <w:pPr>
        <w:tabs>
          <w:tab w:val="clear" w:pos="1134"/>
          <w:tab w:val="clear" w:pos="1871"/>
          <w:tab w:val="clear" w:pos="2268"/>
        </w:tabs>
        <w:overflowPunct/>
        <w:autoSpaceDE/>
        <w:autoSpaceDN/>
        <w:adjustRightInd/>
        <w:spacing w:before="0"/>
        <w:textAlignment w:val="auto"/>
        <w:rPr>
          <w:b/>
          <w:szCs w:val="24"/>
          <w:lang w:val="en-US" w:eastAsia="es-ES"/>
        </w:rPr>
      </w:pPr>
      <w:r w:rsidRPr="00F34B74">
        <w:rPr>
          <w:b/>
          <w:szCs w:val="24"/>
          <w:lang w:val="en-US" w:eastAsia="es-ES"/>
        </w:rPr>
        <w:t>SUP</w:t>
      </w:r>
      <w:r w:rsidRPr="00F34B74">
        <w:rPr>
          <w:b/>
          <w:szCs w:val="24"/>
          <w:lang w:val="en-US" w:eastAsia="es-ES"/>
        </w:rPr>
        <w:tab/>
        <w:t>IAP/46A13/1</w:t>
      </w:r>
    </w:p>
    <w:p w:rsidR="00F34B74" w:rsidRDefault="00F34B74" w:rsidP="00F34B74">
      <w:pPr>
        <w:tabs>
          <w:tab w:val="clear" w:pos="1134"/>
          <w:tab w:val="clear" w:pos="1871"/>
          <w:tab w:val="clear" w:pos="2268"/>
        </w:tabs>
        <w:overflowPunct/>
        <w:spacing w:before="0"/>
        <w:jc w:val="center"/>
        <w:textAlignment w:val="auto"/>
        <w:rPr>
          <w:rFonts w:eastAsia="Calibri"/>
          <w:sz w:val="28"/>
          <w:szCs w:val="28"/>
          <w:lang w:val="en-US"/>
        </w:rPr>
      </w:pPr>
    </w:p>
    <w:p w:rsidR="00F34B74" w:rsidRPr="005025B6" w:rsidRDefault="005025B6" w:rsidP="00F34B74">
      <w:pPr>
        <w:tabs>
          <w:tab w:val="clear" w:pos="1134"/>
          <w:tab w:val="clear" w:pos="1871"/>
          <w:tab w:val="clear" w:pos="2268"/>
        </w:tabs>
        <w:overflowPunct/>
        <w:spacing w:before="0"/>
        <w:jc w:val="center"/>
        <w:textAlignment w:val="auto"/>
        <w:rPr>
          <w:rFonts w:eastAsia="Calibri"/>
          <w:sz w:val="28"/>
          <w:szCs w:val="28"/>
          <w:lang w:val="en-US"/>
        </w:rPr>
      </w:pPr>
      <w:r>
        <w:rPr>
          <w:rFonts w:eastAsia="Calibri"/>
          <w:sz w:val="28"/>
          <w:szCs w:val="28"/>
          <w:lang w:val="en-US"/>
        </w:rPr>
        <w:t>RESOLUTION 11 (REV</w:t>
      </w:r>
      <w:r w:rsidR="00F34B74" w:rsidRPr="005025B6">
        <w:rPr>
          <w:rFonts w:eastAsia="Calibri"/>
          <w:sz w:val="28"/>
          <w:szCs w:val="28"/>
          <w:lang w:val="en-US"/>
        </w:rPr>
        <w:t>. D</w:t>
      </w:r>
      <w:r>
        <w:rPr>
          <w:rFonts w:eastAsia="Calibri"/>
          <w:sz w:val="28"/>
          <w:szCs w:val="28"/>
          <w:lang w:val="en-US"/>
        </w:rPr>
        <w:t>UBAI</w:t>
      </w:r>
      <w:r w:rsidR="00F34B74" w:rsidRPr="005025B6">
        <w:rPr>
          <w:rFonts w:eastAsia="Calibri"/>
          <w:sz w:val="28"/>
          <w:szCs w:val="28"/>
          <w:lang w:val="en-US"/>
        </w:rPr>
        <w:t>, 2012)</w:t>
      </w:r>
    </w:p>
    <w:p w:rsidR="00F34B74" w:rsidRPr="005025B6" w:rsidRDefault="00F34B74" w:rsidP="00F34B74">
      <w:pPr>
        <w:tabs>
          <w:tab w:val="clear" w:pos="1134"/>
          <w:tab w:val="clear" w:pos="1871"/>
          <w:tab w:val="clear" w:pos="2268"/>
        </w:tabs>
        <w:overflowPunct/>
        <w:spacing w:before="0"/>
        <w:jc w:val="center"/>
        <w:textAlignment w:val="auto"/>
        <w:rPr>
          <w:rFonts w:eastAsia="Calibri"/>
          <w:sz w:val="28"/>
          <w:szCs w:val="28"/>
          <w:lang w:val="en-US"/>
        </w:rPr>
      </w:pPr>
    </w:p>
    <w:p w:rsidR="00F34B74" w:rsidRPr="005025B6" w:rsidRDefault="00F34B74" w:rsidP="00F34B74">
      <w:pPr>
        <w:tabs>
          <w:tab w:val="clear" w:pos="1134"/>
          <w:tab w:val="clear" w:pos="1871"/>
          <w:tab w:val="clear" w:pos="2268"/>
        </w:tabs>
        <w:overflowPunct/>
        <w:spacing w:before="0"/>
        <w:jc w:val="center"/>
        <w:textAlignment w:val="auto"/>
        <w:rPr>
          <w:rFonts w:eastAsia="Calibri"/>
          <w:b/>
          <w:bCs/>
          <w:sz w:val="28"/>
          <w:szCs w:val="28"/>
          <w:lang w:val="en-US"/>
        </w:rPr>
      </w:pPr>
      <w:r w:rsidRPr="005025B6">
        <w:rPr>
          <w:rFonts w:eastAsia="Calibri"/>
          <w:b/>
          <w:bCs/>
          <w:sz w:val="28"/>
          <w:szCs w:val="28"/>
          <w:lang w:val="en-US"/>
        </w:rPr>
        <w:t>Collaboration with the Postal Operations Council of the</w:t>
      </w:r>
    </w:p>
    <w:p w:rsidR="00F34B74" w:rsidRPr="005025B6" w:rsidRDefault="00F34B74" w:rsidP="00F34B74">
      <w:pPr>
        <w:tabs>
          <w:tab w:val="clear" w:pos="1134"/>
          <w:tab w:val="clear" w:pos="1871"/>
          <w:tab w:val="clear" w:pos="2268"/>
        </w:tabs>
        <w:overflowPunct/>
        <w:spacing w:before="0"/>
        <w:jc w:val="center"/>
        <w:textAlignment w:val="auto"/>
        <w:rPr>
          <w:rFonts w:eastAsia="Calibri"/>
          <w:b/>
          <w:bCs/>
          <w:sz w:val="28"/>
          <w:szCs w:val="28"/>
          <w:lang w:val="en-US"/>
        </w:rPr>
      </w:pPr>
      <w:r w:rsidRPr="005025B6">
        <w:rPr>
          <w:rFonts w:eastAsia="Calibri"/>
          <w:b/>
          <w:bCs/>
          <w:sz w:val="28"/>
          <w:szCs w:val="28"/>
          <w:lang w:val="en-US"/>
        </w:rPr>
        <w:t>Universal Postal Union in the study of services concerning both</w:t>
      </w:r>
    </w:p>
    <w:p w:rsidR="00F34B74" w:rsidRPr="005025B6" w:rsidRDefault="00F34B74" w:rsidP="00F34B74">
      <w:pPr>
        <w:tabs>
          <w:tab w:val="clear" w:pos="1134"/>
          <w:tab w:val="clear" w:pos="1871"/>
          <w:tab w:val="clear" w:pos="2268"/>
        </w:tabs>
        <w:overflowPunct/>
        <w:spacing w:before="0"/>
        <w:jc w:val="center"/>
        <w:textAlignment w:val="auto"/>
        <w:rPr>
          <w:rFonts w:eastAsia="Calibri"/>
          <w:b/>
          <w:bCs/>
          <w:sz w:val="28"/>
          <w:szCs w:val="28"/>
          <w:lang w:val="en-US"/>
        </w:rPr>
      </w:pPr>
      <w:proofErr w:type="gramStart"/>
      <w:r w:rsidRPr="005025B6">
        <w:rPr>
          <w:rFonts w:eastAsia="Calibri"/>
          <w:b/>
          <w:bCs/>
          <w:sz w:val="28"/>
          <w:szCs w:val="28"/>
          <w:lang w:val="en-US"/>
        </w:rPr>
        <w:t>the</w:t>
      </w:r>
      <w:proofErr w:type="gramEnd"/>
      <w:r w:rsidRPr="005025B6">
        <w:rPr>
          <w:rFonts w:eastAsia="Calibri"/>
          <w:b/>
          <w:bCs/>
          <w:sz w:val="28"/>
          <w:szCs w:val="28"/>
          <w:lang w:val="en-US"/>
        </w:rPr>
        <w:t xml:space="preserve"> postal and the telecommunication sectors</w:t>
      </w:r>
    </w:p>
    <w:p w:rsidR="00F34B74" w:rsidRPr="005025B6" w:rsidRDefault="00F34B74" w:rsidP="00F34B74">
      <w:pPr>
        <w:tabs>
          <w:tab w:val="clear" w:pos="1134"/>
          <w:tab w:val="clear" w:pos="1871"/>
          <w:tab w:val="clear" w:pos="2268"/>
        </w:tabs>
        <w:overflowPunct/>
        <w:spacing w:before="0"/>
        <w:jc w:val="center"/>
        <w:textAlignment w:val="auto"/>
        <w:rPr>
          <w:rFonts w:eastAsia="Calibri"/>
          <w:b/>
          <w:bCs/>
          <w:sz w:val="28"/>
          <w:szCs w:val="28"/>
          <w:lang w:val="en-US"/>
        </w:rPr>
      </w:pPr>
    </w:p>
    <w:p w:rsidR="00F34B74" w:rsidRPr="00F34B74" w:rsidRDefault="00F34B74" w:rsidP="00F34B74">
      <w:pPr>
        <w:tabs>
          <w:tab w:val="clear" w:pos="1134"/>
          <w:tab w:val="clear" w:pos="1871"/>
          <w:tab w:val="clear" w:pos="2268"/>
        </w:tabs>
        <w:overflowPunct/>
        <w:spacing w:before="0"/>
        <w:jc w:val="center"/>
        <w:textAlignment w:val="auto"/>
        <w:rPr>
          <w:rFonts w:eastAsia="Calibri"/>
          <w:i/>
          <w:iCs/>
          <w:szCs w:val="24"/>
          <w:lang w:val="pt-BR"/>
        </w:rPr>
      </w:pPr>
      <w:r w:rsidRPr="00F34B74">
        <w:rPr>
          <w:rFonts w:eastAsia="Calibri"/>
          <w:i/>
          <w:iCs/>
          <w:szCs w:val="24"/>
          <w:lang w:val="pt-BR"/>
        </w:rPr>
        <w:t>(Malaga-Torremolinos, 1984; Helsinki, 1993; Geneva, 1996; Montreal, 2000;</w:t>
      </w:r>
    </w:p>
    <w:p w:rsidR="00F34B74" w:rsidRPr="00F34B74" w:rsidRDefault="00F34B74" w:rsidP="00F34B74">
      <w:pPr>
        <w:tabs>
          <w:tab w:val="clear" w:pos="1134"/>
          <w:tab w:val="clear" w:pos="1871"/>
          <w:tab w:val="clear" w:pos="2268"/>
        </w:tabs>
        <w:overflowPunct/>
        <w:spacing w:before="0"/>
        <w:jc w:val="center"/>
        <w:textAlignment w:val="auto"/>
        <w:rPr>
          <w:rFonts w:eastAsia="Calibri"/>
          <w:i/>
          <w:iCs/>
          <w:szCs w:val="24"/>
          <w:lang w:val="pt-BR"/>
        </w:rPr>
      </w:pPr>
      <w:r w:rsidRPr="00F34B74">
        <w:rPr>
          <w:rFonts w:eastAsia="Calibri"/>
          <w:i/>
          <w:iCs/>
          <w:szCs w:val="24"/>
          <w:lang w:val="pt-BR"/>
        </w:rPr>
        <w:t>Florianópolis, 2004; Johannesburg, 2008; Dubai, 2012)</w:t>
      </w:r>
    </w:p>
    <w:p w:rsidR="00F34B74" w:rsidRPr="005025B6" w:rsidRDefault="00F34B74" w:rsidP="005025B6">
      <w:pPr>
        <w:rPr>
          <w:rFonts w:eastAsia="Calibri"/>
        </w:rPr>
      </w:pPr>
    </w:p>
    <w:p w:rsidR="005025B6" w:rsidRDefault="00F34B74" w:rsidP="005025B6">
      <w:pPr>
        <w:rPr>
          <w:rFonts w:eastAsia="Calibri"/>
        </w:rPr>
      </w:pPr>
      <w:r w:rsidRPr="005025B6">
        <w:rPr>
          <w:rFonts w:eastAsia="Calibri"/>
        </w:rPr>
        <w:t xml:space="preserve">The World Telecommunication Standardization Assembly (Dubai, 2012), </w:t>
      </w:r>
    </w:p>
    <w:p w:rsidR="005025B6" w:rsidRDefault="005025B6" w:rsidP="005025B6"/>
    <w:p w:rsidR="00BC0425" w:rsidRPr="005025B6" w:rsidRDefault="00BC0425" w:rsidP="005025B6">
      <w:r w:rsidRPr="005025B6">
        <w:rPr>
          <w:b/>
        </w:rPr>
        <w:t>Reasons:</w:t>
      </w:r>
      <w:r w:rsidRPr="005025B6">
        <w:t xml:space="preserve"> See introduction and proposal </w:t>
      </w:r>
      <w:r w:rsidR="0028232D" w:rsidRPr="005025B6">
        <w:t xml:space="preserve">to </w:t>
      </w:r>
      <w:proofErr w:type="spellStart"/>
      <w:r w:rsidRPr="005025B6">
        <w:t>Doc</w:t>
      </w:r>
      <w:r w:rsidR="00F7268E">
        <w:t>umento</w:t>
      </w:r>
      <w:proofErr w:type="spellEnd"/>
      <w:r w:rsidRPr="005025B6">
        <w:t xml:space="preserve"> 46 </w:t>
      </w:r>
      <w:r w:rsidR="00F7268E">
        <w:t>(</w:t>
      </w:r>
      <w:r w:rsidRPr="005025B6">
        <w:t>Add. 1</w:t>
      </w:r>
      <w:r w:rsidR="0028232D" w:rsidRPr="005025B6">
        <w:t>3</w:t>
      </w:r>
      <w:r w:rsidR="00F7268E">
        <w:t>).</w:t>
      </w:r>
    </w:p>
    <w:p w:rsidR="00F34B74" w:rsidRPr="005025B6" w:rsidRDefault="00F34B74" w:rsidP="005025B6">
      <w:pPr>
        <w:rPr>
          <w:rFonts w:eastAsia="Calibri"/>
        </w:rPr>
      </w:pPr>
    </w:p>
    <w:p w:rsidR="00F34B74" w:rsidRPr="005025B6" w:rsidRDefault="00F34B74" w:rsidP="005025B6">
      <w:pPr>
        <w:rPr>
          <w:rFonts w:eastAsia="Calibri"/>
        </w:rPr>
      </w:pPr>
    </w:p>
    <w:p w:rsidR="00A82EFF" w:rsidRDefault="00A82EFF">
      <w:pPr>
        <w:tabs>
          <w:tab w:val="clear" w:pos="1134"/>
          <w:tab w:val="clear" w:pos="1871"/>
          <w:tab w:val="clear" w:pos="2268"/>
        </w:tabs>
        <w:overflowPunct/>
        <w:autoSpaceDE/>
        <w:autoSpaceDN/>
        <w:adjustRightInd/>
        <w:spacing w:before="0"/>
        <w:textAlignment w:val="auto"/>
      </w:pPr>
    </w:p>
    <w:p w:rsidR="00A82EFF" w:rsidRDefault="00A82EFF">
      <w:pPr>
        <w:tabs>
          <w:tab w:val="clear" w:pos="1134"/>
          <w:tab w:val="clear" w:pos="1871"/>
          <w:tab w:val="clear" w:pos="2268"/>
        </w:tabs>
        <w:overflowPunct/>
        <w:autoSpaceDE/>
        <w:autoSpaceDN/>
        <w:adjustRightInd/>
        <w:spacing w:before="0"/>
        <w:textAlignment w:val="auto"/>
      </w:pPr>
    </w:p>
    <w:p w:rsidR="00A82EFF" w:rsidRDefault="00A82EFF">
      <w:pPr>
        <w:tabs>
          <w:tab w:val="clear" w:pos="1134"/>
          <w:tab w:val="clear" w:pos="1871"/>
          <w:tab w:val="clear" w:pos="2268"/>
        </w:tabs>
        <w:overflowPunct/>
        <w:autoSpaceDE/>
        <w:autoSpaceDN/>
        <w:adjustRightInd/>
        <w:spacing w:before="0"/>
        <w:textAlignment w:val="auto"/>
      </w:pPr>
    </w:p>
    <w:p w:rsidR="00A82EFF" w:rsidRDefault="00A82EFF">
      <w:pPr>
        <w:tabs>
          <w:tab w:val="clear" w:pos="1134"/>
          <w:tab w:val="clear" w:pos="1871"/>
          <w:tab w:val="clear" w:pos="2268"/>
        </w:tabs>
        <w:overflowPunct/>
        <w:autoSpaceDE/>
        <w:autoSpaceDN/>
        <w:adjustRightInd/>
        <w:spacing w:before="0"/>
        <w:textAlignment w:val="auto"/>
      </w:pPr>
    </w:p>
    <w:p w:rsidR="00A82EFF" w:rsidRDefault="00A82EFF">
      <w:pPr>
        <w:tabs>
          <w:tab w:val="clear" w:pos="1134"/>
          <w:tab w:val="clear" w:pos="1871"/>
          <w:tab w:val="clear" w:pos="2268"/>
        </w:tabs>
        <w:overflowPunct/>
        <w:autoSpaceDE/>
        <w:autoSpaceDN/>
        <w:adjustRightInd/>
        <w:spacing w:before="0"/>
        <w:textAlignment w:val="auto"/>
      </w:pPr>
    </w:p>
    <w:p w:rsidR="00A82EFF" w:rsidRDefault="00A82EFF">
      <w:pPr>
        <w:tabs>
          <w:tab w:val="clear" w:pos="1134"/>
          <w:tab w:val="clear" w:pos="1871"/>
          <w:tab w:val="clear" w:pos="2268"/>
        </w:tabs>
        <w:overflowPunct/>
        <w:autoSpaceDE/>
        <w:autoSpaceDN/>
        <w:adjustRightInd/>
        <w:spacing w:before="0"/>
        <w:textAlignment w:val="auto"/>
      </w:pPr>
    </w:p>
    <w:sectPr w:rsidR="00A82EFF">
      <w:headerReference w:type="default" r:id="rId13"/>
      <w:footerReference w:type="even" r:id="rId14"/>
      <w:footerReference w:type="default" r:id="rId15"/>
      <w:footerReference w:type="first" r:id="rId16"/>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E4" w:rsidRDefault="005B6FE4">
      <w:r>
        <w:separator/>
      </w:r>
    </w:p>
  </w:endnote>
  <w:endnote w:type="continuationSeparator" w:id="0">
    <w:p w:rsidR="005B6FE4" w:rsidRDefault="005B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8E11E7">
      <w:rPr>
        <w:noProof/>
      </w:rPr>
      <w:t>16.09.16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FF" w:rsidRPr="00A82EFF" w:rsidRDefault="00A82EFF" w:rsidP="00A82EFF">
    <w:pPr>
      <w:tabs>
        <w:tab w:val="clear" w:pos="1134"/>
        <w:tab w:val="clear" w:pos="1871"/>
        <w:tab w:val="clear" w:pos="2268"/>
        <w:tab w:val="left" w:pos="5954"/>
        <w:tab w:val="right" w:pos="9639"/>
      </w:tabs>
      <w:spacing w:before="0"/>
      <w:rPr>
        <w:caps/>
        <w:noProof/>
        <w:sz w:val="16"/>
        <w:lang w:val="fr-CH"/>
      </w:rPr>
    </w:pPr>
    <w:r w:rsidRPr="00A82EFF">
      <w:rPr>
        <w:caps/>
        <w:noProof/>
        <w:sz w:val="16"/>
        <w:lang w:val="fr-CH"/>
      </w:rPr>
      <w:t>ITU-T\CONF-T\WTSA16\000\046ADD1</w:t>
    </w:r>
    <w:r w:rsidR="00BC0425">
      <w:rPr>
        <w:caps/>
        <w:noProof/>
        <w:sz w:val="16"/>
        <w:lang w:val="fr-CH"/>
      </w:rPr>
      <w:t>3</w:t>
    </w:r>
    <w:r>
      <w:rPr>
        <w:caps/>
        <w:noProof/>
        <w:sz w:val="16"/>
        <w:lang w:val="fr-CH"/>
      </w:rPr>
      <w:t>E</w:t>
    </w:r>
    <w:r w:rsidRPr="00A82EFF">
      <w:rPr>
        <w:caps/>
        <w:noProof/>
        <w:sz w:val="16"/>
        <w:lang w:val="fr-CH"/>
      </w:rPr>
      <w:t>.DOC</w:t>
    </w:r>
  </w:p>
  <w:p w:rsidR="00C72D5C" w:rsidRPr="00A82EFF" w:rsidRDefault="00C72D5C" w:rsidP="00A82EFF">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rsidTr="0068006E">
      <w:trPr>
        <w:cantSplit/>
        <w:trHeight w:val="204"/>
      </w:trPr>
      <w:tc>
        <w:tcPr>
          <w:tcW w:w="1617" w:type="dxa"/>
          <w:tcBorders>
            <w:top w:val="single" w:sz="12" w:space="0" w:color="auto"/>
          </w:tcBorders>
        </w:tcPr>
        <w:p w:rsidR="00EE1170" w:rsidRDefault="00EE1170" w:rsidP="00EE1170">
          <w:pPr>
            <w:rPr>
              <w:b/>
              <w:bCs/>
            </w:rPr>
          </w:pPr>
          <w:bookmarkStart w:id="1" w:name="dcontact"/>
          <w:r>
            <w:rPr>
              <w:b/>
              <w:bCs/>
            </w:rPr>
            <w:t>Contact:</w:t>
          </w:r>
        </w:p>
      </w:tc>
      <w:tc>
        <w:tcPr>
          <w:tcW w:w="4394" w:type="dxa"/>
          <w:tcBorders>
            <w:top w:val="single" w:sz="12" w:space="0" w:color="auto"/>
          </w:tcBorders>
        </w:tcPr>
        <w:p w:rsidR="00EE1170" w:rsidRDefault="00683CF3" w:rsidP="00EE1170">
          <w:r>
            <w:t>Oscar León</w:t>
          </w:r>
        </w:p>
        <w:p w:rsidR="00EE1170" w:rsidRDefault="00683CF3" w:rsidP="00EE1170">
          <w:pPr>
            <w:spacing w:before="0"/>
          </w:pPr>
          <w:r>
            <w:t>CITEL</w:t>
          </w:r>
        </w:p>
        <w:p w:rsidR="00EE1170" w:rsidRDefault="00683CF3" w:rsidP="00EE1170">
          <w:pPr>
            <w:spacing w:before="0"/>
          </w:pPr>
          <w:r>
            <w:t>Washington, DC, USA</w:t>
          </w:r>
        </w:p>
      </w:tc>
      <w:tc>
        <w:tcPr>
          <w:tcW w:w="3912" w:type="dxa"/>
          <w:tcBorders>
            <w:top w:val="single" w:sz="12" w:space="0" w:color="auto"/>
          </w:tcBorders>
        </w:tcPr>
        <w:p w:rsidR="00EE1170" w:rsidRDefault="00EE1170" w:rsidP="00EE1170">
          <w:r>
            <w:t>Tel:</w:t>
          </w:r>
          <w:r w:rsidR="00683CF3">
            <w:t xml:space="preserve"> + 1 (202) 370-4713</w:t>
          </w:r>
        </w:p>
        <w:p w:rsidR="00EE1170" w:rsidRDefault="00EE1170" w:rsidP="00EE1170">
          <w:pPr>
            <w:spacing w:before="0"/>
          </w:pPr>
          <w:r>
            <w:t>Fax:</w:t>
          </w:r>
          <w:r w:rsidR="00683CF3">
            <w:t xml:space="preserve"> + 1 (202) 458-6854</w:t>
          </w:r>
        </w:p>
        <w:p w:rsidR="00EE1170" w:rsidRDefault="00EE1170" w:rsidP="00EE1170">
          <w:pPr>
            <w:spacing w:before="0"/>
          </w:pPr>
          <w:r>
            <w:t>Email:</w:t>
          </w:r>
          <w:r w:rsidR="00683CF3">
            <w:t xml:space="preserve"> citel@oas.org</w:t>
          </w:r>
        </w:p>
      </w:tc>
    </w:tr>
    <w:bookmarkEnd w:id="1"/>
  </w:tbl>
  <w:p w:rsidR="00864CD2" w:rsidRPr="00EE1170" w:rsidRDefault="00864CD2" w:rsidP="00E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E4" w:rsidRDefault="005B6FE4">
      <w:r>
        <w:rPr>
          <w:b/>
        </w:rPr>
        <w:t>_______________</w:t>
      </w:r>
    </w:p>
  </w:footnote>
  <w:footnote w:type="continuationSeparator" w:id="0">
    <w:p w:rsidR="005B6FE4" w:rsidRDefault="005B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8E11E7">
      <w:rPr>
        <w:noProof/>
      </w:rPr>
      <w:t>3</w:t>
    </w:r>
    <w:r>
      <w:fldChar w:fldCharType="end"/>
    </w:r>
  </w:p>
  <w:p w:rsidR="00A066F1" w:rsidRPr="00EE1170" w:rsidRDefault="00EE1170" w:rsidP="00EE1170">
    <w:pPr>
      <w:pStyle w:val="Header"/>
      <w:rPr>
        <w:lang w:val="en-US"/>
      </w:rPr>
    </w:pPr>
    <w:r w:rsidRPr="00EE1170">
      <w:t>WTSA16/</w:t>
    </w:r>
    <w:r w:rsidR="008E157C">
      <w:t>46 (Add.</w:t>
    </w:r>
    <w:r w:rsidR="00A82EFF">
      <w:t>1</w:t>
    </w:r>
    <w:r w:rsidR="00BC0425">
      <w:t>3</w:t>
    </w:r>
    <w:r w:rsidR="008E157C">
      <w:t>)</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8232D"/>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12AE"/>
    <w:rsid w:val="003F2601"/>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025B6"/>
    <w:rsid w:val="0055140B"/>
    <w:rsid w:val="00553247"/>
    <w:rsid w:val="0056747D"/>
    <w:rsid w:val="005736AA"/>
    <w:rsid w:val="00581B01"/>
    <w:rsid w:val="00595780"/>
    <w:rsid w:val="005964AB"/>
    <w:rsid w:val="005B6FE4"/>
    <w:rsid w:val="005C099A"/>
    <w:rsid w:val="005C31A5"/>
    <w:rsid w:val="005D0F80"/>
    <w:rsid w:val="005E10C9"/>
    <w:rsid w:val="005E61DD"/>
    <w:rsid w:val="006023DF"/>
    <w:rsid w:val="00602F64"/>
    <w:rsid w:val="00623F15"/>
    <w:rsid w:val="00643684"/>
    <w:rsid w:val="00657DE0"/>
    <w:rsid w:val="0067500B"/>
    <w:rsid w:val="006763BF"/>
    <w:rsid w:val="00683CF3"/>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659CB"/>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11E7"/>
    <w:rsid w:val="008E157C"/>
    <w:rsid w:val="008E67E5"/>
    <w:rsid w:val="008F08A1"/>
    <w:rsid w:val="009163CF"/>
    <w:rsid w:val="0092425C"/>
    <w:rsid w:val="009274B4"/>
    <w:rsid w:val="00930EBD"/>
    <w:rsid w:val="00934EA2"/>
    <w:rsid w:val="00940614"/>
    <w:rsid w:val="00944A5C"/>
    <w:rsid w:val="00944FFF"/>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82EFF"/>
    <w:rsid w:val="00A93B85"/>
    <w:rsid w:val="00AA0B18"/>
    <w:rsid w:val="00AA666F"/>
    <w:rsid w:val="00AB416A"/>
    <w:rsid w:val="00AB7C5F"/>
    <w:rsid w:val="00B529AD"/>
    <w:rsid w:val="00B6324B"/>
    <w:rsid w:val="00B639E9"/>
    <w:rsid w:val="00B817CD"/>
    <w:rsid w:val="00B94AD0"/>
    <w:rsid w:val="00BA5265"/>
    <w:rsid w:val="00BB3A95"/>
    <w:rsid w:val="00BB6222"/>
    <w:rsid w:val="00BC0425"/>
    <w:rsid w:val="00BC2FB6"/>
    <w:rsid w:val="00BC7D84"/>
    <w:rsid w:val="00C0018F"/>
    <w:rsid w:val="00C0539A"/>
    <w:rsid w:val="00C16A5A"/>
    <w:rsid w:val="00C20466"/>
    <w:rsid w:val="00C214ED"/>
    <w:rsid w:val="00C234E6"/>
    <w:rsid w:val="00C2598F"/>
    <w:rsid w:val="00C324A8"/>
    <w:rsid w:val="00C40F28"/>
    <w:rsid w:val="00C479FD"/>
    <w:rsid w:val="00C50EF4"/>
    <w:rsid w:val="00C54517"/>
    <w:rsid w:val="00C63301"/>
    <w:rsid w:val="00C64CD8"/>
    <w:rsid w:val="00C72D5C"/>
    <w:rsid w:val="00C77E1A"/>
    <w:rsid w:val="00C97C68"/>
    <w:rsid w:val="00CA1A47"/>
    <w:rsid w:val="00CB598A"/>
    <w:rsid w:val="00CC247A"/>
    <w:rsid w:val="00CD7CC4"/>
    <w:rsid w:val="00CE388F"/>
    <w:rsid w:val="00CE5E47"/>
    <w:rsid w:val="00CF020F"/>
    <w:rsid w:val="00CF1E9D"/>
    <w:rsid w:val="00CF2B5B"/>
    <w:rsid w:val="00D055D3"/>
    <w:rsid w:val="00D14CE0"/>
    <w:rsid w:val="00D278AC"/>
    <w:rsid w:val="00D4101A"/>
    <w:rsid w:val="00D41719"/>
    <w:rsid w:val="00D54009"/>
    <w:rsid w:val="00D5651D"/>
    <w:rsid w:val="00D57A34"/>
    <w:rsid w:val="00D643B3"/>
    <w:rsid w:val="00D74898"/>
    <w:rsid w:val="00D801ED"/>
    <w:rsid w:val="00D936BC"/>
    <w:rsid w:val="00D96530"/>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1170"/>
    <w:rsid w:val="00EE43E4"/>
    <w:rsid w:val="00F00DDC"/>
    <w:rsid w:val="00F02766"/>
    <w:rsid w:val="00F05BD4"/>
    <w:rsid w:val="00F2404A"/>
    <w:rsid w:val="00F34B74"/>
    <w:rsid w:val="00F60D05"/>
    <w:rsid w:val="00F6155B"/>
    <w:rsid w:val="00F65C19"/>
    <w:rsid w:val="00F7267B"/>
    <w:rsid w:val="00F7268E"/>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962929317">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0C76CA"/>
    <w:rsid w:val="001C4DE2"/>
    <w:rsid w:val="00235800"/>
    <w:rsid w:val="00236915"/>
    <w:rsid w:val="002B79AF"/>
    <w:rsid w:val="002E2CCE"/>
    <w:rsid w:val="00347F90"/>
    <w:rsid w:val="004028F8"/>
    <w:rsid w:val="00412379"/>
    <w:rsid w:val="00426CEF"/>
    <w:rsid w:val="00443ABB"/>
    <w:rsid w:val="004A43DD"/>
    <w:rsid w:val="004F427C"/>
    <w:rsid w:val="0055704D"/>
    <w:rsid w:val="0056464A"/>
    <w:rsid w:val="00564A3E"/>
    <w:rsid w:val="006511FC"/>
    <w:rsid w:val="00763E18"/>
    <w:rsid w:val="00831655"/>
    <w:rsid w:val="008A7E6B"/>
    <w:rsid w:val="00BC7DBA"/>
    <w:rsid w:val="00D17A5E"/>
    <w:rsid w:val="00D26B4A"/>
    <w:rsid w:val="00D850D3"/>
    <w:rsid w:val="00E05AC0"/>
    <w:rsid w:val="00EA5142"/>
    <w:rsid w:val="00EA6104"/>
    <w:rsid w:val="00F66CD5"/>
    <w:rsid w:val="00FC7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FF46C-FB82-46B2-AB1F-CB5227A9F3CE}"/>
</file>

<file path=customXml/itemProps2.xml><?xml version="1.0" encoding="utf-8"?>
<ds:datastoreItem xmlns:ds="http://schemas.openxmlformats.org/officeDocument/2006/customXml" ds:itemID="{0CB984FA-CF94-40EC-9E86-4BE8E1EF7380}"/>
</file>

<file path=customXml/itemProps3.xml><?xml version="1.0" encoding="utf-8"?>
<ds:datastoreItem xmlns:ds="http://schemas.openxmlformats.org/officeDocument/2006/customXml" ds:itemID="{8C15758A-C628-4352-9A8B-F5C87AF37104}"/>
</file>

<file path=docProps/app.xml><?xml version="1.0" encoding="utf-8"?>
<Properties xmlns="http://schemas.openxmlformats.org/officeDocument/2006/extended-properties" xmlns:vt="http://schemas.openxmlformats.org/officeDocument/2006/docPropsVTypes">
  <Template>Normal</Template>
  <TotalTime>10</TotalTime>
  <Pages>3</Pages>
  <Words>444</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Fuenmayor, Maria C</cp:lastModifiedBy>
  <cp:revision>10</cp:revision>
  <cp:lastPrinted>2016-06-06T07:49:00Z</cp:lastPrinted>
  <dcterms:created xsi:type="dcterms:W3CDTF">2016-09-16T00:37:00Z</dcterms:created>
  <dcterms:modified xsi:type="dcterms:W3CDTF">2016-09-21T17:20:00Z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