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D764EE" w:rsidRPr="00D764EE">
        <w:trPr>
          <w:cantSplit/>
        </w:trPr>
        <w:tc>
          <w:tcPr>
            <w:tcW w:w="4857" w:type="dxa"/>
            <w:gridSpan w:val="2"/>
          </w:tcPr>
          <w:p w:rsidR="00D764EE" w:rsidRPr="00D764EE" w:rsidRDefault="00D764EE" w:rsidP="00D764EE">
            <w:pPr>
              <w:rPr>
                <w:sz w:val="20"/>
              </w:rPr>
            </w:pPr>
            <w:bookmarkStart w:id="0" w:name="dsg" w:colFirst="1" w:colLast="1"/>
            <w:bookmarkStart w:id="1" w:name="dtableau"/>
            <w:r w:rsidRPr="00D764EE">
              <w:rPr>
                <w:sz w:val="20"/>
              </w:rPr>
              <w:t>INTERNATIONAL TELECOMMUNICATION UNION</w:t>
            </w:r>
          </w:p>
        </w:tc>
        <w:tc>
          <w:tcPr>
            <w:tcW w:w="5066" w:type="dxa"/>
          </w:tcPr>
          <w:p w:rsidR="00D764EE" w:rsidRPr="00D764EE" w:rsidRDefault="008D6F80" w:rsidP="00D764EE">
            <w:pPr>
              <w:jc w:val="right"/>
              <w:rPr>
                <w:b/>
                <w:bCs/>
                <w:smallCaps/>
                <w:sz w:val="32"/>
              </w:rPr>
            </w:pPr>
            <w:r w:rsidRPr="0055743F">
              <w:rPr>
                <w:rFonts w:eastAsia="MS Mincho"/>
                <w:b/>
                <w:bCs/>
                <w:smallCaps/>
                <w:sz w:val="28"/>
              </w:rPr>
              <w:t xml:space="preserve">Joint Coordination Activity </w:t>
            </w:r>
            <w:r w:rsidRPr="0055743F">
              <w:rPr>
                <w:rFonts w:eastAsia="MS Mincho"/>
                <w:b/>
                <w:bCs/>
                <w:smallCaps/>
                <w:sz w:val="28"/>
              </w:rPr>
              <w:br/>
              <w:t xml:space="preserve"> On Accessibility and Human Factors</w:t>
            </w:r>
          </w:p>
        </w:tc>
      </w:tr>
      <w:tr w:rsidR="00D764EE" w:rsidRPr="00D764EE">
        <w:trPr>
          <w:cantSplit/>
          <w:trHeight w:val="461"/>
        </w:trPr>
        <w:tc>
          <w:tcPr>
            <w:tcW w:w="4857" w:type="dxa"/>
            <w:gridSpan w:val="2"/>
            <w:vMerge w:val="restart"/>
            <w:tcBorders>
              <w:bottom w:val="nil"/>
            </w:tcBorders>
          </w:tcPr>
          <w:p w:rsidR="00D764EE" w:rsidRPr="00D764EE" w:rsidRDefault="00D764EE" w:rsidP="00D764EE">
            <w:pPr>
              <w:rPr>
                <w:b/>
                <w:bCs/>
                <w:sz w:val="26"/>
              </w:rPr>
            </w:pPr>
            <w:bookmarkStart w:id="2" w:name="dnum" w:colFirst="1" w:colLast="1"/>
            <w:bookmarkEnd w:id="0"/>
            <w:r w:rsidRPr="00D764EE">
              <w:rPr>
                <w:b/>
                <w:bCs/>
                <w:sz w:val="26"/>
              </w:rPr>
              <w:t>TELECOMMUNICATION</w:t>
            </w:r>
            <w:r w:rsidRPr="00D764EE">
              <w:rPr>
                <w:b/>
                <w:bCs/>
                <w:sz w:val="26"/>
              </w:rPr>
              <w:br/>
              <w:t>STANDARDIZATION SECTOR</w:t>
            </w:r>
          </w:p>
          <w:p w:rsidR="00D764EE" w:rsidRPr="00D764EE" w:rsidRDefault="00D764EE" w:rsidP="00D764EE">
            <w:pPr>
              <w:rPr>
                <w:smallCaps/>
                <w:sz w:val="20"/>
              </w:rPr>
            </w:pPr>
            <w:r w:rsidRPr="00D764EE">
              <w:rPr>
                <w:sz w:val="20"/>
              </w:rPr>
              <w:t xml:space="preserve">STUDY PERIOD </w:t>
            </w:r>
            <w:r>
              <w:rPr>
                <w:sz w:val="20"/>
              </w:rPr>
              <w:t>2013-2016</w:t>
            </w:r>
          </w:p>
        </w:tc>
        <w:tc>
          <w:tcPr>
            <w:tcW w:w="5066" w:type="dxa"/>
            <w:tcBorders>
              <w:bottom w:val="nil"/>
            </w:tcBorders>
          </w:tcPr>
          <w:p w:rsidR="00D764EE" w:rsidRPr="00D764EE" w:rsidRDefault="008D6F80" w:rsidP="0052732C">
            <w:pPr>
              <w:pStyle w:val="Docnumber"/>
            </w:pPr>
            <w:r>
              <w:t xml:space="preserve">Doc </w:t>
            </w:r>
            <w:r w:rsidR="008909AB">
              <w:t>10</w:t>
            </w:r>
            <w:r w:rsidR="0052732C">
              <w:t>7</w:t>
            </w:r>
          </w:p>
        </w:tc>
      </w:tr>
      <w:tr w:rsidR="00D764EE" w:rsidRPr="00D764EE">
        <w:trPr>
          <w:cantSplit/>
          <w:trHeight w:val="355"/>
        </w:trPr>
        <w:tc>
          <w:tcPr>
            <w:tcW w:w="4857" w:type="dxa"/>
            <w:gridSpan w:val="2"/>
            <w:vMerge/>
            <w:tcBorders>
              <w:bottom w:val="single" w:sz="12" w:space="0" w:color="auto"/>
            </w:tcBorders>
          </w:tcPr>
          <w:p w:rsidR="00D764EE" w:rsidRPr="00D764EE" w:rsidRDefault="00D764EE" w:rsidP="00D764EE">
            <w:pPr>
              <w:rPr>
                <w:b/>
                <w:bCs/>
                <w:sz w:val="26"/>
              </w:rPr>
            </w:pPr>
            <w:bookmarkStart w:id="3" w:name="dorlang" w:colFirst="1" w:colLast="1"/>
            <w:bookmarkEnd w:id="2"/>
          </w:p>
        </w:tc>
        <w:tc>
          <w:tcPr>
            <w:tcW w:w="5066" w:type="dxa"/>
            <w:tcBorders>
              <w:bottom w:val="single" w:sz="12" w:space="0" w:color="auto"/>
            </w:tcBorders>
          </w:tcPr>
          <w:p w:rsidR="00D764EE" w:rsidRDefault="00D764EE" w:rsidP="00D764EE">
            <w:pPr>
              <w:jc w:val="right"/>
              <w:rPr>
                <w:b/>
                <w:bCs/>
                <w:sz w:val="28"/>
              </w:rPr>
            </w:pPr>
            <w:r>
              <w:rPr>
                <w:b/>
                <w:bCs/>
                <w:sz w:val="28"/>
              </w:rPr>
              <w:t>English only</w:t>
            </w:r>
          </w:p>
          <w:p w:rsidR="00D764EE" w:rsidRPr="00D764EE" w:rsidRDefault="00D764EE" w:rsidP="00D764EE">
            <w:pPr>
              <w:jc w:val="right"/>
              <w:rPr>
                <w:b/>
                <w:bCs/>
                <w:sz w:val="28"/>
              </w:rPr>
            </w:pPr>
            <w:r>
              <w:rPr>
                <w:b/>
                <w:bCs/>
                <w:sz w:val="28"/>
              </w:rPr>
              <w:t>Original: English</w:t>
            </w:r>
          </w:p>
        </w:tc>
      </w:tr>
      <w:tr w:rsidR="00672A4D" w:rsidRPr="00D764EE">
        <w:trPr>
          <w:cantSplit/>
          <w:trHeight w:val="357"/>
        </w:trPr>
        <w:tc>
          <w:tcPr>
            <w:tcW w:w="1617" w:type="dxa"/>
          </w:tcPr>
          <w:p w:rsidR="00672A4D" w:rsidRPr="00D764EE" w:rsidRDefault="00672A4D" w:rsidP="00D764EE">
            <w:pPr>
              <w:rPr>
                <w:b/>
                <w:bCs/>
              </w:rPr>
            </w:pPr>
          </w:p>
        </w:tc>
        <w:tc>
          <w:tcPr>
            <w:tcW w:w="8306" w:type="dxa"/>
            <w:gridSpan w:val="2"/>
          </w:tcPr>
          <w:p w:rsidR="00672A4D" w:rsidRDefault="00672A4D" w:rsidP="00672A4D">
            <w:pPr>
              <w:jc w:val="right"/>
            </w:pPr>
            <w:r w:rsidRPr="003962E2">
              <w:t>Geneva, 6 November 2013</w:t>
            </w:r>
          </w:p>
        </w:tc>
      </w:tr>
      <w:tr w:rsidR="00D764EE" w:rsidRPr="00D764EE">
        <w:trPr>
          <w:cantSplit/>
          <w:trHeight w:val="357"/>
        </w:trPr>
        <w:tc>
          <w:tcPr>
            <w:tcW w:w="1617" w:type="dxa"/>
          </w:tcPr>
          <w:p w:rsidR="00D764EE" w:rsidRPr="00D764EE" w:rsidRDefault="00D764EE" w:rsidP="00D764EE">
            <w:pPr>
              <w:rPr>
                <w:b/>
                <w:bCs/>
              </w:rPr>
            </w:pPr>
            <w:bookmarkStart w:id="4" w:name="dsource" w:colFirst="1" w:colLast="1"/>
            <w:bookmarkEnd w:id="3"/>
            <w:r w:rsidRPr="00D764EE">
              <w:rPr>
                <w:b/>
                <w:bCs/>
              </w:rPr>
              <w:t>Source:</w:t>
            </w:r>
          </w:p>
        </w:tc>
        <w:tc>
          <w:tcPr>
            <w:tcW w:w="8306" w:type="dxa"/>
            <w:gridSpan w:val="2"/>
          </w:tcPr>
          <w:p w:rsidR="00D764EE" w:rsidRPr="0052732C" w:rsidRDefault="0052732C" w:rsidP="00D764EE">
            <w:r w:rsidRPr="0052732C">
              <w:rPr>
                <w:lang w:val="en-US"/>
              </w:rPr>
              <w:t>ITU Accessibility Task Force (</w:t>
            </w:r>
            <w:proofErr w:type="spellStart"/>
            <w:r w:rsidRPr="0052732C">
              <w:rPr>
                <w:lang w:val="en-US"/>
              </w:rPr>
              <w:t>AccTF</w:t>
            </w:r>
            <w:proofErr w:type="spellEnd"/>
            <w:r w:rsidRPr="0052732C">
              <w:rPr>
                <w:lang w:val="en-US"/>
              </w:rPr>
              <w:t>)</w:t>
            </w:r>
          </w:p>
        </w:tc>
      </w:tr>
      <w:tr w:rsidR="00D764EE" w:rsidRPr="00D764EE">
        <w:trPr>
          <w:cantSplit/>
          <w:trHeight w:val="357"/>
        </w:trPr>
        <w:tc>
          <w:tcPr>
            <w:tcW w:w="1617" w:type="dxa"/>
            <w:tcBorders>
              <w:bottom w:val="single" w:sz="12" w:space="0" w:color="auto"/>
            </w:tcBorders>
          </w:tcPr>
          <w:p w:rsidR="00D764EE" w:rsidRPr="00D764EE" w:rsidRDefault="00D764EE" w:rsidP="00D764EE">
            <w:pPr>
              <w:spacing w:after="120"/>
            </w:pPr>
            <w:bookmarkStart w:id="5" w:name="dtitle1" w:colFirst="1" w:colLast="1"/>
            <w:bookmarkEnd w:id="4"/>
            <w:r w:rsidRPr="00D764EE">
              <w:rPr>
                <w:b/>
                <w:bCs/>
              </w:rPr>
              <w:t>Title:</w:t>
            </w:r>
          </w:p>
        </w:tc>
        <w:tc>
          <w:tcPr>
            <w:tcW w:w="8306" w:type="dxa"/>
            <w:gridSpan w:val="2"/>
            <w:tcBorders>
              <w:bottom w:val="single" w:sz="12" w:space="0" w:color="auto"/>
            </w:tcBorders>
          </w:tcPr>
          <w:p w:rsidR="00D764EE" w:rsidRPr="0052732C" w:rsidRDefault="0052732C" w:rsidP="00D764EE">
            <w:pPr>
              <w:spacing w:after="120"/>
            </w:pPr>
            <w:r w:rsidRPr="0052732C">
              <w:rPr>
                <w:lang w:val="en-US"/>
              </w:rPr>
              <w:t xml:space="preserve">Summary of latest actions on the implementation of resolution 175 </w:t>
            </w:r>
            <w:r w:rsidRPr="0052732C">
              <w:rPr>
                <w:lang w:val="en-US"/>
              </w:rPr>
              <w:br/>
              <w:t>(Guadalajara, 2010</w:t>
            </w:r>
            <w:r>
              <w:rPr>
                <w:lang w:val="en-US"/>
              </w:rPr>
              <w:t>)</w:t>
            </w:r>
            <w:bookmarkStart w:id="6" w:name="_GoBack"/>
            <w:bookmarkEnd w:id="6"/>
          </w:p>
        </w:tc>
      </w:tr>
      <w:bookmarkEnd w:id="1"/>
      <w:bookmarkEnd w:id="5"/>
    </w:tbl>
    <w:p w:rsidR="0052732C" w:rsidRDefault="0052732C" w:rsidP="0052732C">
      <w:pPr>
        <w:rPr>
          <w:color w:val="1F497D"/>
          <w:lang w:val="en-US"/>
        </w:rPr>
      </w:pPr>
    </w:p>
    <w:p w:rsidR="00DC4BC9" w:rsidRDefault="00DC4BC9" w:rsidP="00DC4BC9"/>
    <w:tbl>
      <w:tblPr>
        <w:tblW w:w="9923" w:type="dxa"/>
        <w:tblInd w:w="108" w:type="dxa"/>
        <w:tblLook w:val="01E0" w:firstRow="1" w:lastRow="1" w:firstColumn="1" w:lastColumn="1" w:noHBand="0" w:noVBand="0"/>
      </w:tblPr>
      <w:tblGrid>
        <w:gridCol w:w="2694"/>
        <w:gridCol w:w="7229"/>
      </w:tblGrid>
      <w:tr w:rsidR="0052732C" w:rsidRPr="0052732C" w:rsidTr="005225F4">
        <w:tc>
          <w:tcPr>
            <w:tcW w:w="2694" w:type="dxa"/>
            <w:vAlign w:val="center"/>
            <w:hideMark/>
          </w:tcPr>
          <w:p w:rsidR="0052732C" w:rsidRPr="0052732C" w:rsidRDefault="0052732C" w:rsidP="0052732C">
            <w:pPr>
              <w:spacing w:after="120"/>
              <w:jc w:val="center"/>
              <w:rPr>
                <w:rFonts w:asciiTheme="majorBidi" w:eastAsia="SimSun" w:hAnsiTheme="majorBidi" w:cstheme="majorBidi"/>
                <w:sz w:val="20"/>
                <w:szCs w:val="20"/>
                <w:lang w:eastAsia="zh-CN"/>
              </w:rPr>
            </w:pPr>
            <w:r w:rsidRPr="0052732C">
              <w:rPr>
                <w:rFonts w:eastAsia="SimSun"/>
                <w:b/>
                <w:bCs/>
                <w:noProof/>
                <w:lang w:val="fr-FR" w:eastAsia="zh-CN"/>
              </w:rPr>
              <w:drawing>
                <wp:inline distT="0" distB="0" distL="0" distR="0" wp14:anchorId="0E355979" wp14:editId="2FB6427C">
                  <wp:extent cx="497205" cy="541020"/>
                  <wp:effectExtent l="0" t="0" r="0" b="0"/>
                  <wp:docPr id="3" name="Picture 3" descr="itu-with-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u-with-no-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205" cy="541020"/>
                          </a:xfrm>
                          <a:prstGeom prst="rect">
                            <a:avLst/>
                          </a:prstGeom>
                          <a:noFill/>
                          <a:ln>
                            <a:noFill/>
                          </a:ln>
                        </pic:spPr>
                      </pic:pic>
                    </a:graphicData>
                  </a:graphic>
                </wp:inline>
              </w:drawing>
            </w:r>
          </w:p>
          <w:p w:rsidR="0052732C" w:rsidRPr="0052732C" w:rsidRDefault="0052732C" w:rsidP="0052732C">
            <w:pPr>
              <w:spacing w:after="120"/>
              <w:jc w:val="center"/>
              <w:rPr>
                <w:rFonts w:asciiTheme="majorBidi" w:eastAsia="SimSun" w:hAnsiTheme="majorBidi" w:cstheme="majorBidi"/>
                <w:i/>
                <w:iCs/>
                <w:sz w:val="20"/>
                <w:szCs w:val="20"/>
                <w:lang w:eastAsia="zh-CN"/>
              </w:rPr>
            </w:pPr>
            <w:r w:rsidRPr="0052732C">
              <w:rPr>
                <w:rFonts w:asciiTheme="majorBidi" w:eastAsia="SimSun" w:hAnsiTheme="majorBidi" w:cstheme="majorBidi"/>
                <w:i/>
                <w:iCs/>
                <w:sz w:val="20"/>
                <w:szCs w:val="20"/>
                <w:lang w:eastAsia="zh-CN"/>
              </w:rPr>
              <w:t>ITU Accessibility Task Force</w:t>
            </w:r>
          </w:p>
        </w:tc>
        <w:tc>
          <w:tcPr>
            <w:tcW w:w="7229" w:type="dxa"/>
            <w:vAlign w:val="center"/>
            <w:hideMark/>
          </w:tcPr>
          <w:p w:rsidR="0052732C" w:rsidRPr="0052732C" w:rsidRDefault="0052732C" w:rsidP="0052732C">
            <w:pPr>
              <w:spacing w:after="120"/>
              <w:jc w:val="center"/>
              <w:rPr>
                <w:rFonts w:asciiTheme="majorBidi" w:eastAsia="SimSun" w:hAnsiTheme="majorBidi" w:cstheme="majorBidi"/>
                <w:b/>
                <w:bCs/>
                <w:sz w:val="20"/>
                <w:szCs w:val="20"/>
                <w:lang w:eastAsia="zh-CN"/>
              </w:rPr>
            </w:pPr>
            <w:r w:rsidRPr="0052732C">
              <w:rPr>
                <w:rFonts w:asciiTheme="majorBidi" w:eastAsia="SimSun" w:hAnsiTheme="majorBidi" w:cstheme="majorBidi"/>
                <w:b/>
                <w:bCs/>
                <w:sz w:val="20"/>
                <w:szCs w:val="20"/>
                <w:lang w:eastAsia="zh-CN"/>
              </w:rPr>
              <w:t xml:space="preserve">Summary of latest actions on the implementation of resolution 175 </w:t>
            </w:r>
            <w:r w:rsidRPr="0052732C">
              <w:rPr>
                <w:rFonts w:asciiTheme="majorBidi" w:eastAsia="SimSun" w:hAnsiTheme="majorBidi" w:cstheme="majorBidi"/>
                <w:b/>
                <w:bCs/>
                <w:sz w:val="20"/>
                <w:szCs w:val="20"/>
                <w:lang w:eastAsia="zh-CN"/>
              </w:rPr>
              <w:br/>
              <w:t>(Guadalajara, 2010)</w:t>
            </w:r>
          </w:p>
          <w:p w:rsidR="0052732C" w:rsidRPr="0052732C" w:rsidRDefault="0052732C" w:rsidP="0052732C">
            <w:pPr>
              <w:spacing w:after="120"/>
              <w:jc w:val="center"/>
              <w:rPr>
                <w:rFonts w:asciiTheme="majorBidi" w:eastAsia="SimSun" w:hAnsiTheme="majorBidi" w:cstheme="majorBidi"/>
                <w:i/>
                <w:iCs/>
                <w:sz w:val="20"/>
                <w:szCs w:val="20"/>
                <w:lang w:eastAsia="zh-CN"/>
              </w:rPr>
            </w:pPr>
            <w:r w:rsidRPr="0052732C">
              <w:rPr>
                <w:rFonts w:asciiTheme="majorBidi" w:eastAsia="SimSun" w:hAnsiTheme="majorBidi" w:cstheme="majorBidi"/>
                <w:i/>
                <w:iCs/>
                <w:sz w:val="20"/>
                <w:szCs w:val="20"/>
                <w:lang w:eastAsia="zh-CN"/>
              </w:rPr>
              <w:t>October 2013</w:t>
            </w:r>
          </w:p>
        </w:tc>
      </w:tr>
    </w:tbl>
    <w:p w:rsidR="0052732C" w:rsidRPr="0052732C" w:rsidRDefault="0052732C" w:rsidP="0052732C">
      <w:pPr>
        <w:autoSpaceDE w:val="0"/>
        <w:autoSpaceDN w:val="0"/>
        <w:adjustRightInd w:val="0"/>
        <w:spacing w:after="120"/>
        <w:jc w:val="both"/>
        <w:rPr>
          <w:rFonts w:asciiTheme="majorBidi" w:eastAsia="SimSun" w:hAnsiTheme="majorBidi" w:cstheme="majorBidi"/>
          <w:sz w:val="20"/>
          <w:szCs w:val="20"/>
          <w:lang w:eastAsia="zh-CN"/>
        </w:rPr>
      </w:pPr>
    </w:p>
    <w:p w:rsidR="0052732C" w:rsidRPr="0052732C" w:rsidRDefault="0052732C" w:rsidP="0052732C">
      <w:pPr>
        <w:autoSpaceDE w:val="0"/>
        <w:autoSpaceDN w:val="0"/>
        <w:adjustRightInd w:val="0"/>
        <w:spacing w:after="120"/>
        <w:jc w:val="both"/>
        <w:rPr>
          <w:rFonts w:asciiTheme="majorBidi" w:eastAsia="SimSun" w:hAnsiTheme="majorBidi" w:cstheme="majorBidi"/>
          <w:sz w:val="20"/>
          <w:szCs w:val="20"/>
          <w:lang w:eastAsia="zh-CN"/>
        </w:rPr>
      </w:pPr>
      <w:r w:rsidRPr="0052732C">
        <w:rPr>
          <w:rFonts w:asciiTheme="majorBidi" w:eastAsia="SimSun" w:hAnsiTheme="majorBidi" w:cstheme="majorBidi"/>
          <w:sz w:val="20"/>
          <w:szCs w:val="20"/>
          <w:lang w:eastAsia="zh-CN"/>
        </w:rPr>
        <w:t xml:space="preserve">The following information document summarizes the most recent activities implemented by ITU in the implementation of Resolution 175 (Guadalajara, 2010). </w:t>
      </w:r>
    </w:p>
    <w:p w:rsidR="0052732C" w:rsidRPr="0052732C" w:rsidRDefault="0052732C" w:rsidP="0052732C">
      <w:pPr>
        <w:autoSpaceDE w:val="0"/>
        <w:autoSpaceDN w:val="0"/>
        <w:adjustRightInd w:val="0"/>
        <w:spacing w:after="120"/>
        <w:jc w:val="both"/>
        <w:rPr>
          <w:rFonts w:asciiTheme="majorBidi" w:eastAsia="SimSun" w:hAnsiTheme="majorBidi" w:cstheme="majorBidi"/>
          <w:b/>
          <w:sz w:val="20"/>
          <w:szCs w:val="20"/>
          <w:lang w:eastAsia="zh-CN"/>
        </w:rPr>
      </w:pPr>
      <w:r w:rsidRPr="0052732C">
        <w:rPr>
          <w:rFonts w:asciiTheme="majorBidi" w:eastAsia="SimSun" w:hAnsiTheme="majorBidi" w:cstheme="majorBidi"/>
          <w:b/>
          <w:sz w:val="20"/>
          <w:szCs w:val="20"/>
          <w:lang w:eastAsia="zh-CN"/>
        </w:rPr>
        <w:t xml:space="preserve">ITU </w:t>
      </w:r>
      <w:proofErr w:type="spellStart"/>
      <w:r w:rsidRPr="0052732C">
        <w:rPr>
          <w:rFonts w:asciiTheme="majorBidi" w:eastAsia="SimSun" w:hAnsiTheme="majorBidi" w:cstheme="majorBidi"/>
          <w:b/>
          <w:sz w:val="20"/>
          <w:szCs w:val="20"/>
          <w:lang w:eastAsia="zh-CN"/>
        </w:rPr>
        <w:t>Radiocommunication</w:t>
      </w:r>
      <w:proofErr w:type="spellEnd"/>
      <w:r w:rsidRPr="0052732C">
        <w:rPr>
          <w:rFonts w:asciiTheme="majorBidi" w:eastAsia="SimSun" w:hAnsiTheme="majorBidi" w:cstheme="majorBidi"/>
          <w:b/>
          <w:sz w:val="20"/>
          <w:szCs w:val="20"/>
          <w:lang w:eastAsia="zh-CN"/>
        </w:rPr>
        <w:t xml:space="preserve"> Bureau (BR)</w:t>
      </w:r>
    </w:p>
    <w:p w:rsidR="0052732C" w:rsidRPr="0052732C" w:rsidRDefault="0052732C" w:rsidP="0052732C">
      <w:pPr>
        <w:numPr>
          <w:ilvl w:val="0"/>
          <w:numId w:val="16"/>
        </w:numPr>
        <w:autoSpaceDE w:val="0"/>
        <w:autoSpaceDN w:val="0"/>
        <w:adjustRightInd w:val="0"/>
        <w:spacing w:before="0" w:after="120"/>
        <w:contextualSpacing/>
        <w:jc w:val="both"/>
        <w:rPr>
          <w:rFonts w:asciiTheme="majorBidi" w:eastAsia="SimSun" w:hAnsiTheme="majorBidi" w:cstheme="majorBidi"/>
          <w:sz w:val="20"/>
          <w:szCs w:val="20"/>
          <w:lang w:eastAsia="zh-CN"/>
        </w:rPr>
      </w:pPr>
      <w:r w:rsidRPr="0052732C">
        <w:rPr>
          <w:rFonts w:asciiTheme="majorBidi" w:eastAsia="SimSun" w:hAnsiTheme="majorBidi" w:cstheme="majorBidi"/>
          <w:sz w:val="20"/>
          <w:szCs w:val="20"/>
          <w:lang w:eastAsia="zh-CN"/>
        </w:rPr>
        <w:t>ITU-R Working Party 5A is working on wireless hearing aids</w:t>
      </w:r>
      <w:r w:rsidRPr="0052732C">
        <w:rPr>
          <w:rFonts w:asciiTheme="majorBidi" w:eastAsia="SimSun" w:hAnsiTheme="majorBidi" w:cstheme="majorBidi"/>
          <w:sz w:val="20"/>
          <w:szCs w:val="20"/>
          <w:vertAlign w:val="superscript"/>
          <w:lang w:eastAsia="zh-CN"/>
        </w:rPr>
        <w:endnoteReference w:id="1"/>
      </w:r>
      <w:r w:rsidRPr="0052732C">
        <w:rPr>
          <w:rFonts w:asciiTheme="majorBidi" w:eastAsia="SimSun" w:hAnsiTheme="majorBidi" w:cstheme="majorBidi"/>
          <w:sz w:val="20"/>
          <w:szCs w:val="20"/>
          <w:lang w:eastAsia="zh-CN"/>
        </w:rPr>
        <w:t xml:space="preserve">  in coordination with other relevant ITU-R Working Parties. Working document towards a preliminary draft revision Recommendation ITU-R M.1076 “Wireless communication systems for persons with impaired hearing” is being produced, in collaboration with the Joint Coordination Activity on Accessibility and Human Factors (JCA-AHF)</w:t>
      </w:r>
      <w:r w:rsidRPr="0052732C">
        <w:rPr>
          <w:rFonts w:asciiTheme="majorBidi" w:eastAsia="SimSun" w:hAnsiTheme="majorBidi" w:cstheme="majorBidi"/>
          <w:sz w:val="20"/>
          <w:szCs w:val="20"/>
          <w:vertAlign w:val="superscript"/>
          <w:lang w:eastAsia="zh-CN"/>
        </w:rPr>
        <w:endnoteReference w:id="2"/>
      </w:r>
      <w:r w:rsidRPr="0052732C">
        <w:rPr>
          <w:rFonts w:asciiTheme="majorBidi" w:eastAsia="SimSun" w:hAnsiTheme="majorBidi" w:cstheme="majorBidi"/>
          <w:sz w:val="20"/>
          <w:szCs w:val="20"/>
          <w:lang w:eastAsia="zh-CN"/>
        </w:rPr>
        <w:t xml:space="preserve"> .</w:t>
      </w:r>
    </w:p>
    <w:p w:rsidR="0052732C" w:rsidRPr="0052732C" w:rsidRDefault="0052732C" w:rsidP="0052732C">
      <w:pPr>
        <w:numPr>
          <w:ilvl w:val="0"/>
          <w:numId w:val="16"/>
        </w:numPr>
        <w:autoSpaceDE w:val="0"/>
        <w:autoSpaceDN w:val="0"/>
        <w:adjustRightInd w:val="0"/>
        <w:spacing w:before="0" w:after="120"/>
        <w:contextualSpacing/>
        <w:jc w:val="both"/>
        <w:rPr>
          <w:rFonts w:asciiTheme="majorBidi" w:eastAsia="SimSun" w:hAnsiTheme="majorBidi" w:cstheme="majorBidi"/>
          <w:sz w:val="20"/>
          <w:szCs w:val="20"/>
          <w:lang w:eastAsia="zh-CN"/>
        </w:rPr>
      </w:pPr>
      <w:r w:rsidRPr="0052732C">
        <w:rPr>
          <w:rFonts w:asciiTheme="majorBidi" w:eastAsia="SimSun" w:hAnsiTheme="majorBidi" w:cstheme="majorBidi"/>
          <w:sz w:val="20"/>
          <w:szCs w:val="20"/>
          <w:lang w:eastAsia="zh-CN"/>
        </w:rPr>
        <w:t>BR will provide the captioning service as a trial base at the upcoming three ITU-R meetings to collect feedbacks from membership: SG6 meeting (22 Nov. 2013), SG5 meeting (2-3 Dec 2013) and WRC-15 Preparatory Workshop (4-5 Dec 2013).</w:t>
      </w:r>
    </w:p>
    <w:p w:rsidR="0052732C" w:rsidRPr="0052732C" w:rsidRDefault="0052732C" w:rsidP="0052732C">
      <w:pPr>
        <w:autoSpaceDE w:val="0"/>
        <w:autoSpaceDN w:val="0"/>
        <w:adjustRightInd w:val="0"/>
        <w:spacing w:after="120"/>
        <w:jc w:val="both"/>
        <w:rPr>
          <w:rFonts w:asciiTheme="majorBidi" w:eastAsia="SimSun" w:hAnsiTheme="majorBidi" w:cstheme="majorBidi"/>
          <w:b/>
          <w:sz w:val="20"/>
          <w:szCs w:val="20"/>
          <w:lang w:val="fr-CH" w:eastAsia="zh-CN"/>
        </w:rPr>
      </w:pPr>
      <w:r w:rsidRPr="0052732C">
        <w:rPr>
          <w:rFonts w:asciiTheme="majorBidi" w:eastAsia="SimSun" w:hAnsiTheme="majorBidi" w:cstheme="majorBidi"/>
          <w:b/>
          <w:sz w:val="20"/>
          <w:szCs w:val="20"/>
          <w:lang w:val="fr-CH" w:eastAsia="zh-CN"/>
        </w:rPr>
        <w:t xml:space="preserve">ITU </w:t>
      </w:r>
      <w:proofErr w:type="spellStart"/>
      <w:r w:rsidRPr="0052732C">
        <w:rPr>
          <w:rFonts w:asciiTheme="majorBidi" w:eastAsia="SimSun" w:hAnsiTheme="majorBidi" w:cstheme="majorBidi"/>
          <w:b/>
          <w:sz w:val="20"/>
          <w:szCs w:val="20"/>
          <w:lang w:val="fr-CH" w:eastAsia="zh-CN"/>
        </w:rPr>
        <w:t>Telecommunication</w:t>
      </w:r>
      <w:proofErr w:type="spellEnd"/>
      <w:r w:rsidRPr="0052732C">
        <w:rPr>
          <w:rFonts w:asciiTheme="majorBidi" w:eastAsia="SimSun" w:hAnsiTheme="majorBidi" w:cstheme="majorBidi"/>
          <w:b/>
          <w:sz w:val="20"/>
          <w:szCs w:val="20"/>
          <w:lang w:val="fr-CH" w:eastAsia="zh-CN"/>
        </w:rPr>
        <w:t xml:space="preserve"> </w:t>
      </w:r>
      <w:proofErr w:type="spellStart"/>
      <w:r w:rsidRPr="0052732C">
        <w:rPr>
          <w:rFonts w:asciiTheme="majorBidi" w:eastAsia="SimSun" w:hAnsiTheme="majorBidi" w:cstheme="majorBidi"/>
          <w:b/>
          <w:sz w:val="20"/>
          <w:szCs w:val="20"/>
          <w:lang w:val="fr-CH" w:eastAsia="zh-CN"/>
        </w:rPr>
        <w:t>Standardization</w:t>
      </w:r>
      <w:proofErr w:type="spellEnd"/>
      <w:r w:rsidRPr="0052732C">
        <w:rPr>
          <w:rFonts w:asciiTheme="majorBidi" w:eastAsia="SimSun" w:hAnsiTheme="majorBidi" w:cstheme="majorBidi"/>
          <w:b/>
          <w:sz w:val="20"/>
          <w:szCs w:val="20"/>
          <w:lang w:val="fr-CH" w:eastAsia="zh-CN"/>
        </w:rPr>
        <w:t xml:space="preserve"> Bureau (TSB)</w:t>
      </w:r>
    </w:p>
    <w:p w:rsidR="0052732C" w:rsidRPr="0052732C" w:rsidRDefault="0052732C" w:rsidP="0052732C">
      <w:pPr>
        <w:numPr>
          <w:ilvl w:val="0"/>
          <w:numId w:val="16"/>
        </w:numPr>
        <w:autoSpaceDE w:val="0"/>
        <w:autoSpaceDN w:val="0"/>
        <w:adjustRightInd w:val="0"/>
        <w:spacing w:before="0" w:after="120"/>
        <w:ind w:left="357" w:hanging="357"/>
        <w:jc w:val="both"/>
        <w:rPr>
          <w:rFonts w:asciiTheme="majorBidi" w:eastAsia="SimSun" w:hAnsiTheme="majorBidi" w:cstheme="majorBidi"/>
          <w:sz w:val="20"/>
          <w:szCs w:val="20"/>
          <w:lang w:eastAsia="zh-CN"/>
        </w:rPr>
      </w:pPr>
      <w:r w:rsidRPr="0052732C">
        <w:rPr>
          <w:rFonts w:asciiTheme="majorBidi" w:eastAsia="SimSun" w:hAnsiTheme="majorBidi" w:cstheme="majorBidi"/>
          <w:sz w:val="20"/>
          <w:szCs w:val="20"/>
          <w:lang w:eastAsia="zh-CN"/>
        </w:rPr>
        <w:t>On Thursday 24 October, the Focus Group on Audio-visual Media Accessibility (FG-AVA) concluded its work</w:t>
      </w:r>
      <w:r w:rsidRPr="0052732C">
        <w:rPr>
          <w:rFonts w:asciiTheme="majorBidi" w:eastAsia="SimSun" w:hAnsiTheme="majorBidi" w:cstheme="majorBidi"/>
          <w:sz w:val="20"/>
          <w:szCs w:val="20"/>
          <w:vertAlign w:val="superscript"/>
          <w:lang w:eastAsia="zh-CN"/>
        </w:rPr>
        <w:endnoteReference w:id="3"/>
      </w:r>
      <w:r w:rsidRPr="0052732C">
        <w:rPr>
          <w:rFonts w:asciiTheme="majorBidi" w:eastAsia="SimSun" w:hAnsiTheme="majorBidi" w:cstheme="majorBidi"/>
          <w:sz w:val="20"/>
          <w:szCs w:val="20"/>
          <w:lang w:eastAsia="zh-CN"/>
        </w:rPr>
        <w:t>. All deliverables will feed in the work carried out by TSB Study Group 16</w:t>
      </w:r>
      <w:r w:rsidRPr="0052732C">
        <w:rPr>
          <w:rFonts w:asciiTheme="majorBidi" w:eastAsia="SimSun" w:hAnsiTheme="majorBidi" w:cstheme="majorBidi"/>
          <w:sz w:val="20"/>
          <w:szCs w:val="20"/>
          <w:vertAlign w:val="superscript"/>
          <w:lang w:eastAsia="zh-CN"/>
        </w:rPr>
        <w:endnoteReference w:id="4"/>
      </w:r>
      <w:r w:rsidRPr="0052732C">
        <w:rPr>
          <w:rFonts w:asciiTheme="majorBidi" w:eastAsia="SimSun" w:hAnsiTheme="majorBidi" w:cstheme="majorBidi"/>
          <w:sz w:val="20"/>
          <w:szCs w:val="20"/>
          <w:lang w:eastAsia="zh-CN"/>
        </w:rPr>
        <w:t xml:space="preserve">. </w:t>
      </w:r>
    </w:p>
    <w:p w:rsidR="0052732C" w:rsidRPr="0052732C" w:rsidRDefault="0052732C" w:rsidP="0052732C">
      <w:pPr>
        <w:numPr>
          <w:ilvl w:val="0"/>
          <w:numId w:val="16"/>
        </w:numPr>
        <w:autoSpaceDE w:val="0"/>
        <w:autoSpaceDN w:val="0"/>
        <w:adjustRightInd w:val="0"/>
        <w:spacing w:before="0" w:after="120"/>
        <w:jc w:val="both"/>
        <w:rPr>
          <w:rFonts w:asciiTheme="majorBidi" w:eastAsia="SimSun" w:hAnsiTheme="majorBidi" w:cstheme="majorBidi"/>
          <w:sz w:val="20"/>
          <w:szCs w:val="20"/>
          <w:lang w:eastAsia="zh-CN"/>
        </w:rPr>
      </w:pPr>
      <w:r w:rsidRPr="0052732C">
        <w:rPr>
          <w:rFonts w:asciiTheme="majorBidi" w:eastAsia="SimSun" w:hAnsiTheme="majorBidi" w:cstheme="majorBidi"/>
          <w:sz w:val="20"/>
          <w:szCs w:val="20"/>
          <w:lang w:eastAsia="zh-CN"/>
        </w:rPr>
        <w:t>On 24-25 October, the ITU workshop “Making Audio-visual Media Accessible to All: The options and the economics” took place in ITU headquarters.</w:t>
      </w:r>
    </w:p>
    <w:p w:rsidR="0052732C" w:rsidRPr="0052732C" w:rsidRDefault="0052732C" w:rsidP="0052732C">
      <w:pPr>
        <w:numPr>
          <w:ilvl w:val="0"/>
          <w:numId w:val="16"/>
        </w:numPr>
        <w:autoSpaceDE w:val="0"/>
        <w:autoSpaceDN w:val="0"/>
        <w:adjustRightInd w:val="0"/>
        <w:spacing w:before="0" w:after="120"/>
        <w:contextualSpacing/>
        <w:jc w:val="both"/>
        <w:rPr>
          <w:rFonts w:asciiTheme="majorBidi" w:eastAsia="SimSun" w:hAnsiTheme="majorBidi" w:cstheme="majorBidi"/>
          <w:sz w:val="20"/>
          <w:szCs w:val="20"/>
          <w:lang w:eastAsia="zh-CN"/>
        </w:rPr>
      </w:pPr>
      <w:r w:rsidRPr="0052732C">
        <w:rPr>
          <w:rFonts w:asciiTheme="majorBidi" w:eastAsia="SimSun" w:hAnsiTheme="majorBidi" w:cstheme="majorBidi"/>
          <w:sz w:val="20"/>
          <w:szCs w:val="20"/>
          <w:lang w:eastAsia="zh-CN"/>
        </w:rPr>
        <w:t>On Friday 25 October, the Dynamic Coalition on Disability and Accessibility (DCAD) organized its 6</w:t>
      </w:r>
      <w:r w:rsidRPr="0052732C">
        <w:rPr>
          <w:rFonts w:asciiTheme="majorBidi" w:eastAsia="SimSun" w:hAnsiTheme="majorBidi" w:cstheme="majorBidi"/>
          <w:sz w:val="20"/>
          <w:szCs w:val="20"/>
          <w:vertAlign w:val="superscript"/>
          <w:lang w:eastAsia="zh-CN"/>
        </w:rPr>
        <w:t>th</w:t>
      </w:r>
      <w:r w:rsidRPr="0052732C">
        <w:rPr>
          <w:rFonts w:asciiTheme="majorBidi" w:eastAsia="SimSun" w:hAnsiTheme="majorBidi" w:cstheme="majorBidi"/>
          <w:sz w:val="20"/>
          <w:szCs w:val="20"/>
          <w:lang w:eastAsia="zh-CN"/>
        </w:rPr>
        <w:t xml:space="preserve"> face-to-face meeting as well as a DCAD/BAISF workshop “Accessible Inclusion For All Abilities and All Ages</w:t>
      </w:r>
      <w:r w:rsidRPr="0052732C">
        <w:rPr>
          <w:rFonts w:asciiTheme="majorBidi" w:eastAsia="SimSun" w:hAnsiTheme="majorBidi" w:cstheme="majorBidi"/>
          <w:sz w:val="20"/>
          <w:szCs w:val="20"/>
          <w:vertAlign w:val="superscript"/>
          <w:lang w:eastAsia="zh-CN"/>
        </w:rPr>
        <w:endnoteReference w:id="5"/>
      </w:r>
      <w:r w:rsidRPr="0052732C">
        <w:rPr>
          <w:rFonts w:asciiTheme="majorBidi" w:eastAsia="SimSun" w:hAnsiTheme="majorBidi" w:cstheme="majorBidi"/>
          <w:sz w:val="20"/>
          <w:szCs w:val="20"/>
          <w:lang w:eastAsia="zh-CN"/>
        </w:rPr>
        <w:t>, Access for Persons who fall between the cracks” in the context of the Internet Governance Forum</w:t>
      </w:r>
      <w:r w:rsidRPr="0052732C">
        <w:rPr>
          <w:rFonts w:asciiTheme="majorBidi" w:eastAsia="SimSun" w:hAnsiTheme="majorBidi" w:cstheme="majorBidi"/>
          <w:sz w:val="20"/>
          <w:szCs w:val="20"/>
          <w:vertAlign w:val="superscript"/>
          <w:lang w:eastAsia="zh-CN"/>
        </w:rPr>
        <w:endnoteReference w:id="6"/>
      </w:r>
      <w:r w:rsidRPr="0052732C">
        <w:rPr>
          <w:rFonts w:asciiTheme="majorBidi" w:eastAsia="SimSun" w:hAnsiTheme="majorBidi" w:cstheme="majorBidi"/>
          <w:sz w:val="20"/>
          <w:szCs w:val="20"/>
          <w:lang w:eastAsia="zh-CN"/>
        </w:rPr>
        <w:t xml:space="preserve"> (Bali).</w:t>
      </w:r>
    </w:p>
    <w:p w:rsidR="0052732C" w:rsidRPr="0052732C" w:rsidRDefault="0052732C" w:rsidP="0052732C">
      <w:pPr>
        <w:numPr>
          <w:ilvl w:val="0"/>
          <w:numId w:val="16"/>
        </w:numPr>
        <w:autoSpaceDE w:val="0"/>
        <w:autoSpaceDN w:val="0"/>
        <w:adjustRightInd w:val="0"/>
        <w:spacing w:before="0" w:after="120"/>
        <w:jc w:val="both"/>
        <w:rPr>
          <w:rFonts w:asciiTheme="majorBidi" w:eastAsia="SimSun" w:hAnsiTheme="majorBidi" w:cstheme="majorBidi"/>
          <w:sz w:val="20"/>
          <w:szCs w:val="20"/>
          <w:lang w:eastAsia="zh-CN"/>
        </w:rPr>
      </w:pPr>
      <w:r w:rsidRPr="0052732C">
        <w:rPr>
          <w:rFonts w:asciiTheme="majorBidi" w:eastAsia="SimSun" w:hAnsiTheme="majorBidi" w:cstheme="majorBidi"/>
          <w:sz w:val="20"/>
          <w:szCs w:val="20"/>
          <w:lang w:eastAsia="zh-CN"/>
        </w:rPr>
        <w:t>TSB is preparing a new IPTV application challenge to promote the creation of specific IPTV applications for persons with disabilities. The competition will be conducted in the context of the preparatory process for the 2016 Paralympics Games.</w:t>
      </w:r>
    </w:p>
    <w:p w:rsidR="0052732C" w:rsidRDefault="0052732C" w:rsidP="0052732C">
      <w:pPr>
        <w:numPr>
          <w:ilvl w:val="0"/>
          <w:numId w:val="16"/>
        </w:numPr>
        <w:autoSpaceDE w:val="0"/>
        <w:autoSpaceDN w:val="0"/>
        <w:adjustRightInd w:val="0"/>
        <w:spacing w:before="0" w:after="120"/>
        <w:jc w:val="both"/>
        <w:rPr>
          <w:rFonts w:asciiTheme="majorBidi" w:eastAsia="SimSun" w:hAnsiTheme="majorBidi" w:cstheme="majorBidi"/>
          <w:sz w:val="20"/>
          <w:szCs w:val="20"/>
          <w:lang w:eastAsia="zh-CN"/>
        </w:rPr>
      </w:pPr>
      <w:r w:rsidRPr="0052732C">
        <w:rPr>
          <w:rFonts w:asciiTheme="majorBidi" w:eastAsia="SimSun" w:hAnsiTheme="majorBidi" w:cstheme="majorBidi"/>
          <w:sz w:val="20"/>
          <w:szCs w:val="20"/>
          <w:lang w:eastAsia="zh-CN"/>
        </w:rPr>
        <w:t xml:space="preserve">ITU-T Study Group 16 is working on adding work items on new ICT accessibility issues relevant for the deaf and blind community and persons with disabilities. </w:t>
      </w:r>
    </w:p>
    <w:p w:rsidR="0052732C" w:rsidRDefault="0052732C">
      <w:pPr>
        <w:spacing w:before="0"/>
        <w:rPr>
          <w:rFonts w:asciiTheme="majorBidi" w:eastAsia="SimSun" w:hAnsiTheme="majorBidi" w:cstheme="majorBidi"/>
          <w:sz w:val="20"/>
          <w:szCs w:val="20"/>
          <w:lang w:eastAsia="zh-CN"/>
        </w:rPr>
      </w:pPr>
      <w:r>
        <w:rPr>
          <w:rFonts w:asciiTheme="majorBidi" w:eastAsia="SimSun" w:hAnsiTheme="majorBidi" w:cstheme="majorBidi"/>
          <w:sz w:val="20"/>
          <w:szCs w:val="20"/>
          <w:lang w:eastAsia="zh-CN"/>
        </w:rPr>
        <w:br w:type="page"/>
      </w:r>
    </w:p>
    <w:p w:rsidR="0052732C" w:rsidRPr="0052732C" w:rsidRDefault="0052732C" w:rsidP="0052732C">
      <w:pPr>
        <w:autoSpaceDE w:val="0"/>
        <w:autoSpaceDN w:val="0"/>
        <w:adjustRightInd w:val="0"/>
        <w:spacing w:before="0" w:after="120"/>
        <w:ind w:left="360"/>
        <w:jc w:val="both"/>
        <w:rPr>
          <w:rFonts w:asciiTheme="majorBidi" w:eastAsia="SimSun" w:hAnsiTheme="majorBidi" w:cstheme="majorBidi"/>
          <w:sz w:val="20"/>
          <w:szCs w:val="20"/>
          <w:lang w:eastAsia="zh-CN"/>
        </w:rPr>
      </w:pPr>
    </w:p>
    <w:p w:rsidR="0052732C" w:rsidRPr="0052732C" w:rsidRDefault="0052732C" w:rsidP="0052732C">
      <w:pPr>
        <w:autoSpaceDE w:val="0"/>
        <w:autoSpaceDN w:val="0"/>
        <w:adjustRightInd w:val="0"/>
        <w:spacing w:after="120"/>
        <w:jc w:val="both"/>
        <w:rPr>
          <w:rFonts w:asciiTheme="majorBidi" w:eastAsia="SimSun" w:hAnsiTheme="majorBidi" w:cstheme="majorBidi"/>
          <w:b/>
          <w:sz w:val="20"/>
          <w:szCs w:val="20"/>
          <w:lang w:eastAsia="zh-CN"/>
        </w:rPr>
      </w:pPr>
      <w:r w:rsidRPr="0052732C">
        <w:rPr>
          <w:rFonts w:asciiTheme="majorBidi" w:eastAsia="SimSun" w:hAnsiTheme="majorBidi" w:cstheme="majorBidi"/>
          <w:b/>
          <w:sz w:val="20"/>
          <w:szCs w:val="20"/>
          <w:lang w:eastAsia="zh-CN"/>
        </w:rPr>
        <w:t>ITU Telecommunication Development Sector (BDT)</w:t>
      </w:r>
    </w:p>
    <w:p w:rsidR="0052732C" w:rsidRPr="0052732C" w:rsidRDefault="0052732C" w:rsidP="0052732C">
      <w:pPr>
        <w:numPr>
          <w:ilvl w:val="0"/>
          <w:numId w:val="16"/>
        </w:numPr>
        <w:autoSpaceDE w:val="0"/>
        <w:autoSpaceDN w:val="0"/>
        <w:adjustRightInd w:val="0"/>
        <w:spacing w:before="0" w:after="120"/>
        <w:jc w:val="both"/>
        <w:rPr>
          <w:rFonts w:asciiTheme="majorBidi" w:eastAsia="SimSun" w:hAnsiTheme="majorBidi" w:cstheme="majorBidi"/>
          <w:sz w:val="20"/>
          <w:szCs w:val="20"/>
          <w:lang w:eastAsia="zh-CN"/>
        </w:rPr>
      </w:pPr>
      <w:r w:rsidRPr="0052732C">
        <w:rPr>
          <w:rFonts w:asciiTheme="majorBidi" w:eastAsia="SimSun" w:hAnsiTheme="majorBidi" w:cstheme="majorBidi"/>
          <w:sz w:val="20"/>
          <w:szCs w:val="20"/>
          <w:lang w:eastAsia="zh-CN"/>
        </w:rPr>
        <w:t>In September 2013 ITU-D Study Group 1 Question 20-1/1</w:t>
      </w:r>
      <w:r w:rsidRPr="0052732C">
        <w:rPr>
          <w:rFonts w:asciiTheme="majorBidi" w:eastAsia="SimSun" w:hAnsiTheme="majorBidi" w:cstheme="majorBidi"/>
          <w:sz w:val="20"/>
          <w:szCs w:val="20"/>
          <w:vertAlign w:val="superscript"/>
          <w:lang w:eastAsia="zh-CN"/>
        </w:rPr>
        <w:endnoteReference w:id="7"/>
      </w:r>
      <w:r w:rsidRPr="0052732C">
        <w:rPr>
          <w:rFonts w:asciiTheme="majorBidi" w:eastAsia="SimSun" w:hAnsiTheme="majorBidi" w:cstheme="majorBidi"/>
          <w:sz w:val="20"/>
          <w:szCs w:val="20"/>
          <w:lang w:eastAsia="zh-CN"/>
        </w:rPr>
        <w:t xml:space="preserve"> (Access to telecommunication/ICT services by persons with disabilities and with special needs) concluded its work for the study period and released its report and guidelines. </w:t>
      </w:r>
    </w:p>
    <w:p w:rsidR="0052732C" w:rsidRPr="0052732C" w:rsidRDefault="0052732C" w:rsidP="0052732C">
      <w:pPr>
        <w:numPr>
          <w:ilvl w:val="0"/>
          <w:numId w:val="16"/>
        </w:numPr>
        <w:autoSpaceDE w:val="0"/>
        <w:autoSpaceDN w:val="0"/>
        <w:adjustRightInd w:val="0"/>
        <w:spacing w:before="0" w:after="120"/>
        <w:jc w:val="both"/>
        <w:rPr>
          <w:rFonts w:asciiTheme="majorBidi" w:eastAsia="SimSun" w:hAnsiTheme="majorBidi" w:cstheme="majorBidi"/>
          <w:sz w:val="20"/>
          <w:szCs w:val="20"/>
          <w:lang w:eastAsia="zh-CN"/>
        </w:rPr>
      </w:pPr>
      <w:r w:rsidRPr="0052732C">
        <w:rPr>
          <w:rFonts w:asciiTheme="majorBidi" w:eastAsia="SimSun" w:hAnsiTheme="majorBidi" w:cstheme="majorBidi"/>
          <w:sz w:val="20"/>
          <w:szCs w:val="20"/>
          <w:lang w:eastAsia="zh-CN"/>
        </w:rPr>
        <w:t>BDT co-organized with the Asia-Pacific Broadcasting Union (ABU) the “Women with the Wave” High Level Forum</w:t>
      </w:r>
      <w:r w:rsidRPr="0052732C">
        <w:rPr>
          <w:rFonts w:asciiTheme="majorBidi" w:eastAsia="SimSun" w:hAnsiTheme="majorBidi" w:cstheme="majorBidi"/>
          <w:sz w:val="20"/>
          <w:szCs w:val="20"/>
          <w:vertAlign w:val="superscript"/>
          <w:lang w:eastAsia="zh-CN"/>
        </w:rPr>
        <w:endnoteReference w:id="8"/>
      </w:r>
      <w:r w:rsidRPr="0052732C">
        <w:rPr>
          <w:rFonts w:asciiTheme="majorBidi" w:eastAsia="SimSun" w:hAnsiTheme="majorBidi" w:cstheme="majorBidi"/>
          <w:sz w:val="20"/>
          <w:szCs w:val="20"/>
          <w:lang w:eastAsia="zh-CN"/>
        </w:rPr>
        <w:t xml:space="preserve"> which this year addressed issues related to gender and persons with disabilities. BDT shared its work on TV accessibility with Asian Pacific broadcasters, explaining what is meant by accessible television and why it is important.  SPM encouraged Asian broadcasters to join the ITU campaign to promote accessible broadcasting of the 2016 Paralympic Games. Participants adopted a Statement endorsing accessible TV and the Paralympic campaign.</w:t>
      </w:r>
    </w:p>
    <w:p w:rsidR="0052732C" w:rsidRPr="0052732C" w:rsidRDefault="0052732C" w:rsidP="0052732C">
      <w:pPr>
        <w:autoSpaceDE w:val="0"/>
        <w:autoSpaceDN w:val="0"/>
        <w:adjustRightInd w:val="0"/>
        <w:spacing w:after="120"/>
        <w:jc w:val="both"/>
        <w:rPr>
          <w:rFonts w:asciiTheme="majorBidi" w:eastAsia="SimSun" w:hAnsiTheme="majorBidi" w:cstheme="majorBidi"/>
          <w:b/>
          <w:sz w:val="20"/>
          <w:szCs w:val="20"/>
          <w:lang w:eastAsia="zh-CN"/>
        </w:rPr>
      </w:pPr>
      <w:r w:rsidRPr="0052732C">
        <w:rPr>
          <w:rFonts w:asciiTheme="majorBidi" w:eastAsia="SimSun" w:hAnsiTheme="majorBidi" w:cstheme="majorBidi"/>
          <w:b/>
          <w:sz w:val="20"/>
          <w:szCs w:val="20"/>
          <w:lang w:eastAsia="zh-CN"/>
        </w:rPr>
        <w:t>ITU-wide activities</w:t>
      </w:r>
    </w:p>
    <w:p w:rsidR="0052732C" w:rsidRPr="0052732C" w:rsidRDefault="0052732C" w:rsidP="0052732C">
      <w:pPr>
        <w:numPr>
          <w:ilvl w:val="0"/>
          <w:numId w:val="16"/>
        </w:numPr>
        <w:autoSpaceDE w:val="0"/>
        <w:autoSpaceDN w:val="0"/>
        <w:adjustRightInd w:val="0"/>
        <w:spacing w:before="0" w:after="120"/>
        <w:jc w:val="both"/>
        <w:rPr>
          <w:rFonts w:asciiTheme="majorBidi" w:eastAsia="SimSun" w:hAnsiTheme="majorBidi" w:cstheme="majorBidi"/>
          <w:sz w:val="20"/>
          <w:szCs w:val="20"/>
          <w:lang w:eastAsia="zh-CN"/>
        </w:rPr>
      </w:pPr>
      <w:r w:rsidRPr="0052732C">
        <w:rPr>
          <w:rFonts w:asciiTheme="majorBidi" w:eastAsia="SimSun" w:hAnsiTheme="majorBidi" w:cstheme="majorBidi"/>
          <w:sz w:val="20"/>
          <w:szCs w:val="20"/>
          <w:lang w:eastAsia="zh-CN"/>
        </w:rPr>
        <w:t xml:space="preserve">From May to September 2013, ITU, together with the Broadband Commission, G3ICT, IDA, Telecenter.org, Microsoft and UNESCO carried out the Global ICT Sectorial Consultation in support of the UN General Assembly High-Level Meeting on Disability and Development (HLMDD). The result of this work has been reflected in the report </w:t>
      </w:r>
      <w:r w:rsidRPr="0052732C">
        <w:rPr>
          <w:rFonts w:asciiTheme="majorBidi" w:eastAsia="SimSun" w:hAnsiTheme="majorBidi" w:cstheme="majorBidi"/>
          <w:sz w:val="20"/>
          <w:szCs w:val="20"/>
          <w:lang w:val="en-US" w:eastAsia="zh-CN"/>
        </w:rPr>
        <w:t>“</w:t>
      </w:r>
      <w:r w:rsidRPr="0052732C">
        <w:rPr>
          <w:rFonts w:asciiTheme="majorBidi" w:eastAsia="SimSun" w:hAnsiTheme="majorBidi" w:cstheme="majorBidi"/>
          <w:i/>
          <w:iCs/>
          <w:sz w:val="20"/>
          <w:szCs w:val="20"/>
          <w:lang w:val="en-US" w:eastAsia="zh-CN"/>
        </w:rPr>
        <w:t>The ICT Opportunity for a Disability-Inclusive Development Framework</w:t>
      </w:r>
      <w:r w:rsidRPr="0052732C">
        <w:rPr>
          <w:rFonts w:asciiTheme="majorBidi" w:eastAsia="SimSun" w:hAnsiTheme="majorBidi" w:cstheme="majorBidi"/>
          <w:sz w:val="20"/>
          <w:szCs w:val="20"/>
          <w:lang w:val="en-US" w:eastAsia="zh-CN"/>
        </w:rPr>
        <w:t>”, launched in September 2013 in the context of the HLMDD. All ITU Membership is invited to take note of this report and work on the implementation of its recommendations</w:t>
      </w:r>
      <w:r w:rsidRPr="0052732C">
        <w:rPr>
          <w:rFonts w:asciiTheme="majorBidi" w:eastAsia="SimSun" w:hAnsiTheme="majorBidi" w:cstheme="majorBidi"/>
          <w:sz w:val="20"/>
          <w:szCs w:val="20"/>
          <w:vertAlign w:val="superscript"/>
          <w:lang w:val="en-US" w:eastAsia="zh-CN"/>
        </w:rPr>
        <w:endnoteReference w:id="9"/>
      </w:r>
      <w:r w:rsidRPr="0052732C">
        <w:rPr>
          <w:rFonts w:asciiTheme="majorBidi" w:eastAsia="SimSun" w:hAnsiTheme="majorBidi" w:cstheme="majorBidi"/>
          <w:sz w:val="20"/>
          <w:szCs w:val="20"/>
          <w:lang w:val="en-US" w:eastAsia="zh-CN"/>
        </w:rPr>
        <w:t>.</w:t>
      </w:r>
    </w:p>
    <w:p w:rsidR="0052732C" w:rsidRPr="0052732C" w:rsidRDefault="0052732C" w:rsidP="0052732C">
      <w:pPr>
        <w:numPr>
          <w:ilvl w:val="0"/>
          <w:numId w:val="16"/>
        </w:numPr>
        <w:autoSpaceDE w:val="0"/>
        <w:autoSpaceDN w:val="0"/>
        <w:adjustRightInd w:val="0"/>
        <w:spacing w:before="0" w:after="120"/>
        <w:jc w:val="both"/>
        <w:rPr>
          <w:rFonts w:asciiTheme="majorBidi" w:eastAsia="SimSun" w:hAnsiTheme="majorBidi" w:cstheme="majorBidi"/>
          <w:sz w:val="20"/>
          <w:szCs w:val="20"/>
          <w:lang w:eastAsia="zh-CN"/>
        </w:rPr>
      </w:pPr>
      <w:r w:rsidRPr="0052732C">
        <w:rPr>
          <w:rFonts w:asciiTheme="majorBidi" w:eastAsia="SimSun" w:hAnsiTheme="majorBidi" w:cstheme="majorBidi"/>
          <w:sz w:val="20"/>
          <w:szCs w:val="20"/>
          <w:lang w:eastAsia="zh-CN"/>
        </w:rPr>
        <w:t>In June 2013, the 2013 Session of ITU Council adopted the Accessibility Policy for Persons with Disabilities.  Within the next few months the ITU Secretariat will work to support the implementation of this policy. A preliminary report with the results of the implementation will be presented at the 2014 Session of the Council.</w:t>
      </w:r>
    </w:p>
    <w:p w:rsidR="0052732C" w:rsidRPr="0052732C" w:rsidRDefault="0052732C" w:rsidP="0052732C">
      <w:pPr>
        <w:autoSpaceDE w:val="0"/>
        <w:autoSpaceDN w:val="0"/>
        <w:adjustRightInd w:val="0"/>
        <w:spacing w:after="120"/>
        <w:jc w:val="both"/>
        <w:rPr>
          <w:rFonts w:asciiTheme="majorBidi" w:eastAsia="SimSun" w:hAnsiTheme="majorBidi" w:cstheme="majorBidi"/>
          <w:b/>
          <w:bCs/>
          <w:sz w:val="20"/>
          <w:szCs w:val="20"/>
          <w:lang w:eastAsia="zh-CN"/>
        </w:rPr>
      </w:pPr>
    </w:p>
    <w:p w:rsidR="0052732C" w:rsidRPr="0052732C" w:rsidRDefault="0052732C" w:rsidP="0052732C">
      <w:pPr>
        <w:autoSpaceDE w:val="0"/>
        <w:autoSpaceDN w:val="0"/>
        <w:adjustRightInd w:val="0"/>
        <w:spacing w:after="120"/>
        <w:jc w:val="both"/>
        <w:rPr>
          <w:rFonts w:asciiTheme="majorBidi" w:eastAsia="SimSun" w:hAnsiTheme="majorBidi" w:cstheme="majorBidi"/>
          <w:b/>
          <w:bCs/>
          <w:sz w:val="20"/>
          <w:szCs w:val="20"/>
          <w:lang w:eastAsia="zh-CN"/>
        </w:rPr>
      </w:pPr>
      <w:r w:rsidRPr="0052732C">
        <w:rPr>
          <w:rFonts w:asciiTheme="majorBidi" w:eastAsia="SimSun" w:hAnsiTheme="majorBidi" w:cstheme="majorBidi"/>
          <w:b/>
          <w:bCs/>
          <w:sz w:val="20"/>
          <w:szCs w:val="20"/>
          <w:lang w:eastAsia="zh-CN"/>
        </w:rPr>
        <w:t>FURTHER INFORMATION (endnotes)</w:t>
      </w:r>
    </w:p>
    <w:p w:rsidR="0052732C" w:rsidRDefault="0052732C" w:rsidP="00DC4BC9"/>
    <w:p w:rsidR="0052732C" w:rsidRDefault="0052732C" w:rsidP="00DC4BC9">
      <w:pPr>
        <w:jc w:val="center"/>
      </w:pPr>
    </w:p>
    <w:p w:rsidR="003429F2" w:rsidRPr="00AB258E" w:rsidRDefault="00DC4BC9" w:rsidP="00DC4BC9">
      <w:pPr>
        <w:jc w:val="center"/>
      </w:pPr>
      <w:r>
        <w:t>________________</w:t>
      </w:r>
    </w:p>
    <w:sectPr w:rsidR="003429F2" w:rsidRPr="00AB258E" w:rsidSect="00D764EE">
      <w:headerReference w:type="default" r:id="rId9"/>
      <w:footerReference w:type="first" r:id="rId10"/>
      <w:pgSz w:w="11907" w:h="16840" w:code="9"/>
      <w:pgMar w:top="1417" w:right="1134" w:bottom="1417"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4EE" w:rsidRDefault="00D764EE" w:rsidP="00D764EE">
      <w:pPr>
        <w:spacing w:before="0"/>
      </w:pPr>
      <w:r>
        <w:separator/>
      </w:r>
    </w:p>
  </w:endnote>
  <w:endnote w:type="continuationSeparator" w:id="0">
    <w:p w:rsidR="00D764EE" w:rsidRDefault="00D764EE" w:rsidP="00D764EE">
      <w:pPr>
        <w:spacing w:before="0"/>
      </w:pPr>
      <w:r>
        <w:continuationSeparator/>
      </w:r>
    </w:p>
  </w:endnote>
  <w:endnote w:id="1">
    <w:p w:rsidR="0052732C" w:rsidRPr="00A7233E" w:rsidRDefault="0052732C" w:rsidP="0052732C">
      <w:pPr>
        <w:pStyle w:val="EndnoteText"/>
        <w:spacing w:before="120" w:after="120"/>
        <w:rPr>
          <w:rStyle w:val="EndnoteReference"/>
        </w:rPr>
      </w:pPr>
      <w:r w:rsidRPr="00EE7F50">
        <w:rPr>
          <w:rStyle w:val="EndnoteReference"/>
          <w:i/>
          <w:iCs/>
        </w:rPr>
        <w:endnoteRef/>
      </w:r>
      <w:r w:rsidRPr="00A7233E">
        <w:rPr>
          <w:rStyle w:val="EndnoteReference"/>
        </w:rPr>
        <w:t xml:space="preserve"> </w:t>
      </w:r>
      <w:r w:rsidRPr="00A7233E">
        <w:rPr>
          <w:i/>
          <w:iCs/>
        </w:rPr>
        <w:t>More information available at</w:t>
      </w:r>
      <w:r w:rsidRPr="00A7233E">
        <w:rPr>
          <w:rStyle w:val="Hyperlink"/>
          <w:i/>
        </w:rPr>
        <w:t xml:space="preserve"> </w:t>
      </w:r>
      <w:hyperlink r:id="rId1" w:history="1">
        <w:r w:rsidRPr="00A7233E">
          <w:rPr>
            <w:rStyle w:val="Hyperlink"/>
            <w:i/>
          </w:rPr>
          <w:t>http://www.itu.int/ITU-R/index.asp?category=study-groups&amp;rlink=rwp5a&amp;lang=en</w:t>
        </w:r>
      </w:hyperlink>
    </w:p>
  </w:endnote>
  <w:endnote w:id="2">
    <w:p w:rsidR="0052732C" w:rsidRPr="00EE7F50" w:rsidRDefault="0052732C" w:rsidP="0052732C">
      <w:pPr>
        <w:pStyle w:val="EndnoteText"/>
        <w:rPr>
          <w:i/>
          <w:iCs/>
        </w:rPr>
      </w:pPr>
      <w:r w:rsidRPr="00EE7F50">
        <w:rPr>
          <w:rStyle w:val="EndnoteReference"/>
          <w:i/>
          <w:iCs/>
        </w:rPr>
        <w:endnoteRef/>
      </w:r>
      <w:r w:rsidRPr="00EE7F50">
        <w:rPr>
          <w:i/>
          <w:iCs/>
        </w:rPr>
        <w:t xml:space="preserve"> More information available at </w:t>
      </w:r>
      <w:hyperlink r:id="rId2" w:history="1">
        <w:r w:rsidRPr="00EE7F50">
          <w:rPr>
            <w:rStyle w:val="Hyperlink"/>
            <w:i/>
          </w:rPr>
          <w:t>http://www.itu.int/en/ITU-T/jca/ahf/Pages/default.aspx</w:t>
        </w:r>
      </w:hyperlink>
    </w:p>
  </w:endnote>
  <w:endnote w:id="3">
    <w:p w:rsidR="0052732C" w:rsidRPr="008834D0" w:rsidRDefault="0052732C" w:rsidP="0052732C">
      <w:pPr>
        <w:pStyle w:val="EndnoteText"/>
        <w:spacing w:before="120" w:after="120"/>
        <w:rPr>
          <w:i/>
          <w:iCs/>
          <w:lang w:val="en-GB"/>
        </w:rPr>
      </w:pPr>
      <w:r w:rsidRPr="00EE7F50">
        <w:rPr>
          <w:rStyle w:val="EndnoteReference"/>
          <w:i/>
          <w:iCs/>
        </w:rPr>
        <w:endnoteRef/>
      </w:r>
      <w:r w:rsidRPr="00EE7F50">
        <w:rPr>
          <w:i/>
          <w:iCs/>
        </w:rPr>
        <w:t xml:space="preserve"> More information available at </w:t>
      </w:r>
      <w:hyperlink r:id="rId3" w:history="1">
        <w:r w:rsidRPr="00EE7F50">
          <w:rPr>
            <w:rStyle w:val="Hyperlink"/>
            <w:i/>
          </w:rPr>
          <w:t>http://www.itu.int/en/ITU-T/focusgroups/ava/Pages/default.aspx</w:t>
        </w:r>
      </w:hyperlink>
      <w:r>
        <w:rPr>
          <w:rStyle w:val="Hyperlink"/>
          <w:i/>
        </w:rPr>
        <w:t xml:space="preserve"> </w:t>
      </w:r>
    </w:p>
  </w:endnote>
  <w:endnote w:id="4">
    <w:p w:rsidR="0052732C" w:rsidRPr="00EE7F50" w:rsidRDefault="0052732C" w:rsidP="0052732C">
      <w:pPr>
        <w:pStyle w:val="EndnoteText"/>
        <w:spacing w:before="120" w:after="120"/>
        <w:rPr>
          <w:i/>
          <w:iCs/>
        </w:rPr>
      </w:pPr>
      <w:r w:rsidRPr="00EE7F50">
        <w:rPr>
          <w:rStyle w:val="EndnoteReference"/>
          <w:i/>
          <w:iCs/>
        </w:rPr>
        <w:endnoteRef/>
      </w:r>
      <w:r w:rsidRPr="00EE7F50">
        <w:rPr>
          <w:i/>
          <w:iCs/>
        </w:rPr>
        <w:t xml:space="preserve"> More information available at </w:t>
      </w:r>
      <w:hyperlink r:id="rId4" w:history="1">
        <w:r w:rsidRPr="00EE7F50">
          <w:rPr>
            <w:rStyle w:val="Hyperlink"/>
            <w:i/>
          </w:rPr>
          <w:t>http://www.itu.int/ITU-T/studygroups/com16/</w:t>
        </w:r>
      </w:hyperlink>
    </w:p>
  </w:endnote>
  <w:endnote w:id="5">
    <w:p w:rsidR="0052732C" w:rsidRDefault="0052732C" w:rsidP="0052732C">
      <w:r w:rsidRPr="00A7233E">
        <w:rPr>
          <w:rStyle w:val="EndnoteReference"/>
          <w:i/>
          <w:iCs/>
          <w:sz w:val="20"/>
          <w:szCs w:val="20"/>
        </w:rPr>
        <w:endnoteRef/>
      </w:r>
      <w:r w:rsidRPr="00A7233E">
        <w:rPr>
          <w:i/>
          <w:iCs/>
          <w:sz w:val="20"/>
          <w:szCs w:val="20"/>
        </w:rPr>
        <w:t xml:space="preserve"> More information available at </w:t>
      </w:r>
      <w:hyperlink r:id="rId5" w:history="1">
        <w:r w:rsidRPr="00A7233E">
          <w:rPr>
            <w:rStyle w:val="Hyperlink"/>
            <w:i/>
            <w:sz w:val="20"/>
            <w:szCs w:val="20"/>
          </w:rPr>
          <w:t>http://www.itu.int/en/ITU-T/accessibility/dcad/Pages/201310-workshop-bapsi.aspx</w:t>
        </w:r>
      </w:hyperlink>
    </w:p>
  </w:endnote>
  <w:endnote w:id="6">
    <w:p w:rsidR="0052732C" w:rsidRPr="00EE7F50" w:rsidRDefault="0052732C" w:rsidP="0052732C">
      <w:pPr>
        <w:pStyle w:val="EndnoteText"/>
        <w:spacing w:before="120" w:after="120"/>
        <w:rPr>
          <w:i/>
          <w:iCs/>
        </w:rPr>
      </w:pPr>
      <w:r w:rsidRPr="00EE7F50">
        <w:rPr>
          <w:rStyle w:val="EndnoteReference"/>
          <w:i/>
          <w:iCs/>
        </w:rPr>
        <w:endnoteRef/>
      </w:r>
      <w:r>
        <w:rPr>
          <w:i/>
          <w:iCs/>
        </w:rPr>
        <w:t xml:space="preserve"> More information available at </w:t>
      </w:r>
      <w:hyperlink r:id="rId6" w:history="1">
        <w:r>
          <w:rPr>
            <w:rStyle w:val="Hyperlink"/>
          </w:rPr>
          <w:t>http://www.intgovforum.org/cms/</w:t>
        </w:r>
      </w:hyperlink>
    </w:p>
  </w:endnote>
  <w:endnote w:id="7">
    <w:p w:rsidR="0052732C" w:rsidRPr="00EE7F50" w:rsidRDefault="0052732C" w:rsidP="0052732C">
      <w:pPr>
        <w:pStyle w:val="EndnoteText"/>
        <w:spacing w:before="120" w:after="120"/>
        <w:rPr>
          <w:i/>
          <w:iCs/>
        </w:rPr>
      </w:pPr>
      <w:r w:rsidRPr="00EE7F50">
        <w:rPr>
          <w:rStyle w:val="EndnoteReference"/>
          <w:i/>
          <w:iCs/>
        </w:rPr>
        <w:endnoteRef/>
      </w:r>
      <w:r w:rsidRPr="00EE7F50">
        <w:rPr>
          <w:i/>
          <w:iCs/>
        </w:rPr>
        <w:t xml:space="preserve"> More information available at </w:t>
      </w:r>
      <w:hyperlink r:id="rId7" w:history="1">
        <w:r w:rsidRPr="00EE7F50">
          <w:rPr>
            <w:rStyle w:val="Hyperlink"/>
            <w:i/>
          </w:rPr>
          <w:t>http://www.itu.int/ITU-D/CDS/sg/index.asp?lg=1&amp;sp=2010&amp;stg=1</w:t>
        </w:r>
      </w:hyperlink>
    </w:p>
  </w:endnote>
  <w:endnote w:id="8">
    <w:p w:rsidR="0052732C" w:rsidRPr="00EE7F50" w:rsidRDefault="0052732C" w:rsidP="0052732C">
      <w:pPr>
        <w:pStyle w:val="EndnoteText"/>
        <w:rPr>
          <w:i/>
          <w:iCs/>
        </w:rPr>
      </w:pPr>
      <w:r w:rsidRPr="00EE7F50">
        <w:rPr>
          <w:rStyle w:val="EndnoteReference"/>
          <w:i/>
          <w:iCs/>
        </w:rPr>
        <w:endnoteRef/>
      </w:r>
      <w:r w:rsidRPr="00EE7F50">
        <w:rPr>
          <w:i/>
          <w:iCs/>
        </w:rPr>
        <w:t xml:space="preserve"> More information available at </w:t>
      </w:r>
      <w:hyperlink r:id="rId8" w:history="1">
        <w:r w:rsidRPr="00EE7F50">
          <w:rPr>
            <w:rStyle w:val="Hyperlink"/>
            <w:i/>
          </w:rPr>
          <w:t>http://www.itu.int/ITU-D/asp/CMS/Events/2013/ITU-ABU-2013/index.asp</w:t>
        </w:r>
      </w:hyperlink>
    </w:p>
  </w:endnote>
  <w:endnote w:id="9">
    <w:p w:rsidR="0052732C" w:rsidRPr="00592B28" w:rsidRDefault="0052732C" w:rsidP="0052732C">
      <w:pPr>
        <w:pStyle w:val="EndnoteText"/>
        <w:spacing w:before="120" w:after="120"/>
      </w:pPr>
      <w:r w:rsidRPr="00EE7F50">
        <w:rPr>
          <w:rStyle w:val="EndnoteReference"/>
          <w:i/>
          <w:iCs/>
        </w:rPr>
        <w:endnoteRef/>
      </w:r>
      <w:r w:rsidRPr="00EE7F50">
        <w:rPr>
          <w:i/>
          <w:iCs/>
        </w:rPr>
        <w:t xml:space="preserve"> More information available at </w:t>
      </w:r>
      <w:hyperlink r:id="rId9" w:history="1">
        <w:r w:rsidRPr="00EE7F50">
          <w:rPr>
            <w:rStyle w:val="Hyperlink"/>
            <w:i/>
          </w:rPr>
          <w:t>http://www.itu.int/en/action/accessibility/Pages/hlmdd2013.aspx</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48" w:type="dxa"/>
      <w:jc w:val="center"/>
      <w:tblInd w:w="26" w:type="dxa"/>
      <w:tblLayout w:type="fixed"/>
      <w:tblLook w:val="0000" w:firstRow="0" w:lastRow="0" w:firstColumn="0" w:lastColumn="0" w:noHBand="0" w:noVBand="0"/>
    </w:tblPr>
    <w:tblGrid>
      <w:gridCol w:w="25"/>
      <w:gridCol w:w="1565"/>
      <w:gridCol w:w="4394"/>
      <w:gridCol w:w="3913"/>
      <w:gridCol w:w="51"/>
    </w:tblGrid>
    <w:tr w:rsidR="0052732C" w:rsidRPr="0052732C" w:rsidTr="0052732C">
      <w:trPr>
        <w:gridAfter w:val="1"/>
        <w:wAfter w:w="51" w:type="dxa"/>
        <w:cantSplit/>
        <w:jc w:val="center"/>
      </w:trPr>
      <w:tc>
        <w:tcPr>
          <w:tcW w:w="1590" w:type="dxa"/>
          <w:gridSpan w:val="2"/>
          <w:tcBorders>
            <w:top w:val="single" w:sz="12" w:space="0" w:color="auto"/>
          </w:tcBorders>
        </w:tcPr>
        <w:p w:rsidR="0052732C" w:rsidRPr="0052732C" w:rsidRDefault="0052732C" w:rsidP="0052732C">
          <w:pPr>
            <w:spacing w:before="0"/>
            <w:rPr>
              <w:sz w:val="22"/>
            </w:rPr>
          </w:pPr>
          <w:r w:rsidRPr="0052732C">
            <w:rPr>
              <w:b/>
              <w:bCs/>
              <w:sz w:val="22"/>
            </w:rPr>
            <w:t>Contact</w:t>
          </w:r>
          <w:r w:rsidRPr="0052732C">
            <w:rPr>
              <w:sz w:val="22"/>
            </w:rPr>
            <w:t>:</w:t>
          </w:r>
        </w:p>
      </w:tc>
      <w:tc>
        <w:tcPr>
          <w:tcW w:w="4394" w:type="dxa"/>
          <w:tcBorders>
            <w:top w:val="single" w:sz="12" w:space="0" w:color="auto"/>
          </w:tcBorders>
        </w:tcPr>
        <w:p w:rsidR="0052732C" w:rsidRPr="0052732C" w:rsidRDefault="0052732C" w:rsidP="0052732C">
          <w:pPr>
            <w:spacing w:before="0" w:after="120"/>
            <w:rPr>
              <w:color w:val="1F497D"/>
              <w:lang w:val="en-US"/>
            </w:rPr>
          </w:pPr>
          <w:r w:rsidRPr="0052732C">
            <w:rPr>
              <w:lang w:val="en-US"/>
            </w:rPr>
            <w:t xml:space="preserve">ITU </w:t>
          </w:r>
          <w:proofErr w:type="spellStart"/>
          <w:r w:rsidRPr="0052732C">
            <w:rPr>
              <w:lang w:val="en-US"/>
            </w:rPr>
            <w:t>AccTF</w:t>
          </w:r>
          <w:proofErr w:type="spellEnd"/>
          <w:r w:rsidRPr="0052732C">
            <w:rPr>
              <w:lang w:val="en-US"/>
            </w:rPr>
            <w:t xml:space="preserve"> - TSB </w:t>
          </w:r>
        </w:p>
      </w:tc>
      <w:tc>
        <w:tcPr>
          <w:tcW w:w="3913" w:type="dxa"/>
          <w:tcBorders>
            <w:top w:val="single" w:sz="12" w:space="0" w:color="auto"/>
          </w:tcBorders>
        </w:tcPr>
        <w:p w:rsidR="0052732C" w:rsidRPr="0052732C" w:rsidRDefault="0052732C" w:rsidP="0052732C">
          <w:pPr>
            <w:spacing w:before="0" w:after="120"/>
            <w:rPr>
              <w:sz w:val="22"/>
            </w:rPr>
          </w:pPr>
          <w:r w:rsidRPr="0052732C">
            <w:rPr>
              <w:sz w:val="22"/>
            </w:rPr>
            <w:t>Email</w:t>
          </w:r>
          <w:r w:rsidRPr="0052732C">
            <w:rPr>
              <w:sz w:val="22"/>
            </w:rPr>
            <w:tab/>
            <w:t>tsbjcaahf@itu.int</w:t>
          </w:r>
        </w:p>
      </w:tc>
    </w:tr>
    <w:tr w:rsidR="00D764EE" w:rsidRPr="0052732C" w:rsidTr="0052732C">
      <w:trPr>
        <w:gridBefore w:val="1"/>
        <w:wBefore w:w="25" w:type="dxa"/>
        <w:cantSplit/>
        <w:jc w:val="center"/>
      </w:trPr>
      <w:tc>
        <w:tcPr>
          <w:tcW w:w="9923" w:type="dxa"/>
          <w:gridSpan w:val="4"/>
          <w:tcBorders>
            <w:top w:val="single" w:sz="4" w:space="0" w:color="auto"/>
            <w:left w:val="single" w:sz="4" w:space="0" w:color="auto"/>
            <w:bottom w:val="single" w:sz="4" w:space="0" w:color="auto"/>
            <w:right w:val="single" w:sz="4" w:space="0" w:color="auto"/>
          </w:tcBorders>
          <w:tcMar>
            <w:left w:w="57" w:type="dxa"/>
            <w:right w:w="57" w:type="dxa"/>
          </w:tcMar>
        </w:tcPr>
        <w:p w:rsidR="00D764EE" w:rsidRPr="0052732C" w:rsidRDefault="00D764EE" w:rsidP="0052732C">
          <w:pPr>
            <w:spacing w:before="0"/>
            <w:rPr>
              <w:sz w:val="18"/>
            </w:rPr>
          </w:pPr>
          <w:r w:rsidRPr="0052732C">
            <w:rPr>
              <w:b/>
              <w:bCs/>
              <w:sz w:val="18"/>
            </w:rPr>
            <w:t>Attention:</w:t>
          </w:r>
          <w:r w:rsidRPr="0052732C">
            <w:rPr>
              <w:sz w:val="18"/>
            </w:rPr>
            <w:t xml:space="preserve"> This is not a publication made available to the public, but </w:t>
          </w:r>
          <w:r w:rsidRPr="0052732C">
            <w:rPr>
              <w:b/>
              <w:bCs/>
              <w:sz w:val="18"/>
            </w:rPr>
            <w:t>an internal ITU-T Document</w:t>
          </w:r>
          <w:r w:rsidRPr="0052732C">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D764EE" w:rsidRPr="00D764EE" w:rsidRDefault="00D764EE" w:rsidP="00D764EE">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4EE" w:rsidRDefault="00D764EE" w:rsidP="00D764EE">
      <w:pPr>
        <w:spacing w:before="0"/>
      </w:pPr>
      <w:r>
        <w:separator/>
      </w:r>
    </w:p>
  </w:footnote>
  <w:footnote w:type="continuationSeparator" w:id="0">
    <w:p w:rsidR="00D764EE" w:rsidRDefault="00D764EE" w:rsidP="00D764E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EE" w:rsidRPr="00D764EE" w:rsidRDefault="00D764EE" w:rsidP="00D764EE">
    <w:pPr>
      <w:pStyle w:val="Header"/>
    </w:pPr>
    <w:r w:rsidRPr="00D764EE">
      <w:t xml:space="preserve">- </w:t>
    </w:r>
    <w:r w:rsidRPr="00D764EE">
      <w:fldChar w:fldCharType="begin"/>
    </w:r>
    <w:r w:rsidRPr="00D764EE">
      <w:instrText xml:space="preserve"> PAGE  \* MERGEFORMAT </w:instrText>
    </w:r>
    <w:r w:rsidRPr="00D764EE">
      <w:fldChar w:fldCharType="separate"/>
    </w:r>
    <w:r w:rsidR="00EC44FF">
      <w:rPr>
        <w:noProof/>
      </w:rPr>
      <w:t>2</w:t>
    </w:r>
    <w:r w:rsidRPr="00D764EE">
      <w:fldChar w:fldCharType="end"/>
    </w:r>
    <w:r w:rsidRPr="00D764EE">
      <w:t xml:space="preserve"> -</w:t>
    </w:r>
  </w:p>
  <w:p w:rsidR="00D764EE" w:rsidRPr="00D764EE" w:rsidRDefault="00D764EE" w:rsidP="00D764EE">
    <w:pPr>
      <w:pStyle w:val="Header"/>
      <w:spacing w:after="240"/>
    </w:pPr>
    <w:r w:rsidRPr="00D764EE">
      <w:fldChar w:fldCharType="begin"/>
    </w:r>
    <w:r w:rsidRPr="00D764EE">
      <w:instrText xml:space="preserve"> STYLEREF  Docnumber  </w:instrText>
    </w:r>
    <w:r w:rsidRPr="00D764EE">
      <w:fldChar w:fldCharType="separate"/>
    </w:r>
    <w:r w:rsidR="00EC44FF">
      <w:rPr>
        <w:noProof/>
      </w:rPr>
      <w:t>Doc 107</w:t>
    </w:r>
    <w:r w:rsidRPr="00D764E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AA642B"/>
    <w:multiLevelType w:val="hybridMultilevel"/>
    <w:tmpl w:val="1E5ACE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318671D"/>
    <w:multiLevelType w:val="hybridMultilevel"/>
    <w:tmpl w:val="33E8C9B8"/>
    <w:lvl w:ilvl="0" w:tplc="3BF0BACE">
      <w:start w:val="1"/>
      <w:numFmt w:val="bullet"/>
      <w:lvlText w:val="•"/>
      <w:lvlJc w:val="left"/>
      <w:pPr>
        <w:tabs>
          <w:tab w:val="num" w:pos="720"/>
        </w:tabs>
        <w:ind w:left="720" w:hanging="360"/>
      </w:pPr>
      <w:rPr>
        <w:rFonts w:ascii="Tahoma" w:hAnsi="Tahoma" w:hint="default"/>
      </w:rPr>
    </w:lvl>
    <w:lvl w:ilvl="1" w:tplc="1B084C3A">
      <w:start w:val="1266"/>
      <w:numFmt w:val="bullet"/>
      <w:lvlText w:val="•"/>
      <w:lvlJc w:val="left"/>
      <w:pPr>
        <w:tabs>
          <w:tab w:val="num" w:pos="1440"/>
        </w:tabs>
        <w:ind w:left="1440" w:hanging="360"/>
      </w:pPr>
      <w:rPr>
        <w:rFonts w:ascii="Tahoma" w:hAnsi="Tahoma" w:hint="default"/>
      </w:rPr>
    </w:lvl>
    <w:lvl w:ilvl="2" w:tplc="A8F44C52" w:tentative="1">
      <w:start w:val="1"/>
      <w:numFmt w:val="bullet"/>
      <w:lvlText w:val="•"/>
      <w:lvlJc w:val="left"/>
      <w:pPr>
        <w:tabs>
          <w:tab w:val="num" w:pos="2160"/>
        </w:tabs>
        <w:ind w:left="2160" w:hanging="360"/>
      </w:pPr>
      <w:rPr>
        <w:rFonts w:ascii="Tahoma" w:hAnsi="Tahoma" w:hint="default"/>
      </w:rPr>
    </w:lvl>
    <w:lvl w:ilvl="3" w:tplc="7BBEC274" w:tentative="1">
      <w:start w:val="1"/>
      <w:numFmt w:val="bullet"/>
      <w:lvlText w:val="•"/>
      <w:lvlJc w:val="left"/>
      <w:pPr>
        <w:tabs>
          <w:tab w:val="num" w:pos="2880"/>
        </w:tabs>
        <w:ind w:left="2880" w:hanging="360"/>
      </w:pPr>
      <w:rPr>
        <w:rFonts w:ascii="Tahoma" w:hAnsi="Tahoma" w:hint="default"/>
      </w:rPr>
    </w:lvl>
    <w:lvl w:ilvl="4" w:tplc="71B46196" w:tentative="1">
      <w:start w:val="1"/>
      <w:numFmt w:val="bullet"/>
      <w:lvlText w:val="•"/>
      <w:lvlJc w:val="left"/>
      <w:pPr>
        <w:tabs>
          <w:tab w:val="num" w:pos="3600"/>
        </w:tabs>
        <w:ind w:left="3600" w:hanging="360"/>
      </w:pPr>
      <w:rPr>
        <w:rFonts w:ascii="Tahoma" w:hAnsi="Tahoma" w:hint="default"/>
      </w:rPr>
    </w:lvl>
    <w:lvl w:ilvl="5" w:tplc="24924604" w:tentative="1">
      <w:start w:val="1"/>
      <w:numFmt w:val="bullet"/>
      <w:lvlText w:val="•"/>
      <w:lvlJc w:val="left"/>
      <w:pPr>
        <w:tabs>
          <w:tab w:val="num" w:pos="4320"/>
        </w:tabs>
        <w:ind w:left="4320" w:hanging="360"/>
      </w:pPr>
      <w:rPr>
        <w:rFonts w:ascii="Tahoma" w:hAnsi="Tahoma" w:hint="default"/>
      </w:rPr>
    </w:lvl>
    <w:lvl w:ilvl="6" w:tplc="7B40A6A0" w:tentative="1">
      <w:start w:val="1"/>
      <w:numFmt w:val="bullet"/>
      <w:lvlText w:val="•"/>
      <w:lvlJc w:val="left"/>
      <w:pPr>
        <w:tabs>
          <w:tab w:val="num" w:pos="5040"/>
        </w:tabs>
        <w:ind w:left="5040" w:hanging="360"/>
      </w:pPr>
      <w:rPr>
        <w:rFonts w:ascii="Tahoma" w:hAnsi="Tahoma" w:hint="default"/>
      </w:rPr>
    </w:lvl>
    <w:lvl w:ilvl="7" w:tplc="BF92DC80" w:tentative="1">
      <w:start w:val="1"/>
      <w:numFmt w:val="bullet"/>
      <w:lvlText w:val="•"/>
      <w:lvlJc w:val="left"/>
      <w:pPr>
        <w:tabs>
          <w:tab w:val="num" w:pos="5760"/>
        </w:tabs>
        <w:ind w:left="5760" w:hanging="360"/>
      </w:pPr>
      <w:rPr>
        <w:rFonts w:ascii="Tahoma" w:hAnsi="Tahoma" w:hint="default"/>
      </w:rPr>
    </w:lvl>
    <w:lvl w:ilvl="8" w:tplc="B45A7D6E" w:tentative="1">
      <w:start w:val="1"/>
      <w:numFmt w:val="bullet"/>
      <w:lvlText w:val="•"/>
      <w:lvlJc w:val="left"/>
      <w:pPr>
        <w:tabs>
          <w:tab w:val="num" w:pos="6480"/>
        </w:tabs>
        <w:ind w:left="6480" w:hanging="360"/>
      </w:pPr>
      <w:rPr>
        <w:rFonts w:ascii="Tahoma" w:hAnsi="Tahoma" w:hint="default"/>
      </w:rPr>
    </w:lvl>
  </w:abstractNum>
  <w:abstractNum w:abstractNumId="3">
    <w:nsid w:val="33AC7EB8"/>
    <w:multiLevelType w:val="multilevel"/>
    <w:tmpl w:val="7E5E5B94"/>
    <w:lvl w:ilvl="0">
      <w:numFmt w:val="decimal"/>
      <w:lvlText w:val="%1"/>
      <w:lvlJc w:val="left"/>
      <w:pPr>
        <w:tabs>
          <w:tab w:val="num" w:pos="432"/>
        </w:tabs>
        <w:ind w:left="432" w:hanging="432"/>
      </w:pPr>
      <w:rPr>
        <w:rFonts w:hint="default"/>
        <w:b/>
        <w:i w:val="0"/>
      </w:rPr>
    </w:lvl>
    <w:lvl w:ilvl="1">
      <w:start w:val="1"/>
      <w:numFmt w:val="decimal"/>
      <w:lvlText w:val="%1.%2"/>
      <w:lvlJc w:val="left"/>
      <w:pPr>
        <w:tabs>
          <w:tab w:val="num" w:pos="360"/>
        </w:tabs>
        <w:ind w:left="0" w:firstLine="0"/>
      </w:pPr>
      <w:rPr>
        <w:rFonts w:hint="default"/>
        <w:b/>
        <w:i w:val="0"/>
      </w:rPr>
    </w:lvl>
    <w:lvl w:ilvl="2">
      <w:start w:val="1"/>
      <w:numFmt w:val="decimal"/>
      <w:lvlText w:val="%1.%2.%3"/>
      <w:lvlJc w:val="left"/>
      <w:pPr>
        <w:tabs>
          <w:tab w:val="num" w:pos="720"/>
        </w:tabs>
        <w:ind w:left="0" w:firstLine="0"/>
      </w:pPr>
      <w:rPr>
        <w:rFonts w:hint="default"/>
        <w:b/>
        <w:i w:val="0"/>
      </w:rPr>
    </w:lvl>
    <w:lvl w:ilvl="3">
      <w:start w:val="1"/>
      <w:numFmt w:val="decimal"/>
      <w:lvlText w:val="%1.%2.%3.%4"/>
      <w:lvlJc w:val="left"/>
      <w:pPr>
        <w:tabs>
          <w:tab w:val="num" w:pos="1080"/>
        </w:tabs>
        <w:ind w:left="0" w:firstLine="0"/>
      </w:pPr>
      <w:rPr>
        <w:rFonts w:hint="default"/>
        <w:b/>
        <w:i w:val="0"/>
      </w:rPr>
    </w:lvl>
    <w:lvl w:ilvl="4">
      <w:start w:val="1"/>
      <w:numFmt w:val="decimal"/>
      <w:lvlText w:val="%1.%2.%3.%4.%5"/>
      <w:lvlJc w:val="left"/>
      <w:pPr>
        <w:tabs>
          <w:tab w:val="num" w:pos="1080"/>
        </w:tabs>
        <w:ind w:left="0" w:firstLine="0"/>
      </w:pPr>
      <w:rPr>
        <w:rFonts w:hint="default"/>
        <w:b/>
        <w:i w:val="0"/>
      </w:rPr>
    </w:lvl>
    <w:lvl w:ilvl="5">
      <w:start w:val="1"/>
      <w:numFmt w:val="decimal"/>
      <w:lvlText w:val="%1.%2.%3.%4.%5.%6"/>
      <w:lvlJc w:val="left"/>
      <w:pPr>
        <w:tabs>
          <w:tab w:val="num" w:pos="1440"/>
        </w:tabs>
        <w:ind w:left="0" w:firstLine="0"/>
      </w:pPr>
      <w:rPr>
        <w:rFonts w:hint="default"/>
        <w:b/>
        <w:i w:val="0"/>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4">
    <w:nsid w:val="35931227"/>
    <w:multiLevelType w:val="hybridMultilevel"/>
    <w:tmpl w:val="43EC2908"/>
    <w:lvl w:ilvl="0" w:tplc="10090001">
      <w:start w:val="1"/>
      <w:numFmt w:val="bullet"/>
      <w:lvlText w:val=""/>
      <w:lvlJc w:val="left"/>
      <w:pPr>
        <w:ind w:left="775" w:hanging="360"/>
      </w:pPr>
      <w:rPr>
        <w:rFonts w:ascii="Symbol" w:hAnsi="Symbol" w:hint="default"/>
      </w:rPr>
    </w:lvl>
    <w:lvl w:ilvl="1" w:tplc="10090003" w:tentative="1">
      <w:start w:val="1"/>
      <w:numFmt w:val="bullet"/>
      <w:lvlText w:val="o"/>
      <w:lvlJc w:val="left"/>
      <w:pPr>
        <w:ind w:left="1495" w:hanging="360"/>
      </w:pPr>
      <w:rPr>
        <w:rFonts w:ascii="Courier New" w:hAnsi="Courier New" w:cs="Courier New" w:hint="default"/>
      </w:rPr>
    </w:lvl>
    <w:lvl w:ilvl="2" w:tplc="10090005" w:tentative="1">
      <w:start w:val="1"/>
      <w:numFmt w:val="bullet"/>
      <w:lvlText w:val=""/>
      <w:lvlJc w:val="left"/>
      <w:pPr>
        <w:ind w:left="2215" w:hanging="360"/>
      </w:pPr>
      <w:rPr>
        <w:rFonts w:ascii="Wingdings" w:hAnsi="Wingdings" w:hint="default"/>
      </w:rPr>
    </w:lvl>
    <w:lvl w:ilvl="3" w:tplc="10090001" w:tentative="1">
      <w:start w:val="1"/>
      <w:numFmt w:val="bullet"/>
      <w:lvlText w:val=""/>
      <w:lvlJc w:val="left"/>
      <w:pPr>
        <w:ind w:left="2935" w:hanging="360"/>
      </w:pPr>
      <w:rPr>
        <w:rFonts w:ascii="Symbol" w:hAnsi="Symbol" w:hint="default"/>
      </w:rPr>
    </w:lvl>
    <w:lvl w:ilvl="4" w:tplc="10090003" w:tentative="1">
      <w:start w:val="1"/>
      <w:numFmt w:val="bullet"/>
      <w:lvlText w:val="o"/>
      <w:lvlJc w:val="left"/>
      <w:pPr>
        <w:ind w:left="3655" w:hanging="360"/>
      </w:pPr>
      <w:rPr>
        <w:rFonts w:ascii="Courier New" w:hAnsi="Courier New" w:cs="Courier New" w:hint="default"/>
      </w:rPr>
    </w:lvl>
    <w:lvl w:ilvl="5" w:tplc="10090005" w:tentative="1">
      <w:start w:val="1"/>
      <w:numFmt w:val="bullet"/>
      <w:lvlText w:val=""/>
      <w:lvlJc w:val="left"/>
      <w:pPr>
        <w:ind w:left="4375" w:hanging="360"/>
      </w:pPr>
      <w:rPr>
        <w:rFonts w:ascii="Wingdings" w:hAnsi="Wingdings" w:hint="default"/>
      </w:rPr>
    </w:lvl>
    <w:lvl w:ilvl="6" w:tplc="10090001" w:tentative="1">
      <w:start w:val="1"/>
      <w:numFmt w:val="bullet"/>
      <w:lvlText w:val=""/>
      <w:lvlJc w:val="left"/>
      <w:pPr>
        <w:ind w:left="5095" w:hanging="360"/>
      </w:pPr>
      <w:rPr>
        <w:rFonts w:ascii="Symbol" w:hAnsi="Symbol" w:hint="default"/>
      </w:rPr>
    </w:lvl>
    <w:lvl w:ilvl="7" w:tplc="10090003" w:tentative="1">
      <w:start w:val="1"/>
      <w:numFmt w:val="bullet"/>
      <w:lvlText w:val="o"/>
      <w:lvlJc w:val="left"/>
      <w:pPr>
        <w:ind w:left="5815" w:hanging="360"/>
      </w:pPr>
      <w:rPr>
        <w:rFonts w:ascii="Courier New" w:hAnsi="Courier New" w:cs="Courier New" w:hint="default"/>
      </w:rPr>
    </w:lvl>
    <w:lvl w:ilvl="8" w:tplc="10090005" w:tentative="1">
      <w:start w:val="1"/>
      <w:numFmt w:val="bullet"/>
      <w:lvlText w:val=""/>
      <w:lvlJc w:val="left"/>
      <w:pPr>
        <w:ind w:left="6535" w:hanging="360"/>
      </w:pPr>
      <w:rPr>
        <w:rFonts w:ascii="Wingdings" w:hAnsi="Wingdings" w:hint="default"/>
      </w:rPr>
    </w:lvl>
  </w:abstractNum>
  <w:abstractNum w:abstractNumId="5">
    <w:nsid w:val="4B843F60"/>
    <w:multiLevelType w:val="hybridMultilevel"/>
    <w:tmpl w:val="6F12A5A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2123879"/>
    <w:multiLevelType w:val="hybridMultilevel"/>
    <w:tmpl w:val="632A96F0"/>
    <w:lvl w:ilvl="0" w:tplc="163EC486">
      <w:start w:val="1"/>
      <w:numFmt w:val="bullet"/>
      <w:lvlText w:val="•"/>
      <w:lvlJc w:val="left"/>
      <w:pPr>
        <w:tabs>
          <w:tab w:val="num" w:pos="720"/>
        </w:tabs>
        <w:ind w:left="720" w:hanging="360"/>
      </w:pPr>
      <w:rPr>
        <w:rFonts w:ascii="Tahoma" w:hAnsi="Tahoma" w:hint="default"/>
      </w:rPr>
    </w:lvl>
    <w:lvl w:ilvl="1" w:tplc="CE86877E">
      <w:start w:val="1266"/>
      <w:numFmt w:val="bullet"/>
      <w:lvlText w:val="•"/>
      <w:lvlJc w:val="left"/>
      <w:pPr>
        <w:tabs>
          <w:tab w:val="num" w:pos="1440"/>
        </w:tabs>
        <w:ind w:left="1440" w:hanging="360"/>
      </w:pPr>
      <w:rPr>
        <w:rFonts w:ascii="Tahoma" w:hAnsi="Tahoma" w:hint="default"/>
      </w:rPr>
    </w:lvl>
    <w:lvl w:ilvl="2" w:tplc="580C214C" w:tentative="1">
      <w:start w:val="1"/>
      <w:numFmt w:val="bullet"/>
      <w:lvlText w:val="•"/>
      <w:lvlJc w:val="left"/>
      <w:pPr>
        <w:tabs>
          <w:tab w:val="num" w:pos="2160"/>
        </w:tabs>
        <w:ind w:left="2160" w:hanging="360"/>
      </w:pPr>
      <w:rPr>
        <w:rFonts w:ascii="Tahoma" w:hAnsi="Tahoma" w:hint="default"/>
      </w:rPr>
    </w:lvl>
    <w:lvl w:ilvl="3" w:tplc="E2A8EECA" w:tentative="1">
      <w:start w:val="1"/>
      <w:numFmt w:val="bullet"/>
      <w:lvlText w:val="•"/>
      <w:lvlJc w:val="left"/>
      <w:pPr>
        <w:tabs>
          <w:tab w:val="num" w:pos="2880"/>
        </w:tabs>
        <w:ind w:left="2880" w:hanging="360"/>
      </w:pPr>
      <w:rPr>
        <w:rFonts w:ascii="Tahoma" w:hAnsi="Tahoma" w:hint="default"/>
      </w:rPr>
    </w:lvl>
    <w:lvl w:ilvl="4" w:tplc="7A14D4E2" w:tentative="1">
      <w:start w:val="1"/>
      <w:numFmt w:val="bullet"/>
      <w:lvlText w:val="•"/>
      <w:lvlJc w:val="left"/>
      <w:pPr>
        <w:tabs>
          <w:tab w:val="num" w:pos="3600"/>
        </w:tabs>
        <w:ind w:left="3600" w:hanging="360"/>
      </w:pPr>
      <w:rPr>
        <w:rFonts w:ascii="Tahoma" w:hAnsi="Tahoma" w:hint="default"/>
      </w:rPr>
    </w:lvl>
    <w:lvl w:ilvl="5" w:tplc="7D409754" w:tentative="1">
      <w:start w:val="1"/>
      <w:numFmt w:val="bullet"/>
      <w:lvlText w:val="•"/>
      <w:lvlJc w:val="left"/>
      <w:pPr>
        <w:tabs>
          <w:tab w:val="num" w:pos="4320"/>
        </w:tabs>
        <w:ind w:left="4320" w:hanging="360"/>
      </w:pPr>
      <w:rPr>
        <w:rFonts w:ascii="Tahoma" w:hAnsi="Tahoma" w:hint="default"/>
      </w:rPr>
    </w:lvl>
    <w:lvl w:ilvl="6" w:tplc="0A083A80" w:tentative="1">
      <w:start w:val="1"/>
      <w:numFmt w:val="bullet"/>
      <w:lvlText w:val="•"/>
      <w:lvlJc w:val="left"/>
      <w:pPr>
        <w:tabs>
          <w:tab w:val="num" w:pos="5040"/>
        </w:tabs>
        <w:ind w:left="5040" w:hanging="360"/>
      </w:pPr>
      <w:rPr>
        <w:rFonts w:ascii="Tahoma" w:hAnsi="Tahoma" w:hint="default"/>
      </w:rPr>
    </w:lvl>
    <w:lvl w:ilvl="7" w:tplc="B476C736" w:tentative="1">
      <w:start w:val="1"/>
      <w:numFmt w:val="bullet"/>
      <w:lvlText w:val="•"/>
      <w:lvlJc w:val="left"/>
      <w:pPr>
        <w:tabs>
          <w:tab w:val="num" w:pos="5760"/>
        </w:tabs>
        <w:ind w:left="5760" w:hanging="360"/>
      </w:pPr>
      <w:rPr>
        <w:rFonts w:ascii="Tahoma" w:hAnsi="Tahoma" w:hint="default"/>
      </w:rPr>
    </w:lvl>
    <w:lvl w:ilvl="8" w:tplc="1C706780" w:tentative="1">
      <w:start w:val="1"/>
      <w:numFmt w:val="bullet"/>
      <w:lvlText w:val="•"/>
      <w:lvlJc w:val="left"/>
      <w:pPr>
        <w:tabs>
          <w:tab w:val="num" w:pos="6480"/>
        </w:tabs>
        <w:ind w:left="6480" w:hanging="360"/>
      </w:pPr>
      <w:rPr>
        <w:rFonts w:ascii="Tahoma" w:hAnsi="Tahoma" w:hint="default"/>
      </w:rPr>
    </w:lvl>
  </w:abstractNum>
  <w:abstractNum w:abstractNumId="7">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0"/>
  </w:num>
  <w:num w:numId="11">
    <w:abstractNumId w:val="4"/>
  </w:num>
  <w:num w:numId="12">
    <w:abstractNumId w:val="3"/>
  </w:num>
  <w:num w:numId="13">
    <w:abstractNumId w:val="1"/>
  </w:num>
  <w:num w:numId="14">
    <w:abstractNumId w:val="6"/>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BC9"/>
    <w:rsid w:val="000002CE"/>
    <w:rsid w:val="00000339"/>
    <w:rsid w:val="00000FA8"/>
    <w:rsid w:val="0001104D"/>
    <w:rsid w:val="00012EB5"/>
    <w:rsid w:val="00017655"/>
    <w:rsid w:val="00017FE7"/>
    <w:rsid w:val="00022B29"/>
    <w:rsid w:val="00025502"/>
    <w:rsid w:val="00027A32"/>
    <w:rsid w:val="00030DBC"/>
    <w:rsid w:val="0003117B"/>
    <w:rsid w:val="0004493F"/>
    <w:rsid w:val="00050A24"/>
    <w:rsid w:val="00055464"/>
    <w:rsid w:val="0006330F"/>
    <w:rsid w:val="00063556"/>
    <w:rsid w:val="000661D3"/>
    <w:rsid w:val="000769E6"/>
    <w:rsid w:val="00077E88"/>
    <w:rsid w:val="0008099A"/>
    <w:rsid w:val="000842F4"/>
    <w:rsid w:val="00085268"/>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47D"/>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77E9C"/>
    <w:rsid w:val="00281AC7"/>
    <w:rsid w:val="0028651A"/>
    <w:rsid w:val="00287355"/>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D28"/>
    <w:rsid w:val="003B2A40"/>
    <w:rsid w:val="003B53B3"/>
    <w:rsid w:val="003C2513"/>
    <w:rsid w:val="003D0967"/>
    <w:rsid w:val="003D2C2B"/>
    <w:rsid w:val="003D3C3E"/>
    <w:rsid w:val="003D58F8"/>
    <w:rsid w:val="003D7964"/>
    <w:rsid w:val="003E152B"/>
    <w:rsid w:val="003E21BA"/>
    <w:rsid w:val="003E440C"/>
    <w:rsid w:val="003F5E9C"/>
    <w:rsid w:val="003F6921"/>
    <w:rsid w:val="003F7CBB"/>
    <w:rsid w:val="00402B6C"/>
    <w:rsid w:val="004032AC"/>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53D9"/>
    <w:rsid w:val="00477426"/>
    <w:rsid w:val="004806F0"/>
    <w:rsid w:val="00480BF5"/>
    <w:rsid w:val="00481970"/>
    <w:rsid w:val="00481B8F"/>
    <w:rsid w:val="00483B57"/>
    <w:rsid w:val="004A019C"/>
    <w:rsid w:val="004A460E"/>
    <w:rsid w:val="004A66F3"/>
    <w:rsid w:val="004A7E65"/>
    <w:rsid w:val="004B1BCD"/>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F18BB"/>
    <w:rsid w:val="004F467F"/>
    <w:rsid w:val="004F4EB6"/>
    <w:rsid w:val="00500C55"/>
    <w:rsid w:val="00502C16"/>
    <w:rsid w:val="00504261"/>
    <w:rsid w:val="00507D55"/>
    <w:rsid w:val="005166B9"/>
    <w:rsid w:val="00517C7D"/>
    <w:rsid w:val="00522154"/>
    <w:rsid w:val="00524AFA"/>
    <w:rsid w:val="0052732C"/>
    <w:rsid w:val="00527984"/>
    <w:rsid w:val="005307FF"/>
    <w:rsid w:val="00542167"/>
    <w:rsid w:val="0054509D"/>
    <w:rsid w:val="00547A8B"/>
    <w:rsid w:val="00553C5C"/>
    <w:rsid w:val="00554DAD"/>
    <w:rsid w:val="00555133"/>
    <w:rsid w:val="00560C65"/>
    <w:rsid w:val="005614F6"/>
    <w:rsid w:val="005633B4"/>
    <w:rsid w:val="00575F9B"/>
    <w:rsid w:val="005771A3"/>
    <w:rsid w:val="0057782F"/>
    <w:rsid w:val="005815CC"/>
    <w:rsid w:val="00583141"/>
    <w:rsid w:val="0058633E"/>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A4D"/>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1E34"/>
    <w:rsid w:val="00852B99"/>
    <w:rsid w:val="00855010"/>
    <w:rsid w:val="00855AA6"/>
    <w:rsid w:val="00855B71"/>
    <w:rsid w:val="0085720D"/>
    <w:rsid w:val="008579FD"/>
    <w:rsid w:val="00862429"/>
    <w:rsid w:val="00862F6E"/>
    <w:rsid w:val="008709E6"/>
    <w:rsid w:val="00870CFD"/>
    <w:rsid w:val="00877486"/>
    <w:rsid w:val="008800C6"/>
    <w:rsid w:val="00882DF8"/>
    <w:rsid w:val="0088492F"/>
    <w:rsid w:val="008879EF"/>
    <w:rsid w:val="00887A32"/>
    <w:rsid w:val="008909AB"/>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D6F80"/>
    <w:rsid w:val="008E3321"/>
    <w:rsid w:val="008E3FAA"/>
    <w:rsid w:val="008E3FD0"/>
    <w:rsid w:val="008E5942"/>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60F92"/>
    <w:rsid w:val="00964783"/>
    <w:rsid w:val="00964FDC"/>
    <w:rsid w:val="009659E4"/>
    <w:rsid w:val="00976863"/>
    <w:rsid w:val="0098004D"/>
    <w:rsid w:val="00980114"/>
    <w:rsid w:val="00980403"/>
    <w:rsid w:val="009828AA"/>
    <w:rsid w:val="009847FC"/>
    <w:rsid w:val="009939E8"/>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F031A"/>
    <w:rsid w:val="00AF0E98"/>
    <w:rsid w:val="00AF4B26"/>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913"/>
    <w:rsid w:val="00B33DFA"/>
    <w:rsid w:val="00B451A9"/>
    <w:rsid w:val="00B4669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838"/>
    <w:rsid w:val="00BB2183"/>
    <w:rsid w:val="00BB411B"/>
    <w:rsid w:val="00BB46A0"/>
    <w:rsid w:val="00BB7122"/>
    <w:rsid w:val="00BC031E"/>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A0B6A"/>
    <w:rsid w:val="00CA0E12"/>
    <w:rsid w:val="00CA1EC3"/>
    <w:rsid w:val="00CA318C"/>
    <w:rsid w:val="00CA577E"/>
    <w:rsid w:val="00CA6505"/>
    <w:rsid w:val="00CA7227"/>
    <w:rsid w:val="00CC37DB"/>
    <w:rsid w:val="00CC795E"/>
    <w:rsid w:val="00CD0289"/>
    <w:rsid w:val="00CD24B3"/>
    <w:rsid w:val="00CD3809"/>
    <w:rsid w:val="00CD4ACC"/>
    <w:rsid w:val="00CD77AF"/>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BAD"/>
    <w:rsid w:val="00D50DD7"/>
    <w:rsid w:val="00D5167B"/>
    <w:rsid w:val="00D51AFF"/>
    <w:rsid w:val="00D53F49"/>
    <w:rsid w:val="00D561D6"/>
    <w:rsid w:val="00D671C7"/>
    <w:rsid w:val="00D672BA"/>
    <w:rsid w:val="00D6768B"/>
    <w:rsid w:val="00D67CAA"/>
    <w:rsid w:val="00D70D16"/>
    <w:rsid w:val="00D72F49"/>
    <w:rsid w:val="00D764EE"/>
    <w:rsid w:val="00D80ACE"/>
    <w:rsid w:val="00D816A5"/>
    <w:rsid w:val="00D816D3"/>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4BC9"/>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4FF"/>
    <w:rsid w:val="00EC4AAC"/>
    <w:rsid w:val="00EC7452"/>
    <w:rsid w:val="00EC784D"/>
    <w:rsid w:val="00ED4081"/>
    <w:rsid w:val="00ED5BA8"/>
    <w:rsid w:val="00EF23EE"/>
    <w:rsid w:val="00EF32A4"/>
    <w:rsid w:val="00EF39B8"/>
    <w:rsid w:val="00EF3E94"/>
    <w:rsid w:val="00EF591D"/>
    <w:rsid w:val="00F01F9E"/>
    <w:rsid w:val="00F02A93"/>
    <w:rsid w:val="00F104F7"/>
    <w:rsid w:val="00F127BF"/>
    <w:rsid w:val="00F13B70"/>
    <w:rsid w:val="00F150E2"/>
    <w:rsid w:val="00F154A1"/>
    <w:rsid w:val="00F208FE"/>
    <w:rsid w:val="00F226EE"/>
    <w:rsid w:val="00F303CD"/>
    <w:rsid w:val="00F3586C"/>
    <w:rsid w:val="00F35C9D"/>
    <w:rsid w:val="00F36239"/>
    <w:rsid w:val="00F36F66"/>
    <w:rsid w:val="00F412E9"/>
    <w:rsid w:val="00F41AE8"/>
    <w:rsid w:val="00F4765B"/>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58E"/>
    <w:pPr>
      <w:spacing w:before="120"/>
    </w:pPr>
    <w:rPr>
      <w:sz w:val="24"/>
      <w:szCs w:val="24"/>
      <w:lang w:val="en-GB" w:eastAsia="ja-JP"/>
    </w:rPr>
  </w:style>
  <w:style w:type="paragraph" w:styleId="Heading1">
    <w:name w:val="heading 1"/>
    <w:basedOn w:val="Normal"/>
    <w:next w:val="Normal"/>
    <w:link w:val="Heading1Char"/>
    <w:qFormat/>
    <w:rsid w:val="00BB46A0"/>
    <w:pPr>
      <w:keepNext/>
      <w:numPr>
        <w:numId w:val="9"/>
      </w:numPr>
      <w:spacing w:before="240" w:after="60"/>
      <w:outlineLvl w:val="0"/>
    </w:pPr>
    <w:rPr>
      <w:rFonts w:cs="Arial"/>
      <w:b/>
      <w:bCs/>
      <w:kern w:val="32"/>
      <w:szCs w:val="32"/>
    </w:rPr>
  </w:style>
  <w:style w:type="paragraph" w:styleId="Heading2">
    <w:name w:val="heading 2"/>
    <w:basedOn w:val="Normal"/>
    <w:next w:val="Normal"/>
    <w:link w:val="Heading2Char"/>
    <w:qFormat/>
    <w:rsid w:val="00BB46A0"/>
    <w:pPr>
      <w:keepNext/>
      <w:numPr>
        <w:ilvl w:val="1"/>
        <w:numId w:val="9"/>
      </w:numPr>
      <w:spacing w:before="240" w:after="60"/>
      <w:outlineLvl w:val="1"/>
    </w:pPr>
    <w:rPr>
      <w:rFonts w:cs="Arial"/>
      <w:b/>
      <w:bCs/>
      <w:iCs/>
      <w:szCs w:val="28"/>
    </w:rPr>
  </w:style>
  <w:style w:type="paragraph" w:styleId="Heading3">
    <w:name w:val="heading 3"/>
    <w:basedOn w:val="Normal"/>
    <w:next w:val="Normal"/>
    <w:link w:val="Heading3Char"/>
    <w:qFormat/>
    <w:rsid w:val="00BB46A0"/>
    <w:pPr>
      <w:keepNext/>
      <w:numPr>
        <w:ilvl w:val="2"/>
        <w:numId w:val="9"/>
      </w:numPr>
      <w:spacing w:before="240" w:after="60"/>
      <w:outlineLvl w:val="2"/>
    </w:pPr>
    <w:rPr>
      <w:rFonts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qFormat/>
    <w:rsid w:val="00BB46A0"/>
    <w:pPr>
      <w:numPr>
        <w:ilvl w:val="5"/>
        <w:numId w:val="9"/>
      </w:numPr>
      <w:spacing w:before="240" w:after="60"/>
      <w:outlineLvl w:val="5"/>
    </w:pPr>
    <w:rPr>
      <w:b/>
      <w:bCs/>
      <w:szCs w:val="22"/>
    </w:rPr>
  </w:style>
  <w:style w:type="paragraph" w:styleId="Heading7">
    <w:name w:val="heading 7"/>
    <w:basedOn w:val="Normal"/>
    <w:next w:val="Normal"/>
    <w:link w:val="Heading7Char"/>
    <w:qFormat/>
    <w:rsid w:val="00BB46A0"/>
    <w:pPr>
      <w:numPr>
        <w:ilvl w:val="6"/>
        <w:numId w:val="9"/>
      </w:numPr>
      <w:spacing w:before="240" w:after="60"/>
      <w:outlineLvl w:val="6"/>
    </w:pPr>
  </w:style>
  <w:style w:type="paragraph" w:styleId="Heading8">
    <w:name w:val="heading 8"/>
    <w:basedOn w:val="Normal"/>
    <w:next w:val="Normal"/>
    <w:link w:val="Heading8Char"/>
    <w:qFormat/>
    <w:rsid w:val="00BB46A0"/>
    <w:pPr>
      <w:numPr>
        <w:ilvl w:val="7"/>
        <w:numId w:val="9"/>
      </w:numPr>
      <w:spacing w:before="240" w:after="60"/>
      <w:outlineLvl w:val="7"/>
    </w:pPr>
    <w:rPr>
      <w:i/>
      <w:iCs/>
    </w:rPr>
  </w:style>
  <w:style w:type="paragraph" w:styleId="Heading9">
    <w:name w:val="heading 9"/>
    <w:basedOn w:val="Normal"/>
    <w:next w:val="Normal"/>
    <w:link w:val="Heading9Char"/>
    <w:qFormat/>
    <w:rsid w:val="00BB46A0"/>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basedOn w:val="DefaultParagraphFont"/>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basedOn w:val="DefaultParagraphFont"/>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BB46A0"/>
    <w:rPr>
      <w:color w:val="0000FF"/>
      <w:u w:val="single"/>
    </w:rPr>
  </w:style>
  <w:style w:type="paragraph" w:customStyle="1" w:styleId="LSDeadline">
    <w:name w:val="LSDeadlin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For">
    <w:name w:val="LSFor"/>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Source">
    <w:name w:val="LSSourc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Title">
    <w:name w:val="LSTitl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To">
    <w:name w:val="LSTo"/>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Note">
    <w:name w:val="Note"/>
    <w:basedOn w:val="Normal"/>
    <w:rsid w:val="00BB46A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rsid w:val="00B1096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B10963"/>
    <w:pPr>
      <w:tabs>
        <w:tab w:val="clear" w:pos="964"/>
      </w:tabs>
      <w:spacing w:before="80"/>
      <w:ind w:left="1531" w:hanging="851"/>
    </w:pPr>
  </w:style>
  <w:style w:type="paragraph" w:styleId="TOC3">
    <w:name w:val="toc 3"/>
    <w:basedOn w:val="TOC2"/>
    <w:rsid w:val="00B10963"/>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rsid w:val="00D50DD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semiHidden/>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semiHidden/>
    <w:rsid w:val="005B29FD"/>
    <w:rPr>
      <w:rFonts w:eastAsia="Times New Roman"/>
      <w:sz w:val="18"/>
      <w:lang w:val="en-GB" w:eastAsia="en-US"/>
    </w:rPr>
  </w:style>
  <w:style w:type="paragraph" w:styleId="Footer">
    <w:name w:val="footer"/>
    <w:basedOn w:val="Normal"/>
    <w:link w:val="FooterChar"/>
    <w:uiPriority w:val="99"/>
    <w:unhideWhenUsed/>
    <w:rsid w:val="00D764EE"/>
    <w:pPr>
      <w:tabs>
        <w:tab w:val="center" w:pos="4680"/>
        <w:tab w:val="right" w:pos="9360"/>
      </w:tabs>
      <w:spacing w:before="0"/>
    </w:pPr>
  </w:style>
  <w:style w:type="character" w:customStyle="1" w:styleId="FooterChar">
    <w:name w:val="Footer Char"/>
    <w:basedOn w:val="DefaultParagraphFont"/>
    <w:link w:val="Footer"/>
    <w:uiPriority w:val="99"/>
    <w:rsid w:val="00D764EE"/>
    <w:rPr>
      <w:sz w:val="24"/>
      <w:szCs w:val="24"/>
      <w:lang w:val="en-GB" w:eastAsia="ja-JP"/>
    </w:rPr>
  </w:style>
  <w:style w:type="paragraph" w:styleId="EndnoteText">
    <w:name w:val="endnote text"/>
    <w:basedOn w:val="Normal"/>
    <w:link w:val="EndnoteTextChar"/>
    <w:rsid w:val="0052732C"/>
    <w:pPr>
      <w:spacing w:before="0"/>
    </w:pPr>
    <w:rPr>
      <w:rFonts w:eastAsia="SimSun"/>
      <w:sz w:val="20"/>
      <w:szCs w:val="20"/>
      <w:lang w:val="en-US" w:eastAsia="zh-CN"/>
    </w:rPr>
  </w:style>
  <w:style w:type="character" w:customStyle="1" w:styleId="EndnoteTextChar">
    <w:name w:val="Endnote Text Char"/>
    <w:basedOn w:val="DefaultParagraphFont"/>
    <w:link w:val="EndnoteText"/>
    <w:rsid w:val="0052732C"/>
    <w:rPr>
      <w:rFonts w:eastAsia="SimSun"/>
    </w:rPr>
  </w:style>
  <w:style w:type="character" w:styleId="EndnoteReference">
    <w:name w:val="endnote reference"/>
    <w:basedOn w:val="DefaultParagraphFont"/>
    <w:rsid w:val="005273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58E"/>
    <w:pPr>
      <w:spacing w:before="120"/>
    </w:pPr>
    <w:rPr>
      <w:sz w:val="24"/>
      <w:szCs w:val="24"/>
      <w:lang w:val="en-GB" w:eastAsia="ja-JP"/>
    </w:rPr>
  </w:style>
  <w:style w:type="paragraph" w:styleId="Heading1">
    <w:name w:val="heading 1"/>
    <w:basedOn w:val="Normal"/>
    <w:next w:val="Normal"/>
    <w:link w:val="Heading1Char"/>
    <w:qFormat/>
    <w:rsid w:val="00BB46A0"/>
    <w:pPr>
      <w:keepNext/>
      <w:numPr>
        <w:numId w:val="9"/>
      </w:numPr>
      <w:spacing w:before="240" w:after="60"/>
      <w:outlineLvl w:val="0"/>
    </w:pPr>
    <w:rPr>
      <w:rFonts w:cs="Arial"/>
      <w:b/>
      <w:bCs/>
      <w:kern w:val="32"/>
      <w:szCs w:val="32"/>
    </w:rPr>
  </w:style>
  <w:style w:type="paragraph" w:styleId="Heading2">
    <w:name w:val="heading 2"/>
    <w:basedOn w:val="Normal"/>
    <w:next w:val="Normal"/>
    <w:link w:val="Heading2Char"/>
    <w:qFormat/>
    <w:rsid w:val="00BB46A0"/>
    <w:pPr>
      <w:keepNext/>
      <w:numPr>
        <w:ilvl w:val="1"/>
        <w:numId w:val="9"/>
      </w:numPr>
      <w:spacing w:before="240" w:after="60"/>
      <w:outlineLvl w:val="1"/>
    </w:pPr>
    <w:rPr>
      <w:rFonts w:cs="Arial"/>
      <w:b/>
      <w:bCs/>
      <w:iCs/>
      <w:szCs w:val="28"/>
    </w:rPr>
  </w:style>
  <w:style w:type="paragraph" w:styleId="Heading3">
    <w:name w:val="heading 3"/>
    <w:basedOn w:val="Normal"/>
    <w:next w:val="Normal"/>
    <w:link w:val="Heading3Char"/>
    <w:qFormat/>
    <w:rsid w:val="00BB46A0"/>
    <w:pPr>
      <w:keepNext/>
      <w:numPr>
        <w:ilvl w:val="2"/>
        <w:numId w:val="9"/>
      </w:numPr>
      <w:spacing w:before="240" w:after="60"/>
      <w:outlineLvl w:val="2"/>
    </w:pPr>
    <w:rPr>
      <w:rFonts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qFormat/>
    <w:rsid w:val="00BB46A0"/>
    <w:pPr>
      <w:numPr>
        <w:ilvl w:val="5"/>
        <w:numId w:val="9"/>
      </w:numPr>
      <w:spacing w:before="240" w:after="60"/>
      <w:outlineLvl w:val="5"/>
    </w:pPr>
    <w:rPr>
      <w:b/>
      <w:bCs/>
      <w:szCs w:val="22"/>
    </w:rPr>
  </w:style>
  <w:style w:type="paragraph" w:styleId="Heading7">
    <w:name w:val="heading 7"/>
    <w:basedOn w:val="Normal"/>
    <w:next w:val="Normal"/>
    <w:link w:val="Heading7Char"/>
    <w:qFormat/>
    <w:rsid w:val="00BB46A0"/>
    <w:pPr>
      <w:numPr>
        <w:ilvl w:val="6"/>
        <w:numId w:val="9"/>
      </w:numPr>
      <w:spacing w:before="240" w:after="60"/>
      <w:outlineLvl w:val="6"/>
    </w:pPr>
  </w:style>
  <w:style w:type="paragraph" w:styleId="Heading8">
    <w:name w:val="heading 8"/>
    <w:basedOn w:val="Normal"/>
    <w:next w:val="Normal"/>
    <w:link w:val="Heading8Char"/>
    <w:qFormat/>
    <w:rsid w:val="00BB46A0"/>
    <w:pPr>
      <w:numPr>
        <w:ilvl w:val="7"/>
        <w:numId w:val="9"/>
      </w:numPr>
      <w:spacing w:before="240" w:after="60"/>
      <w:outlineLvl w:val="7"/>
    </w:pPr>
    <w:rPr>
      <w:i/>
      <w:iCs/>
    </w:rPr>
  </w:style>
  <w:style w:type="paragraph" w:styleId="Heading9">
    <w:name w:val="heading 9"/>
    <w:basedOn w:val="Normal"/>
    <w:next w:val="Normal"/>
    <w:link w:val="Heading9Char"/>
    <w:qFormat/>
    <w:rsid w:val="00BB46A0"/>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basedOn w:val="DefaultParagraphFont"/>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basedOn w:val="DefaultParagraphFont"/>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BB46A0"/>
    <w:rPr>
      <w:color w:val="0000FF"/>
      <w:u w:val="single"/>
    </w:rPr>
  </w:style>
  <w:style w:type="paragraph" w:customStyle="1" w:styleId="LSDeadline">
    <w:name w:val="LSDeadlin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For">
    <w:name w:val="LSFor"/>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Source">
    <w:name w:val="LSSourc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Title">
    <w:name w:val="LSTitl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To">
    <w:name w:val="LSTo"/>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Note">
    <w:name w:val="Note"/>
    <w:basedOn w:val="Normal"/>
    <w:rsid w:val="00BB46A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rsid w:val="00B1096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B10963"/>
    <w:pPr>
      <w:tabs>
        <w:tab w:val="clear" w:pos="964"/>
      </w:tabs>
      <w:spacing w:before="80"/>
      <w:ind w:left="1531" w:hanging="851"/>
    </w:pPr>
  </w:style>
  <w:style w:type="paragraph" w:styleId="TOC3">
    <w:name w:val="toc 3"/>
    <w:basedOn w:val="TOC2"/>
    <w:rsid w:val="00B10963"/>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rsid w:val="00D50DD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semiHidden/>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semiHidden/>
    <w:rsid w:val="005B29FD"/>
    <w:rPr>
      <w:rFonts w:eastAsia="Times New Roman"/>
      <w:sz w:val="18"/>
      <w:lang w:val="en-GB" w:eastAsia="en-US"/>
    </w:rPr>
  </w:style>
  <w:style w:type="paragraph" w:styleId="Footer">
    <w:name w:val="footer"/>
    <w:basedOn w:val="Normal"/>
    <w:link w:val="FooterChar"/>
    <w:uiPriority w:val="99"/>
    <w:unhideWhenUsed/>
    <w:rsid w:val="00D764EE"/>
    <w:pPr>
      <w:tabs>
        <w:tab w:val="center" w:pos="4680"/>
        <w:tab w:val="right" w:pos="9360"/>
      </w:tabs>
      <w:spacing w:before="0"/>
    </w:pPr>
  </w:style>
  <w:style w:type="character" w:customStyle="1" w:styleId="FooterChar">
    <w:name w:val="Footer Char"/>
    <w:basedOn w:val="DefaultParagraphFont"/>
    <w:link w:val="Footer"/>
    <w:uiPriority w:val="99"/>
    <w:rsid w:val="00D764EE"/>
    <w:rPr>
      <w:sz w:val="24"/>
      <w:szCs w:val="24"/>
      <w:lang w:val="en-GB" w:eastAsia="ja-JP"/>
    </w:rPr>
  </w:style>
  <w:style w:type="paragraph" w:styleId="EndnoteText">
    <w:name w:val="endnote text"/>
    <w:basedOn w:val="Normal"/>
    <w:link w:val="EndnoteTextChar"/>
    <w:rsid w:val="0052732C"/>
    <w:pPr>
      <w:spacing w:before="0"/>
    </w:pPr>
    <w:rPr>
      <w:rFonts w:eastAsia="SimSun"/>
      <w:sz w:val="20"/>
      <w:szCs w:val="20"/>
      <w:lang w:val="en-US" w:eastAsia="zh-CN"/>
    </w:rPr>
  </w:style>
  <w:style w:type="character" w:customStyle="1" w:styleId="EndnoteTextChar">
    <w:name w:val="Endnote Text Char"/>
    <w:basedOn w:val="DefaultParagraphFont"/>
    <w:link w:val="EndnoteText"/>
    <w:rsid w:val="0052732C"/>
    <w:rPr>
      <w:rFonts w:eastAsia="SimSun"/>
    </w:rPr>
  </w:style>
  <w:style w:type="character" w:styleId="EndnoteReference">
    <w:name w:val="endnote reference"/>
    <w:basedOn w:val="DefaultParagraphFont"/>
    <w:rsid w:val="005273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262163">
      <w:bodyDiv w:val="1"/>
      <w:marLeft w:val="0"/>
      <w:marRight w:val="0"/>
      <w:marTop w:val="0"/>
      <w:marBottom w:val="0"/>
      <w:divBdr>
        <w:top w:val="none" w:sz="0" w:space="0" w:color="auto"/>
        <w:left w:val="none" w:sz="0" w:space="0" w:color="auto"/>
        <w:bottom w:val="none" w:sz="0" w:space="0" w:color="auto"/>
        <w:right w:val="none" w:sz="0" w:space="0" w:color="auto"/>
      </w:divBdr>
    </w:div>
    <w:div w:id="82242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8" Type="http://schemas.openxmlformats.org/officeDocument/2006/relationships/hyperlink" Target="http://www.itu.int/ITU-D/asp/CMS/Events/2013/ITU-ABU-2013/index.asp" TargetMode="External"/><Relationship Id="rId3" Type="http://schemas.openxmlformats.org/officeDocument/2006/relationships/hyperlink" Target="http://www.itu.int/en/ITU-T/focusgroups/ava/Pages/default.aspx" TargetMode="External"/><Relationship Id="rId7" Type="http://schemas.openxmlformats.org/officeDocument/2006/relationships/hyperlink" Target="http://www.itu.int/ITU-D/CDS/sg/index.asp?lg=1&amp;sp=2010&amp;stg=1" TargetMode="External"/><Relationship Id="rId2" Type="http://schemas.openxmlformats.org/officeDocument/2006/relationships/hyperlink" Target="http://www.itu.int/en/ITU-T/jca/ahf/Pages/default.aspx" TargetMode="External"/><Relationship Id="rId1" Type="http://schemas.openxmlformats.org/officeDocument/2006/relationships/hyperlink" Target="http://www.itu.int/ITU-R/index.asp?category=study-groups&amp;rlink=rwp5a&amp;lang=en" TargetMode="External"/><Relationship Id="rId6" Type="http://schemas.openxmlformats.org/officeDocument/2006/relationships/hyperlink" Target="http://www.intgovforum.org/cms/" TargetMode="External"/><Relationship Id="rId5" Type="http://schemas.openxmlformats.org/officeDocument/2006/relationships/hyperlink" Target="http://www.itu.int/en/ITU-T/accessibility/dcad/Pages/201310-workshop-bapsi.aspx" TargetMode="External"/><Relationship Id="rId4" Type="http://schemas.openxmlformats.org/officeDocument/2006/relationships/hyperlink" Target="http://www.itu.int/ITU-T/studygroups/com16" TargetMode="External"/><Relationship Id="rId9" Type="http://schemas.openxmlformats.org/officeDocument/2006/relationships/hyperlink" Target="http://www.itu.int/en/action/accessibility/Pages/hlmdd201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D71490-C158-40CA-BA4A-28355C6E91A8}"/>
</file>

<file path=customXml/itemProps2.xml><?xml version="1.0" encoding="utf-8"?>
<ds:datastoreItem xmlns:ds="http://schemas.openxmlformats.org/officeDocument/2006/customXml" ds:itemID="{1515E96D-C8AE-483A-810D-70A4ADD80DD5}"/>
</file>

<file path=customXml/itemProps3.xml><?xml version="1.0" encoding="utf-8"?>
<ds:datastoreItem xmlns:ds="http://schemas.openxmlformats.org/officeDocument/2006/customXml" ds:itemID="{D18C9570-FB4E-4624-9F14-403A2ECBA0D1}"/>
</file>

<file path=docProps/app.xml><?xml version="1.0" encoding="utf-8"?>
<Properties xmlns="http://schemas.openxmlformats.org/officeDocument/2006/extended-properties" xmlns:vt="http://schemas.openxmlformats.org/officeDocument/2006/docPropsVTypes">
  <Template>Normal.dotm</Template>
  <TotalTime>19</TotalTime>
  <Pages>2</Pages>
  <Words>649</Words>
  <Characters>3565</Characters>
  <Application>Microsoft Office Word</Application>
  <DocSecurity>0</DocSecurity>
  <Lines>96</Lines>
  <Paragraphs>59</Paragraphs>
  <ScaleCrop>false</ScaleCrop>
  <HeadingPairs>
    <vt:vector size="2" baseType="variant">
      <vt:variant>
        <vt:lpstr>Title</vt:lpstr>
      </vt:variant>
      <vt:variant>
        <vt:i4>1</vt:i4>
      </vt:variant>
    </vt:vector>
  </HeadingPairs>
  <TitlesOfParts>
    <vt:vector size="1" baseType="lpstr">
      <vt:lpstr>Information accessibility work in ISO/IEC (Guide 71 and JTC1 SWG-A)</vt:lpstr>
    </vt:vector>
  </TitlesOfParts>
  <Manager>ITU-T</Manager>
  <Company>International Telecommunication Union (ITU)</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accessibility work in ISO/IEC (Guide 71 and JTC1 SWG-A)</dc:title>
  <dc:creator>Rapporteur Q26/16 a.i.</dc:creator>
  <cp:keywords>26/16</cp:keywords>
  <dc:description>TD 96 (WP 2/16)  For: Geneva, 28 October – 8 November 2013_x000d_Document date: _x000d_Saved by ITU51006831 at 15:32:46 on 29/10/13</dc:description>
  <cp:lastModifiedBy>Labare, Emmanuelle</cp:lastModifiedBy>
  <cp:revision>3</cp:revision>
  <cp:lastPrinted>2011-04-05T15:28:00Z</cp:lastPrinted>
  <dcterms:created xsi:type="dcterms:W3CDTF">2013-11-01T14:59:00Z</dcterms:created>
  <dcterms:modified xsi:type="dcterms:W3CDTF">2013-11-01T15:18:00Z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96 (WP 2/16)</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26/16</vt:lpwstr>
  </property>
  <property fmtid="{D5CDD505-2E9C-101B-9397-08002B2CF9AE}" pid="6" name="Docdest">
    <vt:lpwstr>Geneva, 28 October – 8 November 2013</vt:lpwstr>
  </property>
  <property fmtid="{D5CDD505-2E9C-101B-9397-08002B2CF9AE}" pid="7" name="Docauthor">
    <vt:lpwstr>Rapporteur Q26/16 a.i.</vt:lpwstr>
  </property>
  <property fmtid="{D5CDD505-2E9C-101B-9397-08002B2CF9AE}" pid="8" name="ContentTypeId">
    <vt:lpwstr>0x0101000DCA7710EC0152459CD54D1C80338A63</vt:lpwstr>
  </property>
</Properties>
</file>