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22539B">
            <w:pPr>
              <w:spacing w:before="120" w:after="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22539B">
            <w:pPr>
              <w:spacing w:before="120" w:after="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22539B">
            <w:pPr>
              <w:spacing w:before="120" w:after="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22539B">
            <w:pPr>
              <w:spacing w:before="120" w:after="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22539B">
            <w:pPr>
              <w:pStyle w:val="Docnumber"/>
              <w:spacing w:after="0"/>
            </w:pPr>
            <w:r>
              <w:t xml:space="preserve">Doc </w:t>
            </w:r>
            <w:r w:rsidR="0022539B">
              <w:t>27</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22539B">
            <w:pPr>
              <w:spacing w:before="120" w:after="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22539B">
            <w:pPr>
              <w:spacing w:before="120" w:after="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22539B">
            <w:pPr>
              <w:spacing w:before="120" w:after="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22539B" w:rsidRDefault="004E0659" w:rsidP="0022539B">
            <w:pPr>
              <w:spacing w:before="120" w:after="0"/>
              <w:rPr>
                <w:rFonts w:ascii="Times New Roman" w:hAnsi="Times New Roman" w:cs="Times New Roman"/>
                <w:b/>
                <w:bCs/>
              </w:rPr>
            </w:pPr>
            <w:bookmarkStart w:id="4" w:name="dsource" w:colFirst="1" w:colLast="1"/>
            <w:bookmarkEnd w:id="3"/>
            <w:r w:rsidRPr="0022539B">
              <w:rPr>
                <w:rFonts w:ascii="Times New Roman" w:hAnsi="Times New Roman" w:cs="Times New Roman"/>
                <w:b/>
                <w:bCs/>
              </w:rPr>
              <w:t>Source:</w:t>
            </w:r>
          </w:p>
        </w:tc>
        <w:tc>
          <w:tcPr>
            <w:tcW w:w="8306" w:type="dxa"/>
            <w:gridSpan w:val="2"/>
          </w:tcPr>
          <w:p w:rsidR="004E0659" w:rsidRPr="0022539B" w:rsidRDefault="0022539B" w:rsidP="0022539B">
            <w:pPr>
              <w:spacing w:before="120" w:after="0"/>
              <w:rPr>
                <w:rFonts w:ascii="Times New Roman" w:hAnsi="Times New Roman" w:cs="Times New Roman"/>
              </w:rPr>
            </w:pPr>
            <w:r w:rsidRPr="0022539B">
              <w:rPr>
                <w:rFonts w:ascii="Times New Roman" w:hAnsi="Times New Roman" w:cs="Times New Roman"/>
              </w:rPr>
              <w:t>JCA</w:t>
            </w:r>
            <w:r w:rsidR="00592A5D">
              <w:rPr>
                <w:rFonts w:ascii="Times New Roman" w:hAnsi="Times New Roman" w:cs="Times New Roman"/>
              </w:rPr>
              <w:t>-AHF</w:t>
            </w:r>
            <w:bookmarkStart w:id="5" w:name="_GoBack"/>
            <w:bookmarkEnd w:id="5"/>
            <w:r w:rsidRPr="0022539B">
              <w:rPr>
                <w:rFonts w:ascii="Times New Roman" w:hAnsi="Times New Roman" w:cs="Times New Roman"/>
              </w:rPr>
              <w:t xml:space="preserve"> convener</w:t>
            </w:r>
          </w:p>
        </w:tc>
      </w:tr>
      <w:tr w:rsidR="004E0659" w:rsidRPr="004E0659">
        <w:trPr>
          <w:cantSplit/>
          <w:trHeight w:val="357"/>
        </w:trPr>
        <w:tc>
          <w:tcPr>
            <w:tcW w:w="1617" w:type="dxa"/>
            <w:tcBorders>
              <w:bottom w:val="single" w:sz="12" w:space="0" w:color="auto"/>
            </w:tcBorders>
          </w:tcPr>
          <w:p w:rsidR="004E0659" w:rsidRPr="0022539B" w:rsidRDefault="004E0659" w:rsidP="0022539B">
            <w:pPr>
              <w:spacing w:before="120" w:after="0"/>
              <w:rPr>
                <w:rFonts w:ascii="Times New Roman" w:hAnsi="Times New Roman" w:cs="Times New Roman"/>
              </w:rPr>
            </w:pPr>
            <w:bookmarkStart w:id="6" w:name="dtitle1" w:colFirst="1" w:colLast="1"/>
            <w:bookmarkEnd w:id="4"/>
            <w:r w:rsidRPr="0022539B">
              <w:rPr>
                <w:rFonts w:ascii="Times New Roman" w:hAnsi="Times New Roman" w:cs="Times New Roman"/>
                <w:b/>
                <w:bCs/>
              </w:rPr>
              <w:t>Title:</w:t>
            </w:r>
          </w:p>
        </w:tc>
        <w:tc>
          <w:tcPr>
            <w:tcW w:w="8306" w:type="dxa"/>
            <w:gridSpan w:val="2"/>
            <w:tcBorders>
              <w:bottom w:val="single" w:sz="12" w:space="0" w:color="auto"/>
            </w:tcBorders>
          </w:tcPr>
          <w:p w:rsidR="004E0659" w:rsidRPr="0022539B" w:rsidRDefault="0022539B" w:rsidP="0022539B">
            <w:pPr>
              <w:spacing w:before="120" w:after="0"/>
              <w:outlineLvl w:val="0"/>
              <w:rPr>
                <w:rFonts w:asciiTheme="majorBidi" w:hAnsiTheme="majorBidi" w:cstheme="majorBidi"/>
              </w:rPr>
            </w:pPr>
            <w:r w:rsidRPr="0022539B">
              <w:rPr>
                <w:rFonts w:asciiTheme="majorBidi" w:hAnsiTheme="majorBidi" w:cstheme="majorBidi"/>
              </w:rPr>
              <w:t>Call for Presentations-Apps, New Services &amp; Case Studies</w:t>
            </w:r>
          </w:p>
        </w:tc>
      </w:tr>
      <w:bookmarkEnd w:id="1"/>
      <w:bookmarkEnd w:id="6"/>
    </w:tbl>
    <w:p w:rsidR="00E74E95" w:rsidRDefault="00E74E95" w:rsidP="0022539B">
      <w:pPr>
        <w:spacing w:before="120" w:after="0"/>
        <w:rPr>
          <w:lang w:val="en-GB"/>
        </w:rPr>
      </w:pPr>
    </w:p>
    <w:tbl>
      <w:tblPr>
        <w:tblW w:w="8250" w:type="dxa"/>
        <w:jc w:val="center"/>
        <w:tblCellSpacing w:w="0" w:type="dxa"/>
        <w:shd w:val="clear" w:color="auto" w:fill="FFFFFF"/>
        <w:tblCellMar>
          <w:left w:w="0" w:type="dxa"/>
          <w:right w:w="0" w:type="dxa"/>
        </w:tblCellMar>
        <w:tblLook w:val="04A0" w:firstRow="1" w:lastRow="0" w:firstColumn="1" w:lastColumn="0" w:noHBand="0" w:noVBand="1"/>
      </w:tblPr>
      <w:tblGrid>
        <w:gridCol w:w="8250"/>
      </w:tblGrid>
      <w:tr w:rsidR="0022539B" w:rsidTr="0022539B">
        <w:trPr>
          <w:tblCellSpacing w:w="0" w:type="dxa"/>
          <w:jc w:val="center"/>
        </w:trPr>
        <w:tc>
          <w:tcPr>
            <w:tcW w:w="73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250"/>
            </w:tblGrid>
            <w:tr w:rsidR="0022539B">
              <w:trPr>
                <w:tblCellSpacing w:w="0" w:type="dxa"/>
                <w:jc w:val="center"/>
              </w:trPr>
              <w:tc>
                <w:tcPr>
                  <w:tcW w:w="0" w:type="auto"/>
                  <w:tcMar>
                    <w:top w:w="225" w:type="dxa"/>
                    <w:left w:w="225" w:type="dxa"/>
                    <w:bottom w:w="225" w:type="dxa"/>
                    <w:right w:w="225" w:type="dxa"/>
                  </w:tcMar>
                  <w:vAlign w:val="center"/>
                  <w:hideMark/>
                </w:tcPr>
                <w:p w:rsidR="0022539B" w:rsidRDefault="0022539B" w:rsidP="0022539B">
                  <w:pPr>
                    <w:spacing w:after="0"/>
                    <w:rPr>
                      <w:rFonts w:ascii="Arial" w:hAnsi="Arial" w:cs="Arial"/>
                      <w:b/>
                      <w:bCs/>
                      <w:color w:val="00ACED"/>
                      <w:sz w:val="60"/>
                      <w:szCs w:val="60"/>
                    </w:rPr>
                  </w:pPr>
                  <w:r>
                    <w:rPr>
                      <w:rFonts w:ascii="Arial" w:hAnsi="Arial" w:cs="Arial"/>
                      <w:b/>
                      <w:bCs/>
                      <w:color w:val="003399"/>
                      <w:sz w:val="48"/>
                      <w:szCs w:val="48"/>
                    </w:rPr>
                    <w:t>Call For Presentations:</w:t>
                  </w:r>
                </w:p>
              </w:tc>
            </w:tr>
          </w:tbl>
          <w:p w:rsidR="0022539B" w:rsidRDefault="0022539B">
            <w:pPr>
              <w:jc w:val="center"/>
              <w:rPr>
                <w:rFonts w:eastAsia="Times New Roman"/>
                <w:sz w:val="20"/>
                <w:szCs w:val="20"/>
              </w:rPr>
            </w:pPr>
          </w:p>
        </w:tc>
      </w:tr>
      <w:tr w:rsidR="0022539B" w:rsidTr="0022539B">
        <w:trPr>
          <w:tblCellSpacing w:w="0" w:type="dxa"/>
          <w:jc w:val="center"/>
        </w:trPr>
        <w:tc>
          <w:tcPr>
            <w:tcW w:w="0" w:type="auto"/>
            <w:shd w:val="clear" w:color="auto" w:fill="0066CC"/>
            <w:vAlign w:val="center"/>
            <w:hideMark/>
          </w:tcPr>
          <w:p w:rsidR="0022539B" w:rsidRDefault="0022539B">
            <w:pPr>
              <w:rPr>
                <w:sz w:val="24"/>
                <w:szCs w:val="24"/>
              </w:rPr>
            </w:pPr>
            <w:r>
              <w:rPr>
                <w:noProof/>
              </w:rPr>
              <w:drawing>
                <wp:inline distT="0" distB="0" distL="0" distR="0">
                  <wp:extent cx="45085" cy="186690"/>
                  <wp:effectExtent l="0" t="0" r="0" b="0"/>
                  <wp:docPr id="3" name="Picture 3"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85" cy="186690"/>
                          </a:xfrm>
                          <a:prstGeom prst="rect">
                            <a:avLst/>
                          </a:prstGeom>
                          <a:noFill/>
                          <a:ln>
                            <a:noFill/>
                          </a:ln>
                        </pic:spPr>
                      </pic:pic>
                    </a:graphicData>
                  </a:graphic>
                </wp:inline>
              </w:drawing>
            </w:r>
          </w:p>
        </w:tc>
      </w:tr>
      <w:tr w:rsidR="0022539B" w:rsidTr="0022539B">
        <w:trPr>
          <w:tblCellSpacing w:w="0" w:type="dxa"/>
          <w:jc w:val="center"/>
        </w:trPr>
        <w:tc>
          <w:tcPr>
            <w:tcW w:w="0" w:type="auto"/>
            <w:shd w:val="clear" w:color="auto" w:fill="EEEEEE"/>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22539B">
              <w:trPr>
                <w:tblCellSpacing w:w="0" w:type="dxa"/>
              </w:trPr>
              <w:tc>
                <w:tcPr>
                  <w:tcW w:w="0" w:type="auto"/>
                  <w:tcMar>
                    <w:top w:w="225" w:type="dxa"/>
                    <w:left w:w="225" w:type="dxa"/>
                    <w:bottom w:w="225" w:type="dxa"/>
                    <w:right w:w="225" w:type="dxa"/>
                  </w:tcMar>
                  <w:hideMark/>
                </w:tcPr>
                <w:p w:rsidR="0022539B" w:rsidRDefault="0022539B" w:rsidP="0022539B">
                  <w:pPr>
                    <w:rPr>
                      <w:sz w:val="24"/>
                      <w:szCs w:val="24"/>
                    </w:rPr>
                  </w:pPr>
                  <w:r>
                    <w:rPr>
                      <w:noProof/>
                      <w:sz w:val="24"/>
                      <w:szCs w:val="24"/>
                    </w:rPr>
                    <w:drawing>
                      <wp:anchor distT="0" distB="0" distL="114300" distR="114300" simplePos="0" relativeHeight="251659264" behindDoc="0" locked="0" layoutInCell="1" allowOverlap="0" wp14:anchorId="34FAC6C8" wp14:editId="13A8C751">
                        <wp:simplePos x="0" y="0"/>
                        <wp:positionH relativeFrom="column">
                          <wp:align>left</wp:align>
                        </wp:positionH>
                        <wp:positionV relativeFrom="line">
                          <wp:posOffset>0</wp:posOffset>
                        </wp:positionV>
                        <wp:extent cx="1714500" cy="1676400"/>
                        <wp:effectExtent l="0" t="0" r="0" b="0"/>
                        <wp:wrapSquare wrapText="bothSides"/>
                        <wp:docPr id="4" name="Picture 4" descr="Title: M-Enabling logo - Description: Second Annual M-Enabling Summit, June 6-7, 2013Round logo, blue with wave pattern of white and light blue dot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M-Enabling logo - Description: Second Annual M-Enabling Summit, June 6-7, 2013Round logo, blue with wave pattern of white and light blue dots">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0" cy="1676400"/>
                                </a:xfrm>
                                <a:prstGeom prst="rect">
                                  <a:avLst/>
                                </a:prstGeom>
                                <a:noFill/>
                              </pic:spPr>
                            </pic:pic>
                          </a:graphicData>
                        </a:graphic>
                        <wp14:sizeRelH relativeFrom="page">
                          <wp14:pctWidth>0</wp14:pctWidth>
                        </wp14:sizeRelH>
                        <wp14:sizeRelV relativeFrom="page">
                          <wp14:pctHeight>0</wp14:pctHeight>
                        </wp14:sizeRelV>
                      </wp:anchor>
                    </w:drawing>
                  </w:r>
                  <w:r>
                    <w:rPr>
                      <w:rStyle w:val="Strong"/>
                      <w:color w:val="003399"/>
                      <w:sz w:val="28"/>
                      <w:szCs w:val="28"/>
                    </w:rPr>
                    <w:t>M-Enabling Summit 2013</w:t>
                  </w:r>
                  <w:r>
                    <w:rPr>
                      <w:b/>
                      <w:bCs/>
                      <w:color w:val="003399"/>
                    </w:rPr>
                    <w:br/>
                  </w:r>
                  <w:r>
                    <w:rPr>
                      <w:rStyle w:val="Strong"/>
                      <w:color w:val="003399"/>
                    </w:rPr>
                    <w:t>The leading conference and showcase on accessible and assistive mobile solutions for seniors and users of all abilities</w:t>
                  </w:r>
                  <w:r>
                    <w:br/>
                    <w:t> </w:t>
                  </w:r>
                  <w:r>
                    <w:br/>
                  </w:r>
                  <w:hyperlink r:id="rId10" w:history="1">
                    <w:r>
                      <w:rPr>
                        <w:rStyle w:val="Emphasis"/>
                        <w:b/>
                        <w:bCs/>
                        <w:color w:val="003399"/>
                        <w:u w:val="single"/>
                      </w:rPr>
                      <w:t>Call for Presentations on Applications, New Services and Case Studies</w:t>
                    </w:r>
                  </w:hyperlink>
                  <w:r>
                    <w:br/>
                  </w:r>
                  <w:r>
                    <w:br/>
                  </w:r>
                  <w:r>
                    <w:rPr>
                      <w:rStyle w:val="Emphasis"/>
                      <w:b/>
                      <w:bCs/>
                      <w:color w:val="FF0000"/>
                    </w:rPr>
                    <w:t>Deadline: January 30, 2013</w:t>
                  </w:r>
                  <w:r>
                    <w:br/>
                    <w:t> </w:t>
                  </w:r>
                  <w:r>
                    <w:rPr>
                      <w:rStyle w:val="Strong"/>
                    </w:rPr>
                    <w:t xml:space="preserve">Who presents at the M-Enabling Summit?  </w:t>
                  </w:r>
                  <w:r>
                    <w:rPr>
                      <w:sz w:val="20"/>
                      <w:szCs w:val="20"/>
                      <w:u w:val="single"/>
                    </w:rPr>
                    <w:t>Presenters at the M-Enabling Summit are individuals, companies, education or nonprofit organizations who participate in the Summit and wish to share their solutions for seniors and users of all abilities with key players of the mobile accessibility eco-system.</w:t>
                  </w:r>
                  <w:r>
                    <w:rPr>
                      <w:sz w:val="20"/>
                      <w:szCs w:val="20"/>
                    </w:rPr>
                    <w:t xml:space="preserve">  Applicants from all countries are welcome.  The M-Enabling Program Committee selects presentations of applications, mobile web sites, devices, peripherals or services that leverage new mobile technologies, have demonstrated benefits for seniors and users of all abilities and are currently available with documented user’s experience. </w:t>
                  </w:r>
                  <w:r>
                    <w:br/>
                    <w:t> </w:t>
                  </w:r>
                  <w:r>
                    <w:br/>
                  </w:r>
                  <w:r>
                    <w:rPr>
                      <w:rStyle w:val="Strong"/>
                    </w:rPr>
                    <w:t xml:space="preserve">Why submit a presentation? </w:t>
                  </w:r>
                  <w:r>
                    <w:rPr>
                      <w:sz w:val="20"/>
                      <w:szCs w:val="20"/>
                    </w:rPr>
                    <w:t xml:space="preserve">92% of the Summit’s participants rank sessions with </w:t>
                  </w:r>
                  <w:r>
                    <w:rPr>
                      <w:sz w:val="20"/>
                      <w:szCs w:val="20"/>
                      <w:u w:val="single"/>
                    </w:rPr>
                    <w:t>hands-on demos and exchange of experiences among the most useful</w:t>
                  </w:r>
                  <w:r>
                    <w:rPr>
                      <w:sz w:val="20"/>
                      <w:szCs w:val="20"/>
                    </w:rPr>
                    <w:t xml:space="preserve">.  Among those participants are mobile service providers, organizations of seniors and persons with disabilities, assistive technology and rehabilitation professionals, special educators, leaders of community and care services for seniors, large corporations CIOs seeking new ways to deploy mobile services for customers of all abilities.  </w:t>
                  </w:r>
                  <w:r>
                    <w:rPr>
                      <w:sz w:val="20"/>
                      <w:szCs w:val="20"/>
                      <w:u w:val="single"/>
                    </w:rPr>
                    <w:t>The Summit is the largest global conference exclusively dedicated to accessible and assistive solutions with mobile ecosystem participants from more than 32 countries</w:t>
                  </w:r>
                  <w:r>
                    <w:rPr>
                      <w:sz w:val="20"/>
                      <w:szCs w:val="20"/>
                    </w:rPr>
                    <w:t>.</w:t>
                  </w:r>
                  <w:r>
                    <w:rPr>
                      <w:sz w:val="16"/>
                      <w:szCs w:val="16"/>
                    </w:rPr>
                    <w:br/>
                    <w:t> </w:t>
                  </w:r>
                  <w:r>
                    <w:br/>
                  </w:r>
                  <w:r>
                    <w:rPr>
                      <w:rStyle w:val="Strong"/>
                    </w:rPr>
                    <w:lastRenderedPageBreak/>
                    <w:t>How to submit?</w:t>
                  </w:r>
                  <w:r>
                    <w:t xml:space="preserve">  </w:t>
                  </w:r>
                  <w:r>
                    <w:rPr>
                      <w:sz w:val="20"/>
                      <w:szCs w:val="20"/>
                    </w:rPr>
                    <w:t>Send a description of 350 to 500 words maximum describing the solution, its benefits, the type of technology platform it operates with, how it is distributed, links to web pages or app stores, media reviews or articles, references from individual customers, education institutions or organizations serving seniors and users of all abilities who benefit from the solution and any other information including details on users feedback and adoption. </w:t>
                  </w:r>
                  <w:r>
                    <w:rPr>
                      <w:sz w:val="20"/>
                      <w:szCs w:val="20"/>
                    </w:rPr>
                    <w:br/>
                    <w:t xml:space="preserve">Email submission to </w:t>
                  </w:r>
                  <w:hyperlink r:id="rId11" w:tgtFrame="_blank" w:history="1">
                    <w:r>
                      <w:rPr>
                        <w:rStyle w:val="Hyperlink"/>
                        <w:sz w:val="20"/>
                        <w:szCs w:val="20"/>
                      </w:rPr>
                      <w:t>m-enablingdemos@g3ict.org</w:t>
                    </w:r>
                  </w:hyperlink>
                  <w:r>
                    <w:br/>
                    <w:t> </w:t>
                  </w:r>
                  <w:r>
                    <w:br/>
                  </w:r>
                  <w:r>
                    <w:rPr>
                      <w:rStyle w:val="Strong"/>
                    </w:rPr>
                    <w:t xml:space="preserve">Format or presentation at the Summit: </w:t>
                  </w:r>
                  <w:r>
                    <w:rPr>
                      <w:sz w:val="20"/>
                      <w:szCs w:val="20"/>
                    </w:rPr>
                    <w:t>Presentations are made during the Summit Applications Theaters sessions.  Each presenter is allocated 10 minutes with the ability to project apps or services on screen.  Sessions are moderated by representatives of the end-user community.</w:t>
                  </w:r>
                  <w:r>
                    <w:rPr>
                      <w:sz w:val="20"/>
                      <w:szCs w:val="20"/>
                    </w:rPr>
                    <w:br/>
                    <w:t> </w:t>
                  </w:r>
                  <w:r>
                    <w:br/>
                  </w:r>
                  <w:r>
                    <w:rPr>
                      <w:rStyle w:val="Strong"/>
                    </w:rPr>
                    <w:t>Listing in the M-Enabling App and Services Directory</w:t>
                  </w:r>
                  <w:r>
                    <w:t>:</w:t>
                  </w:r>
                  <w:r>
                    <w:rPr>
                      <w:sz w:val="20"/>
                      <w:szCs w:val="20"/>
                    </w:rPr>
                    <w:t xml:space="preserve"> Participating presenters will be referenced in the M-Enabling app and services directory which will be available on-line.</w:t>
                  </w:r>
                  <w:r>
                    <w:br/>
                  </w:r>
                  <w:r>
                    <w:br/>
                  </w:r>
                  <w:r>
                    <w:rPr>
                      <w:sz w:val="20"/>
                      <w:szCs w:val="20"/>
                    </w:rPr>
                    <w:t>For more information on the M-Enabling Summit 2013, please visit</w:t>
                  </w:r>
                  <w:proofErr w:type="gramStart"/>
                  <w:r>
                    <w:rPr>
                      <w:sz w:val="20"/>
                      <w:szCs w:val="20"/>
                    </w:rPr>
                    <w:t>:</w:t>
                  </w:r>
                  <w:proofErr w:type="gramEnd"/>
                  <w:r>
                    <w:br/>
                  </w:r>
                  <w:hyperlink r:id="rId12" w:tgtFrame="_blank" w:history="1">
                    <w:r>
                      <w:rPr>
                        <w:rStyle w:val="Hyperlink"/>
                      </w:rPr>
                      <w:t>www.m-enabling.com</w:t>
                    </w:r>
                  </w:hyperlink>
                  <w:r>
                    <w:br/>
                  </w:r>
                  <w:r>
                    <w:rPr>
                      <w:rStyle w:val="Strong"/>
                      <w:color w:val="FF0000"/>
                    </w:rPr>
                    <w:t xml:space="preserve">For registration: </w:t>
                  </w:r>
                  <w:hyperlink r:id="rId13" w:tgtFrame="_blank" w:history="1">
                    <w:r>
                      <w:rPr>
                        <w:rStyle w:val="Hyperlink"/>
                      </w:rPr>
                      <w:t>www.m-enabling.com/conreg.html</w:t>
                    </w:r>
                  </w:hyperlink>
                  <w:r>
                    <w:br/>
                    <w:t> </w:t>
                  </w:r>
                  <w:r>
                    <w:br/>
                  </w:r>
                  <w:r>
                    <w:rPr>
                      <w:sz w:val="20"/>
                      <w:szCs w:val="20"/>
                    </w:rPr>
                    <w:t>Looking forward to seeing you in Washington June 6-7!</w:t>
                  </w:r>
                  <w:r>
                    <w:br/>
                    <w:t>                                                                                                                      </w:t>
                  </w:r>
                  <w:r>
                    <w:br/>
                  </w:r>
                  <w:r>
                    <w:rPr>
                      <w:noProof/>
                      <w:color w:val="0000FF"/>
                    </w:rPr>
                    <w:drawing>
                      <wp:inline distT="0" distB="0" distL="0" distR="0" wp14:anchorId="283A17A4" wp14:editId="57A9B888">
                        <wp:extent cx="476250" cy="534670"/>
                        <wp:effectExtent l="0" t="0" r="0" b="0"/>
                        <wp:docPr id="2" name="Picture 2" descr="EJK Black &amp; White logo with Globe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K Black &amp; White logo with Glob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34670"/>
                                </a:xfrm>
                                <a:prstGeom prst="rect">
                                  <a:avLst/>
                                </a:prstGeom>
                                <a:noFill/>
                                <a:ln>
                                  <a:noFill/>
                                </a:ln>
                              </pic:spPr>
                            </pic:pic>
                          </a:graphicData>
                        </a:graphic>
                      </wp:inline>
                    </w:drawing>
                  </w:r>
                  <w:r>
                    <w:t>   </w:t>
                  </w:r>
                  <w:r>
                    <w:br/>
                    <w:t> </w:t>
                  </w:r>
                  <w:r>
                    <w:rPr>
                      <w:noProof/>
                      <w:color w:val="0000FF"/>
                    </w:rPr>
                    <w:drawing>
                      <wp:inline distT="0" distB="0" distL="0" distR="0" wp14:anchorId="25191DF6" wp14:editId="4F9F3710">
                        <wp:extent cx="618490" cy="219075"/>
                        <wp:effectExtent l="0" t="0" r="0" b="9525"/>
                        <wp:docPr id="1" name="Picture 1" descr="G3ict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3ic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490" cy="219075"/>
                                </a:xfrm>
                                <a:prstGeom prst="rect">
                                  <a:avLst/>
                                </a:prstGeom>
                                <a:noFill/>
                                <a:ln>
                                  <a:noFill/>
                                </a:ln>
                              </pic:spPr>
                            </pic:pic>
                          </a:graphicData>
                        </a:graphic>
                      </wp:inline>
                    </w:drawing>
                  </w:r>
                  <w:r>
                    <w:t>                                                                                                                              </w:t>
                  </w:r>
                </w:p>
                <w:p w:rsidR="0022539B" w:rsidRDefault="00592A5D">
                  <w:pPr>
                    <w:jc w:val="center"/>
                    <w:rPr>
                      <w:rFonts w:eastAsia="Times New Roman"/>
                    </w:rPr>
                  </w:pPr>
                  <w:r>
                    <w:rPr>
                      <w:rFonts w:eastAsia="Times New Roman"/>
                    </w:rPr>
                    <w:pict>
                      <v:rect id="_x0000_i1025" style="width:481.9pt;height:1.5pt" o:hralign="center" o:hrstd="t" o:hr="t" fillcolor="#a0a0a0" stroked="f"/>
                    </w:pict>
                  </w:r>
                </w:p>
                <w:p w:rsidR="0022539B" w:rsidRDefault="0022539B">
                  <w:pPr>
                    <w:pStyle w:val="NormalWeb"/>
                    <w:jc w:val="center"/>
                  </w:pPr>
                  <w:r>
                    <w:rPr>
                      <w:sz w:val="16"/>
                      <w:szCs w:val="16"/>
                    </w:rPr>
                    <w:t>E.J. Krause &amp; Associates</w:t>
                  </w:r>
                  <w:r>
                    <w:rPr>
                      <w:sz w:val="16"/>
                      <w:szCs w:val="16"/>
                    </w:rPr>
                    <w:br/>
                    <w:t xml:space="preserve">Pat </w:t>
                  </w:r>
                  <w:proofErr w:type="spellStart"/>
                  <w:r>
                    <w:rPr>
                      <w:sz w:val="16"/>
                      <w:szCs w:val="16"/>
                    </w:rPr>
                    <w:t>Tessler</w:t>
                  </w:r>
                  <w:proofErr w:type="spellEnd"/>
                  <w:r>
                    <w:br/>
                  </w:r>
                  <w:r>
                    <w:rPr>
                      <w:sz w:val="16"/>
                      <w:szCs w:val="16"/>
                    </w:rPr>
                    <w:t>6430 Rockledge Drive| Suite 200 | Bethesda, MD | 20817</w:t>
                  </w:r>
                  <w:r>
                    <w:rPr>
                      <w:sz w:val="16"/>
                      <w:szCs w:val="16"/>
                    </w:rPr>
                    <w:br/>
                    <w:t xml:space="preserve">301.493.5500| </w:t>
                  </w:r>
                  <w:hyperlink r:id="rId18" w:history="1">
                    <w:r>
                      <w:rPr>
                        <w:rStyle w:val="Hyperlink"/>
                        <w:sz w:val="16"/>
                        <w:szCs w:val="16"/>
                      </w:rPr>
                      <w:t>tessler</w:t>
                    </w:r>
                  </w:hyperlink>
                  <w:hyperlink r:id="rId19" w:history="1">
                    <w:r>
                      <w:rPr>
                        <w:rStyle w:val="Hyperlink"/>
                        <w:sz w:val="16"/>
                        <w:szCs w:val="16"/>
                      </w:rPr>
                      <w:t>@ejkrause.com</w:t>
                    </w:r>
                  </w:hyperlink>
                  <w:r>
                    <w:br/>
                    <w:t>                                                                                                                     </w:t>
                  </w:r>
                </w:p>
              </w:tc>
            </w:tr>
          </w:tbl>
          <w:p w:rsidR="0022539B" w:rsidRDefault="0022539B">
            <w:pPr>
              <w:rPr>
                <w:rFonts w:eastAsia="Times New Roman"/>
                <w:sz w:val="20"/>
                <w:szCs w:val="20"/>
              </w:rPr>
            </w:pPr>
          </w:p>
        </w:tc>
      </w:tr>
    </w:tbl>
    <w:p w:rsidR="0022539B" w:rsidRPr="0022539B" w:rsidRDefault="0022539B" w:rsidP="0022539B">
      <w:pPr>
        <w:spacing w:before="120" w:after="0"/>
      </w:pPr>
    </w:p>
    <w:sectPr w:rsidR="0022539B" w:rsidRPr="0022539B" w:rsidSect="004E0659">
      <w:headerReference w:type="default" r:id="rId20"/>
      <w:footerReference w:type="first" r:id="rId2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22539B">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592A5D">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E0659" w:rsidP="004E0659">
    <w:pPr>
      <w:pStyle w:val="Header"/>
      <w:spacing w:after="240"/>
      <w:jc w:val="center"/>
      <w:rPr>
        <w:rFonts w:ascii="Times New Roman" w:hAnsi="Times New Roman" w:cs="Times New Roman"/>
        <w:sz w:val="18"/>
      </w:rPr>
    </w:pP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STYLEREF  Docnumber  \* MERGEFORMAT </w:instrText>
    </w:r>
    <w:r w:rsidRPr="004E0659">
      <w:rPr>
        <w:rFonts w:ascii="Times New Roman" w:hAnsi="Times New Roman" w:cs="Times New Roman"/>
        <w:sz w:val="18"/>
      </w:rPr>
      <w:fldChar w:fldCharType="separate"/>
    </w:r>
    <w:r w:rsidR="00592A5D" w:rsidRPr="00592A5D">
      <w:rPr>
        <w:rFonts w:ascii="Times New Roman" w:hAnsi="Times New Roman" w:cs="Times New Roman"/>
        <w:b/>
        <w:bCs/>
        <w:noProof/>
        <w:sz w:val="18"/>
      </w:rPr>
      <w:t>Doc 27</w:t>
    </w:r>
    <w:r w:rsidRPr="004E0659">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22539B"/>
    <w:rsid w:val="004E0659"/>
    <w:rsid w:val="00592A5D"/>
    <w:rsid w:val="00A17F40"/>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basedOn w:val="DefaultParagraphFont"/>
    <w:uiPriority w:val="99"/>
    <w:semiHidden/>
    <w:unhideWhenUsed/>
    <w:rsid w:val="0022539B"/>
    <w:rPr>
      <w:color w:val="0000FF"/>
      <w:u w:val="single"/>
    </w:rPr>
  </w:style>
  <w:style w:type="paragraph" w:styleId="NormalWeb">
    <w:name w:val="Normal (Web)"/>
    <w:basedOn w:val="Normal"/>
    <w:uiPriority w:val="99"/>
    <w:unhideWhenUsed/>
    <w:rsid w:val="0022539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2539B"/>
    <w:rPr>
      <w:b/>
      <w:bCs/>
    </w:rPr>
  </w:style>
  <w:style w:type="character" w:styleId="Emphasis">
    <w:name w:val="Emphasis"/>
    <w:basedOn w:val="DefaultParagraphFont"/>
    <w:uiPriority w:val="20"/>
    <w:qFormat/>
    <w:rsid w:val="002253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basedOn w:val="DefaultParagraphFont"/>
    <w:uiPriority w:val="99"/>
    <w:semiHidden/>
    <w:unhideWhenUsed/>
    <w:rsid w:val="0022539B"/>
    <w:rPr>
      <w:color w:val="0000FF"/>
      <w:u w:val="single"/>
    </w:rPr>
  </w:style>
  <w:style w:type="paragraph" w:styleId="NormalWeb">
    <w:name w:val="Normal (Web)"/>
    <w:basedOn w:val="Normal"/>
    <w:uiPriority w:val="99"/>
    <w:unhideWhenUsed/>
    <w:rsid w:val="0022539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2539B"/>
    <w:rPr>
      <w:b/>
      <w:bCs/>
    </w:rPr>
  </w:style>
  <w:style w:type="character" w:styleId="Emphasis">
    <w:name w:val="Emphasis"/>
    <w:basedOn w:val="DefaultParagraphFont"/>
    <w:uiPriority w:val="20"/>
    <w:qFormat/>
    <w:rsid w:val="00225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97514">
      <w:bodyDiv w:val="1"/>
      <w:marLeft w:val="0"/>
      <w:marRight w:val="0"/>
      <w:marTop w:val="0"/>
      <w:marBottom w:val="0"/>
      <w:divBdr>
        <w:top w:val="none" w:sz="0" w:space="0" w:color="auto"/>
        <w:left w:val="none" w:sz="0" w:space="0" w:color="auto"/>
        <w:bottom w:val="none" w:sz="0" w:space="0" w:color="auto"/>
        <w:right w:val="none" w:sz="0" w:space="0" w:color="auto"/>
      </w:divBdr>
    </w:div>
    <w:div w:id="17620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s.vresp.com/c/?E.J.KrauseAssociates/3666a5e4bd/cd39583658/884b673415" TargetMode="External"/><Relationship Id="rId13" Type="http://schemas.openxmlformats.org/officeDocument/2006/relationships/hyperlink" Target="http://cts.vresp.com/c/?E.J.KrauseAssociates/3666a5e4bd/cd39583658/3e90e1d58e" TargetMode="External"/><Relationship Id="rId18" Type="http://schemas.openxmlformats.org/officeDocument/2006/relationships/hyperlink" Target="http://cts.vresp.com/c/?E.J.KrauseAssociates/3666a5e4bd/cd39583658/8d7293e0fa"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cts.vresp.com/c/?E.J.KrauseAssociates/3666a5e4bd/cd39583658/98dd83bf55" TargetMode="External"/><Relationship Id="rId17" Type="http://schemas.openxmlformats.org/officeDocument/2006/relationships/image" Target="media/image3.jpeg"/><Relationship Id="rId25"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http://cts.vresp.com/c/?E.J.KrauseAssociates/3666a5e4bd/cd39583658/c051fb700b"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enablingdemos@g3ict.org"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cts.vresp.com/c/?E.J.KrauseAssociates/3666a5e4bd/cd39583658/e5842318ce" TargetMode="External"/><Relationship Id="rId19" Type="http://schemas.openxmlformats.org/officeDocument/2006/relationships/hyperlink" Target="mailto:kl.krause@ejkrause.com" TargetMode="External"/><Relationship Id="rId4" Type="http://schemas.openxmlformats.org/officeDocument/2006/relationships/webSettings" Target="webSettings.xml"/><Relationship Id="rId9" Type="http://schemas.openxmlformats.org/officeDocument/2006/relationships/image" Target="http://img-ak.verticalresponse.com/media/0/1/a/01a410dcbb/3666a5e4bd/704c82b832/library/m-enabling%20logo%20(2).jpg" TargetMode="External"/><Relationship Id="rId14" Type="http://schemas.openxmlformats.org/officeDocument/2006/relationships/hyperlink" Target="http://cts.vresp.com/c/?E.J.KrauseAssociates/3666a5e4bd/cd39583658/ad8c8ce1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D60C5A-B1B7-47B2-A7C4-C4EA2538052D}"/>
</file>

<file path=customXml/itemProps2.xml><?xml version="1.0" encoding="utf-8"?>
<ds:datastoreItem xmlns:ds="http://schemas.openxmlformats.org/officeDocument/2006/customXml" ds:itemID="{1B540871-0671-4DD5-8FA8-87E93823D65B}"/>
</file>

<file path=customXml/itemProps3.xml><?xml version="1.0" encoding="utf-8"?>
<ds:datastoreItem xmlns:ds="http://schemas.openxmlformats.org/officeDocument/2006/customXml" ds:itemID="{1493DB74-23F8-42E9-92DD-F9D6269B56E0}"/>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3</cp:revision>
  <dcterms:created xsi:type="dcterms:W3CDTF">2013-01-21T12:40:00Z</dcterms:created>
  <dcterms:modified xsi:type="dcterms:W3CDTF">2013-01-21T16:29:00Z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4100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