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37C8A2F" w14:textId="3655679E" w:rsidR="001869F6" w:rsidRDefault="00391A62" w:rsidP="0058326D">
      <w:pPr>
        <w:jc w:val="center"/>
        <w:rPr>
          <w:sz w:val="36"/>
          <w:szCs w:val="36"/>
        </w:rPr>
      </w:pPr>
      <w:r>
        <w:rPr>
          <w:noProof/>
          <w:lang w:eastAsia="zh-CN"/>
        </w:rPr>
        <mc:AlternateContent>
          <mc:Choice Requires="wps">
            <w:drawing>
              <wp:anchor distT="0" distB="0" distL="114300" distR="114300" simplePos="0" relativeHeight="251657215" behindDoc="1" locked="0" layoutInCell="1" allowOverlap="1" wp14:anchorId="0734FBFC" wp14:editId="71756BBA">
                <wp:simplePos x="0" y="0"/>
                <wp:positionH relativeFrom="column">
                  <wp:posOffset>-890905</wp:posOffset>
                </wp:positionH>
                <wp:positionV relativeFrom="paragraph">
                  <wp:posOffset>-890905</wp:posOffset>
                </wp:positionV>
                <wp:extent cx="7524000" cy="1456055"/>
                <wp:effectExtent l="57150" t="19050" r="77470" b="86995"/>
                <wp:wrapNone/>
                <wp:docPr id="5" name="Rectangle 5"/>
                <wp:cNvGraphicFramePr/>
                <a:graphic xmlns:a="http://schemas.openxmlformats.org/drawingml/2006/main">
                  <a:graphicData uri="http://schemas.microsoft.com/office/word/2010/wordprocessingShape">
                    <wps:wsp>
                      <wps:cNvSpPr/>
                      <wps:spPr>
                        <a:xfrm>
                          <a:off x="0" y="0"/>
                          <a:ext cx="7524000" cy="1456055"/>
                        </a:xfrm>
                        <a:prstGeom prst="rect">
                          <a:avLst/>
                        </a:prstGeom>
                        <a:solidFill>
                          <a:srgbClr val="1B580B"/>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68CA43" id="Rectangle 5" o:spid="_x0000_s1026" style="position:absolute;margin-left:-70.15pt;margin-top:-70.15pt;width:592.45pt;height:114.65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" fillcolor="#1b580b" strokecolor="#4579b8 [3044]">
                <v:shadow on="t" color="black" opacity="22937f" origin=",.5" offset="0,.63889mm"/>
              </v:rect>
            </w:pict>
          </mc:Fallback>
        </mc:AlternateContent>
      </w:r>
      <w:r>
        <w:rPr>
          <w:noProof/>
          <w:lang w:eastAsia="zh-CN"/>
        </w:rPr>
        <w:drawing>
          <wp:anchor distT="0" distB="0" distL="114300" distR="114300" simplePos="0" relativeHeight="251661312" behindDoc="1" locked="0" layoutInCell="1" allowOverlap="1" wp14:anchorId="40B2CDB3" wp14:editId="68DE279F">
            <wp:simplePos x="0" y="0"/>
            <wp:positionH relativeFrom="column">
              <wp:posOffset>912495</wp:posOffset>
            </wp:positionH>
            <wp:positionV relativeFrom="paragraph">
              <wp:posOffset>-887095</wp:posOffset>
            </wp:positionV>
            <wp:extent cx="3999506" cy="1456200"/>
            <wp:effectExtent l="0" t="0" r="1270" b="0"/>
            <wp:wrapNone/>
            <wp:docPr id="4" name="Picture 4" descr="C:\Users\ubeda\Documents\2015\ITU\Events\5th Green Standards Week, Bahamas\Banner\HD__Banner_Web_Green Standard__383458-joint-sta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beda\Documents\2015\ITU\Events\5th Green Standards Week, Bahamas\Banner\HD__Banner_Web_Green Standard__383458-joint-statemen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9506" cy="1456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0E985" w14:textId="07B1C5E5" w:rsidR="00391A62" w:rsidRDefault="00391A62" w:rsidP="0058326D">
      <w:pPr>
        <w:jc w:val="center"/>
        <w:rPr>
          <w:b/>
          <w:sz w:val="36"/>
          <w:szCs w:val="36"/>
        </w:rPr>
      </w:pPr>
    </w:p>
    <w:p w14:paraId="188B5D46" w14:textId="0A29F297" w:rsidR="00391A62" w:rsidRDefault="00391A62" w:rsidP="0058326D">
      <w:pPr>
        <w:jc w:val="center"/>
        <w:rPr>
          <w:b/>
          <w:sz w:val="36"/>
          <w:szCs w:val="36"/>
        </w:rPr>
      </w:pPr>
    </w:p>
    <w:p w14:paraId="2C8F4905" w14:textId="77777777" w:rsidR="000C5E2C" w:rsidRPr="000C5E2C" w:rsidRDefault="000C5E2C" w:rsidP="000C5E2C">
      <w:pPr>
        <w:jc w:val="center"/>
        <w:rPr>
          <w:b/>
          <w:color w:val="1B580B"/>
          <w:sz w:val="36"/>
          <w:szCs w:val="36"/>
        </w:rPr>
      </w:pPr>
    </w:p>
    <w:p w14:paraId="1328D151" w14:textId="79B2DCF0" w:rsidR="0058326D" w:rsidRPr="00117E3B" w:rsidRDefault="000C5E2C" w:rsidP="000C5E2C">
      <w:pPr>
        <w:jc w:val="center"/>
        <w:rPr>
          <w:b/>
          <w:color w:val="1B580B"/>
          <w:sz w:val="36"/>
          <w:szCs w:val="36"/>
        </w:rPr>
      </w:pPr>
      <w:r w:rsidRPr="000C5E2C">
        <w:rPr>
          <w:b/>
          <w:color w:val="1B580B"/>
          <w:sz w:val="36"/>
          <w:szCs w:val="36"/>
        </w:rPr>
        <w:t>The Bahamas Declaration</w:t>
      </w:r>
      <w:r>
        <w:rPr>
          <w:b/>
          <w:color w:val="1B580B"/>
          <w:sz w:val="36"/>
          <w:szCs w:val="36"/>
        </w:rPr>
        <w:br/>
      </w:r>
    </w:p>
    <w:p w14:paraId="1FF2DCC8" w14:textId="462CF8DF" w:rsidR="0058326D" w:rsidRPr="00117E3B" w:rsidRDefault="000C5E2C" w:rsidP="006C6E3A">
      <w:pPr>
        <w:jc w:val="center"/>
        <w:rPr>
          <w:color w:val="365F91" w:themeColor="accent1" w:themeShade="BF"/>
          <w:sz w:val="36"/>
          <w:szCs w:val="36"/>
        </w:rPr>
      </w:pPr>
      <w:r w:rsidRPr="000C5E2C">
        <w:rPr>
          <w:color w:val="365F91" w:themeColor="accent1" w:themeShade="BF"/>
          <w:sz w:val="36"/>
          <w:szCs w:val="36"/>
        </w:rPr>
        <w:t xml:space="preserve">Powering Smart Sustainable Cities, </w:t>
      </w:r>
      <w:r w:rsidR="006C6E3A">
        <w:rPr>
          <w:color w:val="365F91" w:themeColor="accent1" w:themeShade="BF"/>
          <w:sz w:val="36"/>
          <w:szCs w:val="36"/>
        </w:rPr>
        <w:t>Nations</w:t>
      </w:r>
      <w:r w:rsidRPr="000C5E2C">
        <w:rPr>
          <w:color w:val="365F91" w:themeColor="accent1" w:themeShade="BF"/>
          <w:sz w:val="36"/>
          <w:szCs w:val="36"/>
        </w:rPr>
        <w:t xml:space="preserve"> &amp; Islands </w:t>
      </w:r>
    </w:p>
    <w:p w14:paraId="31548A6E" w14:textId="6061648C" w:rsidR="006F2C6F" w:rsidRPr="006F2C6F" w:rsidRDefault="006F2C6F" w:rsidP="000C5E2C">
      <w:pPr>
        <w:pBdr>
          <w:bottom w:val="single" w:sz="4" w:space="1" w:color="auto"/>
        </w:pBdr>
        <w:rPr>
          <w:sz w:val="32"/>
          <w:szCs w:val="32"/>
        </w:rPr>
      </w:pPr>
    </w:p>
    <w:p w14:paraId="134F7DCC" w14:textId="07F660D4" w:rsidR="0058326D" w:rsidRPr="006F2C6F" w:rsidRDefault="00170C35" w:rsidP="00DA5261">
      <w:pPr>
        <w:jc w:val="right"/>
        <w:rPr>
          <w:sz w:val="20"/>
          <w:szCs w:val="20"/>
        </w:rPr>
      </w:pPr>
      <w:r>
        <w:rPr>
          <w:sz w:val="20"/>
          <w:szCs w:val="20"/>
        </w:rPr>
        <w:t xml:space="preserve"> </w:t>
      </w:r>
      <w:r w:rsidR="004D7631">
        <w:rPr>
          <w:sz w:val="20"/>
          <w:szCs w:val="20"/>
        </w:rPr>
        <w:t xml:space="preserve"> </w:t>
      </w:r>
      <w:r w:rsidR="00777554">
        <w:rPr>
          <w:sz w:val="20"/>
          <w:szCs w:val="20"/>
        </w:rPr>
        <w:t>18</w:t>
      </w:r>
      <w:r w:rsidR="00ED27EE">
        <w:rPr>
          <w:sz w:val="20"/>
          <w:szCs w:val="20"/>
        </w:rPr>
        <w:t xml:space="preserve"> </w:t>
      </w:r>
      <w:r w:rsidR="00DA5261">
        <w:rPr>
          <w:sz w:val="20"/>
          <w:szCs w:val="20"/>
        </w:rPr>
        <w:t xml:space="preserve">December </w:t>
      </w:r>
      <w:r w:rsidR="006F2C6F" w:rsidRPr="006F2C6F">
        <w:rPr>
          <w:sz w:val="20"/>
          <w:szCs w:val="20"/>
        </w:rPr>
        <w:t>2015</w:t>
      </w:r>
    </w:p>
    <w:p w14:paraId="6B99BACC" w14:textId="3A8649C9" w:rsidR="006F2C6F" w:rsidRPr="006F2C6F" w:rsidRDefault="006F2C6F" w:rsidP="00F53F23">
      <w:pPr>
        <w:jc w:val="center"/>
        <w:rPr>
          <w:b/>
          <w:sz w:val="20"/>
          <w:szCs w:val="20"/>
        </w:rPr>
      </w:pPr>
    </w:p>
    <w:p w14:paraId="5A899663" w14:textId="3E947ECA" w:rsidR="000C5E2C" w:rsidRPr="000C5E2C" w:rsidRDefault="000C5E2C" w:rsidP="000C5E2C">
      <w:pPr>
        <w:rPr>
          <w:lang w:val="en-GB"/>
        </w:rPr>
      </w:pPr>
    </w:p>
    <w:p w14:paraId="6B5B4448" w14:textId="500803C3" w:rsidR="000C5E2C" w:rsidRDefault="000C5E2C" w:rsidP="00BC3C64">
      <w:pPr>
        <w:jc w:val="both"/>
        <w:rPr>
          <w:lang w:val="en-GB"/>
        </w:rPr>
      </w:pPr>
      <w:r w:rsidRPr="000C5E2C">
        <w:rPr>
          <w:lang w:val="en-GB"/>
        </w:rPr>
        <w:t xml:space="preserve">ITU’s 5th Green Standards Week, held from 14 to 18 December 2015 in Nassau, the Bahamas, on the theme "Powering Smart Sustainable Cities, </w:t>
      </w:r>
      <w:r w:rsidR="00BC3C64">
        <w:rPr>
          <w:lang w:val="en-GB"/>
        </w:rPr>
        <w:t>Nations</w:t>
      </w:r>
      <w:r w:rsidRPr="000C5E2C">
        <w:rPr>
          <w:lang w:val="en-GB"/>
        </w:rPr>
        <w:t xml:space="preserve"> &amp; Islands" has:</w:t>
      </w:r>
    </w:p>
    <w:p w14:paraId="315C6E2C" w14:textId="6DAC275D" w:rsidR="000C5E2C" w:rsidRPr="000C5E2C" w:rsidRDefault="000C5E2C" w:rsidP="000C5E2C">
      <w:pPr>
        <w:jc w:val="both"/>
        <w:rPr>
          <w:lang w:val="en-GB"/>
        </w:rPr>
      </w:pPr>
    </w:p>
    <w:p w14:paraId="275762B6" w14:textId="4491AF56" w:rsidR="000C5E2C" w:rsidRPr="000C5E2C" w:rsidRDefault="00E661E9" w:rsidP="00F63086">
      <w:pPr>
        <w:tabs>
          <w:tab w:val="left" w:pos="426"/>
        </w:tabs>
        <w:ind w:left="426" w:hanging="426"/>
        <w:jc w:val="both"/>
        <w:rPr>
          <w:lang w:val="en-GB"/>
        </w:rPr>
      </w:pPr>
      <w:r w:rsidRPr="00E661E9">
        <w:rPr>
          <w:b/>
          <w:bCs/>
          <w:color w:val="365F91" w:themeColor="accent1" w:themeShade="BF"/>
          <w:lang w:val="en-GB"/>
        </w:rPr>
        <w:t>1.</w:t>
      </w:r>
      <w:r w:rsidR="000C5E2C" w:rsidRPr="000C5E2C">
        <w:rPr>
          <w:lang w:val="en-GB"/>
        </w:rPr>
        <w:tab/>
      </w:r>
      <w:r w:rsidR="000C5E2C" w:rsidRPr="00F63086">
        <w:rPr>
          <w:b/>
          <w:bCs/>
          <w:color w:val="365F91" w:themeColor="accent1" w:themeShade="BF"/>
          <w:lang w:val="en-GB"/>
        </w:rPr>
        <w:t>Recognized</w:t>
      </w:r>
      <w:r w:rsidR="000C5E2C" w:rsidRPr="000C5E2C">
        <w:rPr>
          <w:b/>
          <w:bCs/>
          <w:lang w:val="en-GB"/>
        </w:rPr>
        <w:t xml:space="preserve"> </w:t>
      </w:r>
      <w:r w:rsidR="000C5E2C" w:rsidRPr="000C5E2C">
        <w:rPr>
          <w:lang w:val="en-GB"/>
        </w:rPr>
        <w:t xml:space="preserve">that uncontrolled urbanization is a widespread socio-economic phenomenon the world is witnessing in the 21st century, which significantly affects the way we live. Urban areas reflect the complexity of human societies, where social, economic and environmental issues are interconnected. </w:t>
      </w:r>
    </w:p>
    <w:p w14:paraId="5E72B0F7" w14:textId="702A8DF9" w:rsidR="000C5E2C" w:rsidRPr="000C5E2C" w:rsidRDefault="000C5E2C" w:rsidP="000C5E2C">
      <w:pPr>
        <w:jc w:val="both"/>
        <w:rPr>
          <w:lang w:val="en-GB"/>
        </w:rPr>
      </w:pPr>
    </w:p>
    <w:p w14:paraId="70FBCD31" w14:textId="0DDE88A1" w:rsidR="000C5E2C" w:rsidRPr="000C5E2C" w:rsidRDefault="007D779C" w:rsidP="00F63086">
      <w:pPr>
        <w:tabs>
          <w:tab w:val="left" w:pos="426"/>
        </w:tabs>
        <w:ind w:left="426" w:hanging="426"/>
        <w:jc w:val="both"/>
        <w:rPr>
          <w:lang w:val="en-GB"/>
        </w:rPr>
      </w:pPr>
      <w:r w:rsidRPr="00763D5C">
        <w:rPr>
          <w:b/>
          <w:bCs/>
          <w:noProof/>
          <w:lang w:eastAsia="zh-CN"/>
        </w:rPr>
        <w:drawing>
          <wp:anchor distT="0" distB="0" distL="114300" distR="114300" simplePos="0" relativeHeight="251665408" behindDoc="0" locked="0" layoutInCell="1" allowOverlap="1" wp14:anchorId="1CAC3E4B" wp14:editId="17A276A8">
            <wp:simplePos x="0" y="0"/>
            <wp:positionH relativeFrom="margin">
              <wp:align>right</wp:align>
            </wp:positionH>
            <wp:positionV relativeFrom="paragraph">
              <wp:posOffset>123190</wp:posOffset>
            </wp:positionV>
            <wp:extent cx="2552700" cy="1714500"/>
            <wp:effectExtent l="114300" t="114300" r="171450" b="171450"/>
            <wp:wrapSquare wrapText="bothSides"/>
            <wp:docPr id="1" name="Picture 1" descr="C:\Users\ubeda\Documents\2015\ITU\Images\Smart cities-images\images for presentation\shutterstock_3113512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beda\Documents\2015\ITU\Images\Smart cities-images\images for presentation\shutterstock_31135121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1714500"/>
                    </a:xfrm>
                    <a:prstGeom prst="rect">
                      <a:avLst/>
                    </a:prstGeom>
                    <a:ln w="76200" cap="sq">
                      <a:solidFill>
                        <a:schemeClr val="accent1">
                          <a:lumMod val="75000"/>
                        </a:schemeClr>
                      </a:solidFill>
                      <a:miter lim="800000"/>
                    </a:ln>
                    <a:effectLst>
                      <a:outerShdw blurRad="57150" dist="50800" dir="2700000" algn="tl" rotWithShape="0">
                        <a:srgbClr val="000000">
                          <a:alpha val="40000"/>
                        </a:srgbClr>
                      </a:outerShdw>
                    </a:effectLst>
                  </pic:spPr>
                </pic:pic>
              </a:graphicData>
            </a:graphic>
          </wp:anchor>
        </w:drawing>
      </w:r>
      <w:r w:rsidR="000C5E2C" w:rsidRPr="00E661E9">
        <w:rPr>
          <w:b/>
          <w:bCs/>
          <w:color w:val="365F91" w:themeColor="accent1" w:themeShade="BF"/>
          <w:lang w:val="en-GB"/>
        </w:rPr>
        <w:t>2.</w:t>
      </w:r>
      <w:r w:rsidR="000C5E2C" w:rsidRPr="000C5E2C">
        <w:rPr>
          <w:lang w:val="en-GB"/>
        </w:rPr>
        <w:tab/>
      </w:r>
      <w:r w:rsidR="000C5E2C" w:rsidRPr="00F63086">
        <w:rPr>
          <w:b/>
          <w:bCs/>
          <w:color w:val="365F91" w:themeColor="accent1" w:themeShade="BF"/>
          <w:lang w:val="en-GB"/>
        </w:rPr>
        <w:t>Acknowledged</w:t>
      </w:r>
      <w:r w:rsidR="000C5E2C" w:rsidRPr="00F63086">
        <w:rPr>
          <w:lang w:val="en-GB"/>
        </w:rPr>
        <w:t xml:space="preserve"> </w:t>
      </w:r>
      <w:r w:rsidR="000C5E2C" w:rsidRPr="000C5E2C">
        <w:rPr>
          <w:lang w:val="en-GB"/>
        </w:rPr>
        <w:t>that while urbanization has brought economic and technological progress that has helped provide a higher quality of life, it has also burdened us with negative social, economic and environmental consequences including greenhouse gas emissions, global warming, changes in land use, overcrowding, traffic jams, unmet demand of public services, increased emission, pollution, wastewater and waste generation, among others.</w:t>
      </w:r>
    </w:p>
    <w:p w14:paraId="06FBCC5D" w14:textId="5491B6B6" w:rsidR="000C5E2C" w:rsidRPr="000C5E2C" w:rsidRDefault="000C5E2C" w:rsidP="000C5E2C">
      <w:pPr>
        <w:jc w:val="both"/>
        <w:rPr>
          <w:lang w:val="en-GB"/>
        </w:rPr>
      </w:pPr>
    </w:p>
    <w:p w14:paraId="04DBAD22" w14:textId="084F1E44" w:rsidR="000C5E2C" w:rsidRPr="000C5E2C" w:rsidRDefault="000C5E2C" w:rsidP="00F63086">
      <w:pPr>
        <w:tabs>
          <w:tab w:val="left" w:pos="426"/>
        </w:tabs>
        <w:ind w:left="426" w:hanging="426"/>
        <w:jc w:val="both"/>
        <w:rPr>
          <w:lang w:val="en-GB"/>
        </w:rPr>
      </w:pPr>
      <w:r w:rsidRPr="00E661E9">
        <w:rPr>
          <w:b/>
          <w:bCs/>
          <w:color w:val="365F91" w:themeColor="accent1" w:themeShade="BF"/>
          <w:lang w:val="en-GB"/>
        </w:rPr>
        <w:t>3.</w:t>
      </w:r>
      <w:r w:rsidRPr="000C5E2C">
        <w:rPr>
          <w:lang w:val="en-GB"/>
        </w:rPr>
        <w:tab/>
      </w:r>
      <w:r w:rsidRPr="00F63086">
        <w:rPr>
          <w:b/>
          <w:bCs/>
          <w:color w:val="365F91" w:themeColor="accent1" w:themeShade="BF"/>
          <w:lang w:val="en-GB"/>
        </w:rPr>
        <w:t>Been mindful</w:t>
      </w:r>
      <w:r w:rsidRPr="00F63086">
        <w:rPr>
          <w:color w:val="365F91" w:themeColor="accent1" w:themeShade="BF"/>
          <w:lang w:val="en-GB"/>
        </w:rPr>
        <w:t xml:space="preserve"> </w:t>
      </w:r>
      <w:r w:rsidRPr="000C5E2C">
        <w:rPr>
          <w:lang w:val="en-GB"/>
        </w:rPr>
        <w:t>that increasing population growth brings economic competition as well as more complex environmental challenges such as climate change and increased urban sprawl  that have impacted availability of potable water, increased levels of energy consumption, and have further contributed to pressures on cities and countries, particularly on small island developing states (SIDS).</w:t>
      </w:r>
    </w:p>
    <w:p w14:paraId="7A8D9E4E" w14:textId="2A66BD58" w:rsidR="000C5E2C" w:rsidRPr="000C5E2C" w:rsidRDefault="000C5E2C" w:rsidP="000C5E2C">
      <w:pPr>
        <w:jc w:val="both"/>
        <w:rPr>
          <w:lang w:val="en-GB"/>
        </w:rPr>
      </w:pPr>
    </w:p>
    <w:p w14:paraId="25FF15F1" w14:textId="77777777" w:rsidR="000C5E2C" w:rsidRDefault="000C5E2C" w:rsidP="00F63086">
      <w:pPr>
        <w:ind w:left="426"/>
        <w:jc w:val="both"/>
        <w:rPr>
          <w:lang w:val="en-GB"/>
        </w:rPr>
      </w:pPr>
      <w:r w:rsidRPr="000C5E2C">
        <w:rPr>
          <w:lang w:val="en-GB"/>
        </w:rPr>
        <w:t>Noting that, concerted planning and actions are essential for the well-being of our planet, humans and all other species.</w:t>
      </w:r>
    </w:p>
    <w:p w14:paraId="41FB68B9" w14:textId="2D5E4172" w:rsidR="000C5E2C" w:rsidRPr="000C5E2C" w:rsidRDefault="000C5E2C" w:rsidP="00F63086">
      <w:pPr>
        <w:ind w:left="426" w:hanging="426"/>
        <w:jc w:val="both"/>
        <w:rPr>
          <w:lang w:val="en-GB"/>
        </w:rPr>
      </w:pPr>
    </w:p>
    <w:p w14:paraId="45F97EEA" w14:textId="2377992A" w:rsidR="000C5E2C" w:rsidRPr="000C5E2C" w:rsidRDefault="000C5E2C" w:rsidP="00F63086">
      <w:pPr>
        <w:ind w:left="426"/>
        <w:jc w:val="both"/>
        <w:rPr>
          <w:lang w:val="en-GB"/>
        </w:rPr>
      </w:pPr>
      <w:r w:rsidRPr="000C5E2C">
        <w:rPr>
          <w:lang w:val="en-GB"/>
        </w:rPr>
        <w:t xml:space="preserve">In light of the above, achieving sustainable urbanization to contribute to inclusive and sustainable development along with the preservation of our planet, has been recognized as one of the major challenges for our society in the coming decades. </w:t>
      </w:r>
    </w:p>
    <w:p w14:paraId="64ED59C5" w14:textId="772CCBF7" w:rsidR="000C5E2C" w:rsidRDefault="000C5E2C" w:rsidP="000C5E2C">
      <w:pPr>
        <w:jc w:val="both"/>
        <w:rPr>
          <w:lang w:val="en-GB"/>
        </w:rPr>
      </w:pPr>
    </w:p>
    <w:p w14:paraId="0F86B1F9" w14:textId="50E64D5B" w:rsidR="000C5E2C" w:rsidRPr="000C5E2C" w:rsidRDefault="000C5E2C" w:rsidP="000C5E2C">
      <w:pPr>
        <w:jc w:val="both"/>
        <w:rPr>
          <w:b/>
          <w:bCs/>
          <w:color w:val="365F91" w:themeColor="accent1" w:themeShade="BF"/>
          <w:lang w:val="en-GB"/>
        </w:rPr>
      </w:pPr>
      <w:r w:rsidRPr="000C5E2C">
        <w:rPr>
          <w:b/>
          <w:bCs/>
          <w:color w:val="365F91" w:themeColor="accent1" w:themeShade="BF"/>
          <w:lang w:val="en-GB"/>
        </w:rPr>
        <w:lastRenderedPageBreak/>
        <w:t>Therefore, we the participants of the Green Standards Week 2015 declare our willingness and commitment to:</w:t>
      </w:r>
    </w:p>
    <w:p w14:paraId="0099CF3C" w14:textId="4E050C55" w:rsidR="000C5E2C" w:rsidRPr="000C5E2C" w:rsidRDefault="000C5E2C" w:rsidP="000C5E2C">
      <w:pPr>
        <w:jc w:val="both"/>
        <w:rPr>
          <w:b/>
          <w:bCs/>
          <w:lang w:val="en-GB"/>
        </w:rPr>
      </w:pPr>
    </w:p>
    <w:p w14:paraId="3D666491" w14:textId="406177A1" w:rsidR="000C5E2C" w:rsidRPr="000C5E2C" w:rsidRDefault="000C5E2C" w:rsidP="00F63086">
      <w:pPr>
        <w:tabs>
          <w:tab w:val="left" w:pos="426"/>
        </w:tabs>
        <w:ind w:left="426" w:hanging="426"/>
        <w:jc w:val="both"/>
        <w:rPr>
          <w:lang w:val="en-GB"/>
        </w:rPr>
      </w:pPr>
      <w:r w:rsidRPr="00763D5C">
        <w:rPr>
          <w:b/>
          <w:bCs/>
          <w:color w:val="365F91" w:themeColor="accent1" w:themeShade="BF"/>
          <w:lang w:val="en-GB"/>
        </w:rPr>
        <w:t>1.</w:t>
      </w:r>
      <w:r w:rsidRPr="00F63086">
        <w:rPr>
          <w:color w:val="365F91" w:themeColor="accent1" w:themeShade="BF"/>
          <w:lang w:val="en-GB"/>
        </w:rPr>
        <w:tab/>
      </w:r>
      <w:r w:rsidRPr="000C5E2C">
        <w:rPr>
          <w:b/>
          <w:bCs/>
          <w:color w:val="365F91" w:themeColor="accent1" w:themeShade="BF"/>
          <w:lang w:val="en-GB"/>
        </w:rPr>
        <w:t>Contribute towards the implementation</w:t>
      </w:r>
      <w:r w:rsidR="00C44AF5">
        <w:rPr>
          <w:b/>
          <w:bCs/>
          <w:color w:val="365F91" w:themeColor="accent1" w:themeShade="BF"/>
          <w:lang w:val="en-GB"/>
        </w:rPr>
        <w:t xml:space="preserve"> of the new Paris Agreement on climate c</w:t>
      </w:r>
      <w:r w:rsidRPr="000C5E2C">
        <w:rPr>
          <w:b/>
          <w:bCs/>
          <w:color w:val="365F91" w:themeColor="accent1" w:themeShade="BF"/>
          <w:lang w:val="en-GB"/>
        </w:rPr>
        <w:t>hange and the New Urban Agenda:</w:t>
      </w:r>
      <w:r w:rsidRPr="000C5E2C">
        <w:rPr>
          <w:lang w:val="en-GB"/>
        </w:rPr>
        <w:t xml:space="preserve"> Improve awareness and promote information sharing on the role of ICTs to meet the targets laid out by the</w:t>
      </w:r>
      <w:r w:rsidR="00C44AF5">
        <w:rPr>
          <w:lang w:val="en-GB"/>
        </w:rPr>
        <w:t xml:space="preserve"> new COP-21 Paris Agreement on climate c</w:t>
      </w:r>
      <w:r w:rsidRPr="000C5E2C">
        <w:rPr>
          <w:lang w:val="en-GB"/>
        </w:rPr>
        <w:t xml:space="preserve">hange, the UN 2030 Agenda Sustainable Development Goals (SDGs), ITU’s Connect 2020 Agenda and to contribute to the third UN Conference on Housing and Sustainable Urbanization (Habitat III) in order to achieve sustainable urbanization along with the preservation of our planet. </w:t>
      </w:r>
    </w:p>
    <w:p w14:paraId="1C2CD09D" w14:textId="5788A1D7" w:rsidR="000C5E2C" w:rsidRPr="000C5E2C" w:rsidRDefault="000C5E2C" w:rsidP="000C5E2C">
      <w:pPr>
        <w:jc w:val="both"/>
        <w:rPr>
          <w:lang w:val="en-GB"/>
        </w:rPr>
      </w:pPr>
    </w:p>
    <w:p w14:paraId="7E4BEAE0" w14:textId="398B2C01" w:rsidR="000C5E2C" w:rsidRPr="000C5E2C" w:rsidRDefault="000C5E2C" w:rsidP="00F63086">
      <w:pPr>
        <w:tabs>
          <w:tab w:val="left" w:pos="426"/>
        </w:tabs>
        <w:ind w:left="426" w:hanging="426"/>
        <w:jc w:val="both"/>
        <w:rPr>
          <w:lang w:val="en-GB"/>
        </w:rPr>
      </w:pPr>
      <w:r w:rsidRPr="00763D5C">
        <w:rPr>
          <w:b/>
          <w:bCs/>
          <w:color w:val="365F91" w:themeColor="accent1" w:themeShade="BF"/>
          <w:lang w:val="en-GB"/>
        </w:rPr>
        <w:t>2.</w:t>
      </w:r>
      <w:r w:rsidRPr="00763D5C">
        <w:rPr>
          <w:b/>
          <w:bCs/>
          <w:lang w:val="en-GB"/>
        </w:rPr>
        <w:tab/>
      </w:r>
      <w:r w:rsidRPr="000C5E2C">
        <w:rPr>
          <w:b/>
          <w:bCs/>
          <w:color w:val="365F91" w:themeColor="accent1" w:themeShade="BF"/>
          <w:lang w:val="en-GB"/>
        </w:rPr>
        <w:t>Foster smart e-waste management:</w:t>
      </w:r>
      <w:r w:rsidRPr="000C5E2C">
        <w:rPr>
          <w:lang w:val="en-GB"/>
        </w:rPr>
        <w:t xml:space="preserve"> Raise public awareness on the potential benefits of end of life of ICT such as the reduction of the digital divide and recycling opportunities. Make efforts directed towards setting up effective e</w:t>
      </w:r>
      <w:r w:rsidRPr="000C5E2C">
        <w:rPr>
          <w:rFonts w:ascii="MS Mincho" w:hAnsi="MS Mincho" w:cs="MS Mincho"/>
          <w:lang w:val="en-GB"/>
        </w:rPr>
        <w:t>‑</w:t>
      </w:r>
      <w:r w:rsidRPr="000C5E2C">
        <w:rPr>
          <w:lang w:val="en-GB"/>
        </w:rPr>
        <w:t>waste management systems which can withstand the scrutiny of environment, health and safety standards. This will include detection and measurement of emissions as well as safety and protection for workers involved in e-waste recycling.</w:t>
      </w:r>
    </w:p>
    <w:p w14:paraId="417E9D65" w14:textId="0D9085F1" w:rsidR="000C5E2C" w:rsidRPr="000C5E2C" w:rsidRDefault="000C5E2C" w:rsidP="000C5E2C">
      <w:pPr>
        <w:jc w:val="both"/>
        <w:rPr>
          <w:lang w:val="en-GB"/>
        </w:rPr>
      </w:pPr>
    </w:p>
    <w:p w14:paraId="3168F5A6" w14:textId="07B619A4" w:rsidR="000C5E2C" w:rsidRPr="000C5E2C" w:rsidRDefault="007D779C" w:rsidP="00F63086">
      <w:pPr>
        <w:tabs>
          <w:tab w:val="left" w:pos="426"/>
        </w:tabs>
        <w:ind w:left="426" w:hanging="426"/>
        <w:jc w:val="both"/>
        <w:rPr>
          <w:lang w:val="en-GB"/>
        </w:rPr>
      </w:pPr>
      <w:r>
        <w:rPr>
          <w:b/>
          <w:bCs/>
          <w:noProof/>
          <w:color w:val="365F91" w:themeColor="accent1" w:themeShade="BF"/>
          <w:lang w:eastAsia="zh-CN"/>
        </w:rPr>
        <w:drawing>
          <wp:anchor distT="0" distB="0" distL="114300" distR="114300" simplePos="0" relativeHeight="251667456" behindDoc="0" locked="0" layoutInCell="1" allowOverlap="1" wp14:anchorId="40B9644E" wp14:editId="2E2380EB">
            <wp:simplePos x="0" y="0"/>
            <wp:positionH relativeFrom="margin">
              <wp:align>right</wp:align>
            </wp:positionH>
            <wp:positionV relativeFrom="paragraph">
              <wp:posOffset>121285</wp:posOffset>
            </wp:positionV>
            <wp:extent cx="2667000" cy="1771650"/>
            <wp:effectExtent l="114300" t="114300" r="171450" b="171450"/>
            <wp:wrapSquare wrapText="bothSides"/>
            <wp:docPr id="2" name="Picture 2" descr="C:\Users\ubeda\Documents\2015\ITU\Images\Smart cities-images\images for presentation\shutterstock_3288495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beda\Documents\2015\ITU\Images\Smart cities-images\images for presentation\shutterstock_328849589-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ln w="76200" cap="sq">
                      <a:solidFill>
                        <a:schemeClr val="accent1">
                          <a:lumMod val="75000"/>
                        </a:schemeClr>
                      </a:solidFill>
                      <a:miter lim="800000"/>
                    </a:ln>
                    <a:effectLst>
                      <a:outerShdw blurRad="57150" dist="50800" dir="2700000" algn="tl" rotWithShape="0">
                        <a:srgbClr val="000000">
                          <a:alpha val="40000"/>
                        </a:srgbClr>
                      </a:outerShdw>
                    </a:effectLst>
                  </pic:spPr>
                </pic:pic>
              </a:graphicData>
            </a:graphic>
          </wp:anchor>
        </w:drawing>
      </w:r>
      <w:r w:rsidR="000C5E2C" w:rsidRPr="00763D5C">
        <w:rPr>
          <w:b/>
          <w:bCs/>
          <w:color w:val="365F91" w:themeColor="accent1" w:themeShade="BF"/>
          <w:lang w:val="en-GB"/>
        </w:rPr>
        <w:t>3.</w:t>
      </w:r>
      <w:r w:rsidR="000C5E2C" w:rsidRPr="000C5E2C">
        <w:rPr>
          <w:lang w:val="en-GB"/>
        </w:rPr>
        <w:tab/>
      </w:r>
      <w:r w:rsidR="000C5E2C" w:rsidRPr="000C5E2C">
        <w:rPr>
          <w:b/>
          <w:bCs/>
          <w:color w:val="365F91" w:themeColor="accent1" w:themeShade="BF"/>
          <w:lang w:val="en-GB"/>
        </w:rPr>
        <w:t>Build a circular economy:</w:t>
      </w:r>
      <w:r w:rsidR="000C5E2C" w:rsidRPr="000C5E2C">
        <w:rPr>
          <w:lang w:val="en-GB"/>
        </w:rPr>
        <w:t xml:space="preserve"> Design and promote green products and services using international standards that are developed based on life cycle assessment. Scaling up a circular economy at an international level will require government support. Support a coordinated approach by world leaders to introduce positive legislative drivers such as e-waste prevention targets and incentives based on eco-design to promote products that are easier to reuse, remanufacture and disassemble.</w:t>
      </w:r>
    </w:p>
    <w:p w14:paraId="22A49F7F" w14:textId="4848B7A2" w:rsidR="000C5E2C" w:rsidRPr="000C5E2C" w:rsidRDefault="000C5E2C" w:rsidP="000C5E2C">
      <w:pPr>
        <w:jc w:val="both"/>
        <w:rPr>
          <w:lang w:val="en-GB"/>
        </w:rPr>
      </w:pPr>
    </w:p>
    <w:p w14:paraId="20879BD6" w14:textId="5AEF4BB4" w:rsidR="000C5E2C" w:rsidRPr="000C5E2C" w:rsidRDefault="000C5E2C" w:rsidP="00F63086">
      <w:pPr>
        <w:tabs>
          <w:tab w:val="left" w:pos="426"/>
        </w:tabs>
        <w:ind w:left="426" w:hanging="426"/>
        <w:jc w:val="both"/>
        <w:rPr>
          <w:lang w:val="en-GB"/>
        </w:rPr>
      </w:pPr>
      <w:r w:rsidRPr="00763D5C">
        <w:rPr>
          <w:b/>
          <w:bCs/>
          <w:color w:val="365F91" w:themeColor="accent1" w:themeShade="BF"/>
          <w:lang w:val="en-GB"/>
        </w:rPr>
        <w:t>4.</w:t>
      </w:r>
      <w:r w:rsidRPr="00F63086">
        <w:rPr>
          <w:color w:val="365F91" w:themeColor="accent1" w:themeShade="BF"/>
          <w:lang w:val="en-GB"/>
        </w:rPr>
        <w:tab/>
      </w:r>
      <w:r w:rsidRPr="000C5E2C">
        <w:rPr>
          <w:b/>
          <w:bCs/>
          <w:color w:val="365F91" w:themeColor="accent1" w:themeShade="BF"/>
          <w:lang w:val="en-GB"/>
        </w:rPr>
        <w:t>Lead with vision:</w:t>
      </w:r>
      <w:r w:rsidRPr="000C5E2C">
        <w:rPr>
          <w:lang w:val="en-GB"/>
        </w:rPr>
        <w:t xml:space="preserve"> Develop and foster the adoption of policies, international standards, key performance indicators, innovative ICT-based sources of information (such as those provided by the Internet of Things (IoT) and crowdsourcing to collect citizens perceptions), and best practices to shape smart sustainable cities, countries and islands to promote the use of green ICTs for sustainable development including climate change adaptation and mitigation as well as e-waste management.</w:t>
      </w:r>
    </w:p>
    <w:p w14:paraId="0D722C46" w14:textId="44CCA05B" w:rsidR="000C5E2C" w:rsidRPr="000C5E2C" w:rsidRDefault="000C5E2C" w:rsidP="000C5E2C">
      <w:pPr>
        <w:jc w:val="both"/>
        <w:rPr>
          <w:lang w:val="en-GB"/>
        </w:rPr>
      </w:pPr>
    </w:p>
    <w:p w14:paraId="70193080" w14:textId="091E7CD9" w:rsidR="000C5E2C" w:rsidRPr="000C5E2C" w:rsidRDefault="000C5E2C" w:rsidP="00F63086">
      <w:pPr>
        <w:tabs>
          <w:tab w:val="left" w:pos="426"/>
        </w:tabs>
        <w:ind w:left="426" w:hanging="426"/>
        <w:jc w:val="both"/>
        <w:rPr>
          <w:lang w:val="en-GB"/>
        </w:rPr>
      </w:pPr>
      <w:r w:rsidRPr="00763D5C">
        <w:rPr>
          <w:b/>
          <w:bCs/>
          <w:color w:val="365F91" w:themeColor="accent1" w:themeShade="BF"/>
          <w:lang w:val="en-GB"/>
        </w:rPr>
        <w:t>5.</w:t>
      </w:r>
      <w:r w:rsidRPr="000C5E2C">
        <w:rPr>
          <w:lang w:val="en-GB"/>
        </w:rPr>
        <w:tab/>
      </w:r>
      <w:r w:rsidRPr="000C5E2C">
        <w:rPr>
          <w:b/>
          <w:bCs/>
          <w:color w:val="365F91" w:themeColor="accent1" w:themeShade="BF"/>
          <w:lang w:val="en-GB"/>
        </w:rPr>
        <w:t>Think sustainable:</w:t>
      </w:r>
      <w:r w:rsidRPr="000C5E2C">
        <w:rPr>
          <w:lang w:val="en-GB"/>
        </w:rPr>
        <w:t xml:space="preserve"> Bridge the gap between experts from the ICT, environment, urban planning, energy sectors and policy makers, to encourage the integration of ICTs into environmental, urban and energy policies in order to improve knowledge on the catalytic role that ICTs can play in reducing energy consumption, increasing environmental resilience, tackling climate change impacts, and enhancing energy efficiency and promoting a circular economy.  </w:t>
      </w:r>
    </w:p>
    <w:p w14:paraId="11668BC0" w14:textId="1F35863A" w:rsidR="000C5E2C" w:rsidRPr="000C5E2C" w:rsidRDefault="000C5E2C" w:rsidP="000C5E2C">
      <w:pPr>
        <w:jc w:val="both"/>
        <w:rPr>
          <w:lang w:val="en-GB"/>
        </w:rPr>
      </w:pPr>
    </w:p>
    <w:p w14:paraId="260BF1EF" w14:textId="2BD5A1AA" w:rsidR="000C5E2C" w:rsidRPr="000C5E2C" w:rsidRDefault="000C5E2C" w:rsidP="00F63086">
      <w:pPr>
        <w:tabs>
          <w:tab w:val="left" w:pos="426"/>
        </w:tabs>
        <w:ind w:left="426" w:hanging="426"/>
        <w:jc w:val="both"/>
        <w:rPr>
          <w:lang w:val="en-GB"/>
        </w:rPr>
      </w:pPr>
      <w:r w:rsidRPr="00763D5C">
        <w:rPr>
          <w:b/>
          <w:bCs/>
          <w:color w:val="365F91" w:themeColor="accent1" w:themeShade="BF"/>
          <w:lang w:val="en-GB"/>
        </w:rPr>
        <w:t>6.</w:t>
      </w:r>
      <w:r w:rsidRPr="00763D5C">
        <w:rPr>
          <w:b/>
          <w:bCs/>
          <w:lang w:val="en-GB"/>
        </w:rPr>
        <w:tab/>
      </w:r>
      <w:r w:rsidRPr="000C5E2C">
        <w:rPr>
          <w:b/>
          <w:bCs/>
          <w:color w:val="365F91" w:themeColor="accent1" w:themeShade="BF"/>
          <w:lang w:val="en-GB"/>
        </w:rPr>
        <w:t>Support greening technologies by design:</w:t>
      </w:r>
      <w:r w:rsidRPr="000C5E2C">
        <w:rPr>
          <w:lang w:val="en-GB"/>
        </w:rPr>
        <w:t xml:space="preserve"> Achieve high energy performance through a fundamental change in design principles and implementing practices within the ICT industry.  For example, high energy performance targeting reduced </w:t>
      </w:r>
      <w:r w:rsidRPr="000C5E2C">
        <w:rPr>
          <w:lang w:val="en-GB"/>
        </w:rPr>
        <w:lastRenderedPageBreak/>
        <w:t xml:space="preserve">network energy consumption is a critical requirement of </w:t>
      </w:r>
      <w:r w:rsidR="008B21D9" w:rsidRPr="008B21D9">
        <w:rPr>
          <w:lang w:val="en-GB"/>
        </w:rPr>
        <w:t>IMT-2020/</w:t>
      </w:r>
      <w:r w:rsidRPr="000C5E2C">
        <w:rPr>
          <w:lang w:val="en-GB"/>
        </w:rPr>
        <w:t>5G. It enables the reduction in total cost of ownership, facilitates the extension of network connectivity to remote areas, and provides network access in a sustainable and more resource-efficient way. ITU-T Study Group 5” Environment &amp; Climate Change” is called upon to develop standards that will ensure that 5G systems will be deployed based on eco-design principles including high energy performance, hazardous substances free e-products,  circular economy principles and smart e-waste management.</w:t>
      </w:r>
    </w:p>
    <w:p w14:paraId="334D259B" w14:textId="10FBEADF" w:rsidR="000C5E2C" w:rsidRPr="00F63086" w:rsidRDefault="000C5E2C" w:rsidP="000C5E2C">
      <w:pPr>
        <w:jc w:val="both"/>
        <w:rPr>
          <w:color w:val="365F91" w:themeColor="accent1" w:themeShade="BF"/>
          <w:lang w:val="en-GB"/>
        </w:rPr>
      </w:pPr>
    </w:p>
    <w:p w14:paraId="31A88599" w14:textId="4AAC0F40" w:rsidR="000C5E2C" w:rsidRPr="000C5E2C" w:rsidRDefault="000C5E2C" w:rsidP="00F63086">
      <w:pPr>
        <w:tabs>
          <w:tab w:val="left" w:pos="426"/>
        </w:tabs>
        <w:ind w:left="426" w:hanging="426"/>
        <w:jc w:val="both"/>
        <w:rPr>
          <w:lang w:val="en-GB"/>
        </w:rPr>
      </w:pPr>
      <w:r w:rsidRPr="00763D5C">
        <w:rPr>
          <w:b/>
          <w:bCs/>
          <w:color w:val="365F91" w:themeColor="accent1" w:themeShade="BF"/>
          <w:lang w:val="en-GB"/>
        </w:rPr>
        <w:t>7</w:t>
      </w:r>
      <w:r w:rsidRPr="00763D5C">
        <w:rPr>
          <w:b/>
          <w:bCs/>
          <w:lang w:val="en-GB"/>
        </w:rPr>
        <w:t>.</w:t>
      </w:r>
      <w:r w:rsidRPr="000C5E2C">
        <w:rPr>
          <w:lang w:val="en-GB"/>
        </w:rPr>
        <w:tab/>
      </w:r>
      <w:r w:rsidRPr="000C5E2C">
        <w:rPr>
          <w:b/>
          <w:bCs/>
          <w:color w:val="365F91" w:themeColor="accent1" w:themeShade="BF"/>
          <w:lang w:val="en-GB"/>
        </w:rPr>
        <w:t>Foster the development and convergence of global standards and open Application Programme Interfaces (APIs) for IoT:</w:t>
      </w:r>
      <w:r w:rsidRPr="000C5E2C">
        <w:rPr>
          <w:lang w:val="en-GB"/>
        </w:rPr>
        <w:t xml:space="preserve"> ITU-T Study Group 20 on “Internet of Things and its Applications including Smart Cities and Communities” is called upon to support the development and convergence of global IoT standards and open APIs and interfaces, including for open data, in view of enabling interoperability among technologies, services and applications.</w:t>
      </w:r>
    </w:p>
    <w:p w14:paraId="291A13B4" w14:textId="1D1E4885" w:rsidR="000C5E2C" w:rsidRPr="000C5E2C" w:rsidRDefault="000C5E2C" w:rsidP="000C5E2C">
      <w:pPr>
        <w:jc w:val="both"/>
        <w:rPr>
          <w:lang w:val="en-GB"/>
        </w:rPr>
      </w:pPr>
    </w:p>
    <w:p w14:paraId="6872A10D" w14:textId="32C0AEED" w:rsidR="000C5E2C" w:rsidRPr="000C5E2C" w:rsidRDefault="000C5E2C" w:rsidP="00F63086">
      <w:pPr>
        <w:tabs>
          <w:tab w:val="left" w:pos="426"/>
        </w:tabs>
        <w:ind w:left="426" w:hanging="426"/>
        <w:jc w:val="both"/>
        <w:rPr>
          <w:lang w:val="en-GB"/>
        </w:rPr>
      </w:pPr>
      <w:r w:rsidRPr="00763D5C">
        <w:rPr>
          <w:b/>
          <w:bCs/>
          <w:color w:val="365F91" w:themeColor="accent1" w:themeShade="BF"/>
          <w:lang w:val="en-GB"/>
        </w:rPr>
        <w:t>8.</w:t>
      </w:r>
      <w:r w:rsidRPr="000C5E2C">
        <w:rPr>
          <w:lang w:val="en-GB"/>
        </w:rPr>
        <w:tab/>
      </w:r>
      <w:r w:rsidRPr="000C5E2C">
        <w:rPr>
          <w:b/>
          <w:bCs/>
          <w:color w:val="365F91" w:themeColor="accent1" w:themeShade="BF"/>
          <w:lang w:val="en-GB"/>
        </w:rPr>
        <w:t>Develop a global smart sustainable index for cities, countries and SIDS:</w:t>
      </w:r>
      <w:r w:rsidRPr="000C5E2C">
        <w:rPr>
          <w:lang w:val="en-GB"/>
        </w:rPr>
        <w:t xml:space="preserve"> Develop a scoring system that would allow to measure how each city, country or island would score on an accepted global smart sustainable index.    </w:t>
      </w:r>
    </w:p>
    <w:p w14:paraId="10996690" w14:textId="4A02E7DA" w:rsidR="000C5E2C" w:rsidRPr="000C5E2C" w:rsidRDefault="000C5E2C" w:rsidP="000C5E2C">
      <w:pPr>
        <w:jc w:val="both"/>
        <w:rPr>
          <w:lang w:val="en-GB"/>
        </w:rPr>
      </w:pPr>
    </w:p>
    <w:p w14:paraId="680058EF" w14:textId="656A84F7" w:rsidR="000C5E2C" w:rsidRDefault="000C5E2C" w:rsidP="00763D5C">
      <w:pPr>
        <w:tabs>
          <w:tab w:val="left" w:pos="426"/>
        </w:tabs>
        <w:ind w:left="426" w:hanging="426"/>
        <w:jc w:val="both"/>
        <w:rPr>
          <w:lang w:val="en-GB"/>
        </w:rPr>
      </w:pPr>
      <w:r w:rsidRPr="00763D5C">
        <w:rPr>
          <w:b/>
          <w:bCs/>
          <w:color w:val="365F91" w:themeColor="accent1" w:themeShade="BF"/>
          <w:lang w:val="en-GB"/>
        </w:rPr>
        <w:t>9.</w:t>
      </w:r>
      <w:r w:rsidRPr="000C5E2C">
        <w:rPr>
          <w:lang w:val="en-GB"/>
        </w:rPr>
        <w:tab/>
      </w:r>
      <w:r w:rsidRPr="000C5E2C">
        <w:rPr>
          <w:b/>
          <w:bCs/>
          <w:color w:val="365F91" w:themeColor="accent1" w:themeShade="BF"/>
          <w:lang w:val="en-GB"/>
        </w:rPr>
        <w:t xml:space="preserve">Building trust and develop </w:t>
      </w:r>
      <w:r w:rsidR="004A213C">
        <w:rPr>
          <w:b/>
          <w:bCs/>
          <w:color w:val="365F91" w:themeColor="accent1" w:themeShade="BF"/>
          <w:lang w:val="en-GB"/>
        </w:rPr>
        <w:t xml:space="preserve">secure </w:t>
      </w:r>
      <w:r w:rsidRPr="000C5E2C">
        <w:rPr>
          <w:b/>
          <w:bCs/>
          <w:color w:val="365F91" w:themeColor="accent1" w:themeShade="BF"/>
          <w:lang w:val="en-GB"/>
        </w:rPr>
        <w:t>a</w:t>
      </w:r>
      <w:r w:rsidR="004A213C">
        <w:rPr>
          <w:b/>
          <w:bCs/>
          <w:color w:val="365F91" w:themeColor="accent1" w:themeShade="BF"/>
          <w:lang w:val="en-GB"/>
        </w:rPr>
        <w:t>nd</w:t>
      </w:r>
      <w:r w:rsidRPr="000C5E2C">
        <w:rPr>
          <w:b/>
          <w:bCs/>
          <w:color w:val="365F91" w:themeColor="accent1" w:themeShade="BF"/>
          <w:lang w:val="en-GB"/>
        </w:rPr>
        <w:t xml:space="preserve"> privacy by design approach</w:t>
      </w:r>
      <w:r w:rsidR="004A213C">
        <w:rPr>
          <w:b/>
          <w:bCs/>
          <w:color w:val="365F91" w:themeColor="accent1" w:themeShade="BF"/>
          <w:lang w:val="en-GB"/>
        </w:rPr>
        <w:t>es</w:t>
      </w:r>
      <w:r w:rsidRPr="000C5E2C">
        <w:rPr>
          <w:b/>
          <w:bCs/>
          <w:color w:val="365F91" w:themeColor="accent1" w:themeShade="BF"/>
          <w:lang w:val="en-GB"/>
        </w:rPr>
        <w:t xml:space="preserve"> for IoT</w:t>
      </w:r>
      <w:r w:rsidR="004A213C">
        <w:rPr>
          <w:b/>
          <w:bCs/>
          <w:color w:val="365F91" w:themeColor="accent1" w:themeShade="BF"/>
          <w:lang w:val="en-GB"/>
        </w:rPr>
        <w:t xml:space="preserve"> lifecycle, </w:t>
      </w:r>
      <w:r w:rsidR="004A213C" w:rsidRPr="004A213C">
        <w:rPr>
          <w:b/>
          <w:bCs/>
          <w:color w:val="365F91" w:themeColor="accent1" w:themeShade="BF"/>
          <w:lang w:val="en-GB"/>
        </w:rPr>
        <w:t>sustainability issues with the devices, applications and solutions</w:t>
      </w:r>
      <w:r w:rsidRPr="000C5E2C">
        <w:rPr>
          <w:b/>
          <w:bCs/>
          <w:color w:val="365F91" w:themeColor="accent1" w:themeShade="BF"/>
          <w:lang w:val="en-GB"/>
        </w:rPr>
        <w:t xml:space="preserve">: </w:t>
      </w:r>
      <w:r w:rsidRPr="000C5E2C">
        <w:rPr>
          <w:lang w:val="en-GB"/>
        </w:rPr>
        <w:t xml:space="preserve">ITU-T Study Group 20 is called upon to identify solutions aimed at building trust and ensuring privacy compliance of </w:t>
      </w:r>
      <w:r w:rsidR="008B21D9">
        <w:rPr>
          <w:lang w:val="en-GB"/>
        </w:rPr>
        <w:t xml:space="preserve">IoT </w:t>
      </w:r>
      <w:r w:rsidR="008B21D9" w:rsidRPr="000C5E2C">
        <w:rPr>
          <w:lang w:val="en-GB"/>
        </w:rPr>
        <w:t>devices</w:t>
      </w:r>
      <w:r w:rsidR="008B21D9">
        <w:rPr>
          <w:lang w:val="en-GB"/>
        </w:rPr>
        <w:t xml:space="preserve"> and services</w:t>
      </w:r>
      <w:r w:rsidRPr="000C5E2C">
        <w:rPr>
          <w:lang w:val="en-GB"/>
        </w:rPr>
        <w:t xml:space="preserve">, according to modalities that preserve their efficiency and economic value. </w:t>
      </w:r>
    </w:p>
    <w:p w14:paraId="7C04CFED" w14:textId="77777777" w:rsidR="004A213C" w:rsidRPr="000C5E2C" w:rsidRDefault="004A213C" w:rsidP="000C5E2C">
      <w:pPr>
        <w:jc w:val="both"/>
        <w:rPr>
          <w:lang w:val="en-GB"/>
        </w:rPr>
      </w:pPr>
    </w:p>
    <w:p w14:paraId="48B169E2" w14:textId="704716C4" w:rsidR="000C5E2C" w:rsidRPr="000C5E2C" w:rsidRDefault="000C5E2C" w:rsidP="00763D5C">
      <w:pPr>
        <w:tabs>
          <w:tab w:val="left" w:pos="426"/>
        </w:tabs>
        <w:ind w:left="426" w:hanging="426"/>
        <w:jc w:val="both"/>
        <w:rPr>
          <w:lang w:val="en-GB"/>
        </w:rPr>
      </w:pPr>
      <w:r w:rsidRPr="00763D5C">
        <w:rPr>
          <w:b/>
          <w:bCs/>
          <w:color w:val="365F91" w:themeColor="accent1" w:themeShade="BF"/>
          <w:lang w:val="en-GB"/>
        </w:rPr>
        <w:t>10.</w:t>
      </w:r>
      <w:r w:rsidRPr="000C5E2C">
        <w:rPr>
          <w:lang w:val="en-GB"/>
        </w:rPr>
        <w:tab/>
      </w:r>
      <w:r w:rsidRPr="000C5E2C">
        <w:rPr>
          <w:b/>
          <w:bCs/>
          <w:color w:val="365F91" w:themeColor="accent1" w:themeShade="BF"/>
          <w:lang w:val="en-GB"/>
        </w:rPr>
        <w:t>Ensure end-user involvement and user-centric approaches:</w:t>
      </w:r>
      <w:r w:rsidRPr="000C5E2C">
        <w:rPr>
          <w:lang w:val="en-GB"/>
        </w:rPr>
        <w:t xml:space="preserve"> ITU-T Study Group 20 is called upon to consider approaches and models for active involvement of end-users in IoT technology development and deployment, such as crowdsourcing, in particular in smart city environment. </w:t>
      </w:r>
    </w:p>
    <w:p w14:paraId="5937E123" w14:textId="7C540BB6" w:rsidR="000C5E2C" w:rsidRPr="000C5E2C" w:rsidRDefault="000C5E2C" w:rsidP="000C5E2C">
      <w:pPr>
        <w:jc w:val="both"/>
        <w:rPr>
          <w:lang w:val="en-GB"/>
        </w:rPr>
      </w:pPr>
    </w:p>
    <w:p w14:paraId="4FC4D3FB" w14:textId="0499DC8A" w:rsidR="000C5E2C" w:rsidRPr="000C5E2C" w:rsidRDefault="000C5E2C" w:rsidP="00763D5C">
      <w:pPr>
        <w:tabs>
          <w:tab w:val="left" w:pos="426"/>
        </w:tabs>
        <w:ind w:left="426" w:hanging="426"/>
        <w:jc w:val="both"/>
        <w:rPr>
          <w:lang w:val="en-GB"/>
        </w:rPr>
      </w:pPr>
      <w:r w:rsidRPr="00763D5C">
        <w:rPr>
          <w:b/>
          <w:bCs/>
          <w:color w:val="365F91" w:themeColor="accent1" w:themeShade="BF"/>
          <w:lang w:val="en-GB"/>
        </w:rPr>
        <w:t>11.</w:t>
      </w:r>
      <w:r w:rsidRPr="000C5E2C">
        <w:rPr>
          <w:lang w:val="en-GB"/>
        </w:rPr>
        <w:tab/>
      </w:r>
      <w:r w:rsidRPr="000C5E2C">
        <w:rPr>
          <w:b/>
          <w:bCs/>
          <w:color w:val="365F91" w:themeColor="accent1" w:themeShade="BF"/>
          <w:lang w:val="en-GB"/>
        </w:rPr>
        <w:t xml:space="preserve">Demonstrate success and feasibility: </w:t>
      </w:r>
      <w:r w:rsidRPr="000C5E2C">
        <w:rPr>
          <w:lang w:val="en-GB"/>
        </w:rPr>
        <w:t>Carry out pilot and flagship projects to demonstrate “smart” ICT solutions to enable a smart environment by utilizing new technologies and standards to enable countries, cities and islands to become smarter and more sustainable. Identify strengths and weaknesses of implementation strategies, and report success stories and cost implications in dealing with the challenges met, and innovative solutions used.</w:t>
      </w:r>
    </w:p>
    <w:p w14:paraId="4D051CF9" w14:textId="3229FD3C" w:rsidR="000C5E2C" w:rsidRPr="000C5E2C" w:rsidRDefault="000C5E2C" w:rsidP="000C5E2C">
      <w:pPr>
        <w:jc w:val="both"/>
        <w:rPr>
          <w:lang w:val="en-GB"/>
        </w:rPr>
      </w:pPr>
    </w:p>
    <w:p w14:paraId="58355FA9" w14:textId="0950FF0F" w:rsidR="000C5E2C" w:rsidRPr="000C5E2C" w:rsidRDefault="000C5E2C" w:rsidP="00763D5C">
      <w:pPr>
        <w:tabs>
          <w:tab w:val="left" w:pos="426"/>
        </w:tabs>
        <w:ind w:left="426" w:hanging="426"/>
        <w:jc w:val="both"/>
        <w:rPr>
          <w:lang w:val="en-GB"/>
        </w:rPr>
      </w:pPr>
      <w:r w:rsidRPr="00763D5C">
        <w:rPr>
          <w:b/>
          <w:bCs/>
          <w:color w:val="365F91" w:themeColor="accent1" w:themeShade="BF"/>
          <w:lang w:val="en-GB"/>
        </w:rPr>
        <w:t>12.</w:t>
      </w:r>
      <w:r w:rsidRPr="000C5E2C">
        <w:rPr>
          <w:lang w:val="en-GB"/>
        </w:rPr>
        <w:tab/>
      </w:r>
      <w:r w:rsidRPr="000C5E2C">
        <w:rPr>
          <w:b/>
          <w:bCs/>
          <w:color w:val="365F91" w:themeColor="accent1" w:themeShade="BF"/>
          <w:lang w:val="en-GB"/>
        </w:rPr>
        <w:t>Boost partnerships and mobilize expertise:</w:t>
      </w:r>
      <w:r w:rsidRPr="000C5E2C">
        <w:rPr>
          <w:lang w:val="en-GB"/>
        </w:rPr>
        <w:t xml:space="preserve"> Enhance cooperation at international, regional, and national level, between organizations, research institutes, academics, governments, small medium enterprises (SMEs) and civil society, on the use of ICT for a smart sustainable world.  Create business models that would encourage partnerships among stakeholders through win- win solutions. </w:t>
      </w:r>
    </w:p>
    <w:p w14:paraId="12A3C31E" w14:textId="77777777" w:rsidR="000C5E2C" w:rsidRPr="000C5E2C" w:rsidRDefault="000C5E2C" w:rsidP="000C5E2C">
      <w:pPr>
        <w:jc w:val="both"/>
        <w:rPr>
          <w:lang w:val="en-GB"/>
        </w:rPr>
      </w:pPr>
    </w:p>
    <w:p w14:paraId="2F811EE1" w14:textId="0ADD8C12" w:rsidR="000C5E2C" w:rsidRDefault="000C5E2C" w:rsidP="00763D5C">
      <w:pPr>
        <w:tabs>
          <w:tab w:val="left" w:pos="426"/>
        </w:tabs>
        <w:ind w:left="426" w:hanging="426"/>
        <w:jc w:val="both"/>
        <w:rPr>
          <w:lang w:val="en-GB"/>
        </w:rPr>
      </w:pPr>
      <w:r w:rsidRPr="00763D5C">
        <w:rPr>
          <w:b/>
          <w:bCs/>
          <w:color w:val="365F91" w:themeColor="accent1" w:themeShade="BF"/>
          <w:lang w:val="en-GB"/>
        </w:rPr>
        <w:t>13.</w:t>
      </w:r>
      <w:r w:rsidRPr="00763D5C">
        <w:rPr>
          <w:color w:val="365F91" w:themeColor="accent1" w:themeShade="BF"/>
          <w:lang w:val="en-GB"/>
        </w:rPr>
        <w:tab/>
      </w:r>
      <w:r w:rsidRPr="000C5E2C">
        <w:rPr>
          <w:b/>
          <w:bCs/>
          <w:color w:val="365F91" w:themeColor="accent1" w:themeShade="BF"/>
          <w:lang w:val="en-GB"/>
        </w:rPr>
        <w:t>Shape the global agenda:</w:t>
      </w:r>
      <w:r w:rsidRPr="000C5E2C">
        <w:rPr>
          <w:lang w:val="en-GB"/>
        </w:rPr>
        <w:t xml:space="preserve">  Establish an Initiative on “Powering Sma</w:t>
      </w:r>
      <w:r w:rsidR="006C6E3A">
        <w:rPr>
          <w:lang w:val="en-GB"/>
        </w:rPr>
        <w:t>rt Sustainable Cities, Nations</w:t>
      </w:r>
      <w:r w:rsidRPr="000C5E2C">
        <w:rPr>
          <w:lang w:val="en-GB"/>
        </w:rPr>
        <w:t xml:space="preserve"> &amp; SIDS” that will assist countries, cities and SIDS to become smarter and more sustainable across their respective territories. </w:t>
      </w:r>
    </w:p>
    <w:p w14:paraId="5790D359" w14:textId="77777777" w:rsidR="00490704" w:rsidRDefault="00490704" w:rsidP="000C5E2C">
      <w:pPr>
        <w:jc w:val="both"/>
        <w:rPr>
          <w:lang w:val="en-GB"/>
        </w:rPr>
      </w:pPr>
    </w:p>
    <w:p w14:paraId="6A08D868" w14:textId="57518C54" w:rsidR="00490704" w:rsidRPr="000C5E2C" w:rsidRDefault="00490704" w:rsidP="00E661E9">
      <w:pPr>
        <w:jc w:val="both"/>
        <w:rPr>
          <w:lang w:val="en-GB"/>
        </w:rPr>
      </w:pPr>
      <w:r>
        <w:rPr>
          <w:lang w:val="en-GB"/>
        </w:rPr>
        <w:t>Additional information on 5</w:t>
      </w:r>
      <w:r w:rsidRPr="00490704">
        <w:rPr>
          <w:vertAlign w:val="superscript"/>
          <w:lang w:val="en-GB"/>
        </w:rPr>
        <w:t>th</w:t>
      </w:r>
      <w:r>
        <w:rPr>
          <w:lang w:val="en-GB"/>
        </w:rPr>
        <w:t xml:space="preserve"> Green Standards Week can be found at: </w:t>
      </w:r>
      <w:hyperlink r:id="rId11" w:history="1">
        <w:r w:rsidR="00763D5C" w:rsidRPr="00B23A08">
          <w:rPr>
            <w:rStyle w:val="Hyperlink"/>
            <w:lang w:val="en-GB"/>
          </w:rPr>
          <w:t>http://www.itu.int/en/ITU-T/Workshops-and-Seminars/gsw/201512/Pages/</w:t>
        </w:r>
      </w:hyperlink>
      <w:r w:rsidR="00763D5C">
        <w:rPr>
          <w:lang w:val="en-GB"/>
        </w:rPr>
        <w:t xml:space="preserve"> </w:t>
      </w:r>
      <w:r>
        <w:rPr>
          <w:lang w:val="en-GB"/>
        </w:rPr>
        <w:t xml:space="preserve"> </w:t>
      </w:r>
    </w:p>
    <w:sectPr w:rsidR="00490704" w:rsidRPr="000C5E2C" w:rsidSect="00107AF6">
      <w:headerReference w:type="default" r:id="rId12"/>
      <w:headerReference w:type="first" r:id="rId13"/>
      <w:pgSz w:w="11900" w:h="16840"/>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782C8" w14:textId="77777777" w:rsidR="00503F48" w:rsidRDefault="00503F48" w:rsidP="002B5933">
      <w:r>
        <w:separator/>
      </w:r>
    </w:p>
  </w:endnote>
  <w:endnote w:type="continuationSeparator" w:id="0">
    <w:p w14:paraId="18EB2D7A" w14:textId="77777777" w:rsidR="00503F48" w:rsidRDefault="00503F48" w:rsidP="002B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7A055" w14:textId="77777777" w:rsidR="00503F48" w:rsidRDefault="00503F48" w:rsidP="002B5933">
      <w:r>
        <w:separator/>
      </w:r>
    </w:p>
  </w:footnote>
  <w:footnote w:type="continuationSeparator" w:id="0">
    <w:p w14:paraId="66B4A1B9" w14:textId="77777777" w:rsidR="00503F48" w:rsidRDefault="00503F48" w:rsidP="002B5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A37BB" w14:textId="0E319283" w:rsidR="00253C85" w:rsidRDefault="00107AF6" w:rsidP="00107AF6">
    <w:pPr>
      <w:pStyle w:val="Header"/>
      <w:jc w:val="right"/>
    </w:pPr>
    <w:r>
      <w:br/>
    </w:r>
    <w:r w:rsidRPr="00107AF6">
      <w:rPr>
        <w:color w:val="1B580B"/>
      </w:rPr>
      <w:t>5</w:t>
    </w:r>
    <w:r w:rsidRPr="00107AF6">
      <w:rPr>
        <w:color w:val="1B580B"/>
        <w:vertAlign w:val="superscript"/>
      </w:rPr>
      <w:t>th</w:t>
    </w:r>
    <w:r w:rsidRPr="00107AF6">
      <w:rPr>
        <w:color w:val="1B580B"/>
      </w:rPr>
      <w:t xml:space="preserve"> Green Standards Week</w:t>
    </w:r>
    <w:r>
      <w:rPr>
        <w:color w:val="1B580B"/>
      </w:rPr>
      <w:t xml:space="preserve">, </w:t>
    </w:r>
    <w:r w:rsidR="007D1C19">
      <w:rPr>
        <w:color w:val="1B580B"/>
      </w:rPr>
      <w:t>14-</w:t>
    </w:r>
    <w:r w:rsidR="00AB413D">
      <w:rPr>
        <w:color w:val="1B580B"/>
      </w:rPr>
      <w:t xml:space="preserve">18 </w:t>
    </w:r>
    <w:r>
      <w:rPr>
        <w:color w:val="1B580B"/>
      </w:rPr>
      <w:t>December</w:t>
    </w:r>
    <w:r w:rsidRPr="00107AF6">
      <w:rPr>
        <w:color w:val="1B580B"/>
      </w:rPr>
      <w:t xml:space="preserve"> 2015</w:t>
    </w:r>
    <w:r>
      <w:t xml:space="preserve"> </w:t>
    </w:r>
  </w:p>
  <w:p w14:paraId="4898CD96" w14:textId="77777777" w:rsidR="00253C85" w:rsidRDefault="00253C85" w:rsidP="0037037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F0DC9" w14:textId="1E87876D" w:rsidR="00370373" w:rsidRDefault="00370373" w:rsidP="00391A6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C4CFF"/>
    <w:multiLevelType w:val="hybridMultilevel"/>
    <w:tmpl w:val="058A029E"/>
    <w:lvl w:ilvl="0" w:tplc="B8BED398">
      <w:start w:val="2"/>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BC1D62"/>
    <w:multiLevelType w:val="hybridMultilevel"/>
    <w:tmpl w:val="BD2239C0"/>
    <w:lvl w:ilvl="0" w:tplc="E5081808">
      <w:start w:val="1"/>
      <w:numFmt w:val="decimal"/>
      <w:lvlText w:val="%1."/>
      <w:lvlJc w:val="left"/>
      <w:pPr>
        <w:ind w:left="720" w:hanging="360"/>
      </w:pPr>
      <w:rPr>
        <w:b/>
        <w:bCs/>
        <w:color w:val="365F91" w:themeColor="accent1" w:themeShade="B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1966F1"/>
    <w:multiLevelType w:val="multilevel"/>
    <w:tmpl w:val="EE20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3A0666"/>
    <w:multiLevelType w:val="hybridMultilevel"/>
    <w:tmpl w:val="5524C5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67"/>
    <w:rsid w:val="00036824"/>
    <w:rsid w:val="00045182"/>
    <w:rsid w:val="00092056"/>
    <w:rsid w:val="00094768"/>
    <w:rsid w:val="000B0F32"/>
    <w:rsid w:val="000C42EA"/>
    <w:rsid w:val="000C5E2C"/>
    <w:rsid w:val="000D4401"/>
    <w:rsid w:val="000E3B62"/>
    <w:rsid w:val="000E3F12"/>
    <w:rsid w:val="000F3C32"/>
    <w:rsid w:val="00104432"/>
    <w:rsid w:val="00107AF6"/>
    <w:rsid w:val="00117E3B"/>
    <w:rsid w:val="00125CB1"/>
    <w:rsid w:val="00133326"/>
    <w:rsid w:val="00137D6C"/>
    <w:rsid w:val="00145E9A"/>
    <w:rsid w:val="001470E1"/>
    <w:rsid w:val="00170C35"/>
    <w:rsid w:val="00180C26"/>
    <w:rsid w:val="001869F6"/>
    <w:rsid w:val="00187C4B"/>
    <w:rsid w:val="001957E2"/>
    <w:rsid w:val="001B1FEE"/>
    <w:rsid w:val="001D0397"/>
    <w:rsid w:val="001E0E33"/>
    <w:rsid w:val="001E6DF0"/>
    <w:rsid w:val="001F0F81"/>
    <w:rsid w:val="00232839"/>
    <w:rsid w:val="00253C85"/>
    <w:rsid w:val="00256DA2"/>
    <w:rsid w:val="0026119E"/>
    <w:rsid w:val="00285B83"/>
    <w:rsid w:val="002876AC"/>
    <w:rsid w:val="00290D63"/>
    <w:rsid w:val="0029551B"/>
    <w:rsid w:val="002B5933"/>
    <w:rsid w:val="002C7553"/>
    <w:rsid w:val="002E2772"/>
    <w:rsid w:val="002E5556"/>
    <w:rsid w:val="002F5954"/>
    <w:rsid w:val="002F5A8C"/>
    <w:rsid w:val="00302E2C"/>
    <w:rsid w:val="00330F36"/>
    <w:rsid w:val="00345075"/>
    <w:rsid w:val="00352B07"/>
    <w:rsid w:val="00370373"/>
    <w:rsid w:val="00385C09"/>
    <w:rsid w:val="00391A62"/>
    <w:rsid w:val="003C0869"/>
    <w:rsid w:val="003C2F0F"/>
    <w:rsid w:val="003D58C9"/>
    <w:rsid w:val="003E043E"/>
    <w:rsid w:val="003F2A42"/>
    <w:rsid w:val="003F44C6"/>
    <w:rsid w:val="004315A4"/>
    <w:rsid w:val="00434D14"/>
    <w:rsid w:val="00460253"/>
    <w:rsid w:val="00463933"/>
    <w:rsid w:val="00471F63"/>
    <w:rsid w:val="00475BF5"/>
    <w:rsid w:val="00490704"/>
    <w:rsid w:val="004A0B74"/>
    <w:rsid w:val="004A213C"/>
    <w:rsid w:val="004A4C29"/>
    <w:rsid w:val="004C15F7"/>
    <w:rsid w:val="004C26C0"/>
    <w:rsid w:val="004D7631"/>
    <w:rsid w:val="004F0B34"/>
    <w:rsid w:val="004F197B"/>
    <w:rsid w:val="00503F48"/>
    <w:rsid w:val="00517135"/>
    <w:rsid w:val="0057054E"/>
    <w:rsid w:val="0058326D"/>
    <w:rsid w:val="005920CD"/>
    <w:rsid w:val="00594694"/>
    <w:rsid w:val="00595AEC"/>
    <w:rsid w:val="00597CFD"/>
    <w:rsid w:val="005E0D44"/>
    <w:rsid w:val="006109EE"/>
    <w:rsid w:val="006504B9"/>
    <w:rsid w:val="00680F8E"/>
    <w:rsid w:val="006904A3"/>
    <w:rsid w:val="0069291A"/>
    <w:rsid w:val="006A7923"/>
    <w:rsid w:val="006B34A5"/>
    <w:rsid w:val="006B4549"/>
    <w:rsid w:val="006B4D41"/>
    <w:rsid w:val="006C6E3A"/>
    <w:rsid w:val="006D2881"/>
    <w:rsid w:val="006E12DA"/>
    <w:rsid w:val="006F12D0"/>
    <w:rsid w:val="006F14C0"/>
    <w:rsid w:val="006F2C6F"/>
    <w:rsid w:val="007054F9"/>
    <w:rsid w:val="00735625"/>
    <w:rsid w:val="00753B7C"/>
    <w:rsid w:val="00762165"/>
    <w:rsid w:val="00763D5C"/>
    <w:rsid w:val="00766D4C"/>
    <w:rsid w:val="00777554"/>
    <w:rsid w:val="00787DD3"/>
    <w:rsid w:val="007A58F2"/>
    <w:rsid w:val="007A7B49"/>
    <w:rsid w:val="007D1C19"/>
    <w:rsid w:val="007D64BB"/>
    <w:rsid w:val="007D76E2"/>
    <w:rsid w:val="007D779C"/>
    <w:rsid w:val="0081292A"/>
    <w:rsid w:val="00870447"/>
    <w:rsid w:val="00886E4B"/>
    <w:rsid w:val="008A4E58"/>
    <w:rsid w:val="008A577C"/>
    <w:rsid w:val="008B21D9"/>
    <w:rsid w:val="008B4F5C"/>
    <w:rsid w:val="008E11E2"/>
    <w:rsid w:val="008F47C5"/>
    <w:rsid w:val="008F4ADE"/>
    <w:rsid w:val="009139F1"/>
    <w:rsid w:val="00941A1F"/>
    <w:rsid w:val="00980699"/>
    <w:rsid w:val="0099249B"/>
    <w:rsid w:val="009978EC"/>
    <w:rsid w:val="009C1E92"/>
    <w:rsid w:val="009C4C36"/>
    <w:rsid w:val="009F176C"/>
    <w:rsid w:val="00A512FF"/>
    <w:rsid w:val="00A67BDF"/>
    <w:rsid w:val="00A70ED9"/>
    <w:rsid w:val="00A97E41"/>
    <w:rsid w:val="00AB413D"/>
    <w:rsid w:val="00AF6799"/>
    <w:rsid w:val="00AF737F"/>
    <w:rsid w:val="00B1175B"/>
    <w:rsid w:val="00B41B60"/>
    <w:rsid w:val="00B44C26"/>
    <w:rsid w:val="00B50982"/>
    <w:rsid w:val="00B51DE6"/>
    <w:rsid w:val="00B52A3B"/>
    <w:rsid w:val="00B554CF"/>
    <w:rsid w:val="00BB2B65"/>
    <w:rsid w:val="00BC3C64"/>
    <w:rsid w:val="00BC6CEA"/>
    <w:rsid w:val="00C31C4B"/>
    <w:rsid w:val="00C32B4F"/>
    <w:rsid w:val="00C339CC"/>
    <w:rsid w:val="00C44AF5"/>
    <w:rsid w:val="00C54467"/>
    <w:rsid w:val="00C57DFB"/>
    <w:rsid w:val="00C82DF9"/>
    <w:rsid w:val="00C832BB"/>
    <w:rsid w:val="00CA3322"/>
    <w:rsid w:val="00CA7D26"/>
    <w:rsid w:val="00CD100A"/>
    <w:rsid w:val="00D33B2C"/>
    <w:rsid w:val="00D411B1"/>
    <w:rsid w:val="00D67346"/>
    <w:rsid w:val="00D936D5"/>
    <w:rsid w:val="00DA33FC"/>
    <w:rsid w:val="00DA5261"/>
    <w:rsid w:val="00DC0B29"/>
    <w:rsid w:val="00DE762E"/>
    <w:rsid w:val="00DF0D01"/>
    <w:rsid w:val="00E2202F"/>
    <w:rsid w:val="00E340A3"/>
    <w:rsid w:val="00E47A4E"/>
    <w:rsid w:val="00E51A2F"/>
    <w:rsid w:val="00E661E9"/>
    <w:rsid w:val="00E730AD"/>
    <w:rsid w:val="00E955BB"/>
    <w:rsid w:val="00EB39EC"/>
    <w:rsid w:val="00EC07E0"/>
    <w:rsid w:val="00ED27EE"/>
    <w:rsid w:val="00EE124D"/>
    <w:rsid w:val="00EE2E70"/>
    <w:rsid w:val="00EE47A6"/>
    <w:rsid w:val="00EE5599"/>
    <w:rsid w:val="00F2269C"/>
    <w:rsid w:val="00F53F23"/>
    <w:rsid w:val="00F56AEC"/>
    <w:rsid w:val="00F63086"/>
    <w:rsid w:val="00F766B3"/>
    <w:rsid w:val="00F82D46"/>
    <w:rsid w:val="00FC09E7"/>
    <w:rsid w:val="00FD04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42EB32"/>
  <w14:defaultImageDpi w14:val="300"/>
  <w15:docId w15:val="{9C31C963-6185-4ECC-9D73-73D61342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B5933"/>
  </w:style>
  <w:style w:type="character" w:customStyle="1" w:styleId="CommentTextChar">
    <w:name w:val="Comment Text Char"/>
    <w:basedOn w:val="DefaultParagraphFont"/>
    <w:link w:val="CommentText"/>
    <w:uiPriority w:val="99"/>
    <w:semiHidden/>
    <w:rsid w:val="002B5933"/>
  </w:style>
  <w:style w:type="paragraph" w:styleId="FootnoteText">
    <w:name w:val="footnote text"/>
    <w:basedOn w:val="Normal"/>
    <w:link w:val="FootnoteTextChar"/>
    <w:uiPriority w:val="99"/>
    <w:semiHidden/>
    <w:unhideWhenUsed/>
    <w:rsid w:val="002B5933"/>
  </w:style>
  <w:style w:type="character" w:customStyle="1" w:styleId="FootnoteTextChar">
    <w:name w:val="Footnote Text Char"/>
    <w:basedOn w:val="DefaultParagraphFont"/>
    <w:link w:val="FootnoteText"/>
    <w:uiPriority w:val="99"/>
    <w:semiHidden/>
    <w:rsid w:val="002B5933"/>
  </w:style>
  <w:style w:type="character" w:styleId="CommentReference">
    <w:name w:val="annotation reference"/>
    <w:basedOn w:val="DefaultParagraphFont"/>
    <w:uiPriority w:val="99"/>
    <w:unhideWhenUsed/>
    <w:rsid w:val="002B5933"/>
    <w:rPr>
      <w:sz w:val="16"/>
      <w:szCs w:val="16"/>
    </w:rPr>
  </w:style>
  <w:style w:type="character" w:styleId="FootnoteReference">
    <w:name w:val="footnote reference"/>
    <w:basedOn w:val="DefaultParagraphFont"/>
    <w:uiPriority w:val="99"/>
    <w:unhideWhenUsed/>
    <w:rsid w:val="002B5933"/>
    <w:rPr>
      <w:vertAlign w:val="superscript"/>
    </w:rPr>
  </w:style>
  <w:style w:type="paragraph" w:styleId="BalloonText">
    <w:name w:val="Balloon Text"/>
    <w:basedOn w:val="Normal"/>
    <w:link w:val="BalloonTextChar"/>
    <w:uiPriority w:val="99"/>
    <w:semiHidden/>
    <w:unhideWhenUsed/>
    <w:rsid w:val="002B59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5933"/>
    <w:rPr>
      <w:rFonts w:ascii="Lucida Grande" w:hAnsi="Lucida Grande" w:cs="Lucida Grande"/>
      <w:sz w:val="18"/>
      <w:szCs w:val="18"/>
    </w:rPr>
  </w:style>
  <w:style w:type="paragraph" w:styleId="NormalWeb">
    <w:name w:val="Normal (Web)"/>
    <w:basedOn w:val="Normal"/>
    <w:uiPriority w:val="99"/>
    <w:semiHidden/>
    <w:unhideWhenUsed/>
    <w:rsid w:val="00475BF5"/>
    <w:rPr>
      <w:rFonts w:ascii="Times New Roman" w:hAnsi="Times New Roman" w:cs="Times New Roman"/>
    </w:rPr>
  </w:style>
  <w:style w:type="paragraph" w:styleId="Header">
    <w:name w:val="header"/>
    <w:basedOn w:val="Normal"/>
    <w:link w:val="HeaderChar"/>
    <w:uiPriority w:val="99"/>
    <w:unhideWhenUsed/>
    <w:rsid w:val="00253C85"/>
    <w:pPr>
      <w:tabs>
        <w:tab w:val="center" w:pos="4680"/>
        <w:tab w:val="right" w:pos="9360"/>
      </w:tabs>
    </w:pPr>
  </w:style>
  <w:style w:type="character" w:customStyle="1" w:styleId="HeaderChar">
    <w:name w:val="Header Char"/>
    <w:basedOn w:val="DefaultParagraphFont"/>
    <w:link w:val="Header"/>
    <w:uiPriority w:val="99"/>
    <w:rsid w:val="00253C85"/>
  </w:style>
  <w:style w:type="paragraph" w:styleId="Footer">
    <w:name w:val="footer"/>
    <w:basedOn w:val="Normal"/>
    <w:link w:val="FooterChar"/>
    <w:uiPriority w:val="99"/>
    <w:unhideWhenUsed/>
    <w:rsid w:val="00253C85"/>
    <w:pPr>
      <w:tabs>
        <w:tab w:val="center" w:pos="4680"/>
        <w:tab w:val="right" w:pos="9360"/>
      </w:tabs>
    </w:pPr>
  </w:style>
  <w:style w:type="character" w:customStyle="1" w:styleId="FooterChar">
    <w:name w:val="Footer Char"/>
    <w:basedOn w:val="DefaultParagraphFont"/>
    <w:link w:val="Footer"/>
    <w:uiPriority w:val="99"/>
    <w:rsid w:val="00253C85"/>
  </w:style>
  <w:style w:type="paragraph" w:styleId="ListParagraph">
    <w:name w:val="List Paragraph"/>
    <w:basedOn w:val="Normal"/>
    <w:uiPriority w:val="34"/>
    <w:qFormat/>
    <w:rsid w:val="00DE762E"/>
    <w:pPr>
      <w:ind w:left="720"/>
      <w:contextualSpacing/>
    </w:pPr>
  </w:style>
  <w:style w:type="paragraph" w:styleId="CommentSubject">
    <w:name w:val="annotation subject"/>
    <w:basedOn w:val="CommentText"/>
    <w:next w:val="CommentText"/>
    <w:link w:val="CommentSubjectChar"/>
    <w:uiPriority w:val="99"/>
    <w:semiHidden/>
    <w:unhideWhenUsed/>
    <w:rsid w:val="004D7631"/>
    <w:rPr>
      <w:b/>
      <w:bCs/>
      <w:sz w:val="20"/>
      <w:szCs w:val="20"/>
    </w:rPr>
  </w:style>
  <w:style w:type="character" w:customStyle="1" w:styleId="CommentSubjectChar">
    <w:name w:val="Comment Subject Char"/>
    <w:basedOn w:val="CommentTextChar"/>
    <w:link w:val="CommentSubject"/>
    <w:uiPriority w:val="99"/>
    <w:semiHidden/>
    <w:rsid w:val="004D7631"/>
    <w:rPr>
      <w:b/>
      <w:bCs/>
      <w:sz w:val="20"/>
      <w:szCs w:val="20"/>
    </w:rPr>
  </w:style>
  <w:style w:type="character" w:styleId="Strong">
    <w:name w:val="Strong"/>
    <w:basedOn w:val="DefaultParagraphFont"/>
    <w:uiPriority w:val="22"/>
    <w:qFormat/>
    <w:rsid w:val="008F4ADE"/>
    <w:rPr>
      <w:b/>
      <w:bCs/>
    </w:rPr>
  </w:style>
  <w:style w:type="character" w:customStyle="1" w:styleId="apple-converted-space">
    <w:name w:val="apple-converted-space"/>
    <w:basedOn w:val="DefaultParagraphFont"/>
    <w:rsid w:val="008F4ADE"/>
  </w:style>
  <w:style w:type="character" w:styleId="Hyperlink">
    <w:name w:val="Hyperlink"/>
    <w:basedOn w:val="DefaultParagraphFont"/>
    <w:uiPriority w:val="99"/>
    <w:unhideWhenUsed/>
    <w:rsid w:val="00490704"/>
    <w:rPr>
      <w:color w:val="0000FF" w:themeColor="hyperlink"/>
      <w:u w:val="single"/>
    </w:rPr>
  </w:style>
  <w:style w:type="character" w:styleId="FollowedHyperlink">
    <w:name w:val="FollowedHyperlink"/>
    <w:basedOn w:val="DefaultParagraphFont"/>
    <w:uiPriority w:val="99"/>
    <w:semiHidden/>
    <w:unhideWhenUsed/>
    <w:rsid w:val="00763D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0023">
      <w:bodyDiv w:val="1"/>
      <w:marLeft w:val="0"/>
      <w:marRight w:val="0"/>
      <w:marTop w:val="0"/>
      <w:marBottom w:val="0"/>
      <w:divBdr>
        <w:top w:val="none" w:sz="0" w:space="0" w:color="auto"/>
        <w:left w:val="none" w:sz="0" w:space="0" w:color="auto"/>
        <w:bottom w:val="none" w:sz="0" w:space="0" w:color="auto"/>
        <w:right w:val="none" w:sz="0" w:space="0" w:color="auto"/>
      </w:divBdr>
    </w:div>
    <w:div w:id="168522805">
      <w:bodyDiv w:val="1"/>
      <w:marLeft w:val="0"/>
      <w:marRight w:val="0"/>
      <w:marTop w:val="0"/>
      <w:marBottom w:val="0"/>
      <w:divBdr>
        <w:top w:val="none" w:sz="0" w:space="0" w:color="auto"/>
        <w:left w:val="none" w:sz="0" w:space="0" w:color="auto"/>
        <w:bottom w:val="none" w:sz="0" w:space="0" w:color="auto"/>
        <w:right w:val="none" w:sz="0" w:space="0" w:color="auto"/>
      </w:divBdr>
      <w:divsChild>
        <w:div w:id="33774902">
          <w:marLeft w:val="0"/>
          <w:marRight w:val="0"/>
          <w:marTop w:val="0"/>
          <w:marBottom w:val="0"/>
          <w:divBdr>
            <w:top w:val="none" w:sz="0" w:space="0" w:color="auto"/>
            <w:left w:val="none" w:sz="0" w:space="0" w:color="auto"/>
            <w:bottom w:val="none" w:sz="0" w:space="0" w:color="auto"/>
            <w:right w:val="none" w:sz="0" w:space="0" w:color="auto"/>
          </w:divBdr>
          <w:divsChild>
            <w:div w:id="1544319698">
              <w:marLeft w:val="0"/>
              <w:marRight w:val="0"/>
              <w:marTop w:val="0"/>
              <w:marBottom w:val="0"/>
              <w:divBdr>
                <w:top w:val="none" w:sz="0" w:space="0" w:color="auto"/>
                <w:left w:val="none" w:sz="0" w:space="0" w:color="auto"/>
                <w:bottom w:val="none" w:sz="0" w:space="0" w:color="auto"/>
                <w:right w:val="none" w:sz="0" w:space="0" w:color="auto"/>
              </w:divBdr>
              <w:divsChild>
                <w:div w:id="5395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91007">
      <w:bodyDiv w:val="1"/>
      <w:marLeft w:val="0"/>
      <w:marRight w:val="0"/>
      <w:marTop w:val="0"/>
      <w:marBottom w:val="0"/>
      <w:divBdr>
        <w:top w:val="none" w:sz="0" w:space="0" w:color="auto"/>
        <w:left w:val="none" w:sz="0" w:space="0" w:color="auto"/>
        <w:bottom w:val="none" w:sz="0" w:space="0" w:color="auto"/>
        <w:right w:val="none" w:sz="0" w:space="0" w:color="auto"/>
      </w:divBdr>
      <w:divsChild>
        <w:div w:id="2117362495">
          <w:marLeft w:val="0"/>
          <w:marRight w:val="0"/>
          <w:marTop w:val="0"/>
          <w:marBottom w:val="0"/>
          <w:divBdr>
            <w:top w:val="none" w:sz="0" w:space="0" w:color="auto"/>
            <w:left w:val="none" w:sz="0" w:space="0" w:color="auto"/>
            <w:bottom w:val="none" w:sz="0" w:space="0" w:color="auto"/>
            <w:right w:val="none" w:sz="0" w:space="0" w:color="auto"/>
          </w:divBdr>
          <w:divsChild>
            <w:div w:id="1789859311">
              <w:marLeft w:val="0"/>
              <w:marRight w:val="0"/>
              <w:marTop w:val="0"/>
              <w:marBottom w:val="0"/>
              <w:divBdr>
                <w:top w:val="none" w:sz="0" w:space="0" w:color="auto"/>
                <w:left w:val="none" w:sz="0" w:space="0" w:color="auto"/>
                <w:bottom w:val="none" w:sz="0" w:space="0" w:color="auto"/>
                <w:right w:val="none" w:sz="0" w:space="0" w:color="auto"/>
              </w:divBdr>
              <w:divsChild>
                <w:div w:id="130064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642">
      <w:bodyDiv w:val="1"/>
      <w:marLeft w:val="0"/>
      <w:marRight w:val="0"/>
      <w:marTop w:val="0"/>
      <w:marBottom w:val="0"/>
      <w:divBdr>
        <w:top w:val="none" w:sz="0" w:space="0" w:color="auto"/>
        <w:left w:val="none" w:sz="0" w:space="0" w:color="auto"/>
        <w:bottom w:val="none" w:sz="0" w:space="0" w:color="auto"/>
        <w:right w:val="none" w:sz="0" w:space="0" w:color="auto"/>
      </w:divBdr>
      <w:divsChild>
        <w:div w:id="678197404">
          <w:marLeft w:val="0"/>
          <w:marRight w:val="0"/>
          <w:marTop w:val="0"/>
          <w:marBottom w:val="0"/>
          <w:divBdr>
            <w:top w:val="none" w:sz="0" w:space="0" w:color="auto"/>
            <w:left w:val="none" w:sz="0" w:space="0" w:color="auto"/>
            <w:bottom w:val="none" w:sz="0" w:space="0" w:color="auto"/>
            <w:right w:val="none" w:sz="0" w:space="0" w:color="auto"/>
          </w:divBdr>
          <w:divsChild>
            <w:div w:id="1270119487">
              <w:marLeft w:val="0"/>
              <w:marRight w:val="0"/>
              <w:marTop w:val="0"/>
              <w:marBottom w:val="0"/>
              <w:divBdr>
                <w:top w:val="none" w:sz="0" w:space="0" w:color="auto"/>
                <w:left w:val="none" w:sz="0" w:space="0" w:color="auto"/>
                <w:bottom w:val="none" w:sz="0" w:space="0" w:color="auto"/>
                <w:right w:val="none" w:sz="0" w:space="0" w:color="auto"/>
              </w:divBdr>
              <w:divsChild>
                <w:div w:id="18053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2565">
      <w:bodyDiv w:val="1"/>
      <w:marLeft w:val="0"/>
      <w:marRight w:val="0"/>
      <w:marTop w:val="0"/>
      <w:marBottom w:val="0"/>
      <w:divBdr>
        <w:top w:val="none" w:sz="0" w:space="0" w:color="auto"/>
        <w:left w:val="none" w:sz="0" w:space="0" w:color="auto"/>
        <w:bottom w:val="none" w:sz="0" w:space="0" w:color="auto"/>
        <w:right w:val="none" w:sz="0" w:space="0" w:color="auto"/>
      </w:divBdr>
    </w:div>
    <w:div w:id="1422678347">
      <w:bodyDiv w:val="1"/>
      <w:marLeft w:val="0"/>
      <w:marRight w:val="0"/>
      <w:marTop w:val="0"/>
      <w:marBottom w:val="0"/>
      <w:divBdr>
        <w:top w:val="none" w:sz="0" w:space="0" w:color="auto"/>
        <w:left w:val="none" w:sz="0" w:space="0" w:color="auto"/>
        <w:bottom w:val="none" w:sz="0" w:space="0" w:color="auto"/>
        <w:right w:val="none" w:sz="0" w:space="0" w:color="auto"/>
      </w:divBdr>
      <w:divsChild>
        <w:div w:id="606888342">
          <w:marLeft w:val="0"/>
          <w:marRight w:val="0"/>
          <w:marTop w:val="0"/>
          <w:marBottom w:val="0"/>
          <w:divBdr>
            <w:top w:val="none" w:sz="0" w:space="0" w:color="auto"/>
            <w:left w:val="none" w:sz="0" w:space="0" w:color="auto"/>
            <w:bottom w:val="none" w:sz="0" w:space="0" w:color="auto"/>
            <w:right w:val="none" w:sz="0" w:space="0" w:color="auto"/>
          </w:divBdr>
          <w:divsChild>
            <w:div w:id="1503207013">
              <w:marLeft w:val="0"/>
              <w:marRight w:val="0"/>
              <w:marTop w:val="0"/>
              <w:marBottom w:val="0"/>
              <w:divBdr>
                <w:top w:val="none" w:sz="0" w:space="0" w:color="auto"/>
                <w:left w:val="none" w:sz="0" w:space="0" w:color="auto"/>
                <w:bottom w:val="none" w:sz="0" w:space="0" w:color="auto"/>
                <w:right w:val="none" w:sz="0" w:space="0" w:color="auto"/>
              </w:divBdr>
              <w:divsChild>
                <w:div w:id="712585155">
                  <w:marLeft w:val="0"/>
                  <w:marRight w:val="0"/>
                  <w:marTop w:val="0"/>
                  <w:marBottom w:val="0"/>
                  <w:divBdr>
                    <w:top w:val="none" w:sz="0" w:space="0" w:color="auto"/>
                    <w:left w:val="none" w:sz="0" w:space="0" w:color="auto"/>
                    <w:bottom w:val="none" w:sz="0" w:space="0" w:color="auto"/>
                    <w:right w:val="none" w:sz="0" w:space="0" w:color="auto"/>
                  </w:divBdr>
                  <w:divsChild>
                    <w:div w:id="1100371531">
                      <w:marLeft w:val="0"/>
                      <w:marRight w:val="0"/>
                      <w:marTop w:val="0"/>
                      <w:marBottom w:val="0"/>
                      <w:divBdr>
                        <w:top w:val="none" w:sz="0" w:space="0" w:color="auto"/>
                        <w:left w:val="none" w:sz="0" w:space="0" w:color="auto"/>
                        <w:bottom w:val="none" w:sz="0" w:space="0" w:color="auto"/>
                        <w:right w:val="none" w:sz="0" w:space="0" w:color="auto"/>
                      </w:divBdr>
                      <w:divsChild>
                        <w:div w:id="11501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693441">
      <w:bodyDiv w:val="1"/>
      <w:marLeft w:val="0"/>
      <w:marRight w:val="0"/>
      <w:marTop w:val="0"/>
      <w:marBottom w:val="0"/>
      <w:divBdr>
        <w:top w:val="none" w:sz="0" w:space="0" w:color="auto"/>
        <w:left w:val="none" w:sz="0" w:space="0" w:color="auto"/>
        <w:bottom w:val="none" w:sz="0" w:space="0" w:color="auto"/>
        <w:right w:val="none" w:sz="0" w:space="0" w:color="auto"/>
      </w:divBdr>
      <w:divsChild>
        <w:div w:id="746266549">
          <w:marLeft w:val="0"/>
          <w:marRight w:val="0"/>
          <w:marTop w:val="0"/>
          <w:marBottom w:val="0"/>
          <w:divBdr>
            <w:top w:val="none" w:sz="0" w:space="0" w:color="auto"/>
            <w:left w:val="none" w:sz="0" w:space="0" w:color="auto"/>
            <w:bottom w:val="none" w:sz="0" w:space="0" w:color="auto"/>
            <w:right w:val="none" w:sz="0" w:space="0" w:color="auto"/>
          </w:divBdr>
          <w:divsChild>
            <w:div w:id="867718184">
              <w:marLeft w:val="0"/>
              <w:marRight w:val="0"/>
              <w:marTop w:val="0"/>
              <w:marBottom w:val="0"/>
              <w:divBdr>
                <w:top w:val="none" w:sz="0" w:space="0" w:color="auto"/>
                <w:left w:val="none" w:sz="0" w:space="0" w:color="auto"/>
                <w:bottom w:val="none" w:sz="0" w:space="0" w:color="auto"/>
                <w:right w:val="none" w:sz="0" w:space="0" w:color="auto"/>
              </w:divBdr>
              <w:divsChild>
                <w:div w:id="174466302">
                  <w:marLeft w:val="0"/>
                  <w:marRight w:val="0"/>
                  <w:marTop w:val="0"/>
                  <w:marBottom w:val="0"/>
                  <w:divBdr>
                    <w:top w:val="none" w:sz="0" w:space="0" w:color="auto"/>
                    <w:left w:val="none" w:sz="0" w:space="0" w:color="auto"/>
                    <w:bottom w:val="none" w:sz="0" w:space="0" w:color="auto"/>
                    <w:right w:val="none" w:sz="0" w:space="0" w:color="auto"/>
                  </w:divBdr>
                  <w:divsChild>
                    <w:div w:id="1736003266">
                      <w:marLeft w:val="0"/>
                      <w:marRight w:val="0"/>
                      <w:marTop w:val="0"/>
                      <w:marBottom w:val="0"/>
                      <w:divBdr>
                        <w:top w:val="none" w:sz="0" w:space="0" w:color="auto"/>
                        <w:left w:val="none" w:sz="0" w:space="0" w:color="auto"/>
                        <w:bottom w:val="none" w:sz="0" w:space="0" w:color="auto"/>
                        <w:right w:val="none" w:sz="0" w:space="0" w:color="auto"/>
                      </w:divBdr>
                      <w:divsChild>
                        <w:div w:id="7750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776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gsw/201512/Pa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5989F9A51A14686E61F393B261DFC" ma:contentTypeVersion="1" ma:contentTypeDescription="Create a new document." ma:contentTypeScope="" ma:versionID="11d8cf857a44f2d8e81905bfebfebe01">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A641FF-4687-4FF3-AEC0-0130D5CBFB23}"/>
</file>

<file path=customXml/itemProps2.xml><?xml version="1.0" encoding="utf-8"?>
<ds:datastoreItem xmlns:ds="http://schemas.openxmlformats.org/officeDocument/2006/customXml" ds:itemID="{B3F26AE5-E7CD-450C-92EB-6563145E97A2}"/>
</file>

<file path=customXml/itemProps3.xml><?xml version="1.0" encoding="utf-8"?>
<ds:datastoreItem xmlns:ds="http://schemas.openxmlformats.org/officeDocument/2006/customXml" ds:itemID="{8F9875A8-A7C7-4403-9A71-35F26DD8C63B}"/>
</file>

<file path=customXml/itemProps4.xml><?xml version="1.0" encoding="utf-8"?>
<ds:datastoreItem xmlns:ds="http://schemas.openxmlformats.org/officeDocument/2006/customXml" ds:itemID="{8DFDF39D-BA06-4B91-ACD5-0076FFC653F8}"/>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Univeristy College Utrecht</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Mythili Menon</dc:creator>
  <cp:lastModifiedBy>Aloran, Rakan</cp:lastModifiedBy>
  <cp:revision>2</cp:revision>
  <cp:lastPrinted>2015-12-17T21:51:00Z</cp:lastPrinted>
  <dcterms:created xsi:type="dcterms:W3CDTF">2015-12-18T22:29:00Z</dcterms:created>
  <dcterms:modified xsi:type="dcterms:W3CDTF">2015-12-18T22:29:00Z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0x010100D9B5989F9A51A14686E61F393B261DFC</vt:lpwstr>
  </property>
</Properties>
</file>