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3543"/>
        <w:gridCol w:w="284"/>
        <w:gridCol w:w="4536"/>
      </w:tblGrid>
      <w:tr w:rsidR="003476DD" w:rsidRPr="00940351" w:rsidTr="00B330B7">
        <w:tc>
          <w:tcPr>
            <w:tcW w:w="9889" w:type="dxa"/>
            <w:gridSpan w:val="4"/>
            <w:shd w:val="clear" w:color="auto" w:fill="auto"/>
          </w:tcPr>
          <w:p w:rsidR="003476DD" w:rsidRPr="00940351" w:rsidRDefault="002B2CB0" w:rsidP="00EE1FBB">
            <w:pPr>
              <w:spacing w:before="60" w:after="60"/>
              <w:jc w:val="left"/>
              <w:rPr>
                <w:rFonts w:cs="Times New Roman Bold"/>
                <w:b/>
                <w:bCs/>
                <w:color w:val="808080"/>
                <w:sz w:val="28"/>
                <w:szCs w:val="28"/>
              </w:rPr>
            </w:pPr>
            <w:bookmarkStart w:id="0" w:name="Origine"/>
            <w:bookmarkEnd w:id="0"/>
            <w:r w:rsidRPr="00F35B43">
              <w:rPr>
                <w:rFonts w:cs="Times New Roman Bold"/>
                <w:b/>
                <w:bCs/>
                <w:color w:val="808080"/>
                <w:sz w:val="28"/>
                <w:szCs w:val="28"/>
              </w:rPr>
              <w:t>Secrétariat général (SG)</w:t>
            </w:r>
          </w:p>
        </w:tc>
      </w:tr>
      <w:tr w:rsidR="003476DD" w:rsidRPr="00C276A3" w:rsidTr="00B330B7">
        <w:tc>
          <w:tcPr>
            <w:tcW w:w="9889" w:type="dxa"/>
            <w:gridSpan w:val="4"/>
            <w:shd w:val="clear" w:color="auto" w:fill="auto"/>
          </w:tcPr>
          <w:p w:rsidR="003476DD" w:rsidRPr="00C276A3" w:rsidRDefault="003476DD" w:rsidP="00B330B7">
            <w:pPr>
              <w:jc w:val="left"/>
              <w:rPr>
                <w:rFonts w:asciiTheme="minorHAnsi" w:hAnsiTheme="minorHAnsi"/>
                <w:sz w:val="24"/>
                <w:szCs w:val="24"/>
              </w:rPr>
            </w:pPr>
          </w:p>
        </w:tc>
      </w:tr>
      <w:tr w:rsidR="003476DD" w:rsidRPr="00C276A3" w:rsidTr="00B330B7">
        <w:tc>
          <w:tcPr>
            <w:tcW w:w="5353" w:type="dxa"/>
            <w:gridSpan w:val="3"/>
            <w:shd w:val="clear" w:color="auto" w:fill="auto"/>
          </w:tcPr>
          <w:p w:rsidR="003476DD" w:rsidRPr="00B05BC4" w:rsidRDefault="002B2CB0" w:rsidP="00EE1FBB">
            <w:pPr>
              <w:spacing w:before="120" w:after="120"/>
              <w:jc w:val="left"/>
              <w:rPr>
                <w:rFonts w:asciiTheme="minorHAnsi" w:hAnsiTheme="minorHAnsi"/>
                <w:sz w:val="24"/>
                <w:szCs w:val="24"/>
              </w:rPr>
            </w:pPr>
            <w:r w:rsidRPr="00B05BC4">
              <w:rPr>
                <w:rFonts w:asciiTheme="minorHAnsi" w:hAnsiTheme="minorHAnsi"/>
                <w:sz w:val="24"/>
                <w:szCs w:val="24"/>
              </w:rPr>
              <w:t>Réf.:</w:t>
            </w:r>
            <w:r w:rsidRPr="00B05BC4">
              <w:rPr>
                <w:rFonts w:asciiTheme="minorHAnsi" w:hAnsiTheme="minorHAnsi"/>
                <w:sz w:val="24"/>
                <w:szCs w:val="24"/>
              </w:rPr>
              <w:tab/>
            </w:r>
            <w:r w:rsidRPr="00B05BC4">
              <w:rPr>
                <w:rFonts w:asciiTheme="minorHAnsi" w:hAnsiTheme="minorHAnsi"/>
                <w:sz w:val="24"/>
                <w:szCs w:val="24"/>
              </w:rPr>
              <w:tab/>
            </w:r>
            <w:r w:rsidRPr="00B05BC4">
              <w:rPr>
                <w:rFonts w:asciiTheme="minorHAnsi" w:hAnsiTheme="minorHAnsi"/>
                <w:sz w:val="24"/>
                <w:szCs w:val="24"/>
              </w:rPr>
              <w:tab/>
            </w:r>
            <w:r w:rsidRPr="00B05BC4">
              <w:rPr>
                <w:rFonts w:asciiTheme="minorHAnsi" w:hAnsiTheme="minorHAnsi"/>
                <w:b/>
                <w:bCs/>
                <w:sz w:val="24"/>
                <w:szCs w:val="24"/>
              </w:rPr>
              <w:t>CL-15/39</w:t>
            </w:r>
          </w:p>
          <w:p w:rsidR="003476DD" w:rsidRPr="00B05BC4" w:rsidRDefault="003476DD" w:rsidP="00EE1FBB">
            <w:pPr>
              <w:spacing w:before="120"/>
              <w:jc w:val="left"/>
              <w:rPr>
                <w:rFonts w:asciiTheme="minorHAnsi" w:hAnsiTheme="minorHAnsi"/>
                <w:sz w:val="24"/>
                <w:szCs w:val="24"/>
              </w:rPr>
            </w:pPr>
          </w:p>
        </w:tc>
        <w:tc>
          <w:tcPr>
            <w:tcW w:w="4536" w:type="dxa"/>
            <w:shd w:val="clear" w:color="auto" w:fill="auto"/>
          </w:tcPr>
          <w:p w:rsidR="003476DD" w:rsidRPr="00C276A3" w:rsidRDefault="003476DD" w:rsidP="00EE1FBB">
            <w:pPr>
              <w:spacing w:before="120" w:after="120"/>
              <w:ind w:right="57"/>
              <w:jc w:val="right"/>
              <w:rPr>
                <w:rFonts w:asciiTheme="minorHAnsi" w:hAnsiTheme="minorHAnsi"/>
                <w:sz w:val="24"/>
                <w:szCs w:val="24"/>
              </w:rPr>
            </w:pPr>
            <w:r w:rsidRPr="00C276A3">
              <w:rPr>
                <w:rFonts w:asciiTheme="minorHAnsi" w:hAnsiTheme="minorHAnsi"/>
                <w:sz w:val="24"/>
                <w:szCs w:val="24"/>
              </w:rPr>
              <w:t xml:space="preserve">Genève, le </w:t>
            </w:r>
            <w:sdt>
              <w:sdtPr>
                <w:rPr>
                  <w:rFonts w:asciiTheme="minorHAnsi" w:hAnsiTheme="minorHAnsi" w:cs="Arial"/>
                  <w:sz w:val="24"/>
                  <w:szCs w:val="24"/>
                </w:rPr>
                <w:alias w:val="Date"/>
                <w:tag w:val="Date"/>
                <w:id w:val="-1536891932"/>
                <w:placeholder>
                  <w:docPart w:val="B0DD0AD479C84B8AAA037DD1FD241068"/>
                </w:placeholder>
                <w:date>
                  <w:dateFormat w:val="d MMMM yyyy"/>
                  <w:lid w:val="fr-FR"/>
                  <w:storeMappedDataAs w:val="date"/>
                  <w:calendar w:val="gregorian"/>
                </w:date>
              </w:sdtPr>
              <w:sdtEndPr/>
              <w:sdtContent>
                <w:r w:rsidR="002B2CB0" w:rsidRPr="00C276A3">
                  <w:rPr>
                    <w:rFonts w:asciiTheme="minorHAnsi" w:hAnsiTheme="minorHAnsi" w:cs="Arial"/>
                    <w:sz w:val="24"/>
                    <w:szCs w:val="24"/>
                  </w:rPr>
                  <w:t>2</w:t>
                </w:r>
                <w:r w:rsidR="00E37AA3">
                  <w:rPr>
                    <w:rFonts w:asciiTheme="minorHAnsi" w:hAnsiTheme="minorHAnsi" w:cs="Arial"/>
                    <w:sz w:val="24"/>
                    <w:szCs w:val="24"/>
                  </w:rPr>
                  <w:t>4</w:t>
                </w:r>
                <w:r w:rsidR="002B2CB0" w:rsidRPr="00C276A3">
                  <w:rPr>
                    <w:rFonts w:asciiTheme="minorHAnsi" w:hAnsiTheme="minorHAnsi" w:cs="Arial"/>
                    <w:sz w:val="24"/>
                    <w:szCs w:val="24"/>
                  </w:rPr>
                  <w:t xml:space="preserve"> septembre 2015</w:t>
                </w:r>
              </w:sdtContent>
            </w:sdt>
          </w:p>
        </w:tc>
      </w:tr>
      <w:tr w:rsidR="003476DD" w:rsidRPr="00C276A3"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3476DD" w:rsidRPr="00B05BC4" w:rsidRDefault="003476DD" w:rsidP="00B330B7">
            <w:pPr>
              <w:spacing w:before="0"/>
              <w:jc w:val="left"/>
              <w:rPr>
                <w:rFonts w:asciiTheme="minorHAnsi" w:hAnsiTheme="minorHAnsi"/>
                <w:iCs/>
                <w:sz w:val="24"/>
                <w:szCs w:val="24"/>
              </w:rPr>
            </w:pPr>
            <w:r w:rsidRPr="00B05BC4">
              <w:rPr>
                <w:rFonts w:asciiTheme="minorHAnsi" w:hAnsiTheme="minorHAnsi"/>
                <w:iCs/>
                <w:sz w:val="24"/>
                <w:szCs w:val="24"/>
              </w:rPr>
              <w:t>Contact:</w:t>
            </w:r>
          </w:p>
        </w:tc>
        <w:tc>
          <w:tcPr>
            <w:tcW w:w="3543" w:type="dxa"/>
            <w:tcBorders>
              <w:top w:val="nil"/>
              <w:left w:val="nil"/>
              <w:bottom w:val="nil"/>
              <w:right w:val="nil"/>
            </w:tcBorders>
            <w:shd w:val="clear" w:color="auto" w:fill="auto"/>
          </w:tcPr>
          <w:p w:rsidR="003476DD" w:rsidRPr="00B05BC4" w:rsidRDefault="002B2CB0" w:rsidP="00B330B7">
            <w:pPr>
              <w:spacing w:before="0"/>
              <w:jc w:val="left"/>
              <w:rPr>
                <w:rFonts w:asciiTheme="minorHAnsi" w:hAnsiTheme="minorHAnsi"/>
                <w:sz w:val="24"/>
                <w:szCs w:val="24"/>
              </w:rPr>
            </w:pPr>
            <w:bookmarkStart w:id="1" w:name="Contact"/>
            <w:bookmarkEnd w:id="1"/>
            <w:r w:rsidRPr="00B05BC4">
              <w:rPr>
                <w:rFonts w:asciiTheme="minorHAnsi" w:hAnsiTheme="minorHAnsi"/>
                <w:sz w:val="24"/>
                <w:szCs w:val="24"/>
              </w:rPr>
              <w:t>Cristina Bueti</w:t>
            </w:r>
          </w:p>
        </w:tc>
        <w:tc>
          <w:tcPr>
            <w:tcW w:w="284" w:type="dxa"/>
            <w:tcBorders>
              <w:top w:val="nil"/>
              <w:left w:val="nil"/>
              <w:bottom w:val="nil"/>
              <w:right w:val="nil"/>
            </w:tcBorders>
            <w:shd w:val="clear" w:color="auto" w:fill="auto"/>
          </w:tcPr>
          <w:p w:rsidR="003476DD" w:rsidRPr="00C276A3" w:rsidRDefault="002B2CB0" w:rsidP="00B330B7">
            <w:pPr>
              <w:spacing w:before="0"/>
              <w:rPr>
                <w:rFonts w:asciiTheme="minorHAnsi" w:hAnsiTheme="minorHAnsi"/>
                <w:sz w:val="24"/>
                <w:szCs w:val="24"/>
              </w:rPr>
            </w:pPr>
            <w:r w:rsidRPr="00C276A3">
              <w:rPr>
                <w:rFonts w:asciiTheme="minorHAnsi" w:hAnsiTheme="minorHAnsi"/>
                <w:sz w:val="24"/>
                <w:szCs w:val="24"/>
              </w:rPr>
              <w:t>–</w:t>
            </w:r>
          </w:p>
        </w:tc>
        <w:tc>
          <w:tcPr>
            <w:tcW w:w="4536" w:type="dxa"/>
            <w:vMerge w:val="restart"/>
            <w:tcBorders>
              <w:top w:val="nil"/>
              <w:left w:val="nil"/>
              <w:bottom w:val="nil"/>
              <w:right w:val="nil"/>
            </w:tcBorders>
            <w:shd w:val="clear" w:color="auto" w:fill="auto"/>
          </w:tcPr>
          <w:p w:rsidR="003476DD" w:rsidRPr="00C276A3" w:rsidRDefault="002B2CB0" w:rsidP="001C1636">
            <w:pPr>
              <w:spacing w:before="0"/>
              <w:rPr>
                <w:rFonts w:asciiTheme="minorHAnsi" w:hAnsiTheme="minorHAnsi"/>
                <w:sz w:val="24"/>
                <w:szCs w:val="24"/>
              </w:rPr>
            </w:pPr>
            <w:r w:rsidRPr="00C276A3">
              <w:rPr>
                <w:rFonts w:asciiTheme="minorHAnsi" w:hAnsiTheme="minorHAnsi"/>
                <w:sz w:val="24"/>
                <w:szCs w:val="24"/>
              </w:rPr>
              <w:t>Aux Etats Membres de l'UIT</w:t>
            </w:r>
            <w:r w:rsidR="001C1636" w:rsidRPr="00C276A3">
              <w:rPr>
                <w:rFonts w:asciiTheme="minorHAnsi" w:hAnsiTheme="minorHAnsi"/>
                <w:sz w:val="24"/>
                <w:szCs w:val="24"/>
              </w:rPr>
              <w:t> ;</w:t>
            </w:r>
          </w:p>
          <w:p w:rsidR="002B2CB0" w:rsidRPr="00C276A3" w:rsidRDefault="00F4085E" w:rsidP="00B92A26">
            <w:pPr>
              <w:spacing w:before="0" w:after="120"/>
              <w:rPr>
                <w:rFonts w:asciiTheme="minorHAnsi" w:hAnsiTheme="minorHAnsi"/>
                <w:sz w:val="24"/>
                <w:szCs w:val="24"/>
              </w:rPr>
            </w:pPr>
            <w:r w:rsidRPr="00C276A3">
              <w:rPr>
                <w:rFonts w:asciiTheme="minorHAnsi" w:hAnsiTheme="minorHAnsi"/>
                <w:sz w:val="24"/>
                <w:szCs w:val="24"/>
              </w:rPr>
              <w:t>Aux Membres de Secteur et Associés de l'UIT, ainsi qu'aux établissements universitaires participant à ses travaux</w:t>
            </w:r>
            <w:r w:rsidR="002B2CB0" w:rsidRPr="00C276A3">
              <w:rPr>
                <w:rFonts w:asciiTheme="minorHAnsi" w:hAnsiTheme="minorHAnsi"/>
                <w:sz w:val="24"/>
                <w:szCs w:val="24"/>
              </w:rPr>
              <w:t xml:space="preserve"> et aux organisations internationales, régionales et nationales intéressées</w:t>
            </w:r>
          </w:p>
        </w:tc>
      </w:tr>
      <w:tr w:rsidR="002B2CB0" w:rsidRPr="00C276A3" w:rsidTr="00B33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2B2CB0" w:rsidRPr="00B05BC4" w:rsidRDefault="002B2CB0" w:rsidP="002B2CB0">
            <w:pPr>
              <w:spacing w:before="0"/>
              <w:jc w:val="left"/>
              <w:rPr>
                <w:rFonts w:asciiTheme="minorHAnsi" w:hAnsiTheme="minorHAnsi"/>
                <w:iCs/>
                <w:sz w:val="24"/>
                <w:szCs w:val="24"/>
              </w:rPr>
            </w:pPr>
            <w:r w:rsidRPr="00B05BC4">
              <w:rPr>
                <w:rFonts w:asciiTheme="minorHAnsi" w:hAnsiTheme="minorHAnsi"/>
                <w:iCs/>
                <w:sz w:val="24"/>
                <w:szCs w:val="24"/>
              </w:rPr>
              <w:t>Téléphone:</w:t>
            </w:r>
          </w:p>
        </w:tc>
        <w:tc>
          <w:tcPr>
            <w:tcW w:w="3543" w:type="dxa"/>
            <w:tcBorders>
              <w:top w:val="nil"/>
              <w:left w:val="nil"/>
              <w:bottom w:val="nil"/>
              <w:right w:val="nil"/>
            </w:tcBorders>
            <w:shd w:val="clear" w:color="auto" w:fill="auto"/>
          </w:tcPr>
          <w:p w:rsidR="002B2CB0" w:rsidRPr="00B05BC4" w:rsidRDefault="002B2CB0" w:rsidP="002B2CB0">
            <w:pPr>
              <w:spacing w:before="0"/>
              <w:jc w:val="left"/>
              <w:rPr>
                <w:rFonts w:asciiTheme="minorHAnsi" w:hAnsiTheme="minorHAnsi"/>
                <w:sz w:val="24"/>
                <w:szCs w:val="24"/>
              </w:rPr>
            </w:pPr>
            <w:r w:rsidRPr="00B05BC4">
              <w:rPr>
                <w:rFonts w:asciiTheme="minorHAnsi" w:hAnsiTheme="minorHAnsi"/>
                <w:sz w:val="24"/>
                <w:szCs w:val="24"/>
              </w:rPr>
              <w:t>+41 22 730 6301</w:t>
            </w:r>
          </w:p>
        </w:tc>
        <w:tc>
          <w:tcPr>
            <w:tcW w:w="284" w:type="dxa"/>
            <w:tcBorders>
              <w:top w:val="nil"/>
              <w:left w:val="nil"/>
              <w:bottom w:val="nil"/>
              <w:right w:val="nil"/>
            </w:tcBorders>
            <w:shd w:val="clear" w:color="auto" w:fill="auto"/>
          </w:tcPr>
          <w:p w:rsidR="002B2CB0" w:rsidRPr="00C276A3" w:rsidRDefault="002B2CB0" w:rsidP="002B2CB0">
            <w:pPr>
              <w:spacing w:before="0"/>
              <w:rPr>
                <w:rFonts w:asciiTheme="minorHAnsi" w:hAnsiTheme="minorHAnsi"/>
                <w:sz w:val="24"/>
                <w:szCs w:val="24"/>
              </w:rPr>
            </w:pPr>
            <w:r w:rsidRPr="00C276A3">
              <w:rPr>
                <w:rFonts w:asciiTheme="minorHAnsi" w:hAnsiTheme="minorHAnsi"/>
                <w:sz w:val="24"/>
                <w:szCs w:val="24"/>
              </w:rPr>
              <w:t>–</w:t>
            </w:r>
          </w:p>
        </w:tc>
        <w:tc>
          <w:tcPr>
            <w:tcW w:w="4536" w:type="dxa"/>
            <w:vMerge/>
            <w:tcBorders>
              <w:top w:val="nil"/>
              <w:left w:val="nil"/>
              <w:bottom w:val="nil"/>
              <w:right w:val="nil"/>
            </w:tcBorders>
            <w:shd w:val="clear" w:color="auto" w:fill="auto"/>
          </w:tcPr>
          <w:p w:rsidR="002B2CB0" w:rsidRPr="00C276A3" w:rsidRDefault="002B2CB0" w:rsidP="002B2CB0">
            <w:pPr>
              <w:spacing w:before="0"/>
              <w:rPr>
                <w:rFonts w:asciiTheme="minorHAnsi" w:hAnsiTheme="minorHAnsi"/>
                <w:sz w:val="24"/>
                <w:szCs w:val="24"/>
              </w:rPr>
            </w:pPr>
          </w:p>
        </w:tc>
      </w:tr>
      <w:tr w:rsidR="002B2CB0" w:rsidRPr="00C276A3"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2B2CB0" w:rsidRPr="00B05BC4" w:rsidRDefault="002B2CB0" w:rsidP="002B2CB0">
            <w:pPr>
              <w:spacing w:before="0"/>
              <w:jc w:val="left"/>
              <w:rPr>
                <w:rFonts w:asciiTheme="minorHAnsi" w:hAnsiTheme="minorHAnsi"/>
                <w:iCs/>
                <w:sz w:val="24"/>
                <w:szCs w:val="24"/>
              </w:rPr>
            </w:pPr>
            <w:r w:rsidRPr="00B05BC4">
              <w:rPr>
                <w:rFonts w:asciiTheme="minorHAnsi" w:hAnsiTheme="minorHAnsi"/>
                <w:sz w:val="24"/>
                <w:szCs w:val="24"/>
              </w:rPr>
              <w:t>Courriel</w:t>
            </w:r>
            <w:r w:rsidRPr="00B05BC4">
              <w:rPr>
                <w:rFonts w:asciiTheme="minorHAnsi" w:hAnsiTheme="minorHAnsi"/>
                <w:iCs/>
                <w:sz w:val="24"/>
                <w:szCs w:val="24"/>
              </w:rPr>
              <w:t>:</w:t>
            </w:r>
          </w:p>
        </w:tc>
        <w:tc>
          <w:tcPr>
            <w:tcW w:w="3543" w:type="dxa"/>
            <w:tcBorders>
              <w:top w:val="nil"/>
              <w:left w:val="nil"/>
              <w:bottom w:val="nil"/>
              <w:right w:val="nil"/>
            </w:tcBorders>
            <w:shd w:val="clear" w:color="auto" w:fill="auto"/>
          </w:tcPr>
          <w:p w:rsidR="002B2CB0" w:rsidRPr="00B05BC4" w:rsidRDefault="00DD2093" w:rsidP="002B2CB0">
            <w:pPr>
              <w:spacing w:before="0"/>
              <w:jc w:val="left"/>
              <w:rPr>
                <w:rFonts w:asciiTheme="minorHAnsi" w:hAnsiTheme="minorHAnsi"/>
                <w:sz w:val="24"/>
                <w:szCs w:val="24"/>
              </w:rPr>
            </w:pPr>
            <w:hyperlink r:id="rId7" w:history="1">
              <w:r w:rsidR="002B2CB0" w:rsidRPr="00B05BC4">
                <w:rPr>
                  <w:rStyle w:val="Hyperlink"/>
                  <w:rFonts w:asciiTheme="minorHAnsi" w:hAnsiTheme="minorHAnsi"/>
                  <w:sz w:val="24"/>
                  <w:szCs w:val="24"/>
                </w:rPr>
                <w:t>greenstandard@itu.int</w:t>
              </w:r>
            </w:hyperlink>
          </w:p>
        </w:tc>
        <w:tc>
          <w:tcPr>
            <w:tcW w:w="284" w:type="dxa"/>
            <w:tcBorders>
              <w:top w:val="nil"/>
              <w:left w:val="nil"/>
              <w:bottom w:val="nil"/>
              <w:right w:val="nil"/>
            </w:tcBorders>
            <w:shd w:val="clear" w:color="auto" w:fill="auto"/>
          </w:tcPr>
          <w:p w:rsidR="002B2CB0" w:rsidRPr="00C276A3" w:rsidRDefault="002B2CB0" w:rsidP="002B2CB0">
            <w:pPr>
              <w:spacing w:before="0"/>
              <w:rPr>
                <w:rFonts w:asciiTheme="minorHAnsi" w:hAnsiTheme="minorHAnsi"/>
                <w:sz w:val="24"/>
                <w:szCs w:val="24"/>
              </w:rPr>
            </w:pPr>
          </w:p>
        </w:tc>
        <w:tc>
          <w:tcPr>
            <w:tcW w:w="4536" w:type="dxa"/>
            <w:vMerge/>
            <w:tcBorders>
              <w:top w:val="nil"/>
              <w:left w:val="nil"/>
              <w:bottom w:val="nil"/>
              <w:right w:val="nil"/>
            </w:tcBorders>
            <w:shd w:val="clear" w:color="auto" w:fill="auto"/>
          </w:tcPr>
          <w:p w:rsidR="002B2CB0" w:rsidRPr="00C276A3" w:rsidRDefault="002B2CB0" w:rsidP="002B2CB0">
            <w:pPr>
              <w:spacing w:before="0"/>
              <w:rPr>
                <w:rFonts w:asciiTheme="minorHAnsi" w:hAnsiTheme="minorHAnsi"/>
                <w:sz w:val="24"/>
                <w:szCs w:val="24"/>
              </w:rPr>
            </w:pPr>
          </w:p>
        </w:tc>
      </w:tr>
      <w:tr w:rsidR="002B2CB0" w:rsidRPr="00C276A3" w:rsidTr="00003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shd w:val="clear" w:color="auto" w:fill="auto"/>
          </w:tcPr>
          <w:p w:rsidR="002B2CB0" w:rsidRPr="00C276A3" w:rsidRDefault="00D37F79" w:rsidP="002B2CB0">
            <w:pPr>
              <w:spacing w:before="120"/>
              <w:jc w:val="left"/>
              <w:rPr>
                <w:rFonts w:asciiTheme="minorHAnsi" w:hAnsiTheme="minorHAnsi"/>
                <w:iCs/>
                <w:sz w:val="24"/>
                <w:szCs w:val="24"/>
              </w:rPr>
            </w:pPr>
            <w:r w:rsidRPr="00C276A3">
              <w:rPr>
                <w:rFonts w:asciiTheme="minorHAnsi" w:hAnsiTheme="minorHAnsi"/>
                <w:sz w:val="24"/>
                <w:szCs w:val="24"/>
              </w:rPr>
              <w:t>Objet</w:t>
            </w:r>
            <w:r w:rsidR="002B2CB0" w:rsidRPr="00C276A3">
              <w:rPr>
                <w:rFonts w:asciiTheme="minorHAnsi" w:hAnsiTheme="minorHAnsi"/>
                <w:iCs/>
                <w:sz w:val="24"/>
                <w:szCs w:val="24"/>
              </w:rPr>
              <w:t>:</w:t>
            </w:r>
          </w:p>
        </w:tc>
        <w:tc>
          <w:tcPr>
            <w:tcW w:w="8363" w:type="dxa"/>
            <w:gridSpan w:val="3"/>
            <w:tcBorders>
              <w:top w:val="nil"/>
              <w:left w:val="nil"/>
              <w:bottom w:val="nil"/>
              <w:right w:val="nil"/>
            </w:tcBorders>
            <w:shd w:val="clear" w:color="auto" w:fill="auto"/>
          </w:tcPr>
          <w:p w:rsidR="002B2CB0" w:rsidRPr="00C276A3" w:rsidRDefault="002B2CB0" w:rsidP="002B2CB0">
            <w:pPr>
              <w:spacing w:before="120"/>
              <w:jc w:val="left"/>
              <w:rPr>
                <w:rFonts w:asciiTheme="minorHAnsi" w:hAnsiTheme="minorHAnsi"/>
                <w:sz w:val="24"/>
                <w:szCs w:val="24"/>
              </w:rPr>
            </w:pPr>
            <w:r w:rsidRPr="00C276A3">
              <w:rPr>
                <w:rFonts w:asciiTheme="minorHAnsi" w:hAnsiTheme="minorHAnsi"/>
                <w:b/>
                <w:bCs/>
                <w:sz w:val="24"/>
                <w:szCs w:val="24"/>
              </w:rPr>
              <w:t xml:space="preserve">5ème Semaine Normes vertes, organisée par l'UIT </w:t>
            </w:r>
            <w:r w:rsidRPr="00C276A3">
              <w:rPr>
                <w:rFonts w:asciiTheme="minorHAnsi" w:hAnsiTheme="minorHAnsi"/>
                <w:b/>
                <w:bCs/>
                <w:sz w:val="24"/>
                <w:szCs w:val="24"/>
              </w:rPr>
              <w:br/>
              <w:t>(Nassau, Bahamas, 14-18 décembre 2015)</w:t>
            </w:r>
          </w:p>
        </w:tc>
      </w:tr>
    </w:tbl>
    <w:p w:rsidR="002B2CB0" w:rsidRPr="001A6C77" w:rsidRDefault="002B2CB0" w:rsidP="002B2CB0">
      <w:pPr>
        <w:pStyle w:val="Normalaftertitle"/>
        <w:rPr>
          <w:sz w:val="24"/>
          <w:szCs w:val="24"/>
        </w:rPr>
      </w:pPr>
      <w:r w:rsidRPr="001A6C77">
        <w:rPr>
          <w:sz w:val="24"/>
          <w:szCs w:val="24"/>
        </w:rPr>
        <w:t>Madame, Monsieur,</w:t>
      </w:r>
    </w:p>
    <w:p w:rsidR="002B2CB0" w:rsidRPr="001A6C77" w:rsidRDefault="002B2CB0" w:rsidP="00D37F79">
      <w:pPr>
        <w:rPr>
          <w:sz w:val="24"/>
          <w:szCs w:val="24"/>
        </w:rPr>
      </w:pPr>
      <w:r w:rsidRPr="001A6C77">
        <w:rPr>
          <w:sz w:val="24"/>
          <w:szCs w:val="24"/>
        </w:rPr>
        <w:t>1</w:t>
      </w:r>
      <w:r w:rsidRPr="001A6C77">
        <w:rPr>
          <w:sz w:val="24"/>
          <w:szCs w:val="24"/>
        </w:rPr>
        <w:tab/>
        <w:t xml:space="preserve">L'Union internationale des télécommunications (UIT), en collaboration avec le Centre régional de la Convention de Bâle pour la région des Caraïbes (BCRC-Caribbean), le Centre régional de la Convention de Bâle pour la région de l'Amérique du Sud (CRBAS), la Commission économique pour l'Amérique latine et les Caraïbes (CEPALC), le Bureau régional pour la science en Amérique latine et dans les Caraïbes de l'Organisation des Nations Unies pour l'éducation, la science et la culture (UNESCO), le Programme des Nations </w:t>
      </w:r>
      <w:r w:rsidR="00D37F79" w:rsidRPr="001A6C77">
        <w:rPr>
          <w:sz w:val="24"/>
          <w:szCs w:val="24"/>
        </w:rPr>
        <w:t>U</w:t>
      </w:r>
      <w:r w:rsidRPr="001A6C77">
        <w:rPr>
          <w:sz w:val="24"/>
          <w:szCs w:val="24"/>
        </w:rPr>
        <w:t>nies pour les établissements humains (UN-Habitat), l'Organisation des Nations Unies pour le développement industriel (ONUDI) et l'Université des Nations Unies (UNU), organisera la cinquième Semaine Normes vertes, du 14 au 18 décembre 2015 à Nassau (Bahamas).</w:t>
      </w:r>
    </w:p>
    <w:p w:rsidR="002B2CB0" w:rsidRPr="001A6C77" w:rsidRDefault="002B2CB0" w:rsidP="002B2CB0">
      <w:pPr>
        <w:rPr>
          <w:sz w:val="24"/>
          <w:szCs w:val="24"/>
        </w:rPr>
      </w:pPr>
      <w:r w:rsidRPr="001A6C77">
        <w:rPr>
          <w:sz w:val="24"/>
          <w:szCs w:val="24"/>
        </w:rPr>
        <w:t>Cette année, la Semaine Normes vertes aura pour thème "</w:t>
      </w:r>
      <w:r w:rsidRPr="001A6C77">
        <w:rPr>
          <w:b/>
          <w:bCs/>
          <w:sz w:val="24"/>
          <w:szCs w:val="24"/>
        </w:rPr>
        <w:t>Les villes et les changements climatiques: du nouvel accord sur le climat au nouvel Agenda urbain</w:t>
      </w:r>
      <w:r w:rsidRPr="001A6C77">
        <w:rPr>
          <w:sz w:val="24"/>
          <w:szCs w:val="24"/>
        </w:rPr>
        <w:t xml:space="preserve">" et se tiendra à l'aimable invitation du Gouvernement du Commonwealth des Bahamas. </w:t>
      </w:r>
    </w:p>
    <w:p w:rsidR="002B2CB0" w:rsidRPr="001A6C77" w:rsidRDefault="002B2CB0" w:rsidP="002B2CB0">
      <w:pPr>
        <w:rPr>
          <w:sz w:val="24"/>
          <w:szCs w:val="24"/>
        </w:rPr>
      </w:pPr>
      <w:r w:rsidRPr="001A6C77">
        <w:rPr>
          <w:sz w:val="24"/>
          <w:szCs w:val="24"/>
        </w:rPr>
        <w:t>2</w:t>
      </w:r>
      <w:r w:rsidRPr="001A6C77">
        <w:rPr>
          <w:sz w:val="24"/>
          <w:szCs w:val="24"/>
        </w:rPr>
        <w:tab/>
        <w:t>Le programme de la Semaine Normes vertes sera le suivant:</w:t>
      </w:r>
    </w:p>
    <w:p w:rsidR="002B2CB0" w:rsidRPr="001A6C77" w:rsidRDefault="002B2CB0" w:rsidP="00D37F79">
      <w:pPr>
        <w:pStyle w:val="enumlev1"/>
        <w:rPr>
          <w:sz w:val="24"/>
          <w:szCs w:val="24"/>
        </w:rPr>
      </w:pPr>
      <w:bookmarkStart w:id="2" w:name="lt_pId021"/>
      <w:r w:rsidRPr="001A6C77">
        <w:rPr>
          <w:sz w:val="24"/>
          <w:szCs w:val="24"/>
        </w:rPr>
        <w:t>•</w:t>
      </w:r>
      <w:r w:rsidRPr="001A6C77">
        <w:rPr>
          <w:sz w:val="24"/>
          <w:szCs w:val="24"/>
        </w:rPr>
        <w:tab/>
        <w:t xml:space="preserve">10ème Colloque UIT sur les TIC, l'environnement et les changements climatiques – </w:t>
      </w:r>
      <w:r w:rsidRPr="001A6C77">
        <w:rPr>
          <w:i/>
          <w:iCs/>
          <w:sz w:val="24"/>
          <w:szCs w:val="24"/>
        </w:rPr>
        <w:t>Du nouvel accord sur le climat au nouvel Agenda urbain,</w:t>
      </w:r>
      <w:r w:rsidRPr="001A6C77">
        <w:rPr>
          <w:sz w:val="24"/>
          <w:szCs w:val="24"/>
        </w:rPr>
        <w:t xml:space="preserve"> organisé conjointement avec UN-Habitat, le 14 décembre</w:t>
      </w:r>
      <w:r w:rsidR="00D37F79" w:rsidRPr="001A6C77">
        <w:rPr>
          <w:sz w:val="24"/>
          <w:szCs w:val="24"/>
        </w:rPr>
        <w:t> </w:t>
      </w:r>
      <w:r w:rsidRPr="001A6C77">
        <w:rPr>
          <w:sz w:val="24"/>
          <w:szCs w:val="24"/>
        </w:rPr>
        <w:t>2015</w:t>
      </w:r>
      <w:bookmarkEnd w:id="2"/>
      <w:r w:rsidRPr="001A6C77">
        <w:rPr>
          <w:sz w:val="24"/>
          <w:szCs w:val="24"/>
        </w:rPr>
        <w:t>.</w:t>
      </w:r>
    </w:p>
    <w:p w:rsidR="002B2CB0" w:rsidRPr="001A6C77" w:rsidRDefault="002B2CB0" w:rsidP="00D37F79">
      <w:pPr>
        <w:pStyle w:val="enumlev1"/>
        <w:rPr>
          <w:sz w:val="24"/>
          <w:szCs w:val="24"/>
        </w:rPr>
      </w:pPr>
      <w:bookmarkStart w:id="3" w:name="lt_pId022"/>
      <w:r w:rsidRPr="001A6C77">
        <w:rPr>
          <w:sz w:val="24"/>
          <w:szCs w:val="24"/>
        </w:rPr>
        <w:t>•</w:t>
      </w:r>
      <w:r w:rsidRPr="001A6C77">
        <w:rPr>
          <w:sz w:val="24"/>
          <w:szCs w:val="24"/>
        </w:rPr>
        <w:tab/>
        <w:t>Forum sur le thème "Transformer les déchets électroniques en ressources", organisé conjointement par le BCRC-Caribbean, le CRBAS, la CEPALC, l'UIT, l'UNESCO, l'ONUDI et l'UNU, le 15</w:t>
      </w:r>
      <w:r w:rsidR="00D37F79" w:rsidRPr="001A6C77">
        <w:rPr>
          <w:sz w:val="24"/>
          <w:szCs w:val="24"/>
        </w:rPr>
        <w:t> </w:t>
      </w:r>
      <w:r w:rsidRPr="001A6C77">
        <w:rPr>
          <w:sz w:val="24"/>
          <w:szCs w:val="24"/>
        </w:rPr>
        <w:t>décembre</w:t>
      </w:r>
      <w:r w:rsidR="00D37F79" w:rsidRPr="001A6C77">
        <w:rPr>
          <w:sz w:val="24"/>
          <w:szCs w:val="24"/>
        </w:rPr>
        <w:t> </w:t>
      </w:r>
      <w:r w:rsidRPr="001A6C77">
        <w:rPr>
          <w:sz w:val="24"/>
          <w:szCs w:val="24"/>
        </w:rPr>
        <w:t>2015</w:t>
      </w:r>
      <w:bookmarkEnd w:id="3"/>
      <w:r w:rsidRPr="001A6C77">
        <w:rPr>
          <w:sz w:val="24"/>
          <w:szCs w:val="24"/>
        </w:rPr>
        <w:t>.</w:t>
      </w:r>
    </w:p>
    <w:p w:rsidR="002B2CB0" w:rsidRPr="001A6C77" w:rsidRDefault="002B2CB0" w:rsidP="002B2CB0">
      <w:pPr>
        <w:pStyle w:val="enumlev1"/>
        <w:rPr>
          <w:sz w:val="24"/>
          <w:szCs w:val="24"/>
        </w:rPr>
      </w:pPr>
      <w:bookmarkStart w:id="4" w:name="lt_pId023"/>
      <w:r w:rsidRPr="001A6C77">
        <w:rPr>
          <w:sz w:val="24"/>
          <w:szCs w:val="24"/>
        </w:rPr>
        <w:t>•</w:t>
      </w:r>
      <w:r w:rsidRPr="001A6C77">
        <w:rPr>
          <w:sz w:val="24"/>
          <w:szCs w:val="24"/>
        </w:rPr>
        <w:tab/>
        <w:t>Atelier de formation sur les politiques et les normes en matière de TIC vertes, organisé conjointement par le CRBAS, la CEPALC et l'UIT, le 16 décembre 2015 (matin)</w:t>
      </w:r>
      <w:bookmarkEnd w:id="4"/>
      <w:r w:rsidRPr="001A6C77">
        <w:rPr>
          <w:sz w:val="24"/>
          <w:szCs w:val="24"/>
        </w:rPr>
        <w:t>.</w:t>
      </w:r>
    </w:p>
    <w:p w:rsidR="002B2CB0" w:rsidRPr="001A6C77" w:rsidRDefault="002B2CB0" w:rsidP="002B2CB0">
      <w:pPr>
        <w:pStyle w:val="enumlev1"/>
        <w:rPr>
          <w:sz w:val="24"/>
          <w:szCs w:val="24"/>
        </w:rPr>
      </w:pPr>
      <w:bookmarkStart w:id="5" w:name="lt_pId024"/>
      <w:r w:rsidRPr="001A6C77">
        <w:rPr>
          <w:sz w:val="24"/>
          <w:szCs w:val="24"/>
        </w:rPr>
        <w:t>•</w:t>
      </w:r>
      <w:r w:rsidRPr="001A6C77">
        <w:rPr>
          <w:sz w:val="24"/>
          <w:szCs w:val="24"/>
        </w:rPr>
        <w:tab/>
        <w:t xml:space="preserve">Forum sur le thème "Progresser dans la mise en </w:t>
      </w:r>
      <w:proofErr w:type="spellStart"/>
      <w:r w:rsidRPr="001A6C77">
        <w:rPr>
          <w:sz w:val="24"/>
          <w:szCs w:val="24"/>
        </w:rPr>
        <w:t>oeuvre</w:t>
      </w:r>
      <w:proofErr w:type="spellEnd"/>
      <w:r w:rsidRPr="001A6C77">
        <w:rPr>
          <w:sz w:val="24"/>
          <w:szCs w:val="24"/>
        </w:rPr>
        <w:t xml:space="preserve"> du programme </w:t>
      </w:r>
      <w:proofErr w:type="spellStart"/>
      <w:r w:rsidRPr="001A6C77">
        <w:rPr>
          <w:sz w:val="24"/>
          <w:szCs w:val="24"/>
        </w:rPr>
        <w:t>Connect</w:t>
      </w:r>
      <w:proofErr w:type="spellEnd"/>
      <w:r w:rsidRPr="001A6C77">
        <w:rPr>
          <w:sz w:val="24"/>
          <w:szCs w:val="24"/>
        </w:rPr>
        <w:t xml:space="preserve"> 2020", organisé par l'UIT, le 16 décembre 2015 (après-midi)</w:t>
      </w:r>
      <w:bookmarkStart w:id="6" w:name="lt_pId025"/>
      <w:bookmarkEnd w:id="5"/>
      <w:r w:rsidRPr="001A6C77">
        <w:rPr>
          <w:sz w:val="24"/>
          <w:szCs w:val="24"/>
        </w:rPr>
        <w:t>.</w:t>
      </w:r>
    </w:p>
    <w:p w:rsidR="002B2CB0" w:rsidRPr="001A6C77" w:rsidRDefault="002B2CB0" w:rsidP="002B2CB0">
      <w:pPr>
        <w:pStyle w:val="enumlev1"/>
        <w:rPr>
          <w:sz w:val="24"/>
          <w:szCs w:val="24"/>
        </w:rPr>
      </w:pPr>
      <w:r w:rsidRPr="001A6C77">
        <w:rPr>
          <w:sz w:val="24"/>
          <w:szCs w:val="24"/>
        </w:rPr>
        <w:t>•</w:t>
      </w:r>
      <w:r w:rsidRPr="001A6C77">
        <w:rPr>
          <w:sz w:val="24"/>
          <w:szCs w:val="24"/>
        </w:rPr>
        <w:tab/>
        <w:t>Forum sur le thème "Mettre l'Internet des objets au service des villes intelligentes", organisé conjointement par l'UIT, l'UNESCO et UN-Habitat, les 17 et 18 décembre 2015 (matin).</w:t>
      </w:r>
      <w:bookmarkEnd w:id="6"/>
    </w:p>
    <w:p w:rsidR="002B2CB0" w:rsidRPr="00C10DF8" w:rsidRDefault="002B2CB0" w:rsidP="00D37F79">
      <w:pPr>
        <w:keepNext/>
        <w:keepLines/>
        <w:rPr>
          <w:i/>
          <w:iCs/>
          <w:sz w:val="24"/>
          <w:szCs w:val="24"/>
        </w:rPr>
      </w:pPr>
      <w:r w:rsidRPr="001A6C77">
        <w:rPr>
          <w:sz w:val="24"/>
          <w:szCs w:val="24"/>
        </w:rPr>
        <w:lastRenderedPageBreak/>
        <w:t>3</w:t>
      </w:r>
      <w:r w:rsidRPr="001A6C77">
        <w:rPr>
          <w:sz w:val="24"/>
          <w:szCs w:val="24"/>
        </w:rPr>
        <w:tab/>
        <w:t xml:space="preserve">La Semaine Normes vertes se présente comme une tribune mondiale de débats et d'échanges de connaissances, qui vise à mieux faire connaître l'importance de l'utilisation des </w:t>
      </w:r>
      <w:r w:rsidRPr="00C10DF8">
        <w:rPr>
          <w:i/>
          <w:iCs/>
          <w:sz w:val="24"/>
          <w:szCs w:val="24"/>
        </w:rPr>
        <w:t>technologies de l'information et de la communication (TIC) et les possibilités qu'elles offrent pour faciliter la transition vers des villes durables et intelligentes et assurer un avenir durable dans les villes.</w:t>
      </w:r>
    </w:p>
    <w:p w:rsidR="002B2CB0" w:rsidRPr="001A6C77" w:rsidRDefault="002B2CB0" w:rsidP="002B2CB0">
      <w:pPr>
        <w:rPr>
          <w:sz w:val="24"/>
          <w:szCs w:val="24"/>
        </w:rPr>
      </w:pPr>
      <w:r w:rsidRPr="001A6C77">
        <w:rPr>
          <w:sz w:val="24"/>
          <w:szCs w:val="24"/>
        </w:rPr>
        <w:t>4</w:t>
      </w:r>
      <w:r w:rsidRPr="001A6C77">
        <w:rPr>
          <w:sz w:val="24"/>
          <w:szCs w:val="24"/>
        </w:rPr>
        <w:tab/>
        <w:t>La Semaine Normes vertes rassemble d'éminents spécialistes du domaine concerné: décideurs, ingénieurs, concepteurs, urbanistes experts en villes intelligentes, personnalités gouvernementales, régulateurs, spécialistes des normes et universitaires, entre autres.</w:t>
      </w:r>
    </w:p>
    <w:p w:rsidR="002B2CB0" w:rsidRPr="001A6C77" w:rsidRDefault="002B2CB0" w:rsidP="002B2CB0">
      <w:pPr>
        <w:rPr>
          <w:sz w:val="24"/>
          <w:szCs w:val="24"/>
        </w:rPr>
      </w:pPr>
      <w:r w:rsidRPr="001A6C77">
        <w:rPr>
          <w:sz w:val="24"/>
          <w:szCs w:val="24"/>
        </w:rPr>
        <w:t>5</w:t>
      </w:r>
      <w:r w:rsidRPr="001A6C77">
        <w:rPr>
          <w:sz w:val="24"/>
          <w:szCs w:val="24"/>
        </w:rPr>
        <w:tab/>
        <w:t>Les débats se dérouleront en anglais et en espagnol.</w:t>
      </w:r>
    </w:p>
    <w:p w:rsidR="002B2CB0" w:rsidRPr="001A6C77" w:rsidRDefault="002B2CB0" w:rsidP="002B2CB0">
      <w:pPr>
        <w:rPr>
          <w:sz w:val="24"/>
          <w:szCs w:val="24"/>
        </w:rPr>
      </w:pPr>
      <w:r w:rsidRPr="001A6C77">
        <w:rPr>
          <w:sz w:val="24"/>
          <w:szCs w:val="24"/>
        </w:rPr>
        <w:t>6</w:t>
      </w:r>
      <w:r w:rsidRPr="001A6C77">
        <w:rPr>
          <w:sz w:val="24"/>
          <w:szCs w:val="24"/>
        </w:rPr>
        <w:tab/>
        <w:t>La participation est gratuite et ouverte aux Etats Membres, aux Membres de Secteur et aux Associés de l'UIT, ainsi qu'aux établissements universitaires prenant part à ses travaux, et à toute personne qui souhaite contribuer aux travaux, y compris les membres d'organisations internationales, régionales ou nationales.</w:t>
      </w:r>
    </w:p>
    <w:p w:rsidR="002B2CB0" w:rsidRPr="001A6C77" w:rsidRDefault="002B2CB0" w:rsidP="002B2CB0">
      <w:pPr>
        <w:rPr>
          <w:sz w:val="24"/>
          <w:szCs w:val="24"/>
        </w:rPr>
      </w:pPr>
      <w:r w:rsidRPr="001A6C77">
        <w:rPr>
          <w:sz w:val="24"/>
          <w:szCs w:val="24"/>
        </w:rPr>
        <w:t>7</w:t>
      </w:r>
      <w:r w:rsidRPr="001A6C77">
        <w:rPr>
          <w:sz w:val="24"/>
          <w:szCs w:val="24"/>
        </w:rPr>
        <w:tab/>
        <w:t xml:space="preserve">Les projets de programme des Forums seront affichés sur le site web de la Semaine Normes vertes: </w:t>
      </w:r>
      <w:hyperlink r:id="rId8" w:history="1">
        <w:r w:rsidRPr="001A6C77">
          <w:rPr>
            <w:rStyle w:val="Hyperlink"/>
            <w:sz w:val="24"/>
            <w:szCs w:val="24"/>
          </w:rPr>
          <w:t>http://www.itu.int/en/ITU-T/Workshops-and-Seminars/gsw/201512/Pages/default.aspx</w:t>
        </w:r>
      </w:hyperlink>
      <w:r w:rsidRPr="001A6C77">
        <w:rPr>
          <w:sz w:val="24"/>
          <w:szCs w:val="24"/>
        </w:rPr>
        <w:t xml:space="preserve">. </w:t>
      </w:r>
      <w:proofErr w:type="spellStart"/>
      <w:r w:rsidRPr="001A6C77">
        <w:rPr>
          <w:sz w:val="24"/>
          <w:szCs w:val="24"/>
        </w:rPr>
        <w:t>Veuillez vous</w:t>
      </w:r>
      <w:proofErr w:type="spellEnd"/>
      <w:r w:rsidRPr="001A6C77">
        <w:rPr>
          <w:sz w:val="24"/>
          <w:szCs w:val="24"/>
        </w:rPr>
        <w:t xml:space="preserve"> mettre en rapport avec Cristina Bueti (</w:t>
      </w:r>
      <w:hyperlink r:id="rId9" w:history="1">
        <w:r w:rsidRPr="001A6C77">
          <w:rPr>
            <w:rStyle w:val="Hyperlink"/>
            <w:sz w:val="24"/>
            <w:szCs w:val="24"/>
          </w:rPr>
          <w:t>greenstandard@itu.int</w:t>
        </w:r>
      </w:hyperlink>
      <w:r w:rsidRPr="001A6C77">
        <w:rPr>
          <w:sz w:val="24"/>
          <w:szCs w:val="24"/>
        </w:rPr>
        <w:t>) si vous avez besoin d'un complément d'information sur les programmes.</w:t>
      </w:r>
    </w:p>
    <w:p w:rsidR="002B2CB0" w:rsidRPr="001A6C77" w:rsidRDefault="002B2CB0" w:rsidP="002B2CB0">
      <w:pPr>
        <w:rPr>
          <w:sz w:val="24"/>
          <w:szCs w:val="24"/>
        </w:rPr>
      </w:pPr>
      <w:r w:rsidRPr="001A6C77">
        <w:rPr>
          <w:sz w:val="24"/>
          <w:szCs w:val="24"/>
        </w:rPr>
        <w:t>8</w:t>
      </w:r>
      <w:r w:rsidRPr="001A6C77">
        <w:rPr>
          <w:sz w:val="24"/>
          <w:szCs w:val="24"/>
        </w:rPr>
        <w:tab/>
      </w:r>
      <w:r w:rsidRPr="001A6C77">
        <w:rPr>
          <w:b/>
          <w:bCs/>
          <w:sz w:val="24"/>
          <w:szCs w:val="24"/>
        </w:rPr>
        <w:t>Hébergement</w:t>
      </w:r>
      <w:r w:rsidRPr="001A6C77">
        <w:rPr>
          <w:sz w:val="24"/>
          <w:szCs w:val="24"/>
        </w:rPr>
        <w:t>: Vous trouverez des précisions sur les hôtels, les transports, les formalités de visa et les normes sanitaires sur le site web consacré à la Semaine Normes vertes. Ce site sera mis à jour à mesure que parviendront des informations nouvelles ou modifiées.</w:t>
      </w:r>
    </w:p>
    <w:p w:rsidR="002B2CB0" w:rsidRPr="001A6C77" w:rsidRDefault="002B2CB0" w:rsidP="00DD2093">
      <w:pPr>
        <w:rPr>
          <w:sz w:val="24"/>
          <w:szCs w:val="24"/>
        </w:rPr>
      </w:pPr>
      <w:r w:rsidRPr="001A6C77">
        <w:rPr>
          <w:sz w:val="24"/>
          <w:szCs w:val="24"/>
        </w:rPr>
        <w:t>9</w:t>
      </w:r>
      <w:r w:rsidRPr="001A6C77">
        <w:rPr>
          <w:sz w:val="24"/>
          <w:szCs w:val="24"/>
        </w:rPr>
        <w:tab/>
      </w:r>
      <w:r w:rsidRPr="001A6C77">
        <w:rPr>
          <w:b/>
          <w:bCs/>
          <w:sz w:val="24"/>
          <w:szCs w:val="24"/>
        </w:rPr>
        <w:t>Inscription</w:t>
      </w:r>
      <w:r w:rsidRPr="001A6C77">
        <w:rPr>
          <w:sz w:val="24"/>
          <w:szCs w:val="24"/>
        </w:rPr>
        <w:t>:</w:t>
      </w:r>
      <w:r w:rsidRPr="001A6C77">
        <w:rPr>
          <w:b/>
          <w:bCs/>
          <w:sz w:val="24"/>
          <w:szCs w:val="24"/>
        </w:rPr>
        <w:t xml:space="preserve"> </w:t>
      </w:r>
      <w:r w:rsidRPr="001A6C77">
        <w:rPr>
          <w:sz w:val="24"/>
          <w:szCs w:val="24"/>
        </w:rPr>
        <w:t xml:space="preserve">Afin de permettre au TSB de prendre les dispositions nécessaires concernant l'organisation des ateliers, nous vous saurions gré de bien vouloir vous inscrire au moyen du formulaire en ligne sur le site web de la Semaine Normes vertes dès que possible, et </w:t>
      </w:r>
      <w:r w:rsidRPr="001A6C77">
        <w:rPr>
          <w:b/>
          <w:bCs/>
          <w:sz w:val="24"/>
          <w:szCs w:val="24"/>
        </w:rPr>
        <w:t>au plus tard le</w:t>
      </w:r>
      <w:r w:rsidRPr="001A6C77">
        <w:rPr>
          <w:sz w:val="24"/>
          <w:szCs w:val="24"/>
        </w:rPr>
        <w:t xml:space="preserve"> </w:t>
      </w:r>
      <w:r w:rsidRPr="001A6C77">
        <w:rPr>
          <w:b/>
          <w:sz w:val="24"/>
          <w:szCs w:val="24"/>
        </w:rPr>
        <w:t xml:space="preserve">1er décembre 2015. Veuillez noter que l'inscription préalable des participants aux manifestations se fera exclusivement </w:t>
      </w:r>
      <w:r w:rsidRPr="001A6C77">
        <w:rPr>
          <w:b/>
          <w:i/>
          <w:iCs/>
          <w:sz w:val="24"/>
          <w:szCs w:val="24"/>
        </w:rPr>
        <w:t>en ligne</w:t>
      </w:r>
      <w:r w:rsidRPr="001A6C77">
        <w:rPr>
          <w:sz w:val="24"/>
          <w:szCs w:val="24"/>
        </w:rPr>
        <w:t xml:space="preserve">. Les participants pourront s'inscrire à l'adresse suivante: </w:t>
      </w:r>
      <w:hyperlink r:id="rId10" w:history="1">
        <w:r w:rsidR="00DD2093" w:rsidRPr="00EF0546">
          <w:rPr>
            <w:rStyle w:val="Hyperlink"/>
          </w:rPr>
          <w:t>http://www.itu.int/online/regsys/ITU-T/misc/e</w:t>
        </w:r>
        <w:bookmarkStart w:id="7" w:name="_GoBack"/>
        <w:bookmarkEnd w:id="7"/>
        <w:r w:rsidR="00DD2093" w:rsidRPr="00EF0546">
          <w:rPr>
            <w:rStyle w:val="Hyperlink"/>
          </w:rPr>
          <w:t>d</w:t>
        </w:r>
        <w:r w:rsidR="00DD2093" w:rsidRPr="00EF0546">
          <w:rPr>
            <w:rStyle w:val="Hyperlink"/>
          </w:rPr>
          <w:t>rs.registration.form?_eventid=3000795</w:t>
        </w:r>
      </w:hyperlink>
      <w:r w:rsidR="00DD2093">
        <w:t xml:space="preserve"> </w:t>
      </w:r>
      <w:r w:rsidRPr="001A6C77">
        <w:rPr>
          <w:sz w:val="24"/>
          <w:szCs w:val="24"/>
        </w:rPr>
        <w:t>.</w:t>
      </w:r>
    </w:p>
    <w:p w:rsidR="002B2CB0" w:rsidRPr="001A6C77" w:rsidRDefault="002B2CB0" w:rsidP="002B2CB0">
      <w:pPr>
        <w:rPr>
          <w:sz w:val="24"/>
          <w:szCs w:val="24"/>
        </w:rPr>
      </w:pPr>
      <w:r w:rsidRPr="001A6C77">
        <w:rPr>
          <w:sz w:val="24"/>
          <w:szCs w:val="24"/>
        </w:rPr>
        <w:t>10</w:t>
      </w:r>
      <w:r w:rsidRPr="001A6C77">
        <w:rPr>
          <w:sz w:val="24"/>
          <w:szCs w:val="24"/>
        </w:rPr>
        <w:tab/>
        <w:t>Nous vous rappelons que, pour les ressortissants de certains pays, l'entrée et le séjour, quelle qu'en soit la durée, sur le territoire des Bahamas sont soumis à l'obtention d'un visa. Ce visa doit être</w:t>
      </w:r>
      <w:r w:rsidRPr="001A6C77">
        <w:rPr>
          <w:b/>
          <w:bCs/>
          <w:sz w:val="24"/>
          <w:szCs w:val="24"/>
        </w:rPr>
        <w:t xml:space="preserve"> </w:t>
      </w:r>
      <w:r w:rsidRPr="001A6C77">
        <w:rPr>
          <w:sz w:val="24"/>
          <w:szCs w:val="24"/>
        </w:rPr>
        <w:t>obtenu auprès de l'</w:t>
      </w:r>
      <w:r w:rsidR="00D37F79" w:rsidRPr="001A6C77">
        <w:rPr>
          <w:sz w:val="24"/>
          <w:szCs w:val="24"/>
        </w:rPr>
        <w:t>A</w:t>
      </w:r>
      <w:r w:rsidRPr="001A6C77">
        <w:rPr>
          <w:sz w:val="24"/>
          <w:szCs w:val="24"/>
        </w:rPr>
        <w:t>mbassade des Bahamas dans votre pays ou, à défaut, dans le pays le plus proche de votre pays de départ. Des renseignements complémentaires concernant les formalités de visa sont disponibles sur le site web de la Semaine Normes vertes.</w:t>
      </w:r>
    </w:p>
    <w:p w:rsidR="002B2CB0" w:rsidRPr="001A6C77" w:rsidRDefault="002B2CB0" w:rsidP="002B2CB0">
      <w:pPr>
        <w:rPr>
          <w:rFonts w:eastAsia="Segoe UI Symbol"/>
          <w:sz w:val="24"/>
          <w:szCs w:val="24"/>
          <w:lang w:eastAsia="ko-KR"/>
        </w:rPr>
      </w:pPr>
      <w:r w:rsidRPr="001A6C77">
        <w:rPr>
          <w:sz w:val="24"/>
          <w:szCs w:val="24"/>
        </w:rPr>
        <w:t>Dans l'attente de votre participation à la Semaine Normes vertes, je vous prie d'agréer, Madame, Monsieur, l'assurance de ma consi</w:t>
      </w:r>
      <w:r w:rsidR="00651514" w:rsidRPr="001A6C77">
        <w:rPr>
          <w:sz w:val="24"/>
          <w:szCs w:val="24"/>
        </w:rPr>
        <w:t>dération distinguée,</w:t>
      </w:r>
    </w:p>
    <w:p w:rsidR="002B2CB0" w:rsidRPr="001A6C77" w:rsidRDefault="00CB46C0" w:rsidP="00CB46C0">
      <w:pPr>
        <w:spacing w:before="600"/>
        <w:jc w:val="left"/>
        <w:rPr>
          <w:sz w:val="24"/>
          <w:szCs w:val="24"/>
        </w:rPr>
      </w:pPr>
      <w:r>
        <w:rPr>
          <w:rFonts w:asciiTheme="minorHAnsi" w:hAnsiTheme="minorHAnsi"/>
          <w:i/>
          <w:iCs/>
          <w:sz w:val="24"/>
          <w:szCs w:val="24"/>
        </w:rPr>
        <w:t>(</w:t>
      </w:r>
      <w:proofErr w:type="gramStart"/>
      <w:r>
        <w:rPr>
          <w:rFonts w:asciiTheme="minorHAnsi" w:hAnsiTheme="minorHAnsi"/>
          <w:i/>
          <w:iCs/>
          <w:sz w:val="24"/>
          <w:szCs w:val="24"/>
        </w:rPr>
        <w:t>signé</w:t>
      </w:r>
      <w:proofErr w:type="gramEnd"/>
      <w:r>
        <w:rPr>
          <w:rFonts w:asciiTheme="minorHAnsi" w:hAnsiTheme="minorHAnsi"/>
          <w:i/>
          <w:iCs/>
          <w:sz w:val="24"/>
          <w:szCs w:val="24"/>
        </w:rPr>
        <w:t xml:space="preserve">) </w:t>
      </w:r>
      <w:r>
        <w:rPr>
          <w:rFonts w:asciiTheme="minorHAnsi" w:hAnsiTheme="minorHAnsi"/>
          <w:i/>
          <w:iCs/>
          <w:sz w:val="24"/>
          <w:szCs w:val="24"/>
        </w:rPr>
        <w:br/>
      </w:r>
      <w:r>
        <w:rPr>
          <w:rFonts w:asciiTheme="minorHAnsi" w:hAnsiTheme="minorHAnsi"/>
          <w:i/>
          <w:iCs/>
          <w:sz w:val="24"/>
          <w:szCs w:val="24"/>
        </w:rPr>
        <w:br/>
      </w:r>
      <w:r>
        <w:rPr>
          <w:rFonts w:asciiTheme="minorHAnsi" w:hAnsiTheme="minorHAnsi"/>
          <w:i/>
          <w:iCs/>
          <w:sz w:val="24"/>
          <w:szCs w:val="24"/>
        </w:rPr>
        <w:br/>
      </w:r>
      <w:r w:rsidR="002B2CB0" w:rsidRPr="001A6C77">
        <w:rPr>
          <w:sz w:val="24"/>
          <w:szCs w:val="24"/>
        </w:rPr>
        <w:t>Houlin Z</w:t>
      </w:r>
      <w:r w:rsidR="00B05BC4">
        <w:rPr>
          <w:sz w:val="24"/>
          <w:szCs w:val="24"/>
        </w:rPr>
        <w:t>HAO</w:t>
      </w:r>
      <w:r w:rsidR="002B2CB0" w:rsidRPr="001A6C77">
        <w:rPr>
          <w:sz w:val="24"/>
          <w:szCs w:val="24"/>
        </w:rPr>
        <w:br/>
        <w:t>Secrétaire général</w:t>
      </w:r>
    </w:p>
    <w:p w:rsidR="003476DD" w:rsidRPr="00C276A3" w:rsidRDefault="003476DD" w:rsidP="003476DD">
      <w:pPr>
        <w:rPr>
          <w:rFonts w:asciiTheme="minorHAnsi" w:hAnsiTheme="minorHAnsi"/>
          <w:sz w:val="24"/>
          <w:szCs w:val="24"/>
        </w:rPr>
      </w:pPr>
    </w:p>
    <w:p w:rsidR="00EA15B3" w:rsidRPr="00C276A3" w:rsidRDefault="00EA15B3" w:rsidP="00EA15B3">
      <w:pPr>
        <w:rPr>
          <w:rFonts w:asciiTheme="minorHAnsi" w:hAnsiTheme="minorHAnsi"/>
          <w:sz w:val="24"/>
          <w:szCs w:val="24"/>
        </w:rPr>
      </w:pPr>
      <w:bookmarkStart w:id="8" w:name="Formula"/>
      <w:bookmarkStart w:id="9" w:name="MainStory"/>
      <w:bookmarkStart w:id="10" w:name="Signature"/>
      <w:bookmarkEnd w:id="8"/>
      <w:bookmarkEnd w:id="9"/>
      <w:bookmarkEnd w:id="10"/>
    </w:p>
    <w:sectPr w:rsidR="00EA15B3" w:rsidRPr="00C276A3" w:rsidSect="003211CE">
      <w:headerReference w:type="even" r:id="rId11"/>
      <w:headerReference w:type="default" r:id="rId12"/>
      <w:headerReference w:type="first" r:id="rId13"/>
      <w:footerReference w:type="first" r:id="rId14"/>
      <w:pgSz w:w="11907" w:h="16834" w:code="9"/>
      <w:pgMar w:top="1871"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B0" w:rsidRDefault="002B2CB0">
      <w:r>
        <w:separator/>
      </w:r>
    </w:p>
  </w:endnote>
  <w:endnote w:type="continuationSeparator" w:id="0">
    <w:p w:rsidR="002B2CB0" w:rsidRDefault="002B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1B" w:rsidRPr="00877C1B" w:rsidRDefault="00877C1B" w:rsidP="00F914DD">
    <w:pPr>
      <w:pStyle w:val="FirstFooter"/>
      <w:spacing w:line="240" w:lineRule="auto"/>
      <w:ind w:left="-397" w:right="-397"/>
      <w:jc w:val="center"/>
      <w:rPr>
        <w:color w:val="3E8EDE"/>
        <w:sz w:val="18"/>
        <w:szCs w:val="18"/>
        <w:lang w:val="fr-CH"/>
      </w:rPr>
    </w:pPr>
    <w:r w:rsidRPr="00877C1B">
      <w:rPr>
        <w:color w:val="3E8EDE"/>
        <w:sz w:val="18"/>
        <w:szCs w:val="18"/>
        <w:lang w:val="fr-CH"/>
      </w:rPr>
      <w:t xml:space="preserve">Union internationale des télécommunications </w:t>
    </w:r>
    <w:r w:rsidRPr="00FB65BC">
      <w:rPr>
        <w:color w:val="3E8EDE"/>
        <w:sz w:val="18"/>
        <w:szCs w:val="18"/>
        <w:lang w:val="fr-CH"/>
      </w:rPr>
      <w:t>•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 xml:space="preserve">1211 </w:t>
    </w:r>
    <w:r w:rsidRPr="00877C1B">
      <w:rPr>
        <w:color w:val="3E8EDE"/>
        <w:sz w:val="18"/>
        <w:szCs w:val="18"/>
        <w:lang w:val="fr-CH"/>
      </w:rPr>
      <w:t xml:space="preserve">Genève </w:t>
    </w:r>
    <w:r w:rsidRPr="00FB65BC">
      <w:rPr>
        <w:color w:val="3E8EDE"/>
        <w:sz w:val="18"/>
        <w:szCs w:val="18"/>
        <w:lang w:val="fr-CH"/>
      </w:rPr>
      <w:t>20</w:t>
    </w:r>
    <w:r>
      <w:rPr>
        <w:color w:val="3E8EDE"/>
        <w:sz w:val="18"/>
        <w:szCs w:val="18"/>
        <w:lang w:val="fr-CH"/>
      </w:rPr>
      <w:t>,</w:t>
    </w:r>
    <w:r w:rsidRPr="00FB65BC">
      <w:rPr>
        <w:color w:val="3E8EDE"/>
        <w:sz w:val="18"/>
        <w:szCs w:val="18"/>
        <w:lang w:val="fr-CH"/>
      </w:rPr>
      <w:t xml:space="preserve"> </w:t>
    </w:r>
    <w:r w:rsidRPr="00877C1B">
      <w:rPr>
        <w:color w:val="3E8EDE"/>
        <w:sz w:val="18"/>
        <w:szCs w:val="18"/>
        <w:lang w:val="fr-CH"/>
      </w:rPr>
      <w:t>Suisse</w:t>
    </w:r>
    <w:r w:rsidRPr="00FB65BC">
      <w:rPr>
        <w:color w:val="3E8EDE"/>
        <w:sz w:val="18"/>
        <w:szCs w:val="18"/>
        <w:lang w:val="fr-CH"/>
      </w:rPr>
      <w:br/>
      <w:t>T</w:t>
    </w:r>
    <w:r>
      <w:rPr>
        <w:color w:val="3E8EDE"/>
        <w:sz w:val="18"/>
        <w:szCs w:val="18"/>
        <w:lang w:val="fr-CH"/>
      </w:rPr>
      <w:t>é</w:t>
    </w:r>
    <w:r w:rsidRPr="00FB65BC">
      <w:rPr>
        <w:color w:val="3E8EDE"/>
        <w:sz w:val="18"/>
        <w:szCs w:val="18"/>
        <w:lang w:val="fr-CH"/>
      </w:rPr>
      <w:t xml:space="preserve">l: +41 22 730 5111 • Fax: +41 22 733 7256 • </w:t>
    </w:r>
    <w:r w:rsidR="00173FCD">
      <w:rPr>
        <w:color w:val="3E8EDE"/>
        <w:sz w:val="18"/>
        <w:szCs w:val="18"/>
        <w:lang w:val="fr-CH"/>
      </w:rPr>
      <w:br/>
    </w:r>
    <w:r w:rsidRPr="00877C1B">
      <w:rPr>
        <w:color w:val="3E8EDE"/>
        <w:sz w:val="18"/>
        <w:szCs w:val="18"/>
        <w:lang w:val="fr-CH"/>
      </w:rPr>
      <w:t>Courriel</w:t>
    </w:r>
    <w:r w:rsidRPr="00FB65BC">
      <w:rPr>
        <w:color w:val="3E8EDE"/>
        <w:sz w:val="18"/>
        <w:szCs w:val="18"/>
        <w:lang w:val="fr-CH"/>
      </w:rPr>
      <w:t xml:space="preserve">: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r w:rsidRPr="005D33BF">
      <w:rPr>
        <w:color w:val="3E8EDE"/>
        <w:sz w:val="18"/>
        <w:szCs w:val="18"/>
        <w:lang w:val="fr-CH"/>
      </w:rPr>
      <w:t>www.itu150</w:t>
    </w:r>
    <w:r>
      <w:rPr>
        <w:color w:val="3E8EDE"/>
        <w:sz w:val="18"/>
        <w:szCs w:val="18"/>
        <w:lang w:val="fr-CH"/>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B0" w:rsidRDefault="002B2CB0">
      <w:r>
        <w:t>____________________</w:t>
      </w:r>
    </w:p>
  </w:footnote>
  <w:footnote w:type="continuationSeparator" w:id="0">
    <w:p w:rsidR="002B2CB0" w:rsidRDefault="002B2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FF" w:rsidRPr="00235A29" w:rsidRDefault="008D08FF">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DD2093">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FF" w:rsidRPr="00AF3325" w:rsidRDefault="008D08F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CB46C0">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40351" w:rsidRPr="00940351" w:rsidTr="00B330B7">
      <w:tc>
        <w:tcPr>
          <w:tcW w:w="4889" w:type="dxa"/>
        </w:tcPr>
        <w:p w:rsidR="00940351" w:rsidRPr="00940351" w:rsidRDefault="00940351" w:rsidP="00B330B7">
          <w:pPr>
            <w:pStyle w:val="Header"/>
            <w:tabs>
              <w:tab w:val="clear" w:pos="794"/>
              <w:tab w:val="clear" w:pos="4820"/>
            </w:tabs>
            <w:spacing w:before="120" w:line="360" w:lineRule="auto"/>
          </w:pPr>
          <w:r w:rsidRPr="00940351">
            <w:rPr>
              <w:b/>
              <w:bCs/>
              <w:noProof/>
              <w:lang w:val="en-US" w:eastAsia="zh-CN"/>
            </w:rPr>
            <w:drawing>
              <wp:inline distT="0" distB="0" distL="0" distR="0" wp14:anchorId="2BFA4616" wp14:editId="3B5F7410">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40351" w:rsidRPr="00940351" w:rsidRDefault="00940351" w:rsidP="00B330B7">
          <w:pPr>
            <w:pStyle w:val="Header"/>
            <w:tabs>
              <w:tab w:val="clear" w:pos="794"/>
              <w:tab w:val="clear" w:pos="4820"/>
            </w:tabs>
            <w:spacing w:line="360" w:lineRule="auto"/>
            <w:jc w:val="right"/>
          </w:pPr>
          <w:r w:rsidRPr="00940351">
            <w:rPr>
              <w:noProof/>
              <w:lang w:val="en-US" w:eastAsia="zh-CN"/>
            </w:rPr>
            <w:drawing>
              <wp:inline distT="0" distB="0" distL="0" distR="0" wp14:anchorId="57F45AE2" wp14:editId="544F7E78">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8D08FF" w:rsidRPr="00940351" w:rsidRDefault="008D08FF" w:rsidP="00D225E9">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B2CB0"/>
    <w:rsid w:val="000032FB"/>
    <w:rsid w:val="00010E30"/>
    <w:rsid w:val="00026CF8"/>
    <w:rsid w:val="000479AD"/>
    <w:rsid w:val="00070258"/>
    <w:rsid w:val="00072C3E"/>
    <w:rsid w:val="0007323C"/>
    <w:rsid w:val="0008311E"/>
    <w:rsid w:val="00086D03"/>
    <w:rsid w:val="000A7051"/>
    <w:rsid w:val="000B7CE2"/>
    <w:rsid w:val="000C03C7"/>
    <w:rsid w:val="000E3DEE"/>
    <w:rsid w:val="000E4B79"/>
    <w:rsid w:val="0010107B"/>
    <w:rsid w:val="00103C76"/>
    <w:rsid w:val="0011265F"/>
    <w:rsid w:val="00173FCD"/>
    <w:rsid w:val="00196710"/>
    <w:rsid w:val="00197324"/>
    <w:rsid w:val="00197DCF"/>
    <w:rsid w:val="001A37CA"/>
    <w:rsid w:val="001A696C"/>
    <w:rsid w:val="001A6C77"/>
    <w:rsid w:val="001B5841"/>
    <w:rsid w:val="001C1636"/>
    <w:rsid w:val="001D7070"/>
    <w:rsid w:val="001F5A49"/>
    <w:rsid w:val="00201097"/>
    <w:rsid w:val="00201B6E"/>
    <w:rsid w:val="00235A29"/>
    <w:rsid w:val="0026128B"/>
    <w:rsid w:val="00276B8B"/>
    <w:rsid w:val="002861E6"/>
    <w:rsid w:val="002B2CB0"/>
    <w:rsid w:val="002E0007"/>
    <w:rsid w:val="002F00B0"/>
    <w:rsid w:val="002F0890"/>
    <w:rsid w:val="003169E3"/>
    <w:rsid w:val="003211CE"/>
    <w:rsid w:val="003370B8"/>
    <w:rsid w:val="003476DD"/>
    <w:rsid w:val="003666FF"/>
    <w:rsid w:val="00394448"/>
    <w:rsid w:val="003B2BDA"/>
    <w:rsid w:val="003B55EC"/>
    <w:rsid w:val="003C4471"/>
    <w:rsid w:val="003E504F"/>
    <w:rsid w:val="00400F78"/>
    <w:rsid w:val="004326DB"/>
    <w:rsid w:val="0043682E"/>
    <w:rsid w:val="00467A97"/>
    <w:rsid w:val="004815EB"/>
    <w:rsid w:val="00496920"/>
    <w:rsid w:val="004B7001"/>
    <w:rsid w:val="004B7C9A"/>
    <w:rsid w:val="004D1579"/>
    <w:rsid w:val="004E0DC4"/>
    <w:rsid w:val="004E0FB5"/>
    <w:rsid w:val="004E43BB"/>
    <w:rsid w:val="004F178E"/>
    <w:rsid w:val="00505309"/>
    <w:rsid w:val="00505C93"/>
    <w:rsid w:val="0050789B"/>
    <w:rsid w:val="00543DF8"/>
    <w:rsid w:val="00546101"/>
    <w:rsid w:val="00553DD7"/>
    <w:rsid w:val="0057469A"/>
    <w:rsid w:val="00580814"/>
    <w:rsid w:val="005A03A3"/>
    <w:rsid w:val="005B214C"/>
    <w:rsid w:val="005E5657"/>
    <w:rsid w:val="005F5168"/>
    <w:rsid w:val="00602D53"/>
    <w:rsid w:val="0062116C"/>
    <w:rsid w:val="00651514"/>
    <w:rsid w:val="00651777"/>
    <w:rsid w:val="006741C3"/>
    <w:rsid w:val="00675C2A"/>
    <w:rsid w:val="00691AA6"/>
    <w:rsid w:val="006950CF"/>
    <w:rsid w:val="006B0590"/>
    <w:rsid w:val="006B49DA"/>
    <w:rsid w:val="00700C3C"/>
    <w:rsid w:val="007234B1"/>
    <w:rsid w:val="00730B9A"/>
    <w:rsid w:val="00757B2B"/>
    <w:rsid w:val="00757EEE"/>
    <w:rsid w:val="007921A7"/>
    <w:rsid w:val="007A4380"/>
    <w:rsid w:val="007B3DB1"/>
    <w:rsid w:val="007D183E"/>
    <w:rsid w:val="007E3F13"/>
    <w:rsid w:val="007E6AB2"/>
    <w:rsid w:val="00800012"/>
    <w:rsid w:val="0081513E"/>
    <w:rsid w:val="0083382E"/>
    <w:rsid w:val="00854131"/>
    <w:rsid w:val="0085652D"/>
    <w:rsid w:val="0087694B"/>
    <w:rsid w:val="00877C1B"/>
    <w:rsid w:val="0088293A"/>
    <w:rsid w:val="008D08FF"/>
    <w:rsid w:val="008D4685"/>
    <w:rsid w:val="008F4F21"/>
    <w:rsid w:val="00904D4A"/>
    <w:rsid w:val="009151BA"/>
    <w:rsid w:val="009277BC"/>
    <w:rsid w:val="00927D57"/>
    <w:rsid w:val="00940351"/>
    <w:rsid w:val="00963D9D"/>
    <w:rsid w:val="00981B54"/>
    <w:rsid w:val="009842C3"/>
    <w:rsid w:val="009A6BB6"/>
    <w:rsid w:val="009C161F"/>
    <w:rsid w:val="009E2358"/>
    <w:rsid w:val="009E4AEC"/>
    <w:rsid w:val="009E5BD8"/>
    <w:rsid w:val="009E5F24"/>
    <w:rsid w:val="009E681E"/>
    <w:rsid w:val="00A22F9F"/>
    <w:rsid w:val="00A34D6F"/>
    <w:rsid w:val="00A41F91"/>
    <w:rsid w:val="00A7494A"/>
    <w:rsid w:val="00A963DF"/>
    <w:rsid w:val="00AC3896"/>
    <w:rsid w:val="00AC3F9B"/>
    <w:rsid w:val="00AF06E1"/>
    <w:rsid w:val="00AF3325"/>
    <w:rsid w:val="00B015B1"/>
    <w:rsid w:val="00B05BC4"/>
    <w:rsid w:val="00B34CF9"/>
    <w:rsid w:val="00B83793"/>
    <w:rsid w:val="00B90C45"/>
    <w:rsid w:val="00B92A26"/>
    <w:rsid w:val="00B933BE"/>
    <w:rsid w:val="00BA03DB"/>
    <w:rsid w:val="00BA6C35"/>
    <w:rsid w:val="00BD7E5E"/>
    <w:rsid w:val="00BE055F"/>
    <w:rsid w:val="00BE6574"/>
    <w:rsid w:val="00C10DF8"/>
    <w:rsid w:val="00C276A3"/>
    <w:rsid w:val="00C43807"/>
    <w:rsid w:val="00C57E2C"/>
    <w:rsid w:val="00C608B7"/>
    <w:rsid w:val="00C66F24"/>
    <w:rsid w:val="00C9291E"/>
    <w:rsid w:val="00CA3F44"/>
    <w:rsid w:val="00CA4E58"/>
    <w:rsid w:val="00CB3771"/>
    <w:rsid w:val="00CB46C0"/>
    <w:rsid w:val="00CB5153"/>
    <w:rsid w:val="00CE2753"/>
    <w:rsid w:val="00CE685A"/>
    <w:rsid w:val="00D10BA0"/>
    <w:rsid w:val="00D20741"/>
    <w:rsid w:val="00D225E9"/>
    <w:rsid w:val="00D24EB5"/>
    <w:rsid w:val="00D37F79"/>
    <w:rsid w:val="00D41571"/>
    <w:rsid w:val="00D416A0"/>
    <w:rsid w:val="00D47672"/>
    <w:rsid w:val="00D5123C"/>
    <w:rsid w:val="00D55560"/>
    <w:rsid w:val="00D61C5A"/>
    <w:rsid w:val="00DD2093"/>
    <w:rsid w:val="00DE66A5"/>
    <w:rsid w:val="00DF2B50"/>
    <w:rsid w:val="00E04C86"/>
    <w:rsid w:val="00E14BA3"/>
    <w:rsid w:val="00E20F30"/>
    <w:rsid w:val="00E27BBA"/>
    <w:rsid w:val="00E35E8F"/>
    <w:rsid w:val="00E37AA3"/>
    <w:rsid w:val="00E438E8"/>
    <w:rsid w:val="00E520E2"/>
    <w:rsid w:val="00E64254"/>
    <w:rsid w:val="00EA15B3"/>
    <w:rsid w:val="00EB2358"/>
    <w:rsid w:val="00EB3EB8"/>
    <w:rsid w:val="00EC16FD"/>
    <w:rsid w:val="00EC69FC"/>
    <w:rsid w:val="00ED73BA"/>
    <w:rsid w:val="00EE1FBB"/>
    <w:rsid w:val="00F4085E"/>
    <w:rsid w:val="00F468C5"/>
    <w:rsid w:val="00F52F39"/>
    <w:rsid w:val="00F55EF6"/>
    <w:rsid w:val="00F60EDB"/>
    <w:rsid w:val="00F914DD"/>
    <w:rsid w:val="00F92C61"/>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967C961-7483-4F59-A109-567A06C8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rsid w:val="0094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D2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Workshops-and-Seminars/gsw/201512/Pages/default.aspx"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greenstandard@itu.in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u.int/online/regsys/ITU-T/misc/edrs.registration.form?_eventid=3000795"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greenstandard@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ITU\Letter-Fax-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DD0AD479C84B8AAA037DD1FD241068"/>
        <w:category>
          <w:name w:val="General"/>
          <w:gallery w:val="placeholder"/>
        </w:category>
        <w:types>
          <w:type w:val="bbPlcHdr"/>
        </w:types>
        <w:behaviors>
          <w:behavior w:val="content"/>
        </w:behaviors>
        <w:guid w:val="{E2F53427-AE35-4EC0-88B9-820B935AE02C}"/>
      </w:docPartPr>
      <w:docPartBody>
        <w:p w:rsidR="00F16857" w:rsidRDefault="00F16857">
          <w:pPr>
            <w:pStyle w:val="B0DD0AD479C84B8AAA037DD1FD241068"/>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57"/>
    <w:rsid w:val="00F168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DD0AD479C84B8AAA037DD1FD241068">
    <w:name w:val="B0DD0AD479C84B8AAA037DD1FD241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5989F9A51A14686E61F393B261DFC" ma:contentTypeVersion="1" ma:contentTypeDescription="Create a new document." ma:contentTypeScope="" ma:versionID="11d8cf857a44f2d8e81905bfebfebe0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A0635-DFEF-4473-9AFE-3F8D999B35E5}"/>
</file>

<file path=customXml/itemProps2.xml><?xml version="1.0" encoding="utf-8"?>
<ds:datastoreItem xmlns:ds="http://schemas.openxmlformats.org/officeDocument/2006/customXml" ds:itemID="{2F28A1E4-67A8-40D7-8865-F62C955C901E}"/>
</file>

<file path=customXml/itemProps3.xml><?xml version="1.0" encoding="utf-8"?>
<ds:datastoreItem xmlns:ds="http://schemas.openxmlformats.org/officeDocument/2006/customXml" ds:itemID="{6C72BB41-AE03-4E6A-A504-155F9D02D99C}"/>
</file>

<file path=docProps/app.xml><?xml version="1.0" encoding="utf-8"?>
<Properties xmlns="http://schemas.openxmlformats.org/officeDocument/2006/extended-properties" xmlns:vt="http://schemas.openxmlformats.org/officeDocument/2006/docPropsVTypes">
  <Template>Letter-Fax-F.dotm</Template>
  <TotalTime>3</TotalTime>
  <Pages>2</Pages>
  <Words>764</Words>
  <Characters>4830</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ITU-T Rec. Book 1 Resolutions ITU-T Series A Recommendations:</vt:lpstr>
      <vt:lpstr>ITU-T Rec. Book 1 Resolutions ITU-T Series A Recommendations:</vt:lpstr>
    </vt:vector>
  </TitlesOfParts>
  <Company>ITU</Company>
  <LinksUpToDate>false</LinksUpToDate>
  <CharactersWithSpaces>5583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saxod</dc:creator>
  <cp:keywords>.Book 1,,Book 1</cp:keywords>
  <dc:description>ASM                                 1.12.04      SP_x000d_
Corr. BAT                         8.12.04      SP</dc:description>
  <cp:lastModifiedBy>Aloran, Rakan</cp:lastModifiedBy>
  <cp:revision>3</cp:revision>
  <cp:lastPrinted>2010-01-19T09:33:00Z</cp:lastPrinted>
  <dcterms:created xsi:type="dcterms:W3CDTF">2015-10-01T14:27:00Z</dcterms:created>
  <dcterms:modified xsi:type="dcterms:W3CDTF">2015-10-01T14:34:00Z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0x010100D9B5989F9A51A14686E61F393B261DFC</vt:lpwstr>
  </property>
</Properties>
</file>