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9" w:type="dxa"/>
        <w:tblInd w:w="-99" w:type="dxa"/>
        <w:tblBorders>
          <w:bottom w:val="single" w:sz="4" w:space="0" w:color="auto"/>
        </w:tblBorders>
        <w:tblLayout w:type="fixed"/>
        <w:tblCellMar>
          <w:left w:w="99" w:type="dxa"/>
          <w:right w:w="99" w:type="dxa"/>
        </w:tblCellMar>
        <w:tblLook w:val="0000" w:firstRow="0" w:lastRow="0" w:firstColumn="0" w:lastColumn="0" w:noHBand="0" w:noVBand="0"/>
      </w:tblPr>
      <w:tblGrid>
        <w:gridCol w:w="1399"/>
        <w:gridCol w:w="4530"/>
        <w:gridCol w:w="1250"/>
        <w:gridCol w:w="411"/>
        <w:gridCol w:w="2229"/>
      </w:tblGrid>
      <w:tr w:rsidR="00AC2D96" w:rsidRPr="00AC2D96" w:rsidTr="00AC2D96">
        <w:trPr>
          <w:cantSplit/>
        </w:trPr>
        <w:tc>
          <w:tcPr>
            <w:tcW w:w="1399" w:type="dxa"/>
            <w:vMerge w:val="restart"/>
            <w:tcBorders>
              <w:top w:val="nil"/>
              <w:left w:val="nil"/>
              <w:bottom w:val="nil"/>
              <w:right w:val="nil"/>
            </w:tcBorders>
          </w:tcPr>
          <w:p w:rsidR="00AC2D96" w:rsidRPr="00AC2D96" w:rsidRDefault="00AC2D96" w:rsidP="00AC2D96">
            <w:pPr>
              <w:widowControl w:val="0"/>
              <w:wordWrap w:val="0"/>
              <w:jc w:val="both"/>
              <w:rPr>
                <w:kern w:val="2"/>
                <w:lang w:eastAsia="ko-KR"/>
              </w:rPr>
            </w:pPr>
            <w:bookmarkStart w:id="0" w:name="_GoBack"/>
            <w:bookmarkEnd w:id="0"/>
            <w:r w:rsidRPr="00AC2D96">
              <w:rPr>
                <w:noProof/>
                <w:kern w:val="2"/>
                <w:lang w:eastAsia="zh-CN"/>
              </w:rPr>
              <w:drawing>
                <wp:inline distT="0" distB="0" distL="0" distR="0" wp14:anchorId="2496A853" wp14:editId="42C443E8">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4530" w:type="dxa"/>
            <w:tcBorders>
              <w:top w:val="nil"/>
              <w:left w:val="nil"/>
              <w:bottom w:val="nil"/>
              <w:right w:val="nil"/>
            </w:tcBorders>
          </w:tcPr>
          <w:p w:rsidR="00AC2D96" w:rsidRPr="00AC2D96" w:rsidRDefault="00AC2D96" w:rsidP="00AC2D96">
            <w:pPr>
              <w:rPr>
                <w:sz w:val="22"/>
                <w:szCs w:val="22"/>
              </w:rPr>
            </w:pPr>
            <w:r w:rsidRPr="00AC2D96">
              <w:rPr>
                <w:sz w:val="22"/>
                <w:szCs w:val="22"/>
              </w:rPr>
              <w:t>ASIA-PACIFIC TELECOMMUNITY</w:t>
            </w:r>
          </w:p>
        </w:tc>
        <w:tc>
          <w:tcPr>
            <w:tcW w:w="1661" w:type="dxa"/>
            <w:gridSpan w:val="2"/>
            <w:tcBorders>
              <w:top w:val="nil"/>
              <w:left w:val="nil"/>
              <w:bottom w:val="nil"/>
              <w:right w:val="nil"/>
            </w:tcBorders>
          </w:tcPr>
          <w:p w:rsidR="00AC2D96" w:rsidRPr="00AC2D96" w:rsidRDefault="00AC2D96" w:rsidP="00AC2D96"/>
        </w:tc>
        <w:tc>
          <w:tcPr>
            <w:tcW w:w="2229" w:type="dxa"/>
            <w:tcBorders>
              <w:top w:val="nil"/>
              <w:left w:val="nil"/>
              <w:bottom w:val="nil"/>
            </w:tcBorders>
          </w:tcPr>
          <w:p w:rsidR="00AC2D96" w:rsidRPr="00AC2D96" w:rsidRDefault="00AC2D96" w:rsidP="00AC2D96">
            <w:pPr>
              <w:keepNext/>
              <w:widowControl w:val="0"/>
              <w:wordWrap w:val="0"/>
              <w:jc w:val="both"/>
              <w:outlineLvl w:val="7"/>
              <w:rPr>
                <w:b/>
                <w:bCs/>
                <w:kern w:val="2"/>
                <w:lang w:eastAsia="ko-KR"/>
              </w:rPr>
            </w:pPr>
          </w:p>
        </w:tc>
      </w:tr>
      <w:tr w:rsidR="00AC2D96" w:rsidRPr="00AC2D96" w:rsidTr="00AC2D96">
        <w:trPr>
          <w:cantSplit/>
        </w:trPr>
        <w:tc>
          <w:tcPr>
            <w:tcW w:w="1399" w:type="dxa"/>
            <w:vMerge/>
            <w:tcBorders>
              <w:top w:val="nil"/>
              <w:left w:val="nil"/>
              <w:bottom w:val="nil"/>
              <w:right w:val="nil"/>
            </w:tcBorders>
          </w:tcPr>
          <w:p w:rsidR="00AC2D96" w:rsidRPr="00AC2D96" w:rsidRDefault="00AC2D96" w:rsidP="00AC2D96"/>
        </w:tc>
        <w:tc>
          <w:tcPr>
            <w:tcW w:w="5780" w:type="dxa"/>
            <w:gridSpan w:val="2"/>
            <w:tcBorders>
              <w:top w:val="nil"/>
              <w:left w:val="nil"/>
              <w:bottom w:val="nil"/>
              <w:right w:val="nil"/>
            </w:tcBorders>
          </w:tcPr>
          <w:p w:rsidR="00AC2D96" w:rsidRPr="00AC2D96" w:rsidRDefault="00AC2D96" w:rsidP="00C34416">
            <w:pPr>
              <w:spacing w:line="0" w:lineRule="atLeast"/>
            </w:pPr>
            <w:r w:rsidRPr="00AC2D96">
              <w:rPr>
                <w:b/>
              </w:rPr>
              <w:t>The 2</w:t>
            </w:r>
            <w:r w:rsidR="00C34416">
              <w:rPr>
                <w:b/>
              </w:rPr>
              <w:t>6</w:t>
            </w:r>
            <w:r w:rsidRPr="00AC2D96">
              <w:rPr>
                <w:b/>
                <w:vertAlign w:val="superscript"/>
              </w:rPr>
              <w:t>th</w:t>
            </w:r>
            <w:r w:rsidRPr="00AC2D96">
              <w:rPr>
                <w:b/>
              </w:rPr>
              <w:t xml:space="preserve"> APT Standardization Program Forum (ASTAP-2</w:t>
            </w:r>
            <w:r w:rsidR="00C34416">
              <w:rPr>
                <w:b/>
              </w:rPr>
              <w:t>6</w:t>
            </w:r>
            <w:r w:rsidRPr="00AC2D96">
              <w:rPr>
                <w:b/>
              </w:rPr>
              <w:t>)</w:t>
            </w:r>
          </w:p>
        </w:tc>
        <w:tc>
          <w:tcPr>
            <w:tcW w:w="2640" w:type="dxa"/>
            <w:gridSpan w:val="2"/>
            <w:tcBorders>
              <w:top w:val="nil"/>
              <w:left w:val="nil"/>
              <w:bottom w:val="nil"/>
              <w:right w:val="nil"/>
            </w:tcBorders>
          </w:tcPr>
          <w:p w:rsidR="00AC2D96" w:rsidRPr="00AC2D96" w:rsidRDefault="00AC2D96" w:rsidP="00AC2D96">
            <w:pPr>
              <w:rPr>
                <w:b/>
                <w:bCs/>
                <w:lang w:val="fr-FR"/>
              </w:rPr>
            </w:pPr>
            <w:r w:rsidRPr="00AC2D96">
              <w:rPr>
                <w:b/>
                <w:lang w:val="fr-FR"/>
              </w:rPr>
              <w:t xml:space="preserve">Document </w:t>
            </w:r>
          </w:p>
          <w:p w:rsidR="00AC2D96" w:rsidRPr="00AC2D96" w:rsidRDefault="00C34416" w:rsidP="00AC2D96">
            <w:pPr>
              <w:rPr>
                <w:b/>
                <w:bCs/>
                <w:lang w:val="fr-FR"/>
              </w:rPr>
            </w:pPr>
            <w:r>
              <w:rPr>
                <w:b/>
                <w:bCs/>
                <w:lang w:val="fr-FR"/>
              </w:rPr>
              <w:t>ASTAP-26</w:t>
            </w:r>
            <w:r w:rsidR="00026787">
              <w:rPr>
                <w:b/>
                <w:bCs/>
                <w:lang w:val="fr-FR"/>
              </w:rPr>
              <w:t>/</w:t>
            </w:r>
            <w:r w:rsidR="000B2645">
              <w:rPr>
                <w:b/>
                <w:bCs/>
                <w:lang w:val="fr-FR"/>
              </w:rPr>
              <w:t>OUT-18</w:t>
            </w:r>
          </w:p>
        </w:tc>
      </w:tr>
      <w:tr w:rsidR="00AC2D96" w:rsidRPr="00AC2D96" w:rsidTr="00AC2D96">
        <w:trPr>
          <w:cantSplit/>
          <w:trHeight w:val="219"/>
        </w:trPr>
        <w:tc>
          <w:tcPr>
            <w:tcW w:w="1399" w:type="dxa"/>
            <w:vMerge/>
            <w:tcBorders>
              <w:top w:val="nil"/>
              <w:left w:val="nil"/>
              <w:bottom w:val="single" w:sz="12" w:space="0" w:color="auto"/>
              <w:right w:val="nil"/>
            </w:tcBorders>
          </w:tcPr>
          <w:p w:rsidR="00AC2D96" w:rsidRPr="00AC2D96" w:rsidRDefault="00AC2D96" w:rsidP="00AC2D96">
            <w:pPr>
              <w:rPr>
                <w:lang w:val="fr-FR"/>
              </w:rPr>
            </w:pPr>
          </w:p>
        </w:tc>
        <w:tc>
          <w:tcPr>
            <w:tcW w:w="5780" w:type="dxa"/>
            <w:gridSpan w:val="2"/>
            <w:tcBorders>
              <w:top w:val="nil"/>
              <w:left w:val="nil"/>
              <w:bottom w:val="single" w:sz="12" w:space="0" w:color="auto"/>
              <w:right w:val="nil"/>
            </w:tcBorders>
          </w:tcPr>
          <w:p w:rsidR="00AC2D96" w:rsidRPr="00AC2D96" w:rsidRDefault="00C34416" w:rsidP="00C34416">
            <w:r>
              <w:t>9 – 12</w:t>
            </w:r>
            <w:r w:rsidR="00AC2D96" w:rsidRPr="00AC2D96">
              <w:t xml:space="preserve"> </w:t>
            </w:r>
            <w:r>
              <w:t>September</w:t>
            </w:r>
            <w:r w:rsidR="00AC2D96" w:rsidRPr="00AC2D96">
              <w:t xml:space="preserve"> 2015, Bangkok, Thailand</w:t>
            </w:r>
          </w:p>
        </w:tc>
        <w:tc>
          <w:tcPr>
            <w:tcW w:w="2640" w:type="dxa"/>
            <w:gridSpan w:val="2"/>
            <w:tcBorders>
              <w:top w:val="nil"/>
              <w:left w:val="nil"/>
              <w:bottom w:val="single" w:sz="12" w:space="0" w:color="auto"/>
              <w:right w:val="nil"/>
            </w:tcBorders>
          </w:tcPr>
          <w:p w:rsidR="00AC2D96" w:rsidRPr="00AC2D96" w:rsidRDefault="002C5AF7" w:rsidP="00C34416">
            <w:pPr>
              <w:rPr>
                <w:b/>
              </w:rPr>
            </w:pPr>
            <w:r>
              <w:rPr>
                <w:b/>
              </w:rPr>
              <w:t>12</w:t>
            </w:r>
            <w:r w:rsidR="00AC2D96" w:rsidRPr="00AC2D96">
              <w:rPr>
                <w:b/>
              </w:rPr>
              <w:t xml:space="preserve"> </w:t>
            </w:r>
            <w:r w:rsidR="00C34416">
              <w:rPr>
                <w:b/>
              </w:rPr>
              <w:t>September</w:t>
            </w:r>
            <w:r w:rsidR="00AC2D96" w:rsidRPr="00AC2D96">
              <w:rPr>
                <w:b/>
              </w:rPr>
              <w:t xml:space="preserve"> 2015</w:t>
            </w:r>
          </w:p>
        </w:tc>
      </w:tr>
    </w:tbl>
    <w:p w:rsidR="000A6769" w:rsidRDefault="000A6769" w:rsidP="0063062B">
      <w:pPr>
        <w:jc w:val="center"/>
        <w:rPr>
          <w:b/>
          <w:bCs/>
          <w:caps/>
          <w:sz w:val="28"/>
          <w:szCs w:val="28"/>
        </w:rPr>
      </w:pPr>
    </w:p>
    <w:p w:rsidR="008F276B" w:rsidRPr="008F276B" w:rsidRDefault="00AC2D96" w:rsidP="008F276B">
      <w:pPr>
        <w:tabs>
          <w:tab w:val="left" w:pos="1440"/>
        </w:tabs>
        <w:spacing w:before="120"/>
        <w:ind w:left="1440" w:hanging="1440"/>
        <w:jc w:val="center"/>
        <w:rPr>
          <w:rFonts w:eastAsia="MS Mincho"/>
          <w:sz w:val="28"/>
          <w:szCs w:val="28"/>
          <w:lang w:eastAsia="ja-JP"/>
        </w:rPr>
      </w:pPr>
      <w:r>
        <w:rPr>
          <w:color w:val="000000"/>
          <w:sz w:val="28"/>
          <w:szCs w:val="28"/>
        </w:rPr>
        <w:t xml:space="preserve">Chairman, </w:t>
      </w:r>
      <w:r w:rsidR="00C34416">
        <w:rPr>
          <w:color w:val="000000"/>
          <w:sz w:val="28"/>
          <w:szCs w:val="28"/>
        </w:rPr>
        <w:t>Coordination Committee</w:t>
      </w:r>
    </w:p>
    <w:p w:rsidR="008F276B" w:rsidRPr="008F276B" w:rsidRDefault="00C34416" w:rsidP="008F276B">
      <w:pPr>
        <w:spacing w:before="120"/>
        <w:jc w:val="center"/>
        <w:rPr>
          <w:rFonts w:eastAsia="MS Mincho"/>
          <w:b/>
          <w:bCs/>
          <w:sz w:val="28"/>
          <w:szCs w:val="28"/>
          <w:lang w:eastAsia="ja-JP"/>
        </w:rPr>
      </w:pPr>
      <w:r>
        <w:rPr>
          <w:b/>
          <w:bCs/>
          <w:sz w:val="28"/>
          <w:szCs w:val="28"/>
        </w:rPr>
        <w:t>REPORT OF THE 3</w:t>
      </w:r>
      <w:r w:rsidRPr="00C34416">
        <w:rPr>
          <w:b/>
          <w:bCs/>
          <w:sz w:val="28"/>
          <w:szCs w:val="28"/>
          <w:vertAlign w:val="superscript"/>
        </w:rPr>
        <w:t>rd</w:t>
      </w:r>
      <w:r>
        <w:rPr>
          <w:b/>
          <w:bCs/>
          <w:sz w:val="28"/>
          <w:szCs w:val="28"/>
        </w:rPr>
        <w:t xml:space="preserve"> APT/ITU C&amp;I Event</w:t>
      </w:r>
    </w:p>
    <w:p w:rsidR="008F276B" w:rsidRDefault="008F276B" w:rsidP="008F276B">
      <w:pPr>
        <w:spacing w:before="120"/>
        <w:jc w:val="center"/>
        <w:rPr>
          <w:rFonts w:eastAsia="MS Mincho"/>
          <w:b/>
          <w:lang w:eastAsia="ja-JP"/>
        </w:rPr>
      </w:pPr>
    </w:p>
    <w:p w:rsidR="008F276B" w:rsidRPr="002E0E35" w:rsidRDefault="002E0E35" w:rsidP="00146E1B">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Pr>
          <w:b/>
        </w:rPr>
        <w:t>Introduction</w:t>
      </w:r>
    </w:p>
    <w:p w:rsidR="00C34416" w:rsidRDefault="00C34416" w:rsidP="00C34416">
      <w:pPr>
        <w:autoSpaceDE w:val="0"/>
        <w:autoSpaceDN w:val="0"/>
        <w:adjustRightInd w:val="0"/>
        <w:snapToGrid w:val="0"/>
        <w:spacing w:before="120"/>
        <w:ind w:left="426"/>
        <w:rPr>
          <w:rFonts w:eastAsia="MS Mincho"/>
          <w:lang w:eastAsia="ja-JP"/>
        </w:rPr>
      </w:pPr>
      <w:r>
        <w:rPr>
          <w:rFonts w:eastAsia="MS Mincho"/>
          <w:lang w:eastAsia="ja-JP"/>
        </w:rPr>
        <w:t>The 3</w:t>
      </w:r>
      <w:r w:rsidRPr="00C34416">
        <w:rPr>
          <w:rFonts w:eastAsia="MS Mincho"/>
          <w:vertAlign w:val="superscript"/>
          <w:lang w:eastAsia="ja-JP"/>
        </w:rPr>
        <w:t>rd</w:t>
      </w:r>
      <w:r>
        <w:rPr>
          <w:rFonts w:eastAsia="MS Mincho"/>
          <w:lang w:eastAsia="ja-JP"/>
        </w:rPr>
        <w:t xml:space="preserve"> APT/ITU Conformance and Interoperability </w:t>
      </w:r>
      <w:r w:rsidRPr="00C34416">
        <w:rPr>
          <w:rFonts w:eastAsia="MS Mincho"/>
          <w:lang w:eastAsia="ja-JP"/>
        </w:rPr>
        <w:t xml:space="preserve">(C&amp;I) </w:t>
      </w:r>
      <w:r>
        <w:rPr>
          <w:rFonts w:eastAsia="MS Mincho"/>
          <w:lang w:eastAsia="ja-JP"/>
        </w:rPr>
        <w:t>Event was held on 7</w:t>
      </w:r>
      <w:r w:rsidRPr="00C34416">
        <w:rPr>
          <w:rFonts w:eastAsia="MS Mincho"/>
          <w:vertAlign w:val="superscript"/>
          <w:lang w:eastAsia="ja-JP"/>
        </w:rPr>
        <w:t>th</w:t>
      </w:r>
      <w:r>
        <w:rPr>
          <w:rFonts w:eastAsia="MS Mincho"/>
          <w:lang w:eastAsia="ja-JP"/>
        </w:rPr>
        <w:t xml:space="preserve"> and 8</w:t>
      </w:r>
      <w:r w:rsidRPr="00C34416">
        <w:rPr>
          <w:rFonts w:eastAsia="MS Mincho"/>
          <w:vertAlign w:val="superscript"/>
          <w:lang w:eastAsia="ja-JP"/>
        </w:rPr>
        <w:t>th</w:t>
      </w:r>
      <w:r>
        <w:rPr>
          <w:rFonts w:eastAsia="MS Mincho"/>
          <w:lang w:eastAsia="ja-JP"/>
        </w:rPr>
        <w:t xml:space="preserve"> September 2015</w:t>
      </w:r>
      <w:r w:rsidR="00CC0922">
        <w:rPr>
          <w:rFonts w:eastAsia="MS Mincho"/>
          <w:lang w:eastAsia="ja-JP"/>
        </w:rPr>
        <w:t xml:space="preserve"> at the</w:t>
      </w:r>
      <w:r w:rsidR="00CC0922" w:rsidRPr="00CC0922">
        <w:rPr>
          <w:rFonts w:eastAsia="SimSun"/>
          <w:b/>
          <w:bCs/>
          <w:color w:val="000000"/>
          <w:lang w:eastAsia="zh-CN"/>
        </w:rPr>
        <w:t xml:space="preserve"> </w:t>
      </w:r>
      <w:r w:rsidR="00CC0922" w:rsidRPr="00CC0922">
        <w:rPr>
          <w:rFonts w:eastAsia="SimSun"/>
          <w:bCs/>
          <w:color w:val="000000"/>
          <w:lang w:eastAsia="zh-CN"/>
        </w:rPr>
        <w:t>Centara Grand at Central World</w:t>
      </w:r>
      <w:r w:rsidR="00CC0922" w:rsidRPr="00ED2526">
        <w:rPr>
          <w:rFonts w:eastAsia="SimSun"/>
          <w:b/>
          <w:bCs/>
          <w:color w:val="000000"/>
          <w:lang w:eastAsia="zh-CN"/>
        </w:rPr>
        <w:t xml:space="preserve"> </w:t>
      </w:r>
      <w:r w:rsidR="00CC0922">
        <w:rPr>
          <w:rFonts w:eastAsia="SimSun"/>
          <w:bCs/>
          <w:color w:val="000000"/>
          <w:lang w:eastAsia="zh-CN"/>
        </w:rPr>
        <w:t>in Bangkok.</w:t>
      </w:r>
      <w:r>
        <w:rPr>
          <w:rFonts w:eastAsia="MS Mincho"/>
          <w:lang w:eastAsia="ja-JP"/>
        </w:rPr>
        <w:t xml:space="preserve"> This event was jointly organized by APT and ITU. 114 participants registered to this event and </w:t>
      </w:r>
      <w:r w:rsidR="00304062">
        <w:rPr>
          <w:rFonts w:eastAsia="MS Mincho"/>
          <w:lang w:eastAsia="ja-JP"/>
        </w:rPr>
        <w:t>9</w:t>
      </w:r>
      <w:r>
        <w:rPr>
          <w:rFonts w:eastAsia="MS Mincho"/>
          <w:lang w:eastAsia="ja-JP"/>
        </w:rPr>
        <w:t xml:space="preserve"> exhibitors provided testing/showcasing in this event. In the workshop which was held on 8</w:t>
      </w:r>
      <w:r w:rsidRPr="00C34416">
        <w:rPr>
          <w:rFonts w:eastAsia="MS Mincho"/>
          <w:vertAlign w:val="superscript"/>
          <w:lang w:eastAsia="ja-JP"/>
        </w:rPr>
        <w:t>th</w:t>
      </w:r>
      <w:r>
        <w:rPr>
          <w:rFonts w:eastAsia="MS Mincho"/>
          <w:lang w:eastAsia="ja-JP"/>
        </w:rPr>
        <w:t xml:space="preserve"> September, 16 presentations were introduced from APT member country, invited speaker, exhibitors and ITU.</w:t>
      </w:r>
    </w:p>
    <w:p w:rsidR="00C34416" w:rsidRDefault="00C34416" w:rsidP="00C34416">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sidRPr="00C34416">
        <w:rPr>
          <w:b/>
        </w:rPr>
        <w:t xml:space="preserve">Objectives of the event   </w:t>
      </w:r>
    </w:p>
    <w:p w:rsidR="00C34416" w:rsidRPr="00C34416" w:rsidRDefault="00C34416" w:rsidP="00C34416">
      <w:pPr>
        <w:autoSpaceDE w:val="0"/>
        <w:autoSpaceDN w:val="0"/>
        <w:adjustRightInd w:val="0"/>
        <w:snapToGrid w:val="0"/>
        <w:spacing w:before="120"/>
        <w:ind w:left="426"/>
        <w:rPr>
          <w:rFonts w:eastAsia="MS Mincho"/>
          <w:lang w:eastAsia="ja-JP"/>
        </w:rPr>
      </w:pPr>
      <w:r w:rsidRPr="00C34416">
        <w:rPr>
          <w:rFonts w:eastAsia="MS Mincho"/>
          <w:lang w:eastAsia="ja-JP"/>
        </w:rPr>
        <w:t xml:space="preserve">The objective of the APT/ITU Conformance and Interoperability Event is to foster understanding and promote activities on C&amp;I in the APT region. The event will also directly contribute to capability building and finding a solution for interoperability issues of APT member countries. </w:t>
      </w:r>
    </w:p>
    <w:p w:rsidR="00C34416" w:rsidRPr="00C34416" w:rsidRDefault="00C34416" w:rsidP="00CC0922">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sidRPr="00C34416">
        <w:rPr>
          <w:b/>
        </w:rPr>
        <w:t xml:space="preserve">The date of the event </w:t>
      </w:r>
    </w:p>
    <w:p w:rsidR="00AF3403" w:rsidRPr="00AF3403" w:rsidRDefault="00AF3403" w:rsidP="00F544E4">
      <w:pPr>
        <w:numPr>
          <w:ilvl w:val="0"/>
          <w:numId w:val="10"/>
        </w:numPr>
        <w:tabs>
          <w:tab w:val="left" w:pos="4678"/>
          <w:tab w:val="left" w:pos="6096"/>
        </w:tabs>
        <w:autoSpaceDE w:val="0"/>
        <w:autoSpaceDN w:val="0"/>
        <w:spacing w:before="60"/>
        <w:ind w:left="357" w:hanging="357"/>
        <w:rPr>
          <w:rFonts w:eastAsia="MS Mincho" w:cs="Angsana New"/>
          <w:lang w:val="en-AU" w:eastAsia="ja-JP"/>
        </w:rPr>
      </w:pPr>
      <w:r w:rsidRPr="00AF3403">
        <w:rPr>
          <w:rFonts w:eastAsia="MS Mincho" w:cs="Angsana New" w:hint="eastAsia"/>
          <w:lang w:val="en-AU" w:eastAsia="ja-JP"/>
        </w:rPr>
        <w:t xml:space="preserve">Conformance and </w:t>
      </w:r>
      <w:r w:rsidRPr="00AF3403">
        <w:rPr>
          <w:rFonts w:eastAsia="MS Mincho" w:cs="Angsana New"/>
          <w:lang w:val="en-AU" w:eastAsia="ja-JP"/>
        </w:rPr>
        <w:t>I</w:t>
      </w:r>
      <w:r w:rsidRPr="00AF3403">
        <w:rPr>
          <w:rFonts w:eastAsia="MS Mincho" w:cs="Angsana New" w:hint="eastAsia"/>
          <w:lang w:val="en-AU" w:eastAsia="ja-JP"/>
        </w:rPr>
        <w:t xml:space="preserve">nteroperability </w:t>
      </w:r>
      <w:r w:rsidRPr="00AF3403">
        <w:rPr>
          <w:rFonts w:eastAsia="MS Mincho" w:cs="Angsana New"/>
          <w:lang w:val="en-AU" w:eastAsia="ja-JP"/>
        </w:rPr>
        <w:t>T</w:t>
      </w:r>
      <w:r w:rsidRPr="00AF3403">
        <w:rPr>
          <w:rFonts w:eastAsia="MS Mincho" w:cs="Angsana New" w:hint="eastAsia"/>
          <w:lang w:val="en-AU" w:eastAsia="ja-JP"/>
        </w:rPr>
        <w:t xml:space="preserve">esting: </w:t>
      </w:r>
      <w:r>
        <w:rPr>
          <w:rFonts w:eastAsia="MS Mincho" w:cs="Angsana New"/>
          <w:lang w:val="en-AU" w:eastAsia="ja-JP"/>
        </w:rPr>
        <w:tab/>
      </w:r>
      <w:r w:rsidRPr="00AF3403">
        <w:rPr>
          <w:rFonts w:eastAsia="MS Mincho" w:cs="Angsana New"/>
          <w:lang w:val="en-AU" w:eastAsia="ja-JP"/>
        </w:rPr>
        <w:t>7</w:t>
      </w:r>
      <w:r w:rsidRPr="00AF3403">
        <w:rPr>
          <w:rFonts w:eastAsia="MS Mincho" w:cs="Angsana New"/>
          <w:vertAlign w:val="superscript"/>
          <w:lang w:val="en-AU" w:eastAsia="ja-JP"/>
        </w:rPr>
        <w:t>th</w:t>
      </w:r>
      <w:r>
        <w:rPr>
          <w:rFonts w:eastAsia="MS Mincho" w:cs="Angsana New"/>
          <w:lang w:val="en-AU" w:eastAsia="ja-JP"/>
        </w:rPr>
        <w:t xml:space="preserve"> AM</w:t>
      </w:r>
      <w:r w:rsidRPr="00AF3403">
        <w:rPr>
          <w:rFonts w:eastAsia="MS Mincho" w:cs="Angsana New"/>
          <w:lang w:val="en-AU" w:eastAsia="ja-JP"/>
        </w:rPr>
        <w:t xml:space="preserve"> September 2015</w:t>
      </w:r>
    </w:p>
    <w:p w:rsidR="00AF3403" w:rsidRPr="00AF3403" w:rsidRDefault="00AF3403" w:rsidP="00F544E4">
      <w:pPr>
        <w:numPr>
          <w:ilvl w:val="0"/>
          <w:numId w:val="10"/>
        </w:numPr>
        <w:tabs>
          <w:tab w:val="left" w:pos="4678"/>
          <w:tab w:val="left" w:pos="6096"/>
        </w:tabs>
        <w:autoSpaceDE w:val="0"/>
        <w:autoSpaceDN w:val="0"/>
        <w:spacing w:before="60"/>
        <w:ind w:left="357" w:hanging="357"/>
        <w:rPr>
          <w:rFonts w:eastAsia="MS Mincho" w:cs="Angsana New"/>
          <w:lang w:val="en-AU" w:eastAsia="ja-JP"/>
        </w:rPr>
      </w:pPr>
      <w:r w:rsidRPr="00AF3403">
        <w:rPr>
          <w:rFonts w:eastAsia="MS Mincho" w:cs="Angsana New" w:hint="eastAsia"/>
          <w:lang w:val="en-AU" w:eastAsia="ja-JP"/>
        </w:rPr>
        <w:t xml:space="preserve">Showcasing: </w:t>
      </w:r>
      <w:r>
        <w:rPr>
          <w:rFonts w:eastAsia="MS Mincho" w:cs="Angsana New"/>
          <w:lang w:val="en-AU" w:eastAsia="ja-JP"/>
        </w:rPr>
        <w:tab/>
      </w:r>
      <w:r w:rsidRPr="00AF3403">
        <w:rPr>
          <w:rFonts w:eastAsia="MS Mincho" w:cs="Angsana New"/>
          <w:lang w:val="en-AU" w:eastAsia="ja-JP"/>
        </w:rPr>
        <w:t>7</w:t>
      </w:r>
      <w:r w:rsidR="00501D76" w:rsidRPr="00501D76">
        <w:rPr>
          <w:rFonts w:eastAsia="MS Mincho" w:cs="Angsana New"/>
          <w:vertAlign w:val="superscript"/>
          <w:lang w:val="en-AU" w:eastAsia="ja-JP"/>
        </w:rPr>
        <w:t>th</w:t>
      </w:r>
      <w:r w:rsidR="00501D76">
        <w:rPr>
          <w:rFonts w:eastAsia="MS Mincho" w:cs="Angsana New"/>
          <w:lang w:val="en-AU" w:eastAsia="ja-JP"/>
        </w:rPr>
        <w:t xml:space="preserve"> </w:t>
      </w:r>
      <w:r>
        <w:rPr>
          <w:rFonts w:eastAsia="MS Mincho" w:cs="Angsana New"/>
          <w:lang w:val="en-AU" w:eastAsia="ja-JP"/>
        </w:rPr>
        <w:t>PM</w:t>
      </w:r>
      <w:r w:rsidRPr="00AF3403">
        <w:rPr>
          <w:rFonts w:eastAsia="MS Mincho" w:cs="Angsana New"/>
          <w:lang w:val="en-AU" w:eastAsia="ja-JP"/>
        </w:rPr>
        <w:t xml:space="preserve"> September </w:t>
      </w:r>
      <w:r w:rsidRPr="00AF3403">
        <w:rPr>
          <w:rFonts w:eastAsia="MS Mincho" w:cs="Angsana New" w:hint="eastAsia"/>
          <w:lang w:val="en-AU" w:eastAsia="ja-JP"/>
        </w:rPr>
        <w:t xml:space="preserve"> </w:t>
      </w:r>
      <w:r w:rsidRPr="00AF3403">
        <w:rPr>
          <w:rFonts w:eastAsia="MS Mincho" w:cs="Angsana New"/>
          <w:lang w:val="en-AU" w:eastAsia="ja-JP"/>
        </w:rPr>
        <w:t>–</w:t>
      </w:r>
      <w:r w:rsidRPr="00AF3403">
        <w:rPr>
          <w:rFonts w:eastAsia="MS Mincho" w:cs="Angsana New" w:hint="eastAsia"/>
          <w:lang w:val="en-AU" w:eastAsia="ja-JP"/>
        </w:rPr>
        <w:t xml:space="preserve"> </w:t>
      </w:r>
      <w:r w:rsidRPr="00AF3403">
        <w:rPr>
          <w:rFonts w:eastAsia="MS Mincho" w:cs="Angsana New"/>
          <w:lang w:val="en-AU" w:eastAsia="ja-JP"/>
        </w:rPr>
        <w:t>9</w:t>
      </w:r>
      <w:r w:rsidR="00501D76" w:rsidRPr="00501D76">
        <w:rPr>
          <w:rFonts w:eastAsia="MS Mincho" w:cs="Angsana New"/>
          <w:vertAlign w:val="superscript"/>
          <w:lang w:val="en-AU" w:eastAsia="ja-JP"/>
        </w:rPr>
        <w:t>th</w:t>
      </w:r>
      <w:r>
        <w:rPr>
          <w:rFonts w:eastAsia="MS Mincho" w:cs="Angsana New"/>
          <w:lang w:val="en-AU" w:eastAsia="ja-JP"/>
        </w:rPr>
        <w:t xml:space="preserve"> </w:t>
      </w:r>
      <w:r w:rsidRPr="00AF3403">
        <w:rPr>
          <w:rFonts w:eastAsia="MS Mincho" w:cs="Angsana New"/>
          <w:lang w:val="en-AU" w:eastAsia="ja-JP"/>
        </w:rPr>
        <w:t xml:space="preserve">September </w:t>
      </w:r>
      <w:r w:rsidRPr="00AF3403">
        <w:rPr>
          <w:rFonts w:eastAsia="MS Mincho" w:cs="Angsana New" w:hint="eastAsia"/>
          <w:lang w:val="en-AU" w:eastAsia="ja-JP"/>
        </w:rPr>
        <w:t>201</w:t>
      </w:r>
      <w:r w:rsidRPr="00AF3403">
        <w:rPr>
          <w:rFonts w:eastAsia="MS Mincho" w:cs="Angsana New"/>
          <w:lang w:val="en-AU" w:eastAsia="ja-JP"/>
        </w:rPr>
        <w:t>5</w:t>
      </w:r>
    </w:p>
    <w:p w:rsidR="00AF3403" w:rsidRPr="00AF3403" w:rsidRDefault="00AF3403" w:rsidP="00F544E4">
      <w:pPr>
        <w:numPr>
          <w:ilvl w:val="0"/>
          <w:numId w:val="10"/>
        </w:numPr>
        <w:tabs>
          <w:tab w:val="left" w:pos="4678"/>
          <w:tab w:val="left" w:pos="6096"/>
        </w:tabs>
        <w:autoSpaceDE w:val="0"/>
        <w:autoSpaceDN w:val="0"/>
        <w:spacing w:before="60"/>
        <w:ind w:left="357" w:hanging="357"/>
        <w:rPr>
          <w:rFonts w:eastAsia="MS Mincho" w:cs="Angsana New"/>
          <w:lang w:val="en-AU" w:eastAsia="ja-JP"/>
        </w:rPr>
      </w:pPr>
      <w:r w:rsidRPr="00AF3403">
        <w:rPr>
          <w:rFonts w:eastAsia="MS Mincho" w:cs="Angsana New" w:hint="eastAsia"/>
          <w:lang w:val="en-AU" w:eastAsia="ja-JP"/>
        </w:rPr>
        <w:t xml:space="preserve">Workshop: </w:t>
      </w:r>
      <w:r>
        <w:rPr>
          <w:rFonts w:eastAsia="MS Mincho" w:cs="Angsana New"/>
          <w:lang w:val="en-AU" w:eastAsia="ja-JP"/>
        </w:rPr>
        <w:tab/>
        <w:t>8</w:t>
      </w:r>
      <w:r w:rsidRPr="00AF3403">
        <w:rPr>
          <w:rFonts w:eastAsia="MS Mincho" w:cs="Angsana New"/>
          <w:vertAlign w:val="superscript"/>
          <w:lang w:val="en-AU" w:eastAsia="ja-JP"/>
        </w:rPr>
        <w:t>th</w:t>
      </w:r>
      <w:r>
        <w:rPr>
          <w:rFonts w:eastAsia="MS Mincho" w:cs="Angsana New"/>
          <w:lang w:val="en-AU" w:eastAsia="ja-JP"/>
        </w:rPr>
        <w:t xml:space="preserve"> </w:t>
      </w:r>
      <w:r w:rsidRPr="00AF3403">
        <w:rPr>
          <w:rFonts w:eastAsia="MS Mincho" w:cs="Angsana New"/>
          <w:lang w:val="en-AU" w:eastAsia="ja-JP"/>
        </w:rPr>
        <w:t>September 2015</w:t>
      </w:r>
    </w:p>
    <w:p w:rsidR="00635338" w:rsidRPr="00351478" w:rsidRDefault="00351478" w:rsidP="00351478">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sidRPr="00351478">
        <w:rPr>
          <w:b/>
        </w:rPr>
        <w:t>Testing and Showcasing</w:t>
      </w:r>
    </w:p>
    <w:p w:rsidR="00C34416" w:rsidRPr="00C34416" w:rsidRDefault="00351478" w:rsidP="00351478">
      <w:pPr>
        <w:autoSpaceDE w:val="0"/>
        <w:autoSpaceDN w:val="0"/>
        <w:adjustRightInd w:val="0"/>
        <w:snapToGrid w:val="0"/>
        <w:spacing w:before="120"/>
        <w:ind w:left="426"/>
        <w:rPr>
          <w:rFonts w:eastAsia="MS Mincho"/>
          <w:lang w:eastAsia="ja-JP"/>
        </w:rPr>
      </w:pPr>
      <w:r>
        <w:rPr>
          <w:rFonts w:eastAsia="MS Mincho"/>
          <w:lang w:eastAsia="ja-JP"/>
        </w:rPr>
        <w:t>The following testing and showcasing were provided by the exhibitors.</w:t>
      </w:r>
    </w:p>
    <w:p w:rsidR="0077323B" w:rsidRPr="00A810DA" w:rsidRDefault="0077323B" w:rsidP="00A810DA">
      <w:pPr>
        <w:pStyle w:val="ListParagraph"/>
        <w:numPr>
          <w:ilvl w:val="0"/>
          <w:numId w:val="44"/>
        </w:numPr>
        <w:tabs>
          <w:tab w:val="left" w:pos="4678"/>
          <w:tab w:val="left" w:pos="6096"/>
        </w:tabs>
        <w:autoSpaceDE w:val="0"/>
        <w:autoSpaceDN w:val="0"/>
        <w:spacing w:beforeLines="0" w:before="120"/>
        <w:ind w:leftChars="0" w:left="357" w:hanging="357"/>
        <w:rPr>
          <w:rFonts w:eastAsia="MS Mincho"/>
          <w:b/>
          <w:sz w:val="24"/>
          <w:szCs w:val="24"/>
          <w:lang w:val="en-AU" w:eastAsia="ja-JP"/>
        </w:rPr>
      </w:pPr>
      <w:r w:rsidRPr="00A810DA">
        <w:rPr>
          <w:rFonts w:eastAsia="MS Mincho"/>
          <w:b/>
          <w:sz w:val="24"/>
          <w:szCs w:val="24"/>
          <w:lang w:val="en-AU" w:eastAsia="ja-JP"/>
        </w:rPr>
        <w:t>Key component for Broadband Access Network (NTT electronics, Japan)</w:t>
      </w:r>
    </w:p>
    <w:p w:rsidR="00A810DA" w:rsidRDefault="00A810DA" w:rsidP="00A810DA">
      <w:pPr>
        <w:autoSpaceDE w:val="0"/>
        <w:autoSpaceDN w:val="0"/>
        <w:adjustRightInd w:val="0"/>
        <w:snapToGrid w:val="0"/>
        <w:spacing w:before="120" w:after="120"/>
        <w:ind w:left="425"/>
        <w:rPr>
          <w:rFonts w:eastAsia="MS Mincho"/>
          <w:lang w:eastAsia="ja-JP"/>
        </w:rPr>
      </w:pPr>
      <w:r w:rsidRPr="00A810DA">
        <w:rPr>
          <w:rFonts w:eastAsia="MS Mincho"/>
          <w:lang w:eastAsia="ja-JP"/>
        </w:rPr>
        <w:t>NTT Electronics</w:t>
      </w:r>
      <w:r>
        <w:rPr>
          <w:rFonts w:eastAsia="MS Mincho" w:hint="eastAsia"/>
          <w:lang w:eastAsia="ja-JP"/>
        </w:rPr>
        <w:t xml:space="preserve"> </w:t>
      </w:r>
      <w:r w:rsidRPr="00A810DA">
        <w:rPr>
          <w:rFonts w:eastAsia="MS Mincho"/>
          <w:lang w:eastAsia="ja-JP"/>
        </w:rPr>
        <w:t>(NEL) is the world's leading provider of key devices for telecom equipment in the fields of long-haul, metro-core and access networks, such as optical passive components, LSIs and transceivers. NEL showcasing provided information and sample display for Optical PLC Splitters which is based on G.671, EPON OLT/ONU MAC LSI and 10G/1G Burst-mode TIA which is based on G.9801 respectively.</w:t>
      </w:r>
    </w:p>
    <w:p w:rsidR="00A810DA" w:rsidRDefault="00A810DA" w:rsidP="00023714">
      <w:pPr>
        <w:autoSpaceDE w:val="0"/>
        <w:autoSpaceDN w:val="0"/>
        <w:adjustRightInd w:val="0"/>
        <w:snapToGrid w:val="0"/>
        <w:spacing w:before="120"/>
        <w:jc w:val="center"/>
        <w:rPr>
          <w:rFonts w:eastAsia="MS Mincho"/>
          <w:lang w:eastAsia="ja-JP"/>
        </w:rPr>
      </w:pPr>
      <w:r>
        <w:rPr>
          <w:rFonts w:eastAsia="MS Mincho"/>
          <w:noProof/>
          <w:lang w:eastAsia="zh-CN"/>
        </w:rPr>
        <w:lastRenderedPageBreak/>
        <w:drawing>
          <wp:inline distT="0" distB="0" distL="0" distR="0">
            <wp:extent cx="5134675" cy="38576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632" cy="3902670"/>
                    </a:xfrm>
                    <a:prstGeom prst="rect">
                      <a:avLst/>
                    </a:prstGeom>
                    <a:noFill/>
                    <a:ln>
                      <a:noFill/>
                    </a:ln>
                  </pic:spPr>
                </pic:pic>
              </a:graphicData>
            </a:graphic>
          </wp:inline>
        </w:drawing>
      </w:r>
    </w:p>
    <w:p w:rsidR="00DD6B45" w:rsidRDefault="0077323B"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A810DA">
        <w:rPr>
          <w:rFonts w:eastAsia="MS Mincho"/>
          <w:b/>
          <w:sz w:val="24"/>
          <w:szCs w:val="24"/>
          <w:lang w:val="en-AU" w:eastAsia="ja-JP"/>
        </w:rPr>
        <w:t>Smart City (Fujikura Ltd, Japan)</w:t>
      </w:r>
    </w:p>
    <w:p w:rsidR="00023714" w:rsidRPr="00023714" w:rsidRDefault="00023714" w:rsidP="00023714">
      <w:pPr>
        <w:autoSpaceDE w:val="0"/>
        <w:autoSpaceDN w:val="0"/>
        <w:adjustRightInd w:val="0"/>
        <w:snapToGrid w:val="0"/>
        <w:spacing w:before="120"/>
        <w:ind w:left="425"/>
        <w:rPr>
          <w:rFonts w:eastAsia="MS Mincho"/>
          <w:lang w:eastAsia="ja-JP"/>
        </w:rPr>
      </w:pPr>
      <w:r w:rsidRPr="00023714">
        <w:rPr>
          <w:rFonts w:eastAsia="MS Mincho"/>
          <w:lang w:eastAsia="ja-JP"/>
        </w:rPr>
        <w:t>Theme for the exhibition is "smart city". Fujikura showcased the following goods.</w:t>
      </w:r>
    </w:p>
    <w:p w:rsidR="00023714" w:rsidRPr="00023714" w:rsidRDefault="00023714" w:rsidP="00023714">
      <w:pPr>
        <w:pStyle w:val="ListParagraph"/>
        <w:numPr>
          <w:ilvl w:val="0"/>
          <w:numId w:val="48"/>
        </w:numPr>
        <w:autoSpaceDE w:val="0"/>
        <w:autoSpaceDN w:val="0"/>
        <w:adjustRightInd w:val="0"/>
        <w:snapToGrid w:val="0"/>
        <w:spacing w:beforeLines="0"/>
        <w:ind w:leftChars="0" w:left="1139" w:hanging="357"/>
        <w:rPr>
          <w:rFonts w:eastAsia="MS Mincho"/>
          <w:sz w:val="24"/>
          <w:szCs w:val="24"/>
          <w:lang w:eastAsia="ja-JP"/>
        </w:rPr>
      </w:pPr>
      <w:r w:rsidRPr="00023714">
        <w:rPr>
          <w:rFonts w:eastAsia="MS Mincho"/>
          <w:sz w:val="24"/>
          <w:szCs w:val="24"/>
          <w:lang w:eastAsia="ja-JP"/>
        </w:rPr>
        <w:t>Wireless Broadband Leaky Coaxial Cable (WBLCX).</w:t>
      </w:r>
    </w:p>
    <w:p w:rsidR="00023714" w:rsidRPr="00023714" w:rsidRDefault="00023714" w:rsidP="00023714">
      <w:pPr>
        <w:pStyle w:val="ListParagraph"/>
        <w:numPr>
          <w:ilvl w:val="0"/>
          <w:numId w:val="48"/>
        </w:numPr>
        <w:autoSpaceDE w:val="0"/>
        <w:autoSpaceDN w:val="0"/>
        <w:adjustRightInd w:val="0"/>
        <w:snapToGrid w:val="0"/>
        <w:spacing w:beforeLines="0"/>
        <w:ind w:leftChars="0" w:left="1139" w:hanging="357"/>
        <w:rPr>
          <w:rFonts w:eastAsia="MS Mincho"/>
          <w:sz w:val="24"/>
          <w:szCs w:val="24"/>
          <w:lang w:eastAsia="ja-JP"/>
        </w:rPr>
      </w:pPr>
      <w:r w:rsidRPr="00023714">
        <w:rPr>
          <w:rFonts w:eastAsia="MS Mincho"/>
          <w:sz w:val="24"/>
          <w:szCs w:val="24"/>
          <w:lang w:eastAsia="ja-JP"/>
        </w:rPr>
        <w:t>Fixed Wireless Access (FWA) for WI-FI.</w:t>
      </w:r>
    </w:p>
    <w:p w:rsidR="00023714" w:rsidRPr="00023714" w:rsidRDefault="00023714" w:rsidP="00023714">
      <w:pPr>
        <w:pStyle w:val="ListParagraph"/>
        <w:numPr>
          <w:ilvl w:val="0"/>
          <w:numId w:val="48"/>
        </w:numPr>
        <w:autoSpaceDE w:val="0"/>
        <w:autoSpaceDN w:val="0"/>
        <w:adjustRightInd w:val="0"/>
        <w:snapToGrid w:val="0"/>
        <w:spacing w:beforeLines="0"/>
        <w:ind w:leftChars="0" w:left="1139" w:hanging="357"/>
        <w:rPr>
          <w:rFonts w:eastAsia="MS Mincho"/>
          <w:sz w:val="24"/>
          <w:szCs w:val="24"/>
          <w:lang w:eastAsia="ja-JP"/>
        </w:rPr>
      </w:pPr>
      <w:r w:rsidRPr="00023714">
        <w:rPr>
          <w:rFonts w:eastAsia="MS Mincho"/>
          <w:sz w:val="24"/>
          <w:szCs w:val="24"/>
          <w:lang w:eastAsia="ja-JP"/>
        </w:rPr>
        <w:t>Optical Fiber Perimeter Intrusion Detection System (PIDS).</w:t>
      </w:r>
    </w:p>
    <w:p w:rsidR="00023714" w:rsidRPr="00023714" w:rsidRDefault="00023714" w:rsidP="00023714">
      <w:pPr>
        <w:pStyle w:val="ListParagraph"/>
        <w:numPr>
          <w:ilvl w:val="0"/>
          <w:numId w:val="48"/>
        </w:numPr>
        <w:autoSpaceDE w:val="0"/>
        <w:autoSpaceDN w:val="0"/>
        <w:adjustRightInd w:val="0"/>
        <w:snapToGrid w:val="0"/>
        <w:spacing w:beforeLines="0"/>
        <w:ind w:leftChars="0" w:left="1139" w:hanging="357"/>
        <w:rPr>
          <w:rFonts w:eastAsia="MS Mincho"/>
          <w:sz w:val="24"/>
          <w:szCs w:val="24"/>
          <w:lang w:eastAsia="ja-JP"/>
        </w:rPr>
      </w:pPr>
      <w:r w:rsidRPr="00023714">
        <w:rPr>
          <w:rFonts w:eastAsia="MS Mincho"/>
          <w:sz w:val="24"/>
          <w:szCs w:val="24"/>
          <w:lang w:eastAsia="ja-JP"/>
        </w:rPr>
        <w:t>Quick Charger for Electric Vehicle.</w:t>
      </w:r>
    </w:p>
    <w:p w:rsidR="00023714" w:rsidRPr="00023714" w:rsidRDefault="00023714" w:rsidP="00023714">
      <w:pPr>
        <w:pStyle w:val="ListParagraph"/>
        <w:numPr>
          <w:ilvl w:val="0"/>
          <w:numId w:val="48"/>
        </w:numPr>
        <w:autoSpaceDE w:val="0"/>
        <w:autoSpaceDN w:val="0"/>
        <w:adjustRightInd w:val="0"/>
        <w:snapToGrid w:val="0"/>
        <w:spacing w:beforeLines="0" w:after="120"/>
        <w:ind w:leftChars="0" w:left="1139" w:hanging="357"/>
        <w:jc w:val="left"/>
        <w:rPr>
          <w:rFonts w:eastAsia="MS Mincho"/>
          <w:sz w:val="24"/>
          <w:szCs w:val="24"/>
          <w:lang w:eastAsia="ja-JP"/>
        </w:rPr>
      </w:pPr>
      <w:r w:rsidRPr="00023714">
        <w:rPr>
          <w:rFonts w:eastAsia="MS Mincho"/>
          <w:sz w:val="24"/>
          <w:szCs w:val="24"/>
          <w:lang w:eastAsia="ja-JP"/>
        </w:rPr>
        <w:t>High Voltage Shore Connection System (HVSC System).</w:t>
      </w:r>
    </w:p>
    <w:p w:rsidR="00DD6B45" w:rsidRPr="00023714" w:rsidRDefault="00FD0C23" w:rsidP="00023714">
      <w:pPr>
        <w:pStyle w:val="ListParagraph"/>
        <w:autoSpaceDE w:val="0"/>
        <w:autoSpaceDN w:val="0"/>
        <w:adjustRightInd w:val="0"/>
        <w:snapToGrid w:val="0"/>
        <w:spacing w:beforeLines="0" w:after="120"/>
        <w:ind w:leftChars="0" w:left="0"/>
        <w:jc w:val="center"/>
        <w:rPr>
          <w:rFonts w:eastAsia="MS Mincho"/>
          <w:lang w:eastAsia="ja-JP"/>
        </w:rPr>
      </w:pPr>
      <w:r w:rsidRPr="00FD0C23">
        <w:rPr>
          <w:rFonts w:eastAsia="MS Mincho"/>
          <w:noProof/>
          <w:bdr w:val="single" w:sz="4" w:space="0" w:color="auto"/>
          <w:lang w:eastAsia="zh-CN"/>
        </w:rPr>
        <w:drawing>
          <wp:inline distT="0" distB="0" distL="0" distR="0" wp14:anchorId="39935886" wp14:editId="64B7D2BC">
            <wp:extent cx="5206235" cy="366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9421" cy="3718675"/>
                    </a:xfrm>
                    <a:prstGeom prst="rect">
                      <a:avLst/>
                    </a:prstGeom>
                    <a:noFill/>
                    <a:ln>
                      <a:noFill/>
                    </a:ln>
                  </pic:spPr>
                </pic:pic>
              </a:graphicData>
            </a:graphic>
          </wp:inline>
        </w:drawing>
      </w:r>
    </w:p>
    <w:p w:rsidR="0077323B" w:rsidRPr="00A810DA" w:rsidRDefault="0077323B"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A810DA">
        <w:rPr>
          <w:rFonts w:eastAsia="MS Mincho"/>
          <w:b/>
          <w:sz w:val="24"/>
          <w:szCs w:val="24"/>
          <w:lang w:val="en-AU" w:eastAsia="ja-JP"/>
        </w:rPr>
        <w:lastRenderedPageBreak/>
        <w:t>Optical Sensor and OSP products (Furukawa Electric, Japan)</w:t>
      </w:r>
    </w:p>
    <w:p w:rsidR="00716290" w:rsidRPr="00716290" w:rsidRDefault="00716290" w:rsidP="00716290">
      <w:pPr>
        <w:tabs>
          <w:tab w:val="left" w:pos="4678"/>
          <w:tab w:val="left" w:pos="6096"/>
        </w:tabs>
        <w:autoSpaceDE w:val="0"/>
        <w:autoSpaceDN w:val="0"/>
        <w:spacing w:before="60"/>
        <w:ind w:left="360"/>
        <w:rPr>
          <w:rFonts w:eastAsia="MS Mincho"/>
          <w:lang w:eastAsia="ja-JP"/>
        </w:rPr>
      </w:pPr>
      <w:r w:rsidRPr="00716290">
        <w:rPr>
          <w:rFonts w:eastAsia="MS Mincho"/>
          <w:lang w:eastAsia="ja-JP"/>
        </w:rPr>
        <w:t>Furukawa Electric exhibited Optical sensor, Optical cable (Loose tub</w:t>
      </w:r>
      <w:r w:rsidRPr="00716290">
        <w:rPr>
          <w:rFonts w:eastAsia="MS Mincho" w:hint="eastAsia"/>
          <w:lang w:eastAsia="ja-JP"/>
        </w:rPr>
        <w:t>e</w:t>
      </w:r>
      <w:r w:rsidRPr="00716290">
        <w:rPr>
          <w:rFonts w:eastAsia="MS Mincho"/>
          <w:lang w:eastAsia="ja-JP"/>
        </w:rPr>
        <w:t xml:space="preserve"> cable and Drop), Fusion Splicer S178A and Conduit.</w:t>
      </w:r>
      <w:r w:rsidRPr="00716290">
        <w:rPr>
          <w:rFonts w:eastAsia="MS Mincho" w:hint="eastAsia"/>
          <w:lang w:eastAsia="ja-JP"/>
        </w:rPr>
        <w:t xml:space="preserve"> </w:t>
      </w:r>
      <w:r w:rsidRPr="00716290">
        <w:rPr>
          <w:rFonts w:eastAsia="MS Mincho"/>
          <w:lang w:eastAsia="ja-JP"/>
        </w:rPr>
        <w:t>These products are accommodated to common optical fiber network using ITU-T.G. fiber specifications. Today, we are facing strange weather, we have never seen due to global warming. And we are threatened by various disasters caused by heavy rain. For example, Mudslide, Flood of river, Road submergence, and others. Therefore, it's important to see whether the disasters are likely to occur or not. Furukawa’</w:t>
      </w:r>
      <w:r w:rsidRPr="00716290">
        <w:rPr>
          <w:rFonts w:eastAsia="MS Mincho" w:hint="eastAsia"/>
          <w:lang w:eastAsia="ja-JP"/>
        </w:rPr>
        <w:t>s</w:t>
      </w:r>
      <w:r w:rsidRPr="00716290">
        <w:rPr>
          <w:rFonts w:eastAsia="MS Mincho"/>
          <w:lang w:eastAsia="ja-JP"/>
        </w:rPr>
        <w:t xml:space="preserve"> Optical sensor system is effective to prevent disaster. </w:t>
      </w:r>
      <w:r w:rsidRPr="00716290">
        <w:rPr>
          <w:rFonts w:eastAsia="MS Mincho" w:hint="eastAsia"/>
          <w:lang w:eastAsia="ja-JP"/>
        </w:rPr>
        <w:t>These</w:t>
      </w:r>
      <w:r w:rsidRPr="00716290">
        <w:rPr>
          <w:rFonts w:eastAsia="MS Mincho"/>
          <w:lang w:eastAsia="ja-JP"/>
        </w:rPr>
        <w:t xml:space="preserve"> sensors have Simple and Robust structure. So, they have High Reliability and Low Failure Rate. It means the systems are suitable even for harsh environment and cost effective solution. </w:t>
      </w:r>
      <w:r w:rsidRPr="00716290">
        <w:rPr>
          <w:rFonts w:eastAsia="MS Mincho" w:hint="eastAsia"/>
          <w:lang w:eastAsia="ja-JP"/>
        </w:rPr>
        <w:t xml:space="preserve">And </w:t>
      </w:r>
      <w:r w:rsidRPr="00716290">
        <w:rPr>
          <w:rFonts w:eastAsia="MS Mincho"/>
          <w:lang w:eastAsia="ja-JP"/>
        </w:rPr>
        <w:t>Furukawa Electric has various optical products and applications.</w:t>
      </w:r>
      <w:r w:rsidRPr="00716290">
        <w:rPr>
          <w:rFonts w:eastAsia="MS Mincho" w:hint="eastAsia"/>
          <w:lang w:eastAsia="ja-JP"/>
        </w:rPr>
        <w:t xml:space="preserve"> </w:t>
      </w:r>
      <w:r w:rsidRPr="00716290">
        <w:rPr>
          <w:rFonts w:eastAsia="MS Mincho"/>
          <w:lang w:eastAsia="ja-JP"/>
        </w:rPr>
        <w:t xml:space="preserve">These products are contributing to various </w:t>
      </w:r>
      <w:r w:rsidRPr="00716290">
        <w:rPr>
          <w:rFonts w:eastAsia="MS Mincho" w:hint="eastAsia"/>
          <w:lang w:eastAsia="ja-JP"/>
        </w:rPr>
        <w:t>i</w:t>
      </w:r>
      <w:r w:rsidRPr="00716290">
        <w:rPr>
          <w:rFonts w:eastAsia="MS Mincho"/>
          <w:lang w:eastAsia="ja-JP"/>
        </w:rPr>
        <w:t>ndustr</w:t>
      </w:r>
      <w:r w:rsidRPr="00716290">
        <w:rPr>
          <w:rFonts w:eastAsia="MS Mincho" w:hint="eastAsia"/>
          <w:lang w:eastAsia="ja-JP"/>
        </w:rPr>
        <w:t>ies</w:t>
      </w:r>
      <w:r w:rsidRPr="00716290">
        <w:rPr>
          <w:rFonts w:eastAsia="MS Mincho"/>
          <w:lang w:eastAsia="ja-JP"/>
        </w:rPr>
        <w:t xml:space="preserve">. </w:t>
      </w:r>
    </w:p>
    <w:p w:rsidR="00DD6B45" w:rsidRDefault="00FD0C23" w:rsidP="00DC62C2">
      <w:pPr>
        <w:tabs>
          <w:tab w:val="left" w:pos="4678"/>
          <w:tab w:val="left" w:pos="6096"/>
        </w:tabs>
        <w:autoSpaceDE w:val="0"/>
        <w:autoSpaceDN w:val="0"/>
        <w:spacing w:before="60"/>
        <w:jc w:val="center"/>
        <w:rPr>
          <w:rFonts w:eastAsia="MS Mincho" w:cs="Angsana New"/>
          <w:lang w:val="en-AU" w:eastAsia="ja-JP"/>
        </w:rPr>
      </w:pPr>
      <w:r>
        <w:rPr>
          <w:rFonts w:eastAsia="MS Mincho" w:cs="Angsana New"/>
          <w:noProof/>
          <w:lang w:eastAsia="zh-CN"/>
        </w:rPr>
        <w:drawing>
          <wp:inline distT="0" distB="0" distL="0" distR="0">
            <wp:extent cx="5124450" cy="3837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916" cy="3938117"/>
                    </a:xfrm>
                    <a:prstGeom prst="rect">
                      <a:avLst/>
                    </a:prstGeom>
                    <a:noFill/>
                    <a:ln>
                      <a:noFill/>
                    </a:ln>
                  </pic:spPr>
                </pic:pic>
              </a:graphicData>
            </a:graphic>
          </wp:inline>
        </w:drawing>
      </w:r>
    </w:p>
    <w:p w:rsidR="00C34416" w:rsidRPr="009305B0" w:rsidRDefault="00351478"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9305B0">
        <w:rPr>
          <w:rFonts w:eastAsia="MS Mincho"/>
          <w:b/>
          <w:sz w:val="24"/>
          <w:szCs w:val="24"/>
          <w:lang w:val="en-AU" w:eastAsia="ja-JP"/>
        </w:rPr>
        <w:t xml:space="preserve">IPTV (Oki </w:t>
      </w:r>
      <w:r w:rsidR="00F4406A">
        <w:rPr>
          <w:rFonts w:eastAsia="MS Mincho"/>
          <w:b/>
          <w:sz w:val="24"/>
          <w:szCs w:val="24"/>
          <w:lang w:val="en-AU" w:eastAsia="ja-JP"/>
        </w:rPr>
        <w:t>E</w:t>
      </w:r>
      <w:r w:rsidRPr="009305B0">
        <w:rPr>
          <w:rFonts w:eastAsia="MS Mincho"/>
          <w:b/>
          <w:sz w:val="24"/>
          <w:szCs w:val="24"/>
          <w:lang w:val="en-AU" w:eastAsia="ja-JP"/>
        </w:rPr>
        <w:t>lectric, Japan)</w:t>
      </w:r>
    </w:p>
    <w:p w:rsidR="00F4406A" w:rsidRPr="00F4406A" w:rsidRDefault="00F4406A" w:rsidP="0054524C">
      <w:pPr>
        <w:tabs>
          <w:tab w:val="left" w:pos="4678"/>
          <w:tab w:val="left" w:pos="6096"/>
        </w:tabs>
        <w:autoSpaceDE w:val="0"/>
        <w:autoSpaceDN w:val="0"/>
        <w:spacing w:before="60"/>
        <w:ind w:left="360"/>
        <w:rPr>
          <w:rFonts w:eastAsia="MS Mincho"/>
          <w:lang w:eastAsia="ja-JP"/>
        </w:rPr>
      </w:pPr>
      <w:r w:rsidRPr="00F4406A">
        <w:rPr>
          <w:rFonts w:eastAsia="MS Mincho"/>
          <w:lang w:eastAsia="ja-JP"/>
        </w:rPr>
        <w:t>OKI exhibited IPTV solutions based on ITU-T standards (H.721,</w:t>
      </w:r>
      <w:r w:rsidR="0054524C">
        <w:rPr>
          <w:rFonts w:eastAsia="MS Mincho"/>
          <w:lang w:eastAsia="ja-JP"/>
        </w:rPr>
        <w:t xml:space="preserve"> </w:t>
      </w:r>
      <w:r w:rsidRPr="00F4406A">
        <w:rPr>
          <w:rFonts w:eastAsia="MS Mincho"/>
          <w:lang w:eastAsia="ja-JP"/>
        </w:rPr>
        <w:t>H.265,</w:t>
      </w:r>
      <w:r w:rsidR="0054524C">
        <w:rPr>
          <w:rFonts w:eastAsia="MS Mincho"/>
          <w:lang w:eastAsia="ja-JP"/>
        </w:rPr>
        <w:t xml:space="preserve"> </w:t>
      </w:r>
      <w:r w:rsidRPr="00F4406A">
        <w:rPr>
          <w:rFonts w:eastAsia="MS Mincho"/>
          <w:lang w:eastAsia="ja-JP"/>
        </w:rPr>
        <w:t>et.al).</w:t>
      </w:r>
      <w:r w:rsidR="0054524C">
        <w:rPr>
          <w:rFonts w:eastAsia="MS Mincho"/>
          <w:lang w:eastAsia="ja-JP"/>
        </w:rPr>
        <w:t xml:space="preserve"> </w:t>
      </w:r>
      <w:r w:rsidRPr="00F4406A">
        <w:rPr>
          <w:rFonts w:eastAsia="MS Mincho"/>
          <w:lang w:eastAsia="ja-JP"/>
        </w:rPr>
        <w:t>The state of the art, 4K linear TV, was shown on 4K TV. 4K has around 4,000 horizontal pixels. Clear and realistic video contents were delivered over IP n</w:t>
      </w:r>
      <w:r w:rsidR="0054524C">
        <w:rPr>
          <w:rFonts w:eastAsia="MS Mincho"/>
          <w:lang w:eastAsia="ja-JP"/>
        </w:rPr>
        <w:t xml:space="preserve">etwork. VoD was also exhibited. </w:t>
      </w:r>
      <w:r w:rsidRPr="00F4406A">
        <w:rPr>
          <w:rFonts w:eastAsia="MS Mincho"/>
          <w:lang w:eastAsia="ja-JP"/>
        </w:rPr>
        <w:t>Audience could select and watch any contents in the content portal page. Attractive Hokkaido contents was created by Hokkaido Televisio</w:t>
      </w:r>
      <w:r w:rsidR="0054524C">
        <w:rPr>
          <w:rFonts w:eastAsia="MS Mincho"/>
          <w:lang w:eastAsia="ja-JP"/>
        </w:rPr>
        <w:t>n</w:t>
      </w:r>
      <w:r w:rsidRPr="00F4406A">
        <w:rPr>
          <w:rFonts w:eastAsia="MS Mincho"/>
          <w:lang w:eastAsia="ja-JP"/>
        </w:rPr>
        <w:t xml:space="preserve"> Broadcasting (HTB).</w:t>
      </w:r>
      <w:r w:rsidR="0054524C">
        <w:rPr>
          <w:rFonts w:eastAsia="MS Mincho"/>
          <w:lang w:eastAsia="ja-JP"/>
        </w:rPr>
        <w:t xml:space="preserve"> </w:t>
      </w:r>
      <w:r w:rsidRPr="00F4406A">
        <w:rPr>
          <w:rFonts w:eastAsia="MS Mincho"/>
          <w:lang w:eastAsia="ja-JP"/>
        </w:rPr>
        <w:t>4K STB was provided by Sumitomo Electric and 2K STB was by Mitsubishi Electric. IPTV server system was provided by OKI.</w:t>
      </w:r>
    </w:p>
    <w:p w:rsidR="00DD6B45" w:rsidRPr="00C34416" w:rsidRDefault="00FD0C23" w:rsidP="00DC62C2">
      <w:pPr>
        <w:tabs>
          <w:tab w:val="left" w:pos="4678"/>
          <w:tab w:val="left" w:pos="6096"/>
        </w:tabs>
        <w:autoSpaceDE w:val="0"/>
        <w:autoSpaceDN w:val="0"/>
        <w:spacing w:before="60"/>
        <w:jc w:val="center"/>
        <w:rPr>
          <w:rFonts w:eastAsia="MS Mincho" w:cs="Angsana New"/>
          <w:lang w:val="en-AU" w:eastAsia="ja-JP"/>
        </w:rPr>
      </w:pPr>
      <w:r>
        <w:rPr>
          <w:rFonts w:eastAsia="MS Mincho" w:cs="Angsana New"/>
          <w:noProof/>
          <w:lang w:eastAsia="zh-CN"/>
        </w:rPr>
        <w:lastRenderedPageBreak/>
        <w:drawing>
          <wp:inline distT="0" distB="0" distL="0" distR="0">
            <wp:extent cx="5094585" cy="383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795" cy="3897504"/>
                    </a:xfrm>
                    <a:prstGeom prst="rect">
                      <a:avLst/>
                    </a:prstGeom>
                    <a:noFill/>
                    <a:ln>
                      <a:noFill/>
                    </a:ln>
                  </pic:spPr>
                </pic:pic>
              </a:graphicData>
            </a:graphic>
          </wp:inline>
        </w:drawing>
      </w:r>
    </w:p>
    <w:p w:rsidR="0077323B" w:rsidRPr="009305B0" w:rsidRDefault="0077323B"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9305B0">
        <w:rPr>
          <w:rFonts w:eastAsia="MS Mincho"/>
          <w:b/>
          <w:sz w:val="24"/>
          <w:szCs w:val="24"/>
          <w:lang w:val="en-AU" w:eastAsia="ja-JP"/>
        </w:rPr>
        <w:t xml:space="preserve">SDN/NFV (NEC Corporation, Japan) </w:t>
      </w:r>
    </w:p>
    <w:p w:rsidR="009305B0" w:rsidRPr="009305B0" w:rsidRDefault="009305B0" w:rsidP="00794D4F">
      <w:pPr>
        <w:tabs>
          <w:tab w:val="left" w:pos="4678"/>
          <w:tab w:val="left" w:pos="6096"/>
        </w:tabs>
        <w:autoSpaceDE w:val="0"/>
        <w:autoSpaceDN w:val="0"/>
        <w:spacing w:before="60"/>
        <w:ind w:left="360"/>
        <w:rPr>
          <w:rFonts w:eastAsia="MS Mincho" w:cs="Angsana New"/>
          <w:lang w:val="en-AU" w:eastAsia="ja-JP"/>
        </w:rPr>
      </w:pPr>
      <w:r w:rsidRPr="009305B0">
        <w:rPr>
          <w:rFonts w:eastAsia="MS Mincho"/>
          <w:lang w:eastAsia="ja-JP"/>
        </w:rPr>
        <w:t>NEC Corporation exhibited vCPE (virtualized Customer Premises Equipment) by SDN/NFV technology that will simplify the home equipment installation process and the carrier's broadband network access and connectivity. CPE is the physical equipment installed in a customer's home, possibly including the residential gateway (RGW), cable TV decoder, phone terminal, etc. The principle of virtualised CPE is that certain IP functions are shifted away from the residential gateways towards the carrier's own network. The residential gateway is therefore simplified and reduced to the essential components needed in the customer premises, i.e access, modem and L2 switching. By minimising dependence on hardware CPE, vCPE by SDN/NVF technology will speed up the deployment of new services in the home, reduce time to market for new services and enhance the customer's connectivity</w:t>
      </w:r>
      <w:r w:rsidRPr="009305B0">
        <w:rPr>
          <w:rFonts w:eastAsia="MS Mincho"/>
          <w:lang w:val="en-GB" w:eastAsia="ja-JP"/>
        </w:rPr>
        <w:t xml:space="preserve"> experience.</w:t>
      </w:r>
      <w:r w:rsidR="00FD0C23" w:rsidRPr="009305B0">
        <w:rPr>
          <w:rFonts w:eastAsia="MS Mincho" w:cs="Angsana New"/>
          <w:lang w:val="en-AU" w:eastAsia="ja-JP"/>
        </w:rPr>
        <w:t xml:space="preserve"> </w:t>
      </w:r>
    </w:p>
    <w:p w:rsidR="00DD6B45" w:rsidRPr="00C34416" w:rsidRDefault="00FD0C23" w:rsidP="00DC62C2">
      <w:pPr>
        <w:tabs>
          <w:tab w:val="left" w:pos="4678"/>
          <w:tab w:val="left" w:pos="6096"/>
        </w:tabs>
        <w:autoSpaceDE w:val="0"/>
        <w:autoSpaceDN w:val="0"/>
        <w:spacing w:before="60"/>
        <w:jc w:val="center"/>
        <w:rPr>
          <w:rFonts w:eastAsia="MS Mincho" w:cs="Angsana New"/>
          <w:lang w:val="en-AU" w:eastAsia="ja-JP"/>
        </w:rPr>
      </w:pPr>
      <w:r>
        <w:rPr>
          <w:rFonts w:eastAsia="MS Mincho" w:cs="Angsana New"/>
          <w:noProof/>
          <w:lang w:eastAsia="zh-CN"/>
        </w:rPr>
        <w:drawing>
          <wp:inline distT="0" distB="0" distL="0" distR="0">
            <wp:extent cx="5009358" cy="28479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138" cy="2888215"/>
                    </a:xfrm>
                    <a:prstGeom prst="rect">
                      <a:avLst/>
                    </a:prstGeom>
                    <a:noFill/>
                    <a:ln>
                      <a:noFill/>
                    </a:ln>
                  </pic:spPr>
                </pic:pic>
              </a:graphicData>
            </a:graphic>
          </wp:inline>
        </w:drawing>
      </w:r>
    </w:p>
    <w:p w:rsidR="0077323B" w:rsidRPr="005F7831" w:rsidRDefault="0077323B" w:rsidP="009305B0">
      <w:pPr>
        <w:pStyle w:val="ListParagraph"/>
        <w:numPr>
          <w:ilvl w:val="0"/>
          <w:numId w:val="44"/>
        </w:numPr>
        <w:tabs>
          <w:tab w:val="left" w:pos="4678"/>
          <w:tab w:val="left" w:pos="6096"/>
        </w:tabs>
        <w:autoSpaceDE w:val="0"/>
        <w:autoSpaceDN w:val="0"/>
        <w:spacing w:beforeLines="0" w:before="120"/>
        <w:ind w:leftChars="0" w:left="357" w:hanging="357"/>
        <w:rPr>
          <w:rFonts w:eastAsia="MS Mincho"/>
          <w:b/>
          <w:sz w:val="24"/>
          <w:szCs w:val="24"/>
          <w:lang w:val="es-ES" w:eastAsia="ja-JP"/>
        </w:rPr>
      </w:pPr>
      <w:r w:rsidRPr="005F7831">
        <w:rPr>
          <w:rFonts w:eastAsia="MS Mincho"/>
          <w:b/>
          <w:sz w:val="24"/>
          <w:szCs w:val="24"/>
          <w:lang w:val="es-ES" w:eastAsia="ja-JP"/>
        </w:rPr>
        <w:lastRenderedPageBreak/>
        <w:t xml:space="preserve">NGN E2E service (HATS Japan, ITRC Iran) </w:t>
      </w:r>
    </w:p>
    <w:p w:rsidR="009305B0" w:rsidRDefault="009305B0" w:rsidP="009305B0">
      <w:pPr>
        <w:tabs>
          <w:tab w:val="left" w:pos="4678"/>
          <w:tab w:val="left" w:pos="6096"/>
        </w:tabs>
        <w:autoSpaceDE w:val="0"/>
        <w:autoSpaceDN w:val="0"/>
        <w:spacing w:before="60"/>
        <w:ind w:left="360"/>
        <w:rPr>
          <w:rFonts w:eastAsia="MS Mincho"/>
          <w:lang w:eastAsia="ja-JP"/>
        </w:rPr>
      </w:pPr>
      <w:r w:rsidRPr="009305B0">
        <w:rPr>
          <w:rFonts w:eastAsia="MS Mincho"/>
          <w:lang w:eastAsia="ja-JP"/>
        </w:rPr>
        <w:t>HATS and ITRC reported the result of NGN End-to-End service interoperability testing supported by APT and ITU. This interoperability event referred to test specifications which are developed on the ITU-T Q.3900 Recommendation series. There are maily two service test items, VoIP test at the UNI of NGN based on ITU-T Q.3948 and Mutimedia communication test at UNI of NGN based on ITU-T Q.3939. 6 campanies (NTT, NEC Engineering, neix, SONY, OKI, ITRC) tried to connect each equipments according to test specificaiton. Specifically, ITRC(IRAN Telecommunication Research Center) connected remotly from Iran to Japan via internet VPN. ITRC member reported challenges for remote interoperability testing on this workshop.</w:t>
      </w:r>
    </w:p>
    <w:p w:rsidR="009305B0" w:rsidRDefault="009305B0" w:rsidP="00DC62C2">
      <w:pPr>
        <w:tabs>
          <w:tab w:val="left" w:pos="4678"/>
          <w:tab w:val="left" w:pos="6096"/>
        </w:tabs>
        <w:autoSpaceDE w:val="0"/>
        <w:autoSpaceDN w:val="0"/>
        <w:spacing w:before="60"/>
        <w:jc w:val="center"/>
        <w:rPr>
          <w:rFonts w:eastAsia="MS Mincho"/>
          <w:lang w:eastAsia="ja-JP"/>
        </w:rPr>
      </w:pPr>
      <w:r>
        <w:rPr>
          <w:rFonts w:eastAsia="MS Mincho"/>
          <w:noProof/>
          <w:lang w:eastAsia="zh-CN"/>
        </w:rPr>
        <w:drawing>
          <wp:inline distT="0" distB="0" distL="0" distR="0">
            <wp:extent cx="5114992" cy="3848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615" cy="3923801"/>
                    </a:xfrm>
                    <a:prstGeom prst="rect">
                      <a:avLst/>
                    </a:prstGeom>
                    <a:noFill/>
                    <a:ln>
                      <a:noFill/>
                    </a:ln>
                  </pic:spPr>
                </pic:pic>
              </a:graphicData>
            </a:graphic>
          </wp:inline>
        </w:drawing>
      </w:r>
    </w:p>
    <w:p w:rsidR="00716290" w:rsidRPr="00716290" w:rsidRDefault="00716290"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716290">
        <w:rPr>
          <w:rFonts w:eastAsia="MS Mincho"/>
          <w:b/>
          <w:sz w:val="24"/>
          <w:szCs w:val="24"/>
          <w:lang w:val="en-AU" w:eastAsia="ja-JP"/>
        </w:rPr>
        <w:t xml:space="preserve">Automated Mobile Accessibility </w:t>
      </w:r>
      <w:r w:rsidRPr="00716290">
        <w:rPr>
          <w:rFonts w:eastAsia="MS Mincho" w:hint="eastAsia"/>
          <w:b/>
          <w:sz w:val="24"/>
          <w:szCs w:val="24"/>
          <w:lang w:val="en-AU" w:eastAsia="ja-JP"/>
        </w:rPr>
        <w:t>Inspection</w:t>
      </w:r>
      <w:r w:rsidRPr="00DC62C2">
        <w:rPr>
          <w:rFonts w:eastAsia="MS Mincho" w:hint="eastAsia"/>
          <w:b/>
          <w:sz w:val="24"/>
          <w:szCs w:val="24"/>
          <w:lang w:val="en-AU" w:eastAsia="ja-JP"/>
        </w:rPr>
        <w:t xml:space="preserve"> S</w:t>
      </w:r>
      <w:r w:rsidRPr="00716290">
        <w:rPr>
          <w:rFonts w:eastAsia="MS Mincho"/>
          <w:b/>
          <w:sz w:val="24"/>
          <w:szCs w:val="24"/>
          <w:lang w:val="en-AU" w:eastAsia="ja-JP"/>
        </w:rPr>
        <w:t>olution (SCE Inc, Rep. of Korea)</w:t>
      </w:r>
    </w:p>
    <w:p w:rsidR="00716290" w:rsidRPr="00716290" w:rsidRDefault="00716290" w:rsidP="00716290">
      <w:pPr>
        <w:tabs>
          <w:tab w:val="left" w:pos="4678"/>
          <w:tab w:val="left" w:pos="6096"/>
        </w:tabs>
        <w:autoSpaceDE w:val="0"/>
        <w:autoSpaceDN w:val="0"/>
        <w:spacing w:before="60"/>
        <w:ind w:left="360"/>
        <w:rPr>
          <w:rFonts w:eastAsia="MS Mincho"/>
          <w:lang w:eastAsia="ja-JP"/>
        </w:rPr>
      </w:pPr>
      <w:r w:rsidRPr="00716290">
        <w:rPr>
          <w:rFonts w:eastAsia="MS Mincho" w:hint="eastAsia"/>
          <w:lang w:eastAsia="ja-JP"/>
        </w:rPr>
        <w:t>SCE Inc. exhibited automated inspection solution called</w:t>
      </w:r>
      <w:r w:rsidRPr="00716290">
        <w:rPr>
          <w:rFonts w:eastAsia="MS Mincho" w:hint="eastAsia"/>
          <w:i/>
          <w:lang w:eastAsia="ja-JP"/>
        </w:rPr>
        <w:t xml:space="preserve"> forApp</w:t>
      </w:r>
      <w:r w:rsidRPr="00716290">
        <w:rPr>
          <w:rFonts w:eastAsia="MS Mincho" w:hint="eastAsia"/>
          <w:lang w:eastAsia="ja-JP"/>
        </w:rPr>
        <w:t xml:space="preserve"> that inspects mobile accessibility conformance to standards, guidelines and best practices. </w:t>
      </w:r>
      <w:r w:rsidRPr="00716290">
        <w:rPr>
          <w:rFonts w:eastAsia="MS Mincho"/>
          <w:lang w:eastAsia="ja-JP"/>
        </w:rPr>
        <w:t xml:space="preserve">SCE’s </w:t>
      </w:r>
      <w:r w:rsidRPr="00716290">
        <w:rPr>
          <w:rFonts w:eastAsia="MS Mincho"/>
          <w:i/>
          <w:lang w:eastAsia="ja-JP"/>
        </w:rPr>
        <w:t xml:space="preserve">forApp </w:t>
      </w:r>
      <w:r w:rsidRPr="00716290">
        <w:rPr>
          <w:rFonts w:eastAsia="MS Mincho"/>
          <w:lang w:eastAsia="ja-JP"/>
        </w:rPr>
        <w:t>service is a user interface analysis service for</w:t>
      </w:r>
      <w:r w:rsidRPr="00716290">
        <w:rPr>
          <w:rFonts w:eastAsia="MS Mincho" w:hint="eastAsia"/>
          <w:lang w:eastAsia="ja-JP"/>
        </w:rPr>
        <w:t xml:space="preserve"> </w:t>
      </w:r>
      <w:r w:rsidRPr="00716290">
        <w:rPr>
          <w:rFonts w:eastAsia="MS Mincho"/>
          <w:lang w:eastAsia="ja-JP"/>
        </w:rPr>
        <w:t xml:space="preserve">mobile applications. </w:t>
      </w:r>
      <w:r w:rsidRPr="00716290">
        <w:rPr>
          <w:rFonts w:eastAsia="MS Mincho"/>
          <w:i/>
          <w:lang w:eastAsia="ja-JP"/>
        </w:rPr>
        <w:t>forApp</w:t>
      </w:r>
      <w:r w:rsidRPr="00716290">
        <w:rPr>
          <w:rFonts w:eastAsia="MS Mincho"/>
          <w:lang w:eastAsia="ja-JP"/>
        </w:rPr>
        <w:t xml:space="preserve"> supports user interface</w:t>
      </w:r>
      <w:r w:rsidRPr="00716290">
        <w:rPr>
          <w:rFonts w:eastAsia="MS Mincho" w:hint="eastAsia"/>
          <w:lang w:eastAsia="ja-JP"/>
        </w:rPr>
        <w:t xml:space="preserve"> </w:t>
      </w:r>
      <w:r w:rsidRPr="00716290">
        <w:rPr>
          <w:rFonts w:eastAsia="MS Mincho"/>
          <w:lang w:eastAsia="ja-JP"/>
        </w:rPr>
        <w:t>improvement by analyzing each user interface unit of a mobile</w:t>
      </w:r>
      <w:r w:rsidRPr="00716290">
        <w:rPr>
          <w:rFonts w:eastAsia="MS Mincho" w:hint="eastAsia"/>
          <w:lang w:eastAsia="ja-JP"/>
        </w:rPr>
        <w:t xml:space="preserve"> </w:t>
      </w:r>
      <w:r w:rsidRPr="00716290">
        <w:rPr>
          <w:rFonts w:eastAsia="MS Mincho"/>
          <w:lang w:eastAsia="ja-JP"/>
        </w:rPr>
        <w:t xml:space="preserve">application. </w:t>
      </w:r>
      <w:r w:rsidRPr="00716290">
        <w:rPr>
          <w:rFonts w:eastAsia="MS Mincho"/>
          <w:i/>
          <w:lang w:eastAsia="ja-JP"/>
        </w:rPr>
        <w:t>forApp</w:t>
      </w:r>
      <w:r w:rsidRPr="00716290">
        <w:rPr>
          <w:rFonts w:eastAsia="MS Mincho"/>
          <w:lang w:eastAsia="ja-JP"/>
        </w:rPr>
        <w:t xml:space="preserve"> provides automated analysis reports of</w:t>
      </w:r>
      <w:r w:rsidRPr="00716290">
        <w:rPr>
          <w:rFonts w:eastAsia="MS Mincho" w:hint="eastAsia"/>
          <w:lang w:eastAsia="ja-JP"/>
        </w:rPr>
        <w:t xml:space="preserve"> </w:t>
      </w:r>
      <w:r w:rsidRPr="00716290">
        <w:rPr>
          <w:rFonts w:eastAsia="MS Mincho"/>
          <w:lang w:eastAsia="ja-JP"/>
        </w:rPr>
        <w:t>accessibility issues to help mobile application developers and</w:t>
      </w:r>
      <w:r w:rsidRPr="00716290">
        <w:rPr>
          <w:rFonts w:eastAsia="MS Mincho" w:hint="eastAsia"/>
          <w:lang w:eastAsia="ja-JP"/>
        </w:rPr>
        <w:t xml:space="preserve"> </w:t>
      </w:r>
      <w:r w:rsidRPr="00716290">
        <w:rPr>
          <w:rFonts w:eastAsia="MS Mincho"/>
          <w:lang w:eastAsia="ja-JP"/>
        </w:rPr>
        <w:t xml:space="preserve">operators improve their applications. </w:t>
      </w:r>
      <w:r w:rsidRPr="00716290">
        <w:rPr>
          <w:rFonts w:eastAsia="MS Mincho"/>
          <w:i/>
          <w:lang w:eastAsia="ja-JP"/>
        </w:rPr>
        <w:t>forApp</w:t>
      </w:r>
      <w:r w:rsidRPr="00716290">
        <w:rPr>
          <w:rFonts w:eastAsia="MS Mincho"/>
          <w:lang w:eastAsia="ja-JP"/>
        </w:rPr>
        <w:t xml:space="preserve"> is able to</w:t>
      </w:r>
      <w:r w:rsidRPr="00716290">
        <w:rPr>
          <w:rFonts w:eastAsia="MS Mincho" w:hint="eastAsia"/>
          <w:lang w:eastAsia="ja-JP"/>
        </w:rPr>
        <w:t xml:space="preserve"> </w:t>
      </w:r>
      <w:r w:rsidRPr="00716290">
        <w:rPr>
          <w:rFonts w:eastAsia="MS Mincho"/>
          <w:lang w:eastAsia="ja-JP"/>
        </w:rPr>
        <w:t>complete this analysis without requiring original source codes</w:t>
      </w:r>
      <w:r w:rsidRPr="00716290">
        <w:rPr>
          <w:rFonts w:eastAsia="MS Mincho" w:hint="eastAsia"/>
          <w:lang w:eastAsia="ja-JP"/>
        </w:rPr>
        <w:t xml:space="preserve"> </w:t>
      </w:r>
      <w:r w:rsidRPr="00716290">
        <w:rPr>
          <w:rFonts w:eastAsia="MS Mincho"/>
          <w:lang w:eastAsia="ja-JP"/>
        </w:rPr>
        <w:t xml:space="preserve">or other information about the applications. SCE’s </w:t>
      </w:r>
      <w:r w:rsidRPr="00716290">
        <w:rPr>
          <w:rFonts w:eastAsia="MS Mincho"/>
          <w:i/>
          <w:lang w:eastAsia="ja-JP"/>
        </w:rPr>
        <w:t>forApp</w:t>
      </w:r>
      <w:r w:rsidRPr="00716290">
        <w:rPr>
          <w:rFonts w:eastAsia="MS Mincho"/>
          <w:lang w:eastAsia="ja-JP"/>
        </w:rPr>
        <w:t xml:space="preserve"> service consists of three key services: an</w:t>
      </w:r>
      <w:r w:rsidRPr="00716290">
        <w:rPr>
          <w:rFonts w:eastAsia="MS Mincho" w:hint="eastAsia"/>
          <w:lang w:eastAsia="ja-JP"/>
        </w:rPr>
        <w:t xml:space="preserve"> </w:t>
      </w:r>
      <w:r w:rsidRPr="00716290">
        <w:rPr>
          <w:rFonts w:eastAsia="MS Mincho"/>
          <w:lang w:eastAsia="ja-JP"/>
        </w:rPr>
        <w:t>automated application inspection service, an online expert</w:t>
      </w:r>
      <w:r w:rsidRPr="00716290">
        <w:rPr>
          <w:rFonts w:eastAsia="MS Mincho" w:hint="eastAsia"/>
          <w:lang w:eastAsia="ja-JP"/>
        </w:rPr>
        <w:t xml:space="preserve"> </w:t>
      </w:r>
      <w:r w:rsidRPr="00716290">
        <w:rPr>
          <w:rFonts w:eastAsia="MS Mincho"/>
          <w:lang w:eastAsia="ja-JP"/>
        </w:rPr>
        <w:t>consulting program, and an accessibility statistics database.</w:t>
      </w:r>
    </w:p>
    <w:p w:rsidR="00794D4F" w:rsidRPr="0077323B" w:rsidRDefault="00FD0C23" w:rsidP="00DC62C2">
      <w:pPr>
        <w:tabs>
          <w:tab w:val="left" w:pos="4678"/>
          <w:tab w:val="left" w:pos="6096"/>
        </w:tabs>
        <w:autoSpaceDE w:val="0"/>
        <w:autoSpaceDN w:val="0"/>
        <w:spacing w:before="60"/>
        <w:jc w:val="center"/>
        <w:rPr>
          <w:rFonts w:eastAsia="MS Mincho" w:cs="Angsana New"/>
          <w:lang w:val="en-AU" w:eastAsia="ja-JP"/>
        </w:rPr>
      </w:pPr>
      <w:r>
        <w:rPr>
          <w:rFonts w:eastAsia="MS Mincho" w:cs="Angsana New"/>
          <w:noProof/>
          <w:lang w:eastAsia="zh-CN"/>
        </w:rPr>
        <w:lastRenderedPageBreak/>
        <w:drawing>
          <wp:inline distT="0" distB="0" distL="0" distR="0">
            <wp:extent cx="5111363" cy="386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134" cy="3948687"/>
                    </a:xfrm>
                    <a:prstGeom prst="rect">
                      <a:avLst/>
                    </a:prstGeom>
                    <a:noFill/>
                    <a:ln>
                      <a:noFill/>
                    </a:ln>
                  </pic:spPr>
                </pic:pic>
              </a:graphicData>
            </a:graphic>
          </wp:inline>
        </w:drawing>
      </w:r>
    </w:p>
    <w:p w:rsidR="0077323B" w:rsidRDefault="0077323B"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9305B0">
        <w:rPr>
          <w:rFonts w:eastAsia="MS Mincho"/>
          <w:b/>
          <w:sz w:val="24"/>
          <w:szCs w:val="24"/>
          <w:lang w:val="en-AU" w:eastAsia="ja-JP"/>
        </w:rPr>
        <w:t xml:space="preserve">BAN portable health clinic (NICT, Japan) </w:t>
      </w:r>
    </w:p>
    <w:p w:rsidR="00AA756B" w:rsidRPr="00AA756B" w:rsidRDefault="00AA756B" w:rsidP="00AA756B">
      <w:pPr>
        <w:tabs>
          <w:tab w:val="left" w:pos="4678"/>
          <w:tab w:val="left" w:pos="6096"/>
        </w:tabs>
        <w:autoSpaceDE w:val="0"/>
        <w:autoSpaceDN w:val="0"/>
        <w:spacing w:before="60"/>
        <w:ind w:left="360"/>
        <w:rPr>
          <w:rFonts w:eastAsia="MS Mincho"/>
          <w:lang w:eastAsia="ja-JP"/>
        </w:rPr>
      </w:pPr>
      <w:r w:rsidRPr="00AA756B">
        <w:rPr>
          <w:rFonts w:eastAsia="MS Mincho" w:hint="eastAsia"/>
          <w:lang w:eastAsia="ja-JP"/>
        </w:rPr>
        <w:t>The portable health clinic (PHC) was introduced to reduce</w:t>
      </w:r>
      <w:r w:rsidRPr="00AA756B">
        <w:rPr>
          <w:rFonts w:eastAsia="MS Mincho"/>
          <w:lang w:eastAsia="ja-JP"/>
        </w:rPr>
        <w:t xml:space="preserve"> easily curable diseases</w:t>
      </w:r>
      <w:r w:rsidRPr="00AA756B">
        <w:rPr>
          <w:rFonts w:eastAsia="MS Mincho" w:hint="eastAsia"/>
          <w:lang w:eastAsia="ja-JP"/>
        </w:rPr>
        <w:t xml:space="preserve"> and prototyped as </w:t>
      </w:r>
      <w:r w:rsidRPr="00AA756B">
        <w:rPr>
          <w:rFonts w:eastAsia="MS Mincho"/>
          <w:lang w:eastAsia="ja-JP"/>
        </w:rPr>
        <w:t>a portable</w:t>
      </w:r>
      <w:r w:rsidRPr="00AA756B">
        <w:rPr>
          <w:rFonts w:eastAsia="MS Mincho" w:hint="eastAsia"/>
          <w:lang w:eastAsia="ja-JP"/>
        </w:rPr>
        <w:t>-</w:t>
      </w:r>
      <w:r w:rsidRPr="00AA756B">
        <w:rPr>
          <w:rFonts w:eastAsia="MS Mincho"/>
          <w:lang w:eastAsia="ja-JP"/>
        </w:rPr>
        <w:t>clinic box equipped with major diagnostic tools</w:t>
      </w:r>
      <w:r w:rsidRPr="00AA756B">
        <w:rPr>
          <w:rFonts w:eastAsia="MS Mincho" w:hint="eastAsia"/>
          <w:lang w:eastAsia="ja-JP"/>
        </w:rPr>
        <w:t xml:space="preserve"> integrating a</w:t>
      </w:r>
      <w:r w:rsidRPr="00AA756B">
        <w:rPr>
          <w:rFonts w:eastAsia="MS Mincho"/>
          <w:lang w:eastAsia="ja-JP"/>
        </w:rPr>
        <w:t xml:space="preserve"> simple equation to categorize patients into four groups</w:t>
      </w:r>
      <w:r w:rsidRPr="00AA756B">
        <w:rPr>
          <w:rFonts w:eastAsia="MS Mincho" w:hint="eastAsia"/>
          <w:lang w:eastAsia="ja-JP"/>
        </w:rPr>
        <w:t xml:space="preserve"> depending on the level of action or attention required</w:t>
      </w:r>
      <w:r w:rsidRPr="00AA756B">
        <w:rPr>
          <w:rFonts w:eastAsia="MS Mincho"/>
          <w:lang w:eastAsia="ja-JP"/>
        </w:rPr>
        <w:t>.</w:t>
      </w:r>
      <w:r w:rsidRPr="00AA756B">
        <w:rPr>
          <w:rFonts w:eastAsia="MS Mincho" w:hint="eastAsia"/>
          <w:lang w:eastAsia="ja-JP"/>
        </w:rPr>
        <w:t xml:space="preserve"> Body area </w:t>
      </w:r>
      <w:r w:rsidRPr="00AA756B">
        <w:rPr>
          <w:rFonts w:eastAsia="MS Mincho"/>
          <w:lang w:eastAsia="ja-JP"/>
        </w:rPr>
        <w:t>network</w:t>
      </w:r>
      <w:r w:rsidRPr="00AA756B">
        <w:rPr>
          <w:rFonts w:eastAsia="MS Mincho" w:hint="eastAsia"/>
          <w:lang w:eastAsia="ja-JP"/>
        </w:rPr>
        <w:t xml:space="preserve"> (BAN) technologies, such as IEEE802.15.6, are intended not only for hospital/care facility use but also for outdoor uses.</w:t>
      </w:r>
      <w:r>
        <w:rPr>
          <w:rFonts w:eastAsia="MS Mincho"/>
          <w:lang w:eastAsia="ja-JP"/>
        </w:rPr>
        <w:t xml:space="preserve"> </w:t>
      </w:r>
      <w:r w:rsidRPr="00AA756B">
        <w:rPr>
          <w:rFonts w:eastAsia="MS Mincho" w:hint="eastAsia"/>
          <w:lang w:eastAsia="ja-JP"/>
        </w:rPr>
        <w:t>The BAN-enabled portable health clinic (BAN-PHC) allows a coordinator to wirelessly and securely gather all measured data from medical devices and sensors. Automatic data retrieval removes human error and reduces time spent on manual data copying. Once data are collected in the coordinator, they are sent to a backend local server for categorization and further remote diagnosis.</w:t>
      </w:r>
      <w:r>
        <w:rPr>
          <w:rFonts w:eastAsia="MS Mincho"/>
          <w:lang w:eastAsia="ja-JP"/>
        </w:rPr>
        <w:t xml:space="preserve"> </w:t>
      </w:r>
      <w:r w:rsidRPr="00AA756B">
        <w:rPr>
          <w:rFonts w:eastAsia="MS Mincho" w:hint="eastAsia"/>
          <w:lang w:eastAsia="ja-JP"/>
        </w:rPr>
        <w:t>The health checkup using BAN-PHC was conducted in FY2012-2013 in Bangladesh and t</w:t>
      </w:r>
      <w:r w:rsidRPr="00AA756B">
        <w:rPr>
          <w:rFonts w:eastAsia="MS Mincho"/>
          <w:lang w:eastAsia="ja-JP"/>
        </w:rPr>
        <w:t>he results demonstrate</w:t>
      </w:r>
      <w:r w:rsidRPr="00AA756B">
        <w:rPr>
          <w:rFonts w:eastAsia="MS Mincho" w:hint="eastAsia"/>
          <w:lang w:eastAsia="ja-JP"/>
        </w:rPr>
        <w:t>d</w:t>
      </w:r>
      <w:r w:rsidRPr="00AA756B">
        <w:rPr>
          <w:rFonts w:eastAsia="MS Mincho"/>
          <w:lang w:eastAsia="ja-JP"/>
        </w:rPr>
        <w:t xml:space="preserve"> the benefits of </w:t>
      </w:r>
      <w:r w:rsidRPr="00AA756B">
        <w:rPr>
          <w:rFonts w:eastAsia="MS Mincho" w:hint="eastAsia"/>
          <w:lang w:eastAsia="ja-JP"/>
        </w:rPr>
        <w:t xml:space="preserve">the </w:t>
      </w:r>
      <w:r w:rsidRPr="00AA756B">
        <w:rPr>
          <w:rFonts w:eastAsia="MS Mincho"/>
          <w:lang w:eastAsia="ja-JP"/>
        </w:rPr>
        <w:t>checkup and tele-consultation</w:t>
      </w:r>
      <w:r w:rsidRPr="00AA756B">
        <w:rPr>
          <w:rFonts w:eastAsia="MS Mincho" w:hint="eastAsia"/>
          <w:lang w:eastAsia="ja-JP"/>
        </w:rPr>
        <w:t xml:space="preserve"> </w:t>
      </w:r>
      <w:r w:rsidRPr="00AA756B">
        <w:rPr>
          <w:rFonts w:eastAsia="MS Mincho"/>
          <w:lang w:eastAsia="ja-JP"/>
        </w:rPr>
        <w:t xml:space="preserve">program as an effective healthcare </w:t>
      </w:r>
      <w:r w:rsidRPr="00AA756B">
        <w:rPr>
          <w:rFonts w:eastAsia="MS Mincho" w:hint="eastAsia"/>
          <w:lang w:eastAsia="ja-JP"/>
        </w:rPr>
        <w:t xml:space="preserve">service in developing countries. Currently we have received many requests to use the BAN-PHC system not only in Asia but also in Africa and are </w:t>
      </w:r>
      <w:r w:rsidRPr="00AA756B">
        <w:rPr>
          <w:rFonts w:eastAsia="MS Mincho"/>
          <w:lang w:eastAsia="ja-JP"/>
        </w:rPr>
        <w:t>planning</w:t>
      </w:r>
      <w:r w:rsidRPr="00AA756B">
        <w:rPr>
          <w:rFonts w:eastAsia="MS Mincho" w:hint="eastAsia"/>
          <w:lang w:eastAsia="ja-JP"/>
        </w:rPr>
        <w:t xml:space="preserve"> to provide the evaluation systems to appropriate organizations in those countries.</w:t>
      </w:r>
    </w:p>
    <w:p w:rsidR="00DD6B45" w:rsidRDefault="00FD0C23" w:rsidP="00DC62C2">
      <w:pPr>
        <w:tabs>
          <w:tab w:val="left" w:pos="4678"/>
          <w:tab w:val="left" w:pos="6096"/>
        </w:tabs>
        <w:autoSpaceDE w:val="0"/>
        <w:autoSpaceDN w:val="0"/>
        <w:spacing w:before="60"/>
        <w:jc w:val="center"/>
        <w:rPr>
          <w:rFonts w:eastAsia="MS Mincho" w:cs="Angsana New"/>
          <w:lang w:val="en-AU" w:eastAsia="ja-JP"/>
        </w:rPr>
      </w:pPr>
      <w:r>
        <w:rPr>
          <w:rFonts w:eastAsia="MS Mincho" w:cs="Angsana New"/>
          <w:noProof/>
          <w:lang w:eastAsia="zh-CN"/>
        </w:rPr>
        <w:lastRenderedPageBreak/>
        <w:drawing>
          <wp:inline distT="0" distB="0" distL="0" distR="0">
            <wp:extent cx="5113527" cy="383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5803" cy="3855297"/>
                    </a:xfrm>
                    <a:prstGeom prst="rect">
                      <a:avLst/>
                    </a:prstGeom>
                    <a:noFill/>
                    <a:ln>
                      <a:noFill/>
                    </a:ln>
                  </pic:spPr>
                </pic:pic>
              </a:graphicData>
            </a:graphic>
          </wp:inline>
        </w:drawing>
      </w:r>
    </w:p>
    <w:p w:rsidR="0077323B" w:rsidRDefault="0077323B" w:rsidP="00DC62C2">
      <w:pPr>
        <w:pStyle w:val="ListParagraph"/>
        <w:numPr>
          <w:ilvl w:val="0"/>
          <w:numId w:val="44"/>
        </w:numPr>
        <w:tabs>
          <w:tab w:val="left" w:pos="4678"/>
          <w:tab w:val="left" w:pos="6096"/>
        </w:tabs>
        <w:autoSpaceDE w:val="0"/>
        <w:autoSpaceDN w:val="0"/>
        <w:spacing w:beforeLines="0" w:before="240"/>
        <w:ind w:leftChars="0" w:left="357" w:hanging="357"/>
        <w:rPr>
          <w:rFonts w:eastAsia="MS Mincho"/>
          <w:b/>
          <w:sz w:val="24"/>
          <w:szCs w:val="24"/>
          <w:lang w:val="en-AU" w:eastAsia="ja-JP"/>
        </w:rPr>
      </w:pPr>
      <w:r w:rsidRPr="009305B0">
        <w:rPr>
          <w:rFonts w:eastAsia="MS Mincho"/>
          <w:b/>
          <w:sz w:val="24"/>
          <w:szCs w:val="24"/>
          <w:lang w:val="en-AU" w:eastAsia="ja-JP"/>
        </w:rPr>
        <w:t>Seamless network (NICT, Japan)</w:t>
      </w:r>
    </w:p>
    <w:p w:rsidR="009305B0" w:rsidRDefault="009305B0" w:rsidP="009305B0">
      <w:pPr>
        <w:tabs>
          <w:tab w:val="left" w:pos="4678"/>
          <w:tab w:val="left" w:pos="6096"/>
        </w:tabs>
        <w:autoSpaceDE w:val="0"/>
        <w:autoSpaceDN w:val="0"/>
        <w:spacing w:before="60"/>
        <w:ind w:left="360"/>
        <w:rPr>
          <w:rFonts w:eastAsia="MS Mincho"/>
          <w:lang w:eastAsia="ja-JP"/>
        </w:rPr>
      </w:pPr>
      <w:r w:rsidRPr="009305B0">
        <w:rPr>
          <w:rFonts w:eastAsia="MS Mincho"/>
          <w:lang w:eastAsia="ja-JP"/>
        </w:rPr>
        <w:t>Seamless network concept exhibited by NICT, supported by Chulalongkorn University, Hitachi Ltd. and Electronic Navigation Research Institute, shows overview of on-going projects of seamless access network technologies related on the ASTAP EG-SACS (Expert group on seamless access communication system.) A radio over fiber (RoF) technology, to realize seamless convergence between radio and optical networks, is applicable not only for the signal transport technology with low latency feature nut also distributed radar system in the millimeter-wave band for foreign object debris detection. The field trial demonstration of the millimeter-wave radar system at Thailand is also shown by the movies.</w:t>
      </w:r>
    </w:p>
    <w:p w:rsidR="009305B0" w:rsidRPr="009305B0" w:rsidRDefault="009305B0" w:rsidP="009305B0">
      <w:pPr>
        <w:tabs>
          <w:tab w:val="left" w:pos="4678"/>
          <w:tab w:val="left" w:pos="6096"/>
        </w:tabs>
        <w:autoSpaceDE w:val="0"/>
        <w:autoSpaceDN w:val="0"/>
        <w:spacing w:before="60"/>
        <w:ind w:left="360"/>
        <w:rPr>
          <w:rFonts w:eastAsia="MS Mincho"/>
          <w:lang w:eastAsia="ja-JP"/>
        </w:rPr>
      </w:pPr>
    </w:p>
    <w:p w:rsidR="002F0467" w:rsidRDefault="00FD0C23" w:rsidP="00DC62C2">
      <w:pPr>
        <w:jc w:val="center"/>
        <w:rPr>
          <w:b/>
        </w:rPr>
      </w:pPr>
      <w:r>
        <w:rPr>
          <w:b/>
          <w:noProof/>
          <w:lang w:eastAsia="zh-CN"/>
        </w:rPr>
        <w:lastRenderedPageBreak/>
        <w:drawing>
          <wp:inline distT="0" distB="0" distL="0" distR="0" wp14:anchorId="2ADADDE7" wp14:editId="297FA23A">
            <wp:extent cx="5058427" cy="38004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9544" cy="3823854"/>
                    </a:xfrm>
                    <a:prstGeom prst="rect">
                      <a:avLst/>
                    </a:prstGeom>
                    <a:noFill/>
                    <a:ln>
                      <a:noFill/>
                    </a:ln>
                  </pic:spPr>
                </pic:pic>
              </a:graphicData>
            </a:graphic>
          </wp:inline>
        </w:drawing>
      </w:r>
    </w:p>
    <w:p w:rsidR="00564495" w:rsidRDefault="00564495" w:rsidP="009305B0">
      <w:pPr>
        <w:ind w:left="357"/>
        <w:jc w:val="center"/>
        <w:rPr>
          <w:b/>
        </w:rPr>
      </w:pPr>
    </w:p>
    <w:p w:rsidR="002E0E35" w:rsidRDefault="00602971" w:rsidP="00146E1B">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Pr>
          <w:b/>
        </w:rPr>
        <w:t>Presentations in the workshop</w:t>
      </w:r>
      <w:r w:rsidR="002E0E35">
        <w:rPr>
          <w:b/>
        </w:rPr>
        <w:t xml:space="preserve"> </w:t>
      </w:r>
    </w:p>
    <w:p w:rsidR="001254E4" w:rsidRDefault="001254E4" w:rsidP="001254E4">
      <w:pPr>
        <w:autoSpaceDE w:val="0"/>
        <w:autoSpaceDN w:val="0"/>
        <w:adjustRightInd w:val="0"/>
        <w:snapToGrid w:val="0"/>
        <w:spacing w:before="120"/>
        <w:ind w:left="426"/>
        <w:rPr>
          <w:rFonts w:eastAsia="MS Mincho"/>
          <w:lang w:eastAsia="ja-JP"/>
        </w:rPr>
      </w:pPr>
      <w:r w:rsidRPr="001254E4">
        <w:rPr>
          <w:rFonts w:eastAsia="MS Mincho"/>
          <w:lang w:eastAsia="ja-JP"/>
        </w:rPr>
        <w:t>All presentation files can be found in the URL below.</w:t>
      </w:r>
    </w:p>
    <w:p w:rsidR="007F38BB" w:rsidRDefault="00CA2EA7" w:rsidP="007F38BB">
      <w:pPr>
        <w:autoSpaceDE w:val="0"/>
        <w:autoSpaceDN w:val="0"/>
        <w:adjustRightInd w:val="0"/>
        <w:snapToGrid w:val="0"/>
        <w:ind w:left="425"/>
        <w:rPr>
          <w:rFonts w:eastAsia="MS Mincho"/>
          <w:lang w:eastAsia="ja-JP"/>
        </w:rPr>
      </w:pPr>
      <w:hyperlink r:id="rId18" w:history="1">
        <w:r w:rsidR="007F38BB" w:rsidRPr="00DC3DF2">
          <w:rPr>
            <w:rStyle w:val="Hyperlink"/>
            <w:rFonts w:eastAsia="MS Mincho"/>
            <w:lang w:eastAsia="ja-JP"/>
          </w:rPr>
          <w:t>http://www.aptsec.org/2015-CI3-DOCS-INP</w:t>
        </w:r>
      </w:hyperlink>
    </w:p>
    <w:p w:rsidR="003815E0"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C&amp;I3/INP-03</w:t>
      </w:r>
      <w:r w:rsidRPr="002C5AF7">
        <w:rPr>
          <w:rFonts w:eastAsia="MS Mincho"/>
          <w:b/>
          <w:lang w:val="en-GB" w:eastAsia="ja-JP"/>
        </w:rPr>
        <w:tab/>
        <w:t>Testing activities for Conformity Assessment of Telecom</w:t>
      </w:r>
      <w:r w:rsidR="00364282" w:rsidRPr="002C5AF7">
        <w:rPr>
          <w:rFonts w:eastAsia="MS Mincho"/>
          <w:b/>
          <w:lang w:val="en-GB" w:eastAsia="ja-JP"/>
        </w:rPr>
        <w:t xml:space="preserve">munications in Vietnam </w:t>
      </w:r>
      <w:r w:rsidRPr="002C5AF7">
        <w:rPr>
          <w:rFonts w:eastAsia="MS Mincho"/>
          <w:b/>
          <w:lang w:val="en-GB" w:eastAsia="ja-JP"/>
        </w:rPr>
        <w:t>(</w:t>
      </w:r>
      <w:r w:rsidR="003815E0" w:rsidRPr="002C5AF7">
        <w:rPr>
          <w:rFonts w:eastAsia="MS Mincho"/>
          <w:b/>
          <w:lang w:val="en-GB" w:eastAsia="ja-JP"/>
        </w:rPr>
        <w:t>Mr. Nguyen Van Khoa, Vietnam Telecommunications Authority</w:t>
      </w:r>
      <w:r w:rsidRPr="002C5AF7">
        <w:rPr>
          <w:rFonts w:eastAsia="MS Mincho"/>
          <w:b/>
          <w:lang w:val="en-GB" w:eastAsia="ja-JP"/>
        </w:rPr>
        <w:t>)</w:t>
      </w:r>
    </w:p>
    <w:p w:rsidR="008C0E73" w:rsidRPr="008C0E73" w:rsidRDefault="008C0E73" w:rsidP="008C0E73">
      <w:pPr>
        <w:autoSpaceDE w:val="0"/>
        <w:autoSpaceDN w:val="0"/>
        <w:adjustRightInd w:val="0"/>
        <w:snapToGrid w:val="0"/>
        <w:spacing w:before="120"/>
        <w:ind w:left="426"/>
        <w:rPr>
          <w:rFonts w:eastAsia="MS PGothic"/>
          <w:lang w:eastAsia="ja-JP"/>
        </w:rPr>
      </w:pPr>
      <w:r w:rsidRPr="008C0E73">
        <w:rPr>
          <w:rFonts w:eastAsia="MS PGothic"/>
          <w:lang w:eastAsia="ja-JP"/>
        </w:rPr>
        <w:t>This presentation introduces following main topics:</w:t>
      </w:r>
    </w:p>
    <w:p w:rsidR="008C0E73" w:rsidRPr="008C0E73" w:rsidRDefault="008C0E73" w:rsidP="008C0E73">
      <w:pPr>
        <w:widowControl w:val="0"/>
        <w:numPr>
          <w:ilvl w:val="1"/>
          <w:numId w:val="31"/>
        </w:numPr>
        <w:spacing w:before="120"/>
        <w:ind w:left="709"/>
        <w:jc w:val="both"/>
        <w:rPr>
          <w:rFonts w:eastAsia="MS Mincho"/>
          <w:lang w:eastAsia="ja-JP"/>
        </w:rPr>
      </w:pPr>
      <w:r w:rsidRPr="008C0E73">
        <w:rPr>
          <w:rFonts w:eastAsia="MS Mincho"/>
          <w:lang w:eastAsia="ja-JP"/>
        </w:rPr>
        <w:t>An overview of the conformity assessment in Vietnam in general and focus in telecom industry;</w:t>
      </w:r>
    </w:p>
    <w:p w:rsidR="008C0E73" w:rsidRPr="008C0E73" w:rsidRDefault="008C0E73" w:rsidP="004A2F81">
      <w:pPr>
        <w:widowControl w:val="0"/>
        <w:numPr>
          <w:ilvl w:val="1"/>
          <w:numId w:val="31"/>
        </w:numPr>
        <w:ind w:left="709" w:hanging="357"/>
        <w:jc w:val="both"/>
        <w:rPr>
          <w:rFonts w:eastAsia="MS Mincho"/>
          <w:lang w:eastAsia="ja-JP"/>
        </w:rPr>
      </w:pPr>
      <w:r w:rsidRPr="008C0E73">
        <w:rPr>
          <w:rFonts w:eastAsia="MS Mincho"/>
          <w:lang w:eastAsia="ja-JP"/>
        </w:rPr>
        <w:t xml:space="preserve">Conformance testing activities; </w:t>
      </w:r>
    </w:p>
    <w:p w:rsidR="008C0E73" w:rsidRPr="008C0E73" w:rsidRDefault="008C0E73" w:rsidP="004A2F81">
      <w:pPr>
        <w:widowControl w:val="0"/>
        <w:numPr>
          <w:ilvl w:val="1"/>
          <w:numId w:val="31"/>
        </w:numPr>
        <w:ind w:left="709" w:hanging="357"/>
        <w:jc w:val="both"/>
        <w:rPr>
          <w:rFonts w:eastAsia="MS Mincho"/>
          <w:lang w:eastAsia="ja-JP"/>
        </w:rPr>
      </w:pPr>
      <w:r w:rsidRPr="008C0E73">
        <w:rPr>
          <w:rFonts w:eastAsia="MS Mincho"/>
          <w:lang w:eastAsia="ja-JP"/>
        </w:rPr>
        <w:t>Role of Authority of Telecommunications in Conformity Assessment, Conformance Testing and its recent development in testing activities;</w:t>
      </w:r>
    </w:p>
    <w:p w:rsidR="008C0E73" w:rsidRPr="008C0E73" w:rsidRDefault="008C0E73" w:rsidP="004A2F81">
      <w:pPr>
        <w:widowControl w:val="0"/>
        <w:numPr>
          <w:ilvl w:val="1"/>
          <w:numId w:val="31"/>
        </w:numPr>
        <w:ind w:left="709" w:hanging="357"/>
        <w:jc w:val="both"/>
        <w:rPr>
          <w:rFonts w:eastAsia="MS Mincho"/>
          <w:lang w:eastAsia="ja-JP"/>
        </w:rPr>
      </w:pPr>
      <w:r w:rsidRPr="008C0E73">
        <w:rPr>
          <w:rFonts w:eastAsia="MS Mincho"/>
          <w:lang w:eastAsia="ja-JP"/>
        </w:rPr>
        <w:t>Challenges and our action plan regarding to Conformity Assessment.</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C&amp;I-3/INP-04</w:t>
      </w:r>
      <w:r w:rsidRPr="002C5AF7">
        <w:rPr>
          <w:rFonts w:eastAsia="MS Mincho"/>
          <w:b/>
          <w:lang w:val="en-GB" w:eastAsia="ja-JP"/>
        </w:rPr>
        <w:tab/>
        <w:t>Proposed Innovative Optical Cable Solution for closing the urban-rural digital</w:t>
      </w:r>
      <w:r w:rsidR="00364282" w:rsidRPr="002C5AF7">
        <w:rPr>
          <w:rFonts w:eastAsia="MS Mincho"/>
          <w:b/>
          <w:lang w:val="en-GB" w:eastAsia="ja-JP"/>
        </w:rPr>
        <w:t xml:space="preserve"> </w:t>
      </w:r>
      <w:r w:rsidRPr="002C5AF7">
        <w:rPr>
          <w:rFonts w:eastAsia="MS Mincho"/>
          <w:b/>
          <w:lang w:val="en-GB" w:eastAsia="ja-JP"/>
        </w:rPr>
        <w:t>divide (Global Pan Inc.)</w:t>
      </w:r>
    </w:p>
    <w:p w:rsidR="002B55B2" w:rsidRDefault="002B55B2" w:rsidP="002B55B2">
      <w:pPr>
        <w:autoSpaceDE w:val="0"/>
        <w:autoSpaceDN w:val="0"/>
        <w:adjustRightInd w:val="0"/>
        <w:snapToGrid w:val="0"/>
        <w:spacing w:before="120"/>
        <w:ind w:left="426"/>
        <w:rPr>
          <w:rFonts w:eastAsia="MS PGothic"/>
          <w:lang w:eastAsia="ja-JP"/>
        </w:rPr>
      </w:pPr>
      <w:r w:rsidRPr="002B55B2">
        <w:rPr>
          <w:rFonts w:eastAsia="MS PGothic"/>
          <w:lang w:eastAsia="ja-JP"/>
        </w:rPr>
        <w:t>This presentation introduces following main topics.</w:t>
      </w:r>
    </w:p>
    <w:p w:rsidR="00C76119" w:rsidRDefault="00C80746" w:rsidP="00C76119">
      <w:pPr>
        <w:widowControl w:val="0"/>
        <w:numPr>
          <w:ilvl w:val="1"/>
          <w:numId w:val="31"/>
        </w:numPr>
        <w:spacing w:before="120"/>
        <w:ind w:left="709"/>
        <w:jc w:val="both"/>
        <w:rPr>
          <w:rFonts w:eastAsia="MS Mincho"/>
          <w:lang w:eastAsia="ja-JP"/>
        </w:rPr>
      </w:pPr>
      <w:r w:rsidRPr="00C80746">
        <w:rPr>
          <w:rFonts w:eastAsia="MS Mincho"/>
          <w:lang w:eastAsia="ja-JP"/>
        </w:rPr>
        <w:t xml:space="preserve">Broadband backhaul is mandatory form cities to rural areas. Comparing wired and wireless solution, optical cable solution is </w:t>
      </w:r>
      <w:r w:rsidR="009811ED">
        <w:rPr>
          <w:rFonts w:eastAsia="MS Mincho"/>
          <w:lang w:eastAsia="ja-JP"/>
        </w:rPr>
        <w:t>1000 times faster and lower CAPEX</w:t>
      </w:r>
      <w:r w:rsidRPr="00C80746">
        <w:rPr>
          <w:rFonts w:eastAsia="MS Mincho"/>
          <w:lang w:eastAsia="ja-JP"/>
        </w:rPr>
        <w:t xml:space="preserve"> than microwave solution.</w:t>
      </w:r>
      <w:r w:rsidR="009811ED">
        <w:rPr>
          <w:rFonts w:eastAsia="MS Mincho"/>
          <w:lang w:eastAsia="ja-JP"/>
        </w:rPr>
        <w:t xml:space="preserve"> </w:t>
      </w:r>
      <w:r w:rsidR="00C76119">
        <w:rPr>
          <w:rFonts w:eastAsia="MS Mincho"/>
          <w:lang w:eastAsia="ja-JP"/>
        </w:rPr>
        <w:t>Estimated cost of cable plus</w:t>
      </w:r>
      <w:r w:rsidR="009811ED">
        <w:rPr>
          <w:rFonts w:eastAsia="MS Mincho"/>
          <w:lang w:eastAsia="ja-JP"/>
        </w:rPr>
        <w:t xml:space="preserve"> construction is 4500-5500US$/km </w:t>
      </w:r>
      <w:r w:rsidR="00C76119">
        <w:rPr>
          <w:rFonts w:eastAsia="MS Mincho"/>
          <w:lang w:eastAsia="ja-JP"/>
        </w:rPr>
        <w:t xml:space="preserve">with shallow direct burial using a handy pick. </w:t>
      </w:r>
      <w:r w:rsidR="00C76119" w:rsidRPr="00C76119">
        <w:rPr>
          <w:rFonts w:eastAsia="MS Mincho"/>
          <w:lang w:eastAsia="ja-JP"/>
        </w:rPr>
        <w:t xml:space="preserve">Minimum CAPEX/OPEX available with Optical Solution if direct-surface installation is allowed with later burying, submerging and suspending. </w:t>
      </w:r>
    </w:p>
    <w:p w:rsidR="00522539" w:rsidRDefault="00C76119" w:rsidP="00522539">
      <w:pPr>
        <w:widowControl w:val="0"/>
        <w:numPr>
          <w:ilvl w:val="1"/>
          <w:numId w:val="31"/>
        </w:numPr>
        <w:ind w:left="709" w:hanging="357"/>
        <w:jc w:val="both"/>
        <w:rPr>
          <w:rFonts w:eastAsia="MS Mincho"/>
          <w:lang w:eastAsia="ja-JP"/>
        </w:rPr>
      </w:pPr>
      <w:r>
        <w:rPr>
          <w:rFonts w:eastAsia="MS Mincho"/>
          <w:lang w:eastAsia="ja-JP"/>
        </w:rPr>
        <w:t xml:space="preserve">ITU-T SG15 develops a new Optical </w:t>
      </w:r>
      <w:r w:rsidRPr="00C76119">
        <w:rPr>
          <w:rFonts w:eastAsia="MS Mincho"/>
          <w:lang w:eastAsia="ja-JP"/>
        </w:rPr>
        <w:t>cable Standard</w:t>
      </w:r>
      <w:r>
        <w:rPr>
          <w:rFonts w:eastAsia="MS Mincho"/>
          <w:lang w:eastAsia="ja-JP"/>
        </w:rPr>
        <w:t xml:space="preserve"> </w:t>
      </w:r>
      <w:r w:rsidRPr="00C76119">
        <w:rPr>
          <w:rFonts w:eastAsia="MS Mincho"/>
          <w:lang w:eastAsia="ja-JP"/>
        </w:rPr>
        <w:t>for direct surface installation</w:t>
      </w:r>
      <w:r>
        <w:rPr>
          <w:rFonts w:eastAsia="MS Mincho"/>
          <w:lang w:eastAsia="ja-JP"/>
        </w:rPr>
        <w:t xml:space="preserve">. It was agreed to develop new cable standards in Jun 2015. </w:t>
      </w:r>
    </w:p>
    <w:p w:rsidR="00C76119" w:rsidRPr="00522539" w:rsidRDefault="00C76119" w:rsidP="00522539">
      <w:pPr>
        <w:widowControl w:val="0"/>
        <w:numPr>
          <w:ilvl w:val="1"/>
          <w:numId w:val="31"/>
        </w:numPr>
        <w:ind w:left="709" w:hanging="357"/>
        <w:jc w:val="both"/>
        <w:rPr>
          <w:rFonts w:eastAsia="MS Mincho"/>
          <w:lang w:eastAsia="ja-JP"/>
        </w:rPr>
      </w:pPr>
      <w:r w:rsidRPr="00522539">
        <w:rPr>
          <w:rFonts w:eastAsia="MS Mincho"/>
          <w:lang w:eastAsia="ja-JP"/>
        </w:rPr>
        <w:t>Innovative optical cable with a steel pipe allowing direct-surface installation. It is thin, lightweight, robust, easy-handling</w:t>
      </w:r>
      <w:r w:rsidR="00522539" w:rsidRPr="00522539">
        <w:rPr>
          <w:rFonts w:eastAsia="MS Mincho"/>
          <w:lang w:eastAsia="ja-JP"/>
        </w:rPr>
        <w:t>. The metal pipe protecting fibers</w:t>
      </w:r>
      <w:r w:rsidR="00522539">
        <w:rPr>
          <w:rFonts w:eastAsia="MS Mincho"/>
          <w:lang w:eastAsia="ja-JP"/>
        </w:rPr>
        <w:t xml:space="preserve"> </w:t>
      </w:r>
      <w:r w:rsidR="00522539" w:rsidRPr="00522539">
        <w:rPr>
          <w:rFonts w:eastAsia="MS Mincho"/>
          <w:lang w:eastAsia="ja-JP"/>
        </w:rPr>
        <w:t xml:space="preserve">against crush, rodent, </w:t>
      </w:r>
      <w:r w:rsidR="00522539" w:rsidRPr="00522539">
        <w:rPr>
          <w:rFonts w:eastAsia="MS Mincho"/>
          <w:lang w:eastAsia="ja-JP"/>
        </w:rPr>
        <w:lastRenderedPageBreak/>
        <w:t>moisture/water, high/low temp</w:t>
      </w:r>
      <w:r w:rsidR="00522539">
        <w:rPr>
          <w:rFonts w:eastAsia="MS Mincho"/>
          <w:lang w:eastAsia="ja-JP"/>
        </w:rPr>
        <w:t>.</w:t>
      </w:r>
    </w:p>
    <w:p w:rsidR="00522539" w:rsidRDefault="00522539" w:rsidP="00522539">
      <w:pPr>
        <w:widowControl w:val="0"/>
        <w:numPr>
          <w:ilvl w:val="1"/>
          <w:numId w:val="31"/>
        </w:numPr>
        <w:ind w:left="709" w:hanging="357"/>
        <w:jc w:val="both"/>
        <w:rPr>
          <w:rFonts w:eastAsia="MS Mincho"/>
          <w:lang w:eastAsia="ja-JP"/>
        </w:rPr>
      </w:pPr>
      <w:r>
        <w:rPr>
          <w:rFonts w:eastAsia="MS Mincho"/>
          <w:lang w:eastAsia="ja-JP"/>
        </w:rPr>
        <w:t>Thin and lightweight cable is cost-effective and easy cable laying by do it yourself. It is possible to lay by helicopter.</w:t>
      </w:r>
    </w:p>
    <w:p w:rsidR="00C80746" w:rsidRPr="00522539" w:rsidRDefault="00522539" w:rsidP="00522539">
      <w:pPr>
        <w:widowControl w:val="0"/>
        <w:numPr>
          <w:ilvl w:val="1"/>
          <w:numId w:val="31"/>
        </w:numPr>
        <w:ind w:left="709" w:hanging="357"/>
        <w:jc w:val="both"/>
        <w:rPr>
          <w:rFonts w:eastAsia="MS Mincho"/>
          <w:lang w:eastAsia="ja-JP"/>
        </w:rPr>
      </w:pPr>
      <w:r w:rsidRPr="00522539">
        <w:rPr>
          <w:rFonts w:eastAsia="MS Mincho"/>
          <w:lang w:eastAsia="ja-JP"/>
        </w:rPr>
        <w:t>Pilot tests are being conducted and planned</w:t>
      </w:r>
      <w:r>
        <w:rPr>
          <w:rFonts w:eastAsia="MS Mincho"/>
          <w:lang w:eastAsia="ja-JP"/>
        </w:rPr>
        <w:t xml:space="preserve"> in </w:t>
      </w:r>
      <w:r w:rsidRPr="00522539">
        <w:rPr>
          <w:rFonts w:eastAsia="MS Mincho"/>
          <w:lang w:eastAsia="ja-JP"/>
        </w:rPr>
        <w:t>Japan, Bhtan, Nepal, India (MP state). Multiple</w:t>
      </w:r>
      <w:r>
        <w:rPr>
          <w:rFonts w:eastAsia="MS Mincho"/>
          <w:lang w:eastAsia="ja-JP"/>
        </w:rPr>
        <w:t xml:space="preserve"> </w:t>
      </w:r>
      <w:r w:rsidRPr="00522539">
        <w:rPr>
          <w:rFonts w:eastAsia="MS Mincho"/>
          <w:lang w:eastAsia="ja-JP"/>
        </w:rPr>
        <w:t>countries express interests in conducting pilot</w:t>
      </w:r>
      <w:r>
        <w:rPr>
          <w:rFonts w:eastAsia="MS Mincho"/>
          <w:lang w:eastAsia="ja-JP"/>
        </w:rPr>
        <w:t xml:space="preserve"> </w:t>
      </w:r>
      <w:r w:rsidRPr="00522539">
        <w:rPr>
          <w:rFonts w:eastAsia="MS Mincho"/>
          <w:lang w:eastAsia="ja-JP"/>
        </w:rPr>
        <w:t>tests.</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C&amp;I-3/INP-05</w:t>
      </w:r>
      <w:r w:rsidRPr="002C5AF7">
        <w:rPr>
          <w:rFonts w:eastAsia="MS Mincho"/>
          <w:b/>
          <w:lang w:val="en-GB" w:eastAsia="ja-JP"/>
        </w:rPr>
        <w:tab/>
        <w:t>Important Keys for Optical Access Network (NTT Corp.)</w:t>
      </w:r>
    </w:p>
    <w:p w:rsidR="000254EB" w:rsidRDefault="000254EB" w:rsidP="000254EB">
      <w:pPr>
        <w:autoSpaceDE w:val="0"/>
        <w:autoSpaceDN w:val="0"/>
        <w:adjustRightInd w:val="0"/>
        <w:snapToGrid w:val="0"/>
        <w:spacing w:before="120"/>
        <w:ind w:left="426"/>
        <w:rPr>
          <w:rFonts w:eastAsia="MS PGothic"/>
          <w:lang w:eastAsia="ja-JP"/>
        </w:rPr>
      </w:pPr>
      <w:r w:rsidRPr="000254EB">
        <w:rPr>
          <w:rFonts w:eastAsia="MS PGothic"/>
          <w:lang w:eastAsia="ja-JP"/>
        </w:rPr>
        <w:t>This presentation introduces following main topics.</w:t>
      </w:r>
    </w:p>
    <w:p w:rsidR="000254EB" w:rsidRDefault="000254EB" w:rsidP="000254EB">
      <w:pPr>
        <w:widowControl w:val="0"/>
        <w:numPr>
          <w:ilvl w:val="1"/>
          <w:numId w:val="31"/>
        </w:numPr>
        <w:spacing w:before="120"/>
        <w:ind w:left="709"/>
        <w:jc w:val="both"/>
        <w:rPr>
          <w:rFonts w:eastAsia="MS Mincho"/>
          <w:lang w:eastAsia="ja-JP"/>
        </w:rPr>
      </w:pPr>
      <w:r w:rsidRPr="000254EB">
        <w:rPr>
          <w:rFonts w:eastAsia="MS Mincho"/>
          <w:lang w:eastAsia="ja-JP"/>
        </w:rPr>
        <w:t>FTTH is already matured in Japan. More than 26 million subscribers with stable and high quality network. NTT constructs infrastructure based on ITU standards to avoid vendor lock-in, to realize stable and high quality system and to promote competition between vendors.</w:t>
      </w:r>
    </w:p>
    <w:p w:rsidR="008030CE" w:rsidRDefault="008030CE" w:rsidP="008030CE">
      <w:pPr>
        <w:widowControl w:val="0"/>
        <w:numPr>
          <w:ilvl w:val="1"/>
          <w:numId w:val="31"/>
        </w:numPr>
        <w:ind w:left="709" w:hanging="357"/>
        <w:jc w:val="both"/>
        <w:rPr>
          <w:rFonts w:eastAsia="MS Mincho"/>
          <w:lang w:eastAsia="ja-JP"/>
        </w:rPr>
      </w:pPr>
      <w:r>
        <w:rPr>
          <w:rFonts w:eastAsia="MS Mincho"/>
          <w:lang w:eastAsia="ja-JP"/>
        </w:rPr>
        <w:t>FTTH quality depends quality of engineer largely and it should be improved from the beginning because it is almost impossible to re-build whole FTTH network after growth.</w:t>
      </w:r>
    </w:p>
    <w:p w:rsidR="000254EB" w:rsidRPr="008030CE" w:rsidRDefault="008030CE" w:rsidP="008030CE">
      <w:pPr>
        <w:widowControl w:val="0"/>
        <w:numPr>
          <w:ilvl w:val="1"/>
          <w:numId w:val="31"/>
        </w:numPr>
        <w:ind w:left="709" w:hanging="357"/>
        <w:jc w:val="both"/>
        <w:rPr>
          <w:rFonts w:eastAsia="MS Mincho"/>
          <w:lang w:eastAsia="ja-JP"/>
        </w:rPr>
      </w:pPr>
      <w:r>
        <w:rPr>
          <w:rFonts w:eastAsia="MS Mincho"/>
          <w:lang w:eastAsia="ja-JP"/>
        </w:rPr>
        <w:t>NTT group has experience to provide training and consulting to other carriers.</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C&amp;I-3/INP-06</w:t>
      </w:r>
      <w:r w:rsidRPr="002C5AF7">
        <w:rPr>
          <w:rFonts w:eastAsia="MS Mincho"/>
          <w:b/>
          <w:lang w:val="en-GB" w:eastAsia="ja-JP"/>
        </w:rPr>
        <w:tab/>
        <w:t>Components of Broadband Access Network (NTT Electronics)</w:t>
      </w:r>
    </w:p>
    <w:p w:rsidR="00F52DED" w:rsidRPr="00D333F0" w:rsidRDefault="00F52DED" w:rsidP="00F52DED">
      <w:pPr>
        <w:autoSpaceDE w:val="0"/>
        <w:autoSpaceDN w:val="0"/>
        <w:adjustRightInd w:val="0"/>
        <w:snapToGrid w:val="0"/>
        <w:spacing w:before="120"/>
        <w:ind w:left="426"/>
        <w:rPr>
          <w:rFonts w:eastAsia="MS PGothic"/>
          <w:lang w:eastAsia="ja-JP"/>
        </w:rPr>
      </w:pPr>
      <w:r w:rsidRPr="00D333F0">
        <w:rPr>
          <w:rFonts w:eastAsia="MS PGothic"/>
          <w:lang w:eastAsia="ja-JP"/>
        </w:rPr>
        <w:t>This presentation introduces following main topics.</w:t>
      </w:r>
    </w:p>
    <w:p w:rsidR="00F52DED" w:rsidRDefault="00F52DED" w:rsidP="00F52DED">
      <w:pPr>
        <w:widowControl w:val="0"/>
        <w:numPr>
          <w:ilvl w:val="1"/>
          <w:numId w:val="31"/>
        </w:numPr>
        <w:spacing w:before="120"/>
        <w:ind w:left="709"/>
        <w:jc w:val="both"/>
        <w:rPr>
          <w:rFonts w:eastAsia="MS Mincho"/>
          <w:lang w:eastAsia="ja-JP"/>
        </w:rPr>
      </w:pPr>
      <w:r>
        <w:rPr>
          <w:rFonts w:eastAsia="MS Mincho"/>
          <w:lang w:eastAsia="ja-JP"/>
        </w:rPr>
        <w:t xml:space="preserve">NEL provides codec LSI, video codec system, LSI for broadband core/access network and optical communication products. </w:t>
      </w:r>
    </w:p>
    <w:p w:rsidR="000250BC" w:rsidRDefault="00F52DED" w:rsidP="000250BC">
      <w:pPr>
        <w:widowControl w:val="0"/>
        <w:numPr>
          <w:ilvl w:val="1"/>
          <w:numId w:val="31"/>
        </w:numPr>
        <w:ind w:left="709" w:hanging="357"/>
        <w:jc w:val="both"/>
        <w:rPr>
          <w:rFonts w:eastAsia="MS Mincho"/>
          <w:lang w:eastAsia="ja-JP"/>
        </w:rPr>
      </w:pPr>
      <w:r>
        <w:rPr>
          <w:rFonts w:eastAsia="MS Mincho"/>
          <w:lang w:eastAsia="ja-JP"/>
        </w:rPr>
        <w:t xml:space="preserve">Optical splitters has features, 1. </w:t>
      </w:r>
      <w:r w:rsidRPr="00F52DED">
        <w:rPr>
          <w:rFonts w:eastAsia="MS Mincho"/>
          <w:lang w:eastAsia="ja-JP"/>
        </w:rPr>
        <w:t>Completely passive, wide wavelength range of 1260 to 1660 nm,</w:t>
      </w:r>
      <w:r>
        <w:rPr>
          <w:rFonts w:eastAsia="MS Mincho"/>
          <w:lang w:eastAsia="ja-JP"/>
        </w:rPr>
        <w:t xml:space="preserve"> </w:t>
      </w:r>
      <w:r w:rsidRPr="00F52DED">
        <w:rPr>
          <w:rFonts w:eastAsia="MS Mincho"/>
          <w:lang w:eastAsia="ja-JP"/>
        </w:rPr>
        <w:t>wide te</w:t>
      </w:r>
      <w:r>
        <w:rPr>
          <w:rFonts w:eastAsia="MS Mincho"/>
          <w:lang w:eastAsia="ja-JP"/>
        </w:rPr>
        <w:t xml:space="preserve">mperature range, </w:t>
      </w:r>
      <w:r w:rsidRPr="00F52DED">
        <w:rPr>
          <w:rFonts w:eastAsia="MS Mincho"/>
          <w:lang w:eastAsia="ja-JP"/>
        </w:rPr>
        <w:t>Compact package, suitable for</w:t>
      </w:r>
      <w:r>
        <w:rPr>
          <w:rFonts w:eastAsia="MS Mincho"/>
          <w:lang w:eastAsia="ja-JP"/>
        </w:rPr>
        <w:t xml:space="preserve"> cassette, </w:t>
      </w:r>
      <w:r w:rsidRPr="00F52DED">
        <w:rPr>
          <w:rFonts w:eastAsia="MS Mincho"/>
          <w:lang w:eastAsia="ja-JP"/>
        </w:rPr>
        <w:t>Good performance/High reliability</w:t>
      </w:r>
      <w:r w:rsidRPr="00F52DED">
        <w:rPr>
          <w:rFonts w:eastAsia="MS Mincho" w:hint="eastAsia"/>
          <w:lang w:eastAsia="ja-JP"/>
        </w:rPr>
        <w:t>（</w:t>
      </w:r>
      <w:r w:rsidRPr="00F52DED">
        <w:rPr>
          <w:rFonts w:eastAsia="MS Mincho"/>
          <w:lang w:eastAsia="ja-JP"/>
        </w:rPr>
        <w:t>based on ITU-T</w:t>
      </w:r>
      <w:r>
        <w:rPr>
          <w:rFonts w:eastAsia="MS Mincho"/>
          <w:lang w:eastAsia="ja-JP"/>
        </w:rPr>
        <w:t xml:space="preserve"> </w:t>
      </w:r>
      <w:r w:rsidRPr="00F52DED">
        <w:rPr>
          <w:rFonts w:eastAsia="MS Mincho" w:hint="eastAsia"/>
          <w:lang w:eastAsia="ja-JP"/>
        </w:rPr>
        <w:t>Recommendation G.671 and L.37</w:t>
      </w:r>
      <w:r>
        <w:rPr>
          <w:rFonts w:eastAsia="MS Mincho" w:hint="eastAsia"/>
          <w:lang w:eastAsia="ja-JP"/>
        </w:rPr>
        <w:t>）</w:t>
      </w:r>
      <w:r>
        <w:rPr>
          <w:rFonts w:eastAsia="MS Mincho"/>
          <w:lang w:eastAsia="ja-JP"/>
        </w:rPr>
        <w:t xml:space="preserve">.  </w:t>
      </w:r>
      <w:r w:rsidRPr="00F52DED">
        <w:rPr>
          <w:rFonts w:eastAsia="MS Mincho"/>
          <w:lang w:eastAsia="ja-JP"/>
        </w:rPr>
        <w:t>NEL has shipped 8 million of splitters within 10 years all over the</w:t>
      </w:r>
      <w:r>
        <w:rPr>
          <w:rFonts w:eastAsia="MS Mincho"/>
          <w:lang w:eastAsia="ja-JP"/>
        </w:rPr>
        <w:t xml:space="preserve"> </w:t>
      </w:r>
      <w:r w:rsidRPr="00F52DED">
        <w:rPr>
          <w:rFonts w:eastAsia="MS Mincho"/>
          <w:lang w:eastAsia="ja-JP"/>
        </w:rPr>
        <w:t>world. There is no failure in the field so far.</w:t>
      </w:r>
    </w:p>
    <w:p w:rsidR="000250BC" w:rsidRDefault="000250BC" w:rsidP="000250BC">
      <w:pPr>
        <w:widowControl w:val="0"/>
        <w:numPr>
          <w:ilvl w:val="1"/>
          <w:numId w:val="31"/>
        </w:numPr>
        <w:ind w:left="709" w:hanging="357"/>
        <w:jc w:val="both"/>
        <w:rPr>
          <w:rFonts w:eastAsia="MS Mincho"/>
          <w:lang w:eastAsia="ja-JP"/>
        </w:rPr>
      </w:pPr>
      <w:r w:rsidRPr="000250BC">
        <w:rPr>
          <w:rFonts w:eastAsia="MS Mincho"/>
          <w:lang w:eastAsia="ja-JP"/>
        </w:rPr>
        <w:t xml:space="preserve">WDM-PON AAWG (NG-PON2) has the features, 1. </w:t>
      </w:r>
      <w:r>
        <w:rPr>
          <w:rFonts w:eastAsia="MS Mincho"/>
          <w:lang w:eastAsia="ja-JP"/>
        </w:rPr>
        <w:t>W</w:t>
      </w:r>
      <w:r w:rsidRPr="000250BC">
        <w:rPr>
          <w:rFonts w:eastAsia="MS Mincho"/>
          <w:lang w:eastAsia="ja-JP"/>
        </w:rPr>
        <w:t>ide operation temperature range</w:t>
      </w:r>
      <w:r>
        <w:rPr>
          <w:rFonts w:eastAsia="MS Mincho"/>
          <w:lang w:eastAsia="ja-JP"/>
        </w:rPr>
        <w:t>, 2. It c</w:t>
      </w:r>
      <w:r w:rsidRPr="000250BC">
        <w:rPr>
          <w:rFonts w:eastAsia="MS Mincho"/>
          <w:lang w:eastAsia="ja-JP"/>
        </w:rPr>
        <w:t>an be used in both of C-band and L-band with cyclic design</w:t>
      </w:r>
      <w:r>
        <w:rPr>
          <w:rFonts w:eastAsia="MS Mincho"/>
          <w:lang w:eastAsia="ja-JP"/>
        </w:rPr>
        <w:t xml:space="preserve">, 3. </w:t>
      </w:r>
      <w:r w:rsidRPr="000250BC">
        <w:rPr>
          <w:rFonts w:eastAsia="MS Mincho"/>
          <w:lang w:eastAsia="ja-JP"/>
        </w:rPr>
        <w:t>Water immersion and corrosion resistance tested</w:t>
      </w:r>
      <w:r>
        <w:rPr>
          <w:rFonts w:eastAsia="MS Mincho"/>
          <w:lang w:eastAsia="ja-JP"/>
        </w:rPr>
        <w:t>.</w:t>
      </w:r>
    </w:p>
    <w:p w:rsidR="00F52DED" w:rsidRPr="000250BC" w:rsidRDefault="000250BC" w:rsidP="000250BC">
      <w:pPr>
        <w:widowControl w:val="0"/>
        <w:numPr>
          <w:ilvl w:val="1"/>
          <w:numId w:val="31"/>
        </w:numPr>
        <w:ind w:left="709" w:hanging="357"/>
        <w:jc w:val="both"/>
        <w:rPr>
          <w:rFonts w:eastAsia="MS Mincho"/>
          <w:lang w:eastAsia="ja-JP"/>
        </w:rPr>
      </w:pPr>
      <w:r w:rsidRPr="000250BC">
        <w:rPr>
          <w:rFonts w:eastAsia="MS Mincho"/>
          <w:lang w:eastAsia="ja-JP"/>
        </w:rPr>
        <w:t>NEL provides MAC SoCs and Burst-mode TIA are</w:t>
      </w:r>
      <w:r>
        <w:rPr>
          <w:rFonts w:eastAsia="MS Mincho"/>
          <w:lang w:eastAsia="ja-JP"/>
        </w:rPr>
        <w:t xml:space="preserve"> </w:t>
      </w:r>
      <w:r w:rsidRPr="000250BC">
        <w:rPr>
          <w:rFonts w:eastAsia="MS Mincho"/>
          <w:lang w:eastAsia="ja-JP"/>
        </w:rPr>
        <w:t>developed for next generation 10G-EPON as key</w:t>
      </w:r>
      <w:r>
        <w:rPr>
          <w:rFonts w:eastAsia="MS Mincho"/>
          <w:lang w:eastAsia="ja-JP"/>
        </w:rPr>
        <w:t xml:space="preserve"> </w:t>
      </w:r>
      <w:r w:rsidRPr="000250BC">
        <w:rPr>
          <w:rFonts w:eastAsia="MS Mincho"/>
          <w:lang w:eastAsia="ja-JP"/>
        </w:rPr>
        <w:t>c</w:t>
      </w:r>
      <w:r>
        <w:rPr>
          <w:rFonts w:eastAsia="MS Mincho"/>
          <w:lang w:eastAsia="ja-JP"/>
        </w:rPr>
        <w:t xml:space="preserve">omponents. </w:t>
      </w:r>
      <w:r w:rsidRPr="000250BC">
        <w:rPr>
          <w:rFonts w:eastAsia="MS Mincho"/>
          <w:lang w:eastAsia="ja-JP"/>
        </w:rPr>
        <w:t xml:space="preserve"> </w:t>
      </w:r>
    </w:p>
    <w:p w:rsidR="00D87FDD" w:rsidRPr="002C5AF7" w:rsidRDefault="00D87FDD" w:rsidP="00F52DED">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C&amp;I-3/INP-07</w:t>
      </w:r>
      <w:r w:rsidRPr="002C5AF7">
        <w:rPr>
          <w:rFonts w:eastAsia="MS Mincho"/>
          <w:b/>
          <w:lang w:val="en-GB" w:eastAsia="ja-JP"/>
        </w:rPr>
        <w:tab/>
        <w:t>Report of Smart City showcasing (Fujikura Ltd.)</w:t>
      </w:r>
    </w:p>
    <w:p w:rsidR="00C4782B" w:rsidRPr="00D333F0" w:rsidRDefault="00C4782B" w:rsidP="00C4782B">
      <w:pPr>
        <w:autoSpaceDE w:val="0"/>
        <w:autoSpaceDN w:val="0"/>
        <w:adjustRightInd w:val="0"/>
        <w:snapToGrid w:val="0"/>
        <w:spacing w:before="120"/>
        <w:ind w:left="426"/>
        <w:rPr>
          <w:rFonts w:eastAsia="MS PGothic"/>
          <w:lang w:eastAsia="ja-JP"/>
        </w:rPr>
      </w:pPr>
      <w:r w:rsidRPr="00D333F0">
        <w:rPr>
          <w:rFonts w:eastAsia="MS PGothic"/>
          <w:lang w:eastAsia="ja-JP"/>
        </w:rPr>
        <w:t>This presentation introduces following main topics.</w:t>
      </w:r>
    </w:p>
    <w:p w:rsidR="00C4782B" w:rsidRDefault="00C4782B" w:rsidP="00C4782B">
      <w:pPr>
        <w:widowControl w:val="0"/>
        <w:numPr>
          <w:ilvl w:val="1"/>
          <w:numId w:val="31"/>
        </w:numPr>
        <w:spacing w:before="120"/>
        <w:ind w:left="709"/>
        <w:jc w:val="both"/>
        <w:rPr>
          <w:rFonts w:eastAsia="MS Mincho"/>
          <w:lang w:eastAsia="ja-JP"/>
        </w:rPr>
      </w:pPr>
      <w:r w:rsidRPr="00C4782B">
        <w:rPr>
          <w:rFonts w:eastAsia="MS Mincho"/>
          <w:lang w:eastAsia="ja-JP"/>
        </w:rPr>
        <w:t>Wireless Broadband Leaky Coaxial Cable (WBLCX)</w:t>
      </w:r>
      <w:r>
        <w:rPr>
          <w:rFonts w:eastAsia="MS Mincho"/>
          <w:lang w:eastAsia="ja-JP"/>
        </w:rPr>
        <w:t xml:space="preserve"> is an antenna which has the features, 1. It is ensuring reliable wireless LAN along the route of cable, 2. It can eliminate radio dead zone efficiently, 3. It can withstand the harsh environments, 4. It is maintenance free and lifecycle is more than 20 years.</w:t>
      </w:r>
    </w:p>
    <w:p w:rsidR="001852D9" w:rsidRDefault="00C4782B" w:rsidP="00D208D6">
      <w:pPr>
        <w:widowControl w:val="0"/>
        <w:numPr>
          <w:ilvl w:val="1"/>
          <w:numId w:val="31"/>
        </w:numPr>
        <w:ind w:left="709" w:hanging="357"/>
        <w:jc w:val="both"/>
        <w:rPr>
          <w:rFonts w:eastAsia="MS Mincho"/>
          <w:lang w:eastAsia="ja-JP"/>
        </w:rPr>
      </w:pPr>
      <w:r>
        <w:rPr>
          <w:rFonts w:eastAsia="MS Mincho"/>
          <w:lang w:eastAsia="ja-JP"/>
        </w:rPr>
        <w:t xml:space="preserve">WBLCX enables 1. WAP can be installed anywhere, 2. Reduce the number of WAPs, 3. Eliminate signal shadows. </w:t>
      </w:r>
      <w:r w:rsidR="001852D9">
        <w:rPr>
          <w:rFonts w:eastAsia="MS Mincho"/>
          <w:lang w:eastAsia="ja-JP"/>
        </w:rPr>
        <w:t>It is suitable for using in hotel, hospital, underground carpark, shopping mall and factory warehouse. It is used for Japanese Shinkansen.</w:t>
      </w:r>
    </w:p>
    <w:p w:rsidR="001852D9" w:rsidRDefault="001852D9" w:rsidP="00D208D6">
      <w:pPr>
        <w:widowControl w:val="0"/>
        <w:numPr>
          <w:ilvl w:val="1"/>
          <w:numId w:val="31"/>
        </w:numPr>
        <w:ind w:left="709" w:hanging="357"/>
        <w:jc w:val="both"/>
        <w:rPr>
          <w:rFonts w:eastAsia="MS Mincho"/>
          <w:lang w:eastAsia="ja-JP"/>
        </w:rPr>
      </w:pPr>
      <w:r w:rsidRPr="001852D9">
        <w:rPr>
          <w:rFonts w:eastAsia="MS Mincho"/>
          <w:lang w:eastAsia="ja-JP"/>
        </w:rPr>
        <w:t>Fujikura provides Optical Fiber Perimeter Intrusion Detection System (PIDS) for security of airport, seaport, military area, chemical plant, solar/nuclear power plan</w:t>
      </w:r>
      <w:r>
        <w:rPr>
          <w:rFonts w:eastAsia="MS Mincho"/>
          <w:lang w:eastAsia="ja-JP"/>
        </w:rPr>
        <w:t>t and high speed train area.</w:t>
      </w:r>
    </w:p>
    <w:p w:rsidR="00C4782B" w:rsidRPr="001852D9" w:rsidRDefault="001852D9" w:rsidP="00D208D6">
      <w:pPr>
        <w:widowControl w:val="0"/>
        <w:numPr>
          <w:ilvl w:val="1"/>
          <w:numId w:val="31"/>
        </w:numPr>
        <w:ind w:left="709" w:hanging="357"/>
        <w:jc w:val="both"/>
        <w:rPr>
          <w:rFonts w:eastAsia="MS Mincho"/>
          <w:lang w:eastAsia="ja-JP"/>
        </w:rPr>
      </w:pPr>
      <w:r>
        <w:rPr>
          <w:rFonts w:eastAsia="MS Mincho"/>
          <w:lang w:eastAsia="ja-JP"/>
        </w:rPr>
        <w:t xml:space="preserve">Fujikura provides solutions for FWA, </w:t>
      </w:r>
      <w:r w:rsidRPr="001852D9">
        <w:rPr>
          <w:rFonts w:eastAsia="MS Mincho"/>
          <w:lang w:eastAsia="ja-JP"/>
        </w:rPr>
        <w:t>Quick Charger for EV and High-Voltage Shore Connection System (HVSC System)</w:t>
      </w:r>
      <w:r>
        <w:rPr>
          <w:rFonts w:eastAsia="MS Mincho"/>
          <w:lang w:eastAsia="ja-JP"/>
        </w:rPr>
        <w:t>.</w:t>
      </w:r>
    </w:p>
    <w:p w:rsidR="00D87FDD" w:rsidRPr="002C5AF7" w:rsidRDefault="00D87FDD" w:rsidP="00C4782B">
      <w:pPr>
        <w:widowControl w:val="0"/>
        <w:numPr>
          <w:ilvl w:val="0"/>
          <w:numId w:val="15"/>
        </w:numPr>
        <w:spacing w:before="240"/>
        <w:jc w:val="both"/>
        <w:rPr>
          <w:rFonts w:eastAsia="MS Mincho"/>
          <w:b/>
          <w:lang w:val="en-GB" w:eastAsia="ja-JP"/>
        </w:rPr>
      </w:pPr>
      <w:r w:rsidRPr="002C5AF7">
        <w:rPr>
          <w:rFonts w:eastAsia="MS Mincho"/>
          <w:b/>
          <w:lang w:val="en-GB" w:eastAsia="ja-JP"/>
        </w:rPr>
        <w:t>C&amp;I-3/INP-08</w:t>
      </w:r>
      <w:r w:rsidRPr="002C5AF7">
        <w:rPr>
          <w:rFonts w:eastAsia="MS Mincho"/>
          <w:b/>
          <w:lang w:val="en-GB" w:eastAsia="ja-JP"/>
        </w:rPr>
        <w:tab/>
        <w:t>Introduction of Optical Fiber Sensors (Furukawa Electric)</w:t>
      </w:r>
    </w:p>
    <w:p w:rsidR="00D333F0" w:rsidRPr="00D333F0" w:rsidRDefault="00D333F0" w:rsidP="00D333F0">
      <w:pPr>
        <w:autoSpaceDE w:val="0"/>
        <w:autoSpaceDN w:val="0"/>
        <w:adjustRightInd w:val="0"/>
        <w:snapToGrid w:val="0"/>
        <w:spacing w:before="120"/>
        <w:ind w:left="426"/>
        <w:rPr>
          <w:rFonts w:eastAsia="MS PGothic"/>
          <w:lang w:eastAsia="ja-JP"/>
        </w:rPr>
      </w:pPr>
      <w:r w:rsidRPr="00D333F0">
        <w:rPr>
          <w:rFonts w:eastAsia="MS PGothic"/>
          <w:lang w:eastAsia="ja-JP"/>
        </w:rPr>
        <w:t>This presentation introduces following main topics.</w:t>
      </w:r>
    </w:p>
    <w:p w:rsidR="00716290" w:rsidRDefault="00716290" w:rsidP="00716290">
      <w:pPr>
        <w:widowControl w:val="0"/>
        <w:numPr>
          <w:ilvl w:val="1"/>
          <w:numId w:val="31"/>
        </w:numPr>
        <w:spacing w:before="120"/>
        <w:ind w:left="709"/>
        <w:jc w:val="both"/>
        <w:rPr>
          <w:rFonts w:eastAsia="MS Mincho"/>
          <w:lang w:eastAsia="ja-JP"/>
        </w:rPr>
      </w:pPr>
      <w:r>
        <w:rPr>
          <w:rFonts w:eastAsia="MS Mincho"/>
          <w:lang w:eastAsia="ja-JP"/>
        </w:rPr>
        <w:t xml:space="preserve">Optical fiber sensors has strong features for lighting resistant, external noise resistant, high </w:t>
      </w:r>
      <w:r>
        <w:rPr>
          <w:rFonts w:eastAsia="MS Mincho"/>
          <w:lang w:eastAsia="ja-JP"/>
        </w:rPr>
        <w:lastRenderedPageBreak/>
        <w:t>reliability of low failure rate, cost effective and monitoring to extensive area.</w:t>
      </w:r>
    </w:p>
    <w:p w:rsidR="00716290" w:rsidRDefault="00716290" w:rsidP="00716290">
      <w:pPr>
        <w:widowControl w:val="0"/>
        <w:numPr>
          <w:ilvl w:val="1"/>
          <w:numId w:val="31"/>
        </w:numPr>
        <w:ind w:left="709" w:hanging="357"/>
        <w:jc w:val="both"/>
        <w:rPr>
          <w:rFonts w:eastAsia="MS Mincho"/>
          <w:lang w:eastAsia="ja-JP"/>
        </w:rPr>
      </w:pPr>
      <w:r>
        <w:rPr>
          <w:rFonts w:eastAsia="MS Mincho"/>
          <w:lang w:eastAsia="ja-JP"/>
        </w:rPr>
        <w:t xml:space="preserve">Furukawa </w:t>
      </w:r>
      <w:r>
        <w:rPr>
          <w:rFonts w:eastAsia="MS Mincho" w:hint="eastAsia"/>
          <w:lang w:eastAsia="ja-JP"/>
        </w:rPr>
        <w:t>E</w:t>
      </w:r>
      <w:r>
        <w:rPr>
          <w:rFonts w:eastAsia="MS Mincho"/>
          <w:lang w:eastAsia="ja-JP"/>
        </w:rPr>
        <w:t>lectric provides solutions for optical water level gauge, optical water immersion sensor, optical rain-fall gauge, photonic power supply using optical fiber and optical fence sensor.</w:t>
      </w:r>
    </w:p>
    <w:p w:rsidR="00716290" w:rsidRPr="00716290" w:rsidRDefault="00716290" w:rsidP="00716290">
      <w:pPr>
        <w:widowControl w:val="0"/>
        <w:numPr>
          <w:ilvl w:val="1"/>
          <w:numId w:val="31"/>
        </w:numPr>
        <w:ind w:left="709" w:hanging="357"/>
        <w:jc w:val="both"/>
        <w:rPr>
          <w:rFonts w:eastAsia="MS Mincho"/>
          <w:lang w:eastAsia="ja-JP"/>
        </w:rPr>
      </w:pPr>
      <w:r>
        <w:rPr>
          <w:rFonts w:eastAsia="MS Mincho"/>
          <w:lang w:eastAsia="ja-JP"/>
        </w:rPr>
        <w:t>Furukawa electric also provides optical fiber</w:t>
      </w:r>
      <w:r>
        <w:rPr>
          <w:rFonts w:eastAsia="MS Mincho" w:hint="eastAsia"/>
          <w:lang w:eastAsia="ja-JP"/>
        </w:rPr>
        <w:t>,</w:t>
      </w:r>
      <w:r>
        <w:rPr>
          <w:rFonts w:eastAsia="MS Mincho"/>
          <w:lang w:eastAsia="ja-JP"/>
        </w:rPr>
        <w:t xml:space="preserve"> </w:t>
      </w:r>
      <w:r>
        <w:rPr>
          <w:rFonts w:eastAsia="MS Mincho" w:hint="eastAsia"/>
          <w:lang w:eastAsia="ja-JP"/>
        </w:rPr>
        <w:t xml:space="preserve">optical </w:t>
      </w:r>
      <w:r>
        <w:rPr>
          <w:rFonts w:eastAsia="MS Mincho"/>
          <w:lang w:eastAsia="ja-JP"/>
        </w:rPr>
        <w:t xml:space="preserve">cable and fusion splicer S178A. </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C&amp;I-3/INP-09</w:t>
      </w:r>
      <w:r w:rsidRPr="002C5AF7">
        <w:rPr>
          <w:rFonts w:eastAsia="MS Mincho"/>
          <w:b/>
          <w:lang w:val="en-GB" w:eastAsia="ja-JP"/>
        </w:rPr>
        <w:tab/>
        <w:t>Report of IPTV Testing and showcasing (Oki Electric)</w:t>
      </w:r>
    </w:p>
    <w:p w:rsidR="00F34EC4" w:rsidRPr="00F34EC4" w:rsidRDefault="00F34EC4" w:rsidP="00F34EC4">
      <w:pPr>
        <w:autoSpaceDE w:val="0"/>
        <w:autoSpaceDN w:val="0"/>
        <w:adjustRightInd w:val="0"/>
        <w:snapToGrid w:val="0"/>
        <w:spacing w:before="120"/>
        <w:ind w:left="426"/>
        <w:rPr>
          <w:rFonts w:eastAsia="MS PGothic"/>
          <w:lang w:eastAsia="ja-JP"/>
        </w:rPr>
      </w:pPr>
      <w:r w:rsidRPr="00F34EC4">
        <w:rPr>
          <w:rFonts w:eastAsia="MS PGothic"/>
          <w:lang w:eastAsia="ja-JP"/>
        </w:rPr>
        <w:t>This presentation introduces following main topics.</w:t>
      </w:r>
    </w:p>
    <w:p w:rsidR="00F34EC4" w:rsidRPr="00F34EC4" w:rsidRDefault="00F34EC4" w:rsidP="00F34EC4">
      <w:pPr>
        <w:widowControl w:val="0"/>
        <w:numPr>
          <w:ilvl w:val="1"/>
          <w:numId w:val="31"/>
        </w:numPr>
        <w:spacing w:before="120"/>
        <w:ind w:left="709"/>
        <w:jc w:val="both"/>
        <w:rPr>
          <w:rFonts w:eastAsia="MS Mincho"/>
          <w:lang w:eastAsia="ja-JP"/>
        </w:rPr>
      </w:pPr>
      <w:r w:rsidRPr="00F34EC4">
        <w:rPr>
          <w:rFonts w:eastAsia="MS Mincho"/>
          <w:lang w:eastAsia="ja-JP"/>
        </w:rPr>
        <w:t>UHDTV (Ultra HDTV) enables 4 times higher resolution by 4K and 16 times resolution by 8K. 8K realizes outstanding clear and realistic image/video services. ITU-T H265 is suitable for 4K/8K video coding method.</w:t>
      </w:r>
    </w:p>
    <w:p w:rsidR="00F34EC4" w:rsidRDefault="00F34EC4" w:rsidP="004A2F81">
      <w:pPr>
        <w:widowControl w:val="0"/>
        <w:numPr>
          <w:ilvl w:val="1"/>
          <w:numId w:val="31"/>
        </w:numPr>
        <w:ind w:left="709" w:hanging="357"/>
        <w:jc w:val="both"/>
        <w:rPr>
          <w:rFonts w:eastAsia="MS Mincho"/>
          <w:lang w:eastAsia="ja-JP"/>
        </w:rPr>
      </w:pPr>
      <w:r>
        <w:rPr>
          <w:rFonts w:eastAsia="MS Mincho"/>
          <w:lang w:eastAsia="ja-JP"/>
        </w:rPr>
        <w:t>IPTV testing in the 3</w:t>
      </w:r>
      <w:r w:rsidRPr="004A2F81">
        <w:rPr>
          <w:rFonts w:eastAsia="MS Mincho"/>
          <w:lang w:eastAsia="ja-JP"/>
        </w:rPr>
        <w:t>rd</w:t>
      </w:r>
      <w:r>
        <w:rPr>
          <w:rFonts w:eastAsia="MS Mincho"/>
          <w:lang w:eastAsia="ja-JP"/>
        </w:rPr>
        <w:t xml:space="preserve"> C&amp;I event checked the different points between ITU-T H.721 (2010) and H.721 (2015) such as video codec (H.265), audio codec (ALS, DTS-HD), Resolution (up to 4K) and VoD protocols (DASH).</w:t>
      </w:r>
    </w:p>
    <w:p w:rsidR="00F34EC4" w:rsidRDefault="00F34EC4" w:rsidP="004A2F81">
      <w:pPr>
        <w:widowControl w:val="0"/>
        <w:numPr>
          <w:ilvl w:val="1"/>
          <w:numId w:val="31"/>
        </w:numPr>
        <w:ind w:left="709" w:hanging="357"/>
        <w:jc w:val="both"/>
        <w:rPr>
          <w:rFonts w:eastAsia="MS Mincho"/>
          <w:lang w:eastAsia="ja-JP"/>
        </w:rPr>
      </w:pPr>
      <w:r>
        <w:rPr>
          <w:rFonts w:eastAsia="MS Mincho"/>
          <w:lang w:eastAsia="ja-JP"/>
        </w:rPr>
        <w:t xml:space="preserve">IPTV showcasing </w:t>
      </w:r>
      <w:r w:rsidR="00F57F46">
        <w:rPr>
          <w:rFonts w:eastAsia="MS Mincho"/>
          <w:lang w:eastAsia="ja-JP"/>
        </w:rPr>
        <w:t>demonstrated;</w:t>
      </w:r>
      <w:r>
        <w:rPr>
          <w:rFonts w:eastAsia="MS Mincho"/>
          <w:lang w:eastAsia="ja-JP"/>
        </w:rPr>
        <w:t xml:space="preserve"> 1. Linear TV that supports ITU-T H.264, H.265 and H.721 (2015), 2. 4K UHDTV content</w:t>
      </w:r>
      <w:r w:rsidR="00F57F46">
        <w:rPr>
          <w:rFonts w:eastAsia="MS Mincho"/>
          <w:lang w:eastAsia="ja-JP"/>
        </w:rPr>
        <w:t>s and</w:t>
      </w:r>
      <w:r>
        <w:rPr>
          <w:rFonts w:eastAsia="MS Mincho"/>
          <w:lang w:eastAsia="ja-JP"/>
        </w:rPr>
        <w:t xml:space="preserve"> 3. Contents encoded both 4K/H.265 and 2K/H264 format.</w:t>
      </w:r>
    </w:p>
    <w:p w:rsidR="00F57F46" w:rsidRPr="00F57F46" w:rsidRDefault="00F57F46" w:rsidP="004A2F81">
      <w:pPr>
        <w:widowControl w:val="0"/>
        <w:numPr>
          <w:ilvl w:val="1"/>
          <w:numId w:val="31"/>
        </w:numPr>
        <w:ind w:left="709" w:hanging="357"/>
        <w:jc w:val="both"/>
        <w:rPr>
          <w:rFonts w:eastAsia="MS Mincho"/>
          <w:lang w:eastAsia="ja-JP"/>
        </w:rPr>
      </w:pPr>
      <w:r>
        <w:rPr>
          <w:rFonts w:eastAsia="MS Mincho"/>
          <w:lang w:eastAsia="ja-JP"/>
        </w:rPr>
        <w:t>IPTV showcasing displayed; 1. IPTV Head-end by Oki Electric, 2. IPTV STB by Mitsubishi Electric and 3. IPTV STB by Sumitomo Electric.</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C&amp;I-3/INP-10</w:t>
      </w:r>
      <w:r w:rsidRPr="002C5AF7">
        <w:rPr>
          <w:rFonts w:eastAsia="MS Mincho"/>
          <w:b/>
          <w:lang w:val="en-GB" w:eastAsia="ja-JP"/>
        </w:rPr>
        <w:tab/>
        <w:t>Telecom Carrier SDN solutions: vCPE (NEC Corp.)</w:t>
      </w:r>
    </w:p>
    <w:p w:rsidR="0024542C" w:rsidRDefault="0024542C" w:rsidP="0024542C">
      <w:pPr>
        <w:autoSpaceDE w:val="0"/>
        <w:autoSpaceDN w:val="0"/>
        <w:adjustRightInd w:val="0"/>
        <w:snapToGrid w:val="0"/>
        <w:spacing w:before="120"/>
        <w:ind w:left="426"/>
        <w:rPr>
          <w:rFonts w:eastAsia="MS PGothic"/>
          <w:lang w:eastAsia="ja-JP"/>
        </w:rPr>
      </w:pPr>
      <w:r w:rsidRPr="0024542C">
        <w:rPr>
          <w:rFonts w:eastAsia="MS PGothic"/>
          <w:lang w:eastAsia="ja-JP"/>
        </w:rPr>
        <w:t>This presentation introduces following main topics.</w:t>
      </w:r>
    </w:p>
    <w:p w:rsidR="0024542C" w:rsidRPr="0024542C" w:rsidRDefault="0024542C" w:rsidP="0024542C">
      <w:pPr>
        <w:widowControl w:val="0"/>
        <w:numPr>
          <w:ilvl w:val="1"/>
          <w:numId w:val="31"/>
        </w:numPr>
        <w:spacing w:before="120"/>
        <w:ind w:left="709"/>
        <w:jc w:val="both"/>
        <w:rPr>
          <w:rFonts w:eastAsia="MS Mincho"/>
          <w:lang w:eastAsia="ja-JP"/>
        </w:rPr>
      </w:pPr>
      <w:r w:rsidRPr="0024542C">
        <w:rPr>
          <w:rFonts w:eastAsia="MS Mincho"/>
          <w:lang w:eastAsia="ja-JP"/>
        </w:rPr>
        <w:t>NEC is focusing 4 solutions 1. Data center SDN, 2. Network Function Virtualization, 3. Transport SDN, 4. Operation &amp; Orchestration to address the Carriers’ requirements.</w:t>
      </w:r>
    </w:p>
    <w:p w:rsidR="0024542C" w:rsidRDefault="00A558D4" w:rsidP="004A2F81">
      <w:pPr>
        <w:widowControl w:val="0"/>
        <w:numPr>
          <w:ilvl w:val="1"/>
          <w:numId w:val="31"/>
        </w:numPr>
        <w:ind w:left="709" w:hanging="357"/>
        <w:jc w:val="both"/>
        <w:rPr>
          <w:rFonts w:eastAsia="MS Mincho"/>
          <w:lang w:eastAsia="ja-JP"/>
        </w:rPr>
      </w:pPr>
      <w:r>
        <w:rPr>
          <w:rFonts w:eastAsia="MS Mincho"/>
          <w:lang w:eastAsia="ja-JP"/>
        </w:rPr>
        <w:t>NEC’s NFV solution has following key benefits. 1. Capex reduction, 2. Opex reduction, 3. Flexible and faster new revenue creation, 4. Resiliency for traffic surge and disaster.</w:t>
      </w:r>
      <w:r w:rsidR="00397170">
        <w:rPr>
          <w:rFonts w:eastAsia="MS Mincho"/>
          <w:lang w:eastAsia="ja-JP"/>
        </w:rPr>
        <w:t xml:space="preserve"> It has openness, interoperability, scalability, operation efficiency, carrier-grade and business opportunities.</w:t>
      </w:r>
    </w:p>
    <w:p w:rsidR="00A558D4" w:rsidRPr="0024542C" w:rsidRDefault="009B2D69" w:rsidP="004A2F81">
      <w:pPr>
        <w:widowControl w:val="0"/>
        <w:numPr>
          <w:ilvl w:val="1"/>
          <w:numId w:val="31"/>
        </w:numPr>
        <w:ind w:left="709" w:hanging="357"/>
        <w:jc w:val="both"/>
        <w:rPr>
          <w:rFonts w:eastAsia="MS Mincho"/>
          <w:lang w:eastAsia="ja-JP"/>
        </w:rPr>
      </w:pPr>
      <w:r>
        <w:rPr>
          <w:rFonts w:eastAsia="MS Mincho"/>
          <w:lang w:eastAsia="ja-JP"/>
        </w:rPr>
        <w:t xml:space="preserve">NEC provides virtualized CPE solution. This solution enables home LAN extension and per device policy management. </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C&amp;I-3/INP-11</w:t>
      </w:r>
      <w:r w:rsidRPr="002C5AF7">
        <w:rPr>
          <w:rFonts w:eastAsia="MS Mincho"/>
          <w:b/>
          <w:lang w:val="en-GB" w:eastAsia="ja-JP"/>
        </w:rPr>
        <w:tab/>
        <w:t>Report of NGN End-to-End Service interoperability testing on APT/ITU C&amp;I event</w:t>
      </w:r>
      <w:r w:rsidR="00364282" w:rsidRPr="002C5AF7">
        <w:rPr>
          <w:rFonts w:eastAsia="MS Mincho"/>
          <w:b/>
          <w:lang w:val="en-GB" w:eastAsia="ja-JP"/>
        </w:rPr>
        <w:t xml:space="preserve"> </w:t>
      </w:r>
      <w:r w:rsidRPr="002C5AF7">
        <w:rPr>
          <w:rFonts w:eastAsia="MS Mincho"/>
          <w:b/>
          <w:lang w:val="en-GB" w:eastAsia="ja-JP"/>
        </w:rPr>
        <w:t>2015 organized by HATS (HATS Japan, ITRC Iran)</w:t>
      </w:r>
      <w:r w:rsidRPr="002C5AF7">
        <w:rPr>
          <w:rFonts w:eastAsia="MS Mincho"/>
          <w:b/>
          <w:lang w:val="en-GB" w:eastAsia="ja-JP"/>
        </w:rPr>
        <w:tab/>
      </w:r>
    </w:p>
    <w:p w:rsidR="00532030" w:rsidRDefault="00532030" w:rsidP="00532030">
      <w:pPr>
        <w:autoSpaceDE w:val="0"/>
        <w:autoSpaceDN w:val="0"/>
        <w:adjustRightInd w:val="0"/>
        <w:snapToGrid w:val="0"/>
        <w:spacing w:before="120"/>
        <w:ind w:left="426"/>
        <w:rPr>
          <w:rFonts w:eastAsia="MS PGothic"/>
          <w:lang w:eastAsia="ja-JP"/>
        </w:rPr>
      </w:pPr>
      <w:r w:rsidRPr="00532030">
        <w:rPr>
          <w:rFonts w:eastAsia="MS PGothic"/>
          <w:lang w:eastAsia="ja-JP"/>
        </w:rPr>
        <w:t>This presentation introduces following main topics.</w:t>
      </w:r>
    </w:p>
    <w:p w:rsidR="00532030" w:rsidRDefault="00532030" w:rsidP="00667D0F">
      <w:pPr>
        <w:widowControl w:val="0"/>
        <w:numPr>
          <w:ilvl w:val="1"/>
          <w:numId w:val="31"/>
        </w:numPr>
        <w:spacing w:before="120"/>
        <w:ind w:left="709"/>
        <w:jc w:val="both"/>
        <w:rPr>
          <w:rFonts w:eastAsia="MS Mincho"/>
          <w:lang w:eastAsia="ja-JP"/>
        </w:rPr>
      </w:pPr>
      <w:r w:rsidRPr="00667D0F">
        <w:rPr>
          <w:rFonts w:eastAsia="MS Mincho"/>
          <w:lang w:eastAsia="ja-JP"/>
        </w:rPr>
        <w:t xml:space="preserve">NGN E2E service interoperability testing organized by HATS on 14th July in Japan. 5 Japanese companies and Iran Telecommunication research center joined this event. </w:t>
      </w:r>
    </w:p>
    <w:p w:rsidR="00667D0F" w:rsidRDefault="00667D0F" w:rsidP="004A2F81">
      <w:pPr>
        <w:widowControl w:val="0"/>
        <w:numPr>
          <w:ilvl w:val="1"/>
          <w:numId w:val="31"/>
        </w:numPr>
        <w:ind w:left="709" w:hanging="357"/>
        <w:jc w:val="both"/>
        <w:rPr>
          <w:rFonts w:eastAsia="MS Mincho"/>
          <w:lang w:eastAsia="ja-JP"/>
        </w:rPr>
      </w:pPr>
      <w:r>
        <w:rPr>
          <w:rFonts w:eastAsia="MS Mincho"/>
          <w:lang w:eastAsia="ja-JP"/>
        </w:rPr>
        <w:t>This testing event aimed to assure the interoperability of the NGN equipment which complied with ITU-T Recommendations and TTC standards.</w:t>
      </w:r>
    </w:p>
    <w:p w:rsidR="00667D0F" w:rsidRDefault="00667D0F" w:rsidP="004A2F81">
      <w:pPr>
        <w:widowControl w:val="0"/>
        <w:numPr>
          <w:ilvl w:val="1"/>
          <w:numId w:val="31"/>
        </w:numPr>
        <w:ind w:left="709" w:hanging="357"/>
        <w:jc w:val="both"/>
        <w:rPr>
          <w:rFonts w:eastAsia="MS Mincho"/>
          <w:lang w:eastAsia="ja-JP"/>
        </w:rPr>
      </w:pPr>
      <w:r>
        <w:rPr>
          <w:rFonts w:eastAsia="MS Mincho"/>
          <w:lang w:eastAsia="ja-JP"/>
        </w:rPr>
        <w:t>Testing for VoIP and Multimedia service were performed. NGN-SIP communication was successfully done for VoIP and Multimedia service but video communication caused error and frozen video picture because of the packet loss.</w:t>
      </w:r>
    </w:p>
    <w:p w:rsidR="00532030" w:rsidRPr="000E4EF4" w:rsidRDefault="00667D0F" w:rsidP="004A2F81">
      <w:pPr>
        <w:widowControl w:val="0"/>
        <w:numPr>
          <w:ilvl w:val="1"/>
          <w:numId w:val="31"/>
        </w:numPr>
        <w:ind w:left="709" w:hanging="357"/>
        <w:jc w:val="both"/>
        <w:rPr>
          <w:rFonts w:eastAsia="MS Mincho"/>
          <w:lang w:eastAsia="ja-JP"/>
        </w:rPr>
      </w:pPr>
      <w:r w:rsidRPr="00667D0F">
        <w:rPr>
          <w:rFonts w:eastAsia="MS Mincho"/>
          <w:lang w:eastAsia="ja-JP"/>
        </w:rPr>
        <w:t>Iran Telecommunication research center</w:t>
      </w:r>
      <w:r>
        <w:rPr>
          <w:rFonts w:eastAsia="MS Mincho"/>
          <w:lang w:eastAsia="ja-JP"/>
        </w:rPr>
        <w:t xml:space="preserve"> remotely joined from Iran and </w:t>
      </w:r>
      <w:r w:rsidR="00A303A1">
        <w:rPr>
          <w:rFonts w:eastAsia="MS Mincho"/>
          <w:lang w:eastAsia="ja-JP"/>
        </w:rPr>
        <w:t>they confirmed interoperability between Japanese and Iran SIP terminal</w:t>
      </w:r>
      <w:r w:rsidR="000E4EF4">
        <w:rPr>
          <w:rFonts w:eastAsia="MS Mincho"/>
          <w:lang w:eastAsia="ja-JP"/>
        </w:rPr>
        <w:t xml:space="preserve"> was successfully performed.</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C&amp;I-3/INP-12</w:t>
      </w:r>
      <w:r w:rsidRPr="002C5AF7">
        <w:rPr>
          <w:rFonts w:eastAsia="MS Mincho"/>
          <w:b/>
          <w:lang w:val="en-GB" w:eastAsia="ja-JP"/>
        </w:rPr>
        <w:tab/>
        <w:t>Report of Automated Mobile Accessibility Checkers solution (SCE Inc.)</w:t>
      </w:r>
    </w:p>
    <w:p w:rsidR="000A474A" w:rsidRDefault="000A474A" w:rsidP="000A474A">
      <w:pPr>
        <w:autoSpaceDE w:val="0"/>
        <w:autoSpaceDN w:val="0"/>
        <w:adjustRightInd w:val="0"/>
        <w:snapToGrid w:val="0"/>
        <w:spacing w:before="120"/>
        <w:ind w:left="426"/>
        <w:rPr>
          <w:rFonts w:eastAsia="MS PGothic"/>
          <w:lang w:eastAsia="ja-JP"/>
        </w:rPr>
      </w:pPr>
      <w:r w:rsidRPr="000A474A">
        <w:rPr>
          <w:rFonts w:eastAsia="MS PGothic"/>
          <w:lang w:eastAsia="ja-JP"/>
        </w:rPr>
        <w:t>This presentation introduces following main topics.</w:t>
      </w:r>
    </w:p>
    <w:p w:rsidR="00716290" w:rsidRPr="00716290" w:rsidRDefault="00716290" w:rsidP="00716290">
      <w:pPr>
        <w:widowControl w:val="0"/>
        <w:numPr>
          <w:ilvl w:val="1"/>
          <w:numId w:val="31"/>
        </w:numPr>
        <w:spacing w:before="120"/>
        <w:ind w:left="709"/>
        <w:jc w:val="both"/>
        <w:rPr>
          <w:rFonts w:eastAsia="MS Mincho"/>
          <w:lang w:eastAsia="ja-JP"/>
        </w:rPr>
      </w:pPr>
      <w:r w:rsidRPr="00716290">
        <w:rPr>
          <w:rFonts w:eastAsia="MS Mincho"/>
          <w:lang w:eastAsia="ja-JP"/>
        </w:rPr>
        <w:t>Discrimination acts are requested by laws and regulations in many countries and mobile accessibility supports people with disabilities to access to websites.</w:t>
      </w:r>
    </w:p>
    <w:p w:rsidR="00716290" w:rsidRPr="00716290" w:rsidRDefault="00716290" w:rsidP="00716290">
      <w:pPr>
        <w:widowControl w:val="0"/>
        <w:numPr>
          <w:ilvl w:val="1"/>
          <w:numId w:val="31"/>
        </w:numPr>
        <w:ind w:left="709" w:hanging="357"/>
        <w:jc w:val="both"/>
        <w:rPr>
          <w:rFonts w:eastAsia="MS Mincho"/>
          <w:lang w:eastAsia="ja-JP"/>
        </w:rPr>
      </w:pPr>
      <w:r w:rsidRPr="00716290">
        <w:rPr>
          <w:rFonts w:eastAsia="MS Mincho"/>
          <w:lang w:eastAsia="ja-JP"/>
        </w:rPr>
        <w:lastRenderedPageBreak/>
        <w:t>Focus and alternative text are the key components of mobile accessibility in order to maintain compatibility with the system-provided accessibility tools.</w:t>
      </w:r>
    </w:p>
    <w:p w:rsidR="00716290" w:rsidRPr="00716290" w:rsidRDefault="00716290" w:rsidP="00716290">
      <w:pPr>
        <w:widowControl w:val="0"/>
        <w:numPr>
          <w:ilvl w:val="1"/>
          <w:numId w:val="31"/>
        </w:numPr>
        <w:ind w:left="709" w:hanging="357"/>
        <w:jc w:val="both"/>
        <w:rPr>
          <w:rFonts w:eastAsia="MS Mincho"/>
          <w:lang w:eastAsia="ja-JP"/>
        </w:rPr>
      </w:pPr>
      <w:r w:rsidRPr="00716290">
        <w:rPr>
          <w:rFonts w:eastAsia="MS Mincho"/>
          <w:i/>
          <w:lang w:eastAsia="ja-JP"/>
        </w:rPr>
        <w:t>forApp</w:t>
      </w:r>
      <w:r w:rsidRPr="00716290">
        <w:rPr>
          <w:rFonts w:eastAsia="MS Mincho"/>
          <w:lang w:eastAsia="ja-JP"/>
        </w:rPr>
        <w:t xml:space="preserve"> is the online service developed by SCE Inc.. It automatically inspects mobile applications for conformance with accessibility standards and makes an inspection report. </w:t>
      </w:r>
    </w:p>
    <w:p w:rsidR="00716290" w:rsidRPr="00716290" w:rsidRDefault="00716290" w:rsidP="00716290">
      <w:pPr>
        <w:widowControl w:val="0"/>
        <w:numPr>
          <w:ilvl w:val="1"/>
          <w:numId w:val="31"/>
        </w:numPr>
        <w:ind w:left="709" w:hanging="357"/>
        <w:jc w:val="both"/>
        <w:rPr>
          <w:rFonts w:eastAsia="MS Mincho"/>
          <w:lang w:eastAsia="ja-JP"/>
        </w:rPr>
      </w:pPr>
      <w:r w:rsidRPr="00716290">
        <w:rPr>
          <w:rFonts w:eastAsia="MS Mincho"/>
          <w:lang w:eastAsia="ja-JP"/>
        </w:rPr>
        <w:t xml:space="preserve">6 common issues on focus and alternative text can be identified by </w:t>
      </w:r>
      <w:r w:rsidRPr="00716290">
        <w:rPr>
          <w:rFonts w:eastAsia="MS Mincho"/>
          <w:i/>
          <w:lang w:eastAsia="ja-JP"/>
        </w:rPr>
        <w:t xml:space="preserve">forApp </w:t>
      </w:r>
      <w:r w:rsidRPr="00716290">
        <w:rPr>
          <w:rFonts w:eastAsia="MS Mincho"/>
          <w:lang w:eastAsia="ja-JP"/>
        </w:rPr>
        <w:t xml:space="preserve">services. </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C&amp;I-3/INP-13</w:t>
      </w:r>
      <w:r w:rsidRPr="002C5AF7">
        <w:rPr>
          <w:rFonts w:eastAsia="MS Mincho"/>
          <w:b/>
          <w:lang w:val="en-GB" w:eastAsia="ja-JP"/>
        </w:rPr>
        <w:tab/>
        <w:t>Affordable BAN Portable Health Clinic and its Enhancement (NICT)</w:t>
      </w:r>
    </w:p>
    <w:p w:rsidR="00932C3A" w:rsidRDefault="00932C3A" w:rsidP="00932C3A">
      <w:pPr>
        <w:autoSpaceDE w:val="0"/>
        <w:autoSpaceDN w:val="0"/>
        <w:adjustRightInd w:val="0"/>
        <w:snapToGrid w:val="0"/>
        <w:spacing w:before="120"/>
        <w:ind w:left="426"/>
        <w:rPr>
          <w:rFonts w:eastAsia="MS PGothic"/>
          <w:lang w:eastAsia="ja-JP"/>
        </w:rPr>
      </w:pPr>
      <w:r w:rsidRPr="000A474A">
        <w:rPr>
          <w:rFonts w:eastAsia="MS PGothic"/>
          <w:lang w:eastAsia="ja-JP"/>
        </w:rPr>
        <w:t>This presentation introduces following main topics.</w:t>
      </w:r>
    </w:p>
    <w:p w:rsidR="00D466C0" w:rsidRPr="00297939" w:rsidRDefault="00D466C0" w:rsidP="00297939">
      <w:pPr>
        <w:widowControl w:val="0"/>
        <w:numPr>
          <w:ilvl w:val="1"/>
          <w:numId w:val="31"/>
        </w:numPr>
        <w:spacing w:before="120"/>
        <w:ind w:left="709"/>
        <w:jc w:val="both"/>
        <w:rPr>
          <w:rFonts w:eastAsia="MS Mincho"/>
          <w:lang w:eastAsia="ja-JP"/>
        </w:rPr>
      </w:pPr>
      <w:r>
        <w:rPr>
          <w:rFonts w:eastAsia="MS Mincho"/>
          <w:lang w:eastAsia="ja-JP"/>
        </w:rPr>
        <w:t>NCD (Non Communicable Diseases) has increased in low and middle income countries and it causes catastrophic increasing of medical expenditures.</w:t>
      </w:r>
      <w:r w:rsidR="00501D76">
        <w:rPr>
          <w:rFonts w:eastAsia="MS Mincho"/>
          <w:lang w:eastAsia="ja-JP"/>
        </w:rPr>
        <w:t xml:space="preserve"> </w:t>
      </w:r>
      <w:r w:rsidRPr="00297939">
        <w:rPr>
          <w:rFonts w:eastAsia="MS Mincho"/>
          <w:lang w:eastAsia="ja-JP"/>
        </w:rPr>
        <w:t>BAN-PHC (BAN Portable Health Clinic) is a portable and affordable solution to provide health check-up and telemedicine on sites without power supply.</w:t>
      </w:r>
    </w:p>
    <w:p w:rsidR="00CF74CF" w:rsidRDefault="00D466C0" w:rsidP="004A2F81">
      <w:pPr>
        <w:widowControl w:val="0"/>
        <w:numPr>
          <w:ilvl w:val="1"/>
          <w:numId w:val="31"/>
        </w:numPr>
        <w:ind w:left="709" w:hanging="357"/>
        <w:jc w:val="both"/>
        <w:rPr>
          <w:rFonts w:eastAsia="MS Mincho"/>
          <w:lang w:eastAsia="ja-JP"/>
        </w:rPr>
      </w:pPr>
      <w:r>
        <w:rPr>
          <w:rFonts w:eastAsia="MS Mincho"/>
          <w:lang w:eastAsia="ja-JP"/>
        </w:rPr>
        <w:t xml:space="preserve">Bring it to the site and </w:t>
      </w:r>
      <w:r w:rsidR="00CF74CF">
        <w:rPr>
          <w:rFonts w:eastAsia="MS Mincho"/>
          <w:lang w:eastAsia="ja-JP"/>
        </w:rPr>
        <w:t>use measurement devices for automatic categorization (B-Logic). The collected data is diagnosed in the remote medial help center and it provides medical certificate or prescription if triage is high.</w:t>
      </w:r>
    </w:p>
    <w:p w:rsidR="00D466C0" w:rsidRDefault="00CF74CF" w:rsidP="004A2F81">
      <w:pPr>
        <w:widowControl w:val="0"/>
        <w:numPr>
          <w:ilvl w:val="1"/>
          <w:numId w:val="31"/>
        </w:numPr>
        <w:ind w:left="709" w:hanging="357"/>
        <w:jc w:val="both"/>
        <w:rPr>
          <w:rFonts w:eastAsia="MS Mincho"/>
          <w:lang w:eastAsia="ja-JP"/>
        </w:rPr>
      </w:pPr>
      <w:r>
        <w:rPr>
          <w:rFonts w:eastAsia="MS Mincho"/>
          <w:lang w:eastAsia="ja-JP"/>
        </w:rPr>
        <w:t xml:space="preserve">7792 examinees were checked their health and 3080 were diagnosed affected and emergent by telemedicine in 2013. </w:t>
      </w:r>
    </w:p>
    <w:p w:rsidR="00297939" w:rsidRDefault="00A303A1" w:rsidP="004A2F81">
      <w:pPr>
        <w:widowControl w:val="0"/>
        <w:numPr>
          <w:ilvl w:val="1"/>
          <w:numId w:val="31"/>
        </w:numPr>
        <w:ind w:left="709" w:hanging="357"/>
        <w:jc w:val="both"/>
        <w:rPr>
          <w:rFonts w:eastAsia="MS Mincho"/>
          <w:lang w:eastAsia="ja-JP"/>
        </w:rPr>
      </w:pPr>
      <w:r>
        <w:rPr>
          <w:rFonts w:eastAsia="MS Mincho"/>
          <w:lang w:eastAsia="ja-JP"/>
        </w:rPr>
        <w:t>China and Japan</w:t>
      </w:r>
      <w:r w:rsidR="00E345A3">
        <w:rPr>
          <w:rFonts w:eastAsia="MS Mincho"/>
          <w:lang w:eastAsia="ja-JP"/>
        </w:rPr>
        <w:t xml:space="preserve"> works on common medical BAN standards of IEEE802.15.4n, 4j and 6. </w:t>
      </w:r>
    </w:p>
    <w:p w:rsidR="00E345A3" w:rsidRPr="00297939" w:rsidRDefault="00E345A3" w:rsidP="004A2F81">
      <w:pPr>
        <w:widowControl w:val="0"/>
        <w:numPr>
          <w:ilvl w:val="1"/>
          <w:numId w:val="31"/>
        </w:numPr>
        <w:ind w:left="709" w:hanging="357"/>
        <w:jc w:val="both"/>
        <w:rPr>
          <w:rFonts w:eastAsia="MS Mincho"/>
          <w:lang w:eastAsia="ja-JP"/>
        </w:rPr>
      </w:pPr>
      <w:r w:rsidRPr="00297939">
        <w:rPr>
          <w:rFonts w:eastAsia="MS Mincho"/>
          <w:lang w:eastAsia="ja-JP"/>
        </w:rPr>
        <w:t>BAN-P</w:t>
      </w:r>
      <w:r w:rsidR="00297939" w:rsidRPr="00297939">
        <w:rPr>
          <w:rFonts w:eastAsia="MS Mincho"/>
          <w:lang w:eastAsia="ja-JP"/>
        </w:rPr>
        <w:t xml:space="preserve">HC has </w:t>
      </w:r>
      <w:r w:rsidR="00A303A1">
        <w:rPr>
          <w:rFonts w:eastAsia="MS Mincho"/>
          <w:lang w:eastAsia="ja-JP"/>
        </w:rPr>
        <w:t xml:space="preserve">been </w:t>
      </w:r>
      <w:r w:rsidR="00297939" w:rsidRPr="00297939">
        <w:rPr>
          <w:rFonts w:eastAsia="MS Mincho"/>
          <w:lang w:eastAsia="ja-JP"/>
        </w:rPr>
        <w:t xml:space="preserve">enhanced to use </w:t>
      </w:r>
      <w:r w:rsidRPr="00297939">
        <w:rPr>
          <w:rFonts w:eastAsia="MS Mincho"/>
          <w:lang w:eastAsia="ja-JP"/>
        </w:rPr>
        <w:t>400MHz for sneak wireless and long-haul communications.</w:t>
      </w:r>
      <w:r w:rsidR="00297939" w:rsidRPr="00297939">
        <w:rPr>
          <w:rFonts w:eastAsia="MS Mincho"/>
          <w:lang w:eastAsia="ja-JP"/>
        </w:rPr>
        <w:t xml:space="preserve"> It also uses BAN Beam </w:t>
      </w:r>
      <w:r w:rsidR="00A303A1">
        <w:rPr>
          <w:rFonts w:eastAsia="MS Mincho"/>
          <w:lang w:eastAsia="ja-JP"/>
        </w:rPr>
        <w:t xml:space="preserve">switch-over </w:t>
      </w:r>
      <w:r w:rsidR="00297939" w:rsidRPr="00297939">
        <w:rPr>
          <w:rFonts w:eastAsia="MS Mincho"/>
          <w:lang w:eastAsia="ja-JP"/>
        </w:rPr>
        <w:t>and non-invasive sensors.</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C&amp;I-3/INP-14</w:t>
      </w:r>
      <w:r w:rsidRPr="002C5AF7">
        <w:rPr>
          <w:rFonts w:eastAsia="MS Mincho"/>
          <w:b/>
          <w:lang w:val="en-GB" w:eastAsia="ja-JP"/>
        </w:rPr>
        <w:tab/>
        <w:t>Report of Seamless Network Showcasing (NICT)</w:t>
      </w:r>
    </w:p>
    <w:p w:rsidR="000143A3" w:rsidRDefault="000143A3" w:rsidP="000143A3">
      <w:pPr>
        <w:autoSpaceDE w:val="0"/>
        <w:autoSpaceDN w:val="0"/>
        <w:adjustRightInd w:val="0"/>
        <w:snapToGrid w:val="0"/>
        <w:spacing w:before="120"/>
        <w:ind w:left="426"/>
        <w:rPr>
          <w:rFonts w:eastAsia="MS PGothic"/>
          <w:lang w:eastAsia="ja-JP"/>
        </w:rPr>
      </w:pPr>
      <w:r w:rsidRPr="000A474A">
        <w:rPr>
          <w:rFonts w:eastAsia="MS PGothic"/>
          <w:lang w:eastAsia="ja-JP"/>
        </w:rPr>
        <w:t>This presentation introduces following main topics.</w:t>
      </w:r>
    </w:p>
    <w:p w:rsidR="00A303A1" w:rsidRDefault="00A303A1" w:rsidP="00E24C1C">
      <w:pPr>
        <w:widowControl w:val="0"/>
        <w:numPr>
          <w:ilvl w:val="1"/>
          <w:numId w:val="31"/>
        </w:numPr>
        <w:spacing w:before="120"/>
        <w:ind w:left="709"/>
        <w:jc w:val="both"/>
        <w:rPr>
          <w:rFonts w:eastAsia="MS Mincho"/>
          <w:lang w:eastAsia="ja-JP"/>
        </w:rPr>
      </w:pPr>
      <w:r>
        <w:rPr>
          <w:rFonts w:eastAsia="MS Mincho"/>
          <w:lang w:eastAsia="ja-JP"/>
        </w:rPr>
        <w:t xml:space="preserve">Radio on fiber (RoF) is a technology to transmit RF signal via optical fiber from central unit to remote antenna unit. Its merits are low loss connection and simple base station. </w:t>
      </w:r>
    </w:p>
    <w:p w:rsidR="00A303A1" w:rsidRDefault="00A303A1" w:rsidP="004A2F81">
      <w:pPr>
        <w:widowControl w:val="0"/>
        <w:numPr>
          <w:ilvl w:val="1"/>
          <w:numId w:val="31"/>
        </w:numPr>
        <w:ind w:left="709" w:hanging="357"/>
        <w:jc w:val="both"/>
        <w:rPr>
          <w:rFonts w:eastAsia="MS Mincho"/>
          <w:lang w:eastAsia="ja-JP"/>
        </w:rPr>
      </w:pPr>
      <w:r>
        <w:rPr>
          <w:rFonts w:eastAsia="MS Mincho"/>
          <w:lang w:eastAsia="ja-JP"/>
        </w:rPr>
        <w:t>It can be used for application to 5G mobile fronthaul/backhaul and high-speed transmission at millimeter-wave/terahertz wave.</w:t>
      </w:r>
    </w:p>
    <w:p w:rsidR="00E24C1C" w:rsidRDefault="00E24C1C" w:rsidP="004A2F81">
      <w:pPr>
        <w:widowControl w:val="0"/>
        <w:numPr>
          <w:ilvl w:val="1"/>
          <w:numId w:val="31"/>
        </w:numPr>
        <w:ind w:left="709" w:hanging="357"/>
        <w:jc w:val="both"/>
        <w:rPr>
          <w:rFonts w:eastAsia="MS Mincho"/>
          <w:lang w:eastAsia="ja-JP"/>
        </w:rPr>
      </w:pPr>
      <w:r>
        <w:rPr>
          <w:rFonts w:eastAsia="MS Mincho"/>
          <w:lang w:eastAsia="ja-JP"/>
        </w:rPr>
        <w:t>RoF expands digital coherent optical transmission to high-speed wireless bases station in the mobile fronthaul network.</w:t>
      </w:r>
    </w:p>
    <w:p w:rsidR="00E24C1C" w:rsidRPr="00E24C1C" w:rsidRDefault="00E24C1C" w:rsidP="004A2F81">
      <w:pPr>
        <w:widowControl w:val="0"/>
        <w:numPr>
          <w:ilvl w:val="1"/>
          <w:numId w:val="31"/>
        </w:numPr>
        <w:ind w:left="709" w:hanging="357"/>
        <w:jc w:val="both"/>
        <w:rPr>
          <w:rFonts w:eastAsia="MS Mincho"/>
          <w:lang w:eastAsia="ja-JP"/>
        </w:rPr>
      </w:pPr>
      <w:r>
        <w:rPr>
          <w:rFonts w:eastAsia="MS Mincho"/>
          <w:lang w:eastAsia="ja-JP"/>
        </w:rPr>
        <w:t xml:space="preserve">Seamless optical/radio link with RoF is used for resilient network and enhance total capacity of MIMO. </w:t>
      </w:r>
    </w:p>
    <w:p w:rsidR="000143A3" w:rsidRPr="005D683A" w:rsidRDefault="00E24C1C" w:rsidP="004A2F81">
      <w:pPr>
        <w:widowControl w:val="0"/>
        <w:numPr>
          <w:ilvl w:val="1"/>
          <w:numId w:val="31"/>
        </w:numPr>
        <w:ind w:left="709" w:hanging="357"/>
        <w:jc w:val="both"/>
        <w:rPr>
          <w:rFonts w:eastAsia="MS Mincho"/>
          <w:lang w:eastAsia="ja-JP"/>
        </w:rPr>
      </w:pPr>
      <w:r>
        <w:rPr>
          <w:rFonts w:eastAsia="MS Mincho"/>
          <w:lang w:eastAsia="ja-JP"/>
        </w:rPr>
        <w:t>Milimeter wave over 60GHz transmission is used for highly-precise optical clock signal generator, high-capacity MMW-RoF backhaul for railways system</w:t>
      </w:r>
      <w:r w:rsidR="005D683A">
        <w:rPr>
          <w:rFonts w:eastAsia="MS Mincho"/>
          <w:lang w:eastAsia="ja-JP"/>
        </w:rPr>
        <w:t xml:space="preserve"> and radar system for high-precision imaging in the airport. </w:t>
      </w:r>
    </w:p>
    <w:p w:rsidR="00D87FDD" w:rsidRPr="003735CC" w:rsidRDefault="00D87FDD" w:rsidP="00D41FC5">
      <w:pPr>
        <w:widowControl w:val="0"/>
        <w:numPr>
          <w:ilvl w:val="0"/>
          <w:numId w:val="15"/>
        </w:numPr>
        <w:spacing w:before="240"/>
        <w:ind w:left="357" w:hanging="357"/>
        <w:jc w:val="both"/>
        <w:rPr>
          <w:rFonts w:eastAsia="MS Mincho"/>
          <w:b/>
          <w:lang w:val="en-GB" w:eastAsia="ja-JP"/>
        </w:rPr>
      </w:pPr>
      <w:r w:rsidRPr="003735CC">
        <w:rPr>
          <w:rFonts w:eastAsia="MS Mincho"/>
          <w:b/>
          <w:lang w:val="en-GB" w:eastAsia="ja-JP"/>
        </w:rPr>
        <w:t>C&amp;I-3/INP-15</w:t>
      </w:r>
      <w:r w:rsidRPr="003735CC">
        <w:rPr>
          <w:rFonts w:eastAsia="MS Mincho"/>
          <w:b/>
          <w:lang w:val="en-GB" w:eastAsia="ja-JP"/>
        </w:rPr>
        <w:tab/>
        <w:t>ITU C&amp;I Programme Pillars 1 and 2 (ITU)</w:t>
      </w:r>
    </w:p>
    <w:p w:rsidR="00A078E0" w:rsidRDefault="00A078E0" w:rsidP="00A078E0">
      <w:pPr>
        <w:autoSpaceDE w:val="0"/>
        <w:autoSpaceDN w:val="0"/>
        <w:adjustRightInd w:val="0"/>
        <w:snapToGrid w:val="0"/>
        <w:spacing w:before="120"/>
        <w:ind w:left="426"/>
        <w:rPr>
          <w:rFonts w:eastAsia="MS PGothic"/>
          <w:lang w:eastAsia="ja-JP"/>
        </w:rPr>
      </w:pPr>
      <w:r w:rsidRPr="000A474A">
        <w:rPr>
          <w:rFonts w:eastAsia="MS PGothic"/>
          <w:lang w:eastAsia="ja-JP"/>
        </w:rPr>
        <w:t>This presentation introduces following main topics.</w:t>
      </w:r>
    </w:p>
    <w:p w:rsidR="00A078E0" w:rsidRDefault="00A86C81" w:rsidP="00A078E0">
      <w:pPr>
        <w:widowControl w:val="0"/>
        <w:numPr>
          <w:ilvl w:val="1"/>
          <w:numId w:val="31"/>
        </w:numPr>
        <w:spacing w:before="120"/>
        <w:ind w:left="709"/>
        <w:jc w:val="both"/>
        <w:rPr>
          <w:rFonts w:eastAsia="MS Mincho"/>
          <w:lang w:eastAsia="ja-JP"/>
        </w:rPr>
      </w:pPr>
      <w:r>
        <w:rPr>
          <w:rFonts w:eastAsia="MS Mincho"/>
          <w:lang w:eastAsia="ja-JP"/>
        </w:rPr>
        <w:t>ITU-T takes</w:t>
      </w:r>
      <w:r w:rsidR="00A078E0">
        <w:rPr>
          <w:rFonts w:eastAsia="MS Mincho"/>
          <w:lang w:eastAsia="ja-JP"/>
        </w:rPr>
        <w:t xml:space="preserve"> the lead role of pillar 1 and 2 of C&amp;I Programme which is defined in Resolution 177 (ITU PP-14). </w:t>
      </w:r>
    </w:p>
    <w:p w:rsidR="00A078E0" w:rsidRDefault="00A078E0" w:rsidP="004A2F81">
      <w:pPr>
        <w:widowControl w:val="0"/>
        <w:numPr>
          <w:ilvl w:val="1"/>
          <w:numId w:val="31"/>
        </w:numPr>
        <w:ind w:left="709" w:hanging="357"/>
        <w:jc w:val="both"/>
        <w:rPr>
          <w:rFonts w:eastAsia="MS Mincho"/>
          <w:lang w:eastAsia="ja-JP"/>
        </w:rPr>
      </w:pPr>
      <w:r>
        <w:rPr>
          <w:rFonts w:eastAsia="MS Mincho"/>
          <w:lang w:eastAsia="ja-JP"/>
        </w:rPr>
        <w:t xml:space="preserve">Main outcomes of the pillar 1 Conformity Assessment are Product Conformity Database, Whitelist of mobile phones, Pilot projects of conformity assessment, Guideline of Testing laboratories recognition procedure and establishment of Conformity Assessment Steering Committee (ITU-T CACS) </w:t>
      </w:r>
    </w:p>
    <w:p w:rsidR="00A078E0" w:rsidRPr="001715F4" w:rsidRDefault="001715F4" w:rsidP="004A2F81">
      <w:pPr>
        <w:widowControl w:val="0"/>
        <w:numPr>
          <w:ilvl w:val="1"/>
          <w:numId w:val="31"/>
        </w:numPr>
        <w:ind w:left="709" w:hanging="357"/>
        <w:jc w:val="both"/>
        <w:rPr>
          <w:rFonts w:eastAsia="MS Mincho"/>
          <w:lang w:eastAsia="ja-JP"/>
        </w:rPr>
      </w:pPr>
      <w:r>
        <w:rPr>
          <w:rFonts w:eastAsia="MS Mincho"/>
          <w:lang w:eastAsia="ja-JP"/>
        </w:rPr>
        <w:t>ITU-T organizes Pillar 2 Interoperability event such as HATS interoperability event on NGN supported by ITU and APT, E-health testing and showcasing event, APT/ITU C&amp;I event and ITU test event.</w:t>
      </w:r>
    </w:p>
    <w:p w:rsidR="00D87FDD" w:rsidRPr="003735CC" w:rsidRDefault="00D87FDD" w:rsidP="00D41FC5">
      <w:pPr>
        <w:widowControl w:val="0"/>
        <w:numPr>
          <w:ilvl w:val="0"/>
          <w:numId w:val="15"/>
        </w:numPr>
        <w:spacing w:before="240"/>
        <w:ind w:left="357" w:hanging="357"/>
        <w:jc w:val="both"/>
        <w:rPr>
          <w:rFonts w:eastAsia="MS Mincho"/>
          <w:b/>
          <w:lang w:val="en-GB" w:eastAsia="ja-JP"/>
        </w:rPr>
      </w:pPr>
      <w:r w:rsidRPr="003735CC">
        <w:rPr>
          <w:rFonts w:eastAsia="MS Mincho"/>
          <w:b/>
          <w:lang w:val="en-GB" w:eastAsia="ja-JP"/>
        </w:rPr>
        <w:t>C&amp;I-3/INP-16</w:t>
      </w:r>
      <w:r w:rsidRPr="003735CC">
        <w:rPr>
          <w:rFonts w:eastAsia="MS Mincho"/>
          <w:b/>
          <w:lang w:val="en-GB" w:eastAsia="ja-JP"/>
        </w:rPr>
        <w:tab/>
        <w:t>ITU C&amp;I Programme Pillars 3 and 4 (ITU)</w:t>
      </w:r>
      <w:r w:rsidRPr="003735CC">
        <w:rPr>
          <w:rFonts w:eastAsia="MS Mincho"/>
          <w:b/>
          <w:lang w:val="en-GB" w:eastAsia="ja-JP"/>
        </w:rPr>
        <w:tab/>
      </w:r>
    </w:p>
    <w:p w:rsidR="00A86C81" w:rsidRDefault="00A86C81" w:rsidP="00A86C81">
      <w:pPr>
        <w:autoSpaceDE w:val="0"/>
        <w:autoSpaceDN w:val="0"/>
        <w:adjustRightInd w:val="0"/>
        <w:snapToGrid w:val="0"/>
        <w:spacing w:before="120"/>
        <w:ind w:left="426"/>
        <w:rPr>
          <w:rFonts w:eastAsia="MS PGothic"/>
          <w:lang w:eastAsia="ja-JP"/>
        </w:rPr>
      </w:pPr>
      <w:r w:rsidRPr="000A474A">
        <w:rPr>
          <w:rFonts w:eastAsia="MS PGothic"/>
          <w:lang w:eastAsia="ja-JP"/>
        </w:rPr>
        <w:t>This presentation introduces following main topics.</w:t>
      </w:r>
    </w:p>
    <w:p w:rsidR="001B2608" w:rsidRDefault="001B2608" w:rsidP="001B2608">
      <w:pPr>
        <w:widowControl w:val="0"/>
        <w:numPr>
          <w:ilvl w:val="1"/>
          <w:numId w:val="31"/>
        </w:numPr>
        <w:spacing w:before="120"/>
        <w:ind w:left="709"/>
        <w:jc w:val="both"/>
        <w:rPr>
          <w:rFonts w:eastAsia="MS Mincho"/>
          <w:lang w:eastAsia="ja-JP"/>
        </w:rPr>
      </w:pPr>
      <w:r>
        <w:rPr>
          <w:rFonts w:eastAsia="MS Mincho"/>
          <w:lang w:eastAsia="ja-JP"/>
        </w:rPr>
        <w:lastRenderedPageBreak/>
        <w:t>ITU-D takes the lead role of pillar 3 Capability building and 4</w:t>
      </w:r>
      <w:r w:rsidRPr="001B2608">
        <w:rPr>
          <w:rFonts w:eastAsia="MS Mincho"/>
          <w:lang w:eastAsia="ja-JP"/>
        </w:rPr>
        <w:t xml:space="preserve"> </w:t>
      </w:r>
      <w:r>
        <w:rPr>
          <w:rFonts w:eastAsia="MS Mincho"/>
          <w:lang w:eastAsia="ja-JP"/>
        </w:rPr>
        <w:t xml:space="preserve">Establishing C&amp;I programmes in developing countries </w:t>
      </w:r>
      <w:r w:rsidRPr="001B2608">
        <w:rPr>
          <w:rFonts w:eastAsia="MS Mincho"/>
          <w:lang w:eastAsia="ja-JP"/>
        </w:rPr>
        <w:t>of C&amp;I Programme</w:t>
      </w:r>
      <w:r>
        <w:rPr>
          <w:rFonts w:eastAsia="MS Mincho"/>
          <w:lang w:eastAsia="ja-JP"/>
        </w:rPr>
        <w:t>.</w:t>
      </w:r>
      <w:r w:rsidRPr="001B2608">
        <w:rPr>
          <w:rFonts w:eastAsia="MS Mincho"/>
          <w:lang w:eastAsia="ja-JP"/>
        </w:rPr>
        <w:t xml:space="preserve"> </w:t>
      </w:r>
    </w:p>
    <w:p w:rsidR="001B2608" w:rsidRDefault="001B2608" w:rsidP="004A2F81">
      <w:pPr>
        <w:widowControl w:val="0"/>
        <w:numPr>
          <w:ilvl w:val="1"/>
          <w:numId w:val="31"/>
        </w:numPr>
        <w:ind w:left="709" w:hanging="357"/>
        <w:jc w:val="both"/>
        <w:rPr>
          <w:rFonts w:eastAsia="MS Mincho"/>
          <w:lang w:eastAsia="ja-JP"/>
        </w:rPr>
      </w:pPr>
      <w:r>
        <w:rPr>
          <w:rFonts w:eastAsia="MS Mincho"/>
          <w:lang w:eastAsia="ja-JP"/>
        </w:rPr>
        <w:t>ITU Forums was held in each region and study for test centres and capacity building in the regions.</w:t>
      </w:r>
    </w:p>
    <w:p w:rsidR="000B7888" w:rsidRDefault="000B7888" w:rsidP="004A2F81">
      <w:pPr>
        <w:widowControl w:val="0"/>
        <w:numPr>
          <w:ilvl w:val="1"/>
          <w:numId w:val="31"/>
        </w:numPr>
        <w:ind w:left="709" w:hanging="357"/>
        <w:jc w:val="both"/>
        <w:rPr>
          <w:rFonts w:eastAsia="MS Mincho"/>
          <w:lang w:eastAsia="ja-JP"/>
        </w:rPr>
      </w:pPr>
      <w:r>
        <w:rPr>
          <w:rFonts w:eastAsia="MS Mincho"/>
          <w:lang w:eastAsia="ja-JP"/>
        </w:rPr>
        <w:t>ITU is implementing proposals on human capacity building and assists developing countries in the establishment of test facilities and in cooperation with international institutions such as UNIDO, ILAC, IAF.</w:t>
      </w:r>
    </w:p>
    <w:p w:rsidR="000B7888" w:rsidRPr="001B2608" w:rsidRDefault="00606EAB" w:rsidP="004A2F81">
      <w:pPr>
        <w:widowControl w:val="0"/>
        <w:numPr>
          <w:ilvl w:val="1"/>
          <w:numId w:val="31"/>
        </w:numPr>
        <w:ind w:left="709" w:hanging="357"/>
        <w:jc w:val="both"/>
        <w:rPr>
          <w:rFonts w:eastAsia="MS Mincho"/>
          <w:lang w:eastAsia="ja-JP"/>
        </w:rPr>
      </w:pPr>
      <w:r>
        <w:rPr>
          <w:rFonts w:eastAsia="MS Mincho"/>
          <w:lang w:eastAsia="ja-JP"/>
        </w:rPr>
        <w:t>ITU provides training on C&amp;I in regions such as type approval testing for mobile terminals, homologation procedures and market surveillance as activities of pillar 3 Capability building</w:t>
      </w:r>
    </w:p>
    <w:p w:rsidR="00A86C81" w:rsidRDefault="00606EAB" w:rsidP="004A2F81">
      <w:pPr>
        <w:widowControl w:val="0"/>
        <w:numPr>
          <w:ilvl w:val="1"/>
          <w:numId w:val="31"/>
        </w:numPr>
        <w:ind w:left="709" w:hanging="357"/>
        <w:jc w:val="both"/>
        <w:rPr>
          <w:rFonts w:eastAsia="MS Mincho"/>
          <w:lang w:eastAsia="ja-JP"/>
        </w:rPr>
      </w:pPr>
      <w:r>
        <w:rPr>
          <w:rFonts w:eastAsia="MS Mincho"/>
          <w:lang w:eastAsia="ja-JP"/>
        </w:rPr>
        <w:t xml:space="preserve">ITU provides guidelines such as establishing conformity and interoperability regimes – basic guidelines as activities of pillar 4 Establishing C&amp;I programmes. </w:t>
      </w:r>
    </w:p>
    <w:p w:rsidR="00A86C81" w:rsidRPr="00426FE5" w:rsidRDefault="00606EAB" w:rsidP="004A2F81">
      <w:pPr>
        <w:widowControl w:val="0"/>
        <w:numPr>
          <w:ilvl w:val="1"/>
          <w:numId w:val="31"/>
        </w:numPr>
        <w:ind w:left="709" w:hanging="357"/>
        <w:jc w:val="both"/>
        <w:rPr>
          <w:rFonts w:eastAsia="MS Mincho"/>
          <w:lang w:eastAsia="ja-JP"/>
        </w:rPr>
      </w:pPr>
      <w:r>
        <w:rPr>
          <w:rFonts w:eastAsia="MS Mincho"/>
          <w:lang w:eastAsia="ja-JP"/>
        </w:rPr>
        <w:t xml:space="preserve">ITU provides direct assistance through the regional offices for regulatory framework, institutions roles and typical procedure, mutual recognition agreements, funding and roadmap/feasibility study. </w:t>
      </w:r>
    </w:p>
    <w:p w:rsidR="00D87FDD" w:rsidRPr="003735CC" w:rsidRDefault="00D87FDD" w:rsidP="00D41FC5">
      <w:pPr>
        <w:widowControl w:val="0"/>
        <w:numPr>
          <w:ilvl w:val="0"/>
          <w:numId w:val="15"/>
        </w:numPr>
        <w:spacing w:before="240"/>
        <w:ind w:left="357" w:hanging="357"/>
        <w:jc w:val="both"/>
        <w:rPr>
          <w:rFonts w:eastAsia="MS Mincho"/>
          <w:b/>
          <w:lang w:val="en-GB" w:eastAsia="ja-JP"/>
        </w:rPr>
      </w:pPr>
      <w:r w:rsidRPr="003735CC">
        <w:rPr>
          <w:rFonts w:eastAsia="MS Mincho"/>
          <w:b/>
          <w:lang w:val="en-GB" w:eastAsia="ja-JP"/>
        </w:rPr>
        <w:t>C&amp;I-3/INP-17</w:t>
      </w:r>
      <w:r w:rsidRPr="003735CC">
        <w:rPr>
          <w:rFonts w:eastAsia="MS Mincho"/>
          <w:b/>
          <w:lang w:val="en-GB" w:eastAsia="ja-JP"/>
        </w:rPr>
        <w:tab/>
        <w:t>Activities of ITU-T SG11 on C&amp;I (Vice-Chairman, ITU-T SG11)</w:t>
      </w:r>
    </w:p>
    <w:p w:rsidR="00FB7146" w:rsidRPr="00FB7146" w:rsidRDefault="00FB7146" w:rsidP="00FB7146">
      <w:pPr>
        <w:autoSpaceDE w:val="0"/>
        <w:autoSpaceDN w:val="0"/>
        <w:adjustRightInd w:val="0"/>
        <w:snapToGrid w:val="0"/>
        <w:spacing w:before="120"/>
        <w:ind w:left="426"/>
        <w:rPr>
          <w:rFonts w:eastAsia="MS PGothic"/>
          <w:lang w:eastAsia="ja-JP"/>
        </w:rPr>
      </w:pPr>
      <w:r w:rsidRPr="00FB7146">
        <w:rPr>
          <w:rFonts w:eastAsia="MS PGothic"/>
          <w:lang w:eastAsia="ja-JP"/>
        </w:rPr>
        <w:t>This presentation introduces following main topics.</w:t>
      </w:r>
    </w:p>
    <w:p w:rsidR="00426FE5" w:rsidRDefault="00F10D75" w:rsidP="00F10D75">
      <w:pPr>
        <w:widowControl w:val="0"/>
        <w:numPr>
          <w:ilvl w:val="1"/>
          <w:numId w:val="31"/>
        </w:numPr>
        <w:spacing w:before="120"/>
        <w:ind w:left="709"/>
        <w:jc w:val="both"/>
        <w:rPr>
          <w:rFonts w:eastAsia="MS Mincho"/>
          <w:lang w:eastAsia="ja-JP"/>
        </w:rPr>
      </w:pPr>
      <w:r w:rsidRPr="00F10D75">
        <w:rPr>
          <w:rFonts w:eastAsia="MS Mincho"/>
          <w:lang w:eastAsia="ja-JP"/>
        </w:rPr>
        <w:t xml:space="preserve">ITU-T SG11 has responsibility on signalling requirement and protocols and test specifications. </w:t>
      </w:r>
      <w:r>
        <w:rPr>
          <w:rFonts w:eastAsia="MS Mincho"/>
          <w:lang w:eastAsia="ja-JP"/>
        </w:rPr>
        <w:t>WP4 of SG11 is the leading WP of test specifications, conformance and interoperability testing.</w:t>
      </w:r>
    </w:p>
    <w:p w:rsidR="00F10D75" w:rsidRDefault="00F10D75" w:rsidP="004A2F81">
      <w:pPr>
        <w:widowControl w:val="0"/>
        <w:numPr>
          <w:ilvl w:val="1"/>
          <w:numId w:val="31"/>
        </w:numPr>
        <w:ind w:left="709" w:hanging="357"/>
        <w:jc w:val="both"/>
        <w:rPr>
          <w:rFonts w:eastAsia="MS Mincho"/>
          <w:lang w:eastAsia="ja-JP"/>
        </w:rPr>
      </w:pPr>
      <w:r>
        <w:rPr>
          <w:rFonts w:eastAsia="MS Mincho"/>
          <w:lang w:eastAsia="ja-JP"/>
        </w:rPr>
        <w:t>Major outcomes of ITU-T SG11 on C&amp;I are establishing the conformity assessment steering committee (ITU-T CASC), a living list of ITU-T Recommendations, reference table of ITU-T Recommendations and corresponding test specification and Pilot projects.</w:t>
      </w:r>
    </w:p>
    <w:p w:rsidR="00F10D75" w:rsidRPr="00F10D75" w:rsidRDefault="009232C2" w:rsidP="004A2F81">
      <w:pPr>
        <w:widowControl w:val="0"/>
        <w:numPr>
          <w:ilvl w:val="1"/>
          <w:numId w:val="31"/>
        </w:numPr>
        <w:ind w:left="709" w:hanging="357"/>
        <w:jc w:val="both"/>
        <w:rPr>
          <w:rFonts w:eastAsia="MS Mincho"/>
          <w:lang w:eastAsia="ja-JP"/>
        </w:rPr>
      </w:pPr>
      <w:r>
        <w:rPr>
          <w:rFonts w:eastAsia="MS Mincho"/>
          <w:lang w:eastAsia="ja-JP"/>
        </w:rPr>
        <w:t xml:space="preserve">Most telecom operators have implemented the IMS and efforts to assure interoperability are needed to adapt TE to IMS because of the different implementation of SIP-IMS protocols. </w:t>
      </w:r>
      <w:r w:rsidR="00FB7146">
        <w:rPr>
          <w:rFonts w:eastAsia="MS Mincho"/>
          <w:lang w:eastAsia="ja-JP"/>
        </w:rPr>
        <w:t xml:space="preserve">ITU-T Q.3940 and series ITU-T Q.3941.1-Q.3941.4 were recently approved for this purpose. </w:t>
      </w:r>
      <w:r w:rsidR="00F10D75">
        <w:rPr>
          <w:rFonts w:eastAsia="MS Mincho"/>
          <w:lang w:eastAsia="ja-JP"/>
        </w:rPr>
        <w:t xml:space="preserve"> </w:t>
      </w:r>
    </w:p>
    <w:p w:rsidR="00D87FDD" w:rsidRPr="002C5AF7" w:rsidRDefault="00D87FDD" w:rsidP="00D41FC5">
      <w:pPr>
        <w:widowControl w:val="0"/>
        <w:numPr>
          <w:ilvl w:val="0"/>
          <w:numId w:val="15"/>
        </w:numPr>
        <w:spacing w:before="240"/>
        <w:ind w:left="357" w:hanging="357"/>
        <w:jc w:val="both"/>
        <w:rPr>
          <w:rFonts w:eastAsia="MS Mincho"/>
          <w:b/>
          <w:lang w:val="en-GB" w:eastAsia="ja-JP"/>
        </w:rPr>
      </w:pPr>
      <w:r w:rsidRPr="002C5AF7">
        <w:rPr>
          <w:rFonts w:eastAsia="MS Mincho"/>
          <w:b/>
          <w:lang w:val="en-GB" w:eastAsia="ja-JP"/>
        </w:rPr>
        <w:t>C&amp;I-3/INP-18</w:t>
      </w:r>
      <w:r w:rsidRPr="002C5AF7">
        <w:rPr>
          <w:rFonts w:eastAsia="MS Mincho"/>
          <w:b/>
          <w:lang w:val="en-GB" w:eastAsia="ja-JP"/>
        </w:rPr>
        <w:tab/>
        <w:t>C&amp;I Activities in ITU-T SG16 (Chairman, ITU-T SG16)</w:t>
      </w:r>
    </w:p>
    <w:p w:rsidR="0044466A" w:rsidRPr="0044466A" w:rsidRDefault="0044466A" w:rsidP="0044466A">
      <w:pPr>
        <w:autoSpaceDE w:val="0"/>
        <w:autoSpaceDN w:val="0"/>
        <w:adjustRightInd w:val="0"/>
        <w:snapToGrid w:val="0"/>
        <w:spacing w:before="120"/>
        <w:ind w:left="426"/>
        <w:rPr>
          <w:rFonts w:eastAsia="MS PGothic"/>
          <w:lang w:eastAsia="ja-JP"/>
        </w:rPr>
      </w:pPr>
      <w:r w:rsidRPr="0044466A">
        <w:rPr>
          <w:rFonts w:eastAsia="MS PGothic"/>
          <w:lang w:eastAsia="ja-JP"/>
        </w:rPr>
        <w:t>This presentation introduces following main topics.</w:t>
      </w:r>
    </w:p>
    <w:p w:rsidR="0044466A" w:rsidRDefault="0044466A" w:rsidP="0044466A">
      <w:pPr>
        <w:widowControl w:val="0"/>
        <w:numPr>
          <w:ilvl w:val="1"/>
          <w:numId w:val="31"/>
        </w:numPr>
        <w:spacing w:before="120"/>
        <w:ind w:left="709"/>
        <w:jc w:val="both"/>
        <w:rPr>
          <w:rFonts w:eastAsia="MS Mincho"/>
          <w:lang w:eastAsia="ja-JP"/>
        </w:rPr>
      </w:pPr>
      <w:r>
        <w:rPr>
          <w:rFonts w:eastAsia="MS Mincho"/>
          <w:lang w:eastAsia="ja-JP"/>
        </w:rPr>
        <w:t>Q25/</w:t>
      </w:r>
      <w:r w:rsidR="005425A5" w:rsidRPr="0044466A">
        <w:rPr>
          <w:rFonts w:eastAsia="MS Mincho"/>
          <w:lang w:eastAsia="ja-JP"/>
        </w:rPr>
        <w:t>SG16</w:t>
      </w:r>
      <w:r>
        <w:rPr>
          <w:rFonts w:eastAsia="MS Mincho"/>
          <w:lang w:eastAsia="ja-JP"/>
        </w:rPr>
        <w:t xml:space="preserve"> “IoT application and service” is going to join new SG20 “IoT and applications, smart cities”. </w:t>
      </w:r>
    </w:p>
    <w:p w:rsidR="0044466A" w:rsidRDefault="0044466A" w:rsidP="004A2F81">
      <w:pPr>
        <w:widowControl w:val="0"/>
        <w:numPr>
          <w:ilvl w:val="1"/>
          <w:numId w:val="31"/>
        </w:numPr>
        <w:ind w:left="709" w:hanging="357"/>
        <w:jc w:val="both"/>
        <w:rPr>
          <w:rFonts w:eastAsia="MS Mincho"/>
          <w:lang w:eastAsia="ja-JP"/>
        </w:rPr>
      </w:pPr>
      <w:r w:rsidRPr="0044466A">
        <w:rPr>
          <w:rFonts w:eastAsia="MS Mincho"/>
          <w:lang w:eastAsia="ja-JP"/>
        </w:rPr>
        <w:t>SG16 has held 8 testing events, 2 application challenges and 14 showcasing since July 2010. Those event was held in Singapore, Pune, Rio de Janeiro, Dubai, Bangkok, Sapporo and Tshkent</w:t>
      </w:r>
      <w:r w:rsidRPr="0044466A">
        <w:rPr>
          <w:rFonts w:eastAsia="MS Mincho" w:hint="eastAsia"/>
          <w:lang w:eastAsia="ja-JP"/>
        </w:rPr>
        <w:t xml:space="preserve"> etc</w:t>
      </w:r>
      <w:r w:rsidRPr="0044466A">
        <w:rPr>
          <w:rFonts w:eastAsia="MS Mincho"/>
          <w:lang w:eastAsia="ja-JP"/>
        </w:rPr>
        <w:t>.</w:t>
      </w:r>
      <w:r w:rsidRPr="0044466A">
        <w:rPr>
          <w:rFonts w:eastAsia="MS Mincho" w:hint="eastAsia"/>
          <w:lang w:eastAsia="ja-JP"/>
        </w:rPr>
        <w:t xml:space="preserve"> </w:t>
      </w:r>
    </w:p>
    <w:p w:rsidR="0044466A" w:rsidRDefault="0044466A" w:rsidP="004A2F81">
      <w:pPr>
        <w:widowControl w:val="0"/>
        <w:numPr>
          <w:ilvl w:val="1"/>
          <w:numId w:val="31"/>
        </w:numPr>
        <w:ind w:left="709" w:hanging="357"/>
        <w:jc w:val="both"/>
        <w:rPr>
          <w:rFonts w:eastAsia="MS Mincho"/>
          <w:lang w:eastAsia="ja-JP"/>
        </w:rPr>
      </w:pPr>
      <w:r w:rsidRPr="0044466A">
        <w:rPr>
          <w:rFonts w:eastAsia="MS Mincho"/>
          <w:lang w:eastAsia="ja-JP"/>
        </w:rPr>
        <w:t>SG16 believes that Showcasing is also very important to</w:t>
      </w:r>
      <w:r>
        <w:rPr>
          <w:rFonts w:eastAsia="MS Mincho"/>
          <w:lang w:eastAsia="ja-JP"/>
        </w:rPr>
        <w:t xml:space="preserve"> </w:t>
      </w:r>
      <w:r w:rsidRPr="0044466A">
        <w:rPr>
          <w:rFonts w:eastAsia="MS Mincho"/>
          <w:lang w:eastAsia="ja-JP"/>
        </w:rPr>
        <w:t>show the users about the performance of new</w:t>
      </w:r>
      <w:r>
        <w:rPr>
          <w:rFonts w:eastAsia="MS Mincho"/>
          <w:lang w:eastAsia="ja-JP"/>
        </w:rPr>
        <w:t xml:space="preserve"> </w:t>
      </w:r>
      <w:r w:rsidRPr="0044466A">
        <w:rPr>
          <w:rFonts w:eastAsia="MS Mincho"/>
          <w:lang w:eastAsia="ja-JP"/>
        </w:rPr>
        <w:t>technologies, and ensure that the technologies are</w:t>
      </w:r>
      <w:r>
        <w:rPr>
          <w:rFonts w:eastAsia="MS Mincho"/>
          <w:lang w:eastAsia="ja-JP"/>
        </w:rPr>
        <w:t xml:space="preserve"> </w:t>
      </w:r>
      <w:r w:rsidRPr="0044466A">
        <w:rPr>
          <w:rFonts w:eastAsia="MS Mincho"/>
          <w:lang w:eastAsia="ja-JP"/>
        </w:rPr>
        <w:t>already put in market</w:t>
      </w:r>
      <w:r>
        <w:rPr>
          <w:rFonts w:eastAsia="MS Mincho"/>
          <w:lang w:eastAsia="ja-JP"/>
        </w:rPr>
        <w:t>.</w:t>
      </w:r>
    </w:p>
    <w:p w:rsidR="0044466A" w:rsidRDefault="0044466A" w:rsidP="004A2F81">
      <w:pPr>
        <w:widowControl w:val="0"/>
        <w:numPr>
          <w:ilvl w:val="1"/>
          <w:numId w:val="31"/>
        </w:numPr>
        <w:ind w:left="709" w:hanging="357"/>
        <w:jc w:val="both"/>
        <w:rPr>
          <w:rFonts w:eastAsia="MS Mincho"/>
          <w:lang w:eastAsia="ja-JP"/>
        </w:rPr>
      </w:pPr>
      <w:r w:rsidRPr="0044466A">
        <w:rPr>
          <w:rFonts w:eastAsia="MS Mincho"/>
          <w:lang w:eastAsia="ja-JP"/>
        </w:rPr>
        <w:t>SG16 is planning to continue enhancing the C&amp;I</w:t>
      </w:r>
      <w:r>
        <w:rPr>
          <w:rFonts w:eastAsia="MS Mincho"/>
          <w:lang w:eastAsia="ja-JP"/>
        </w:rPr>
        <w:t xml:space="preserve"> </w:t>
      </w:r>
      <w:r w:rsidRPr="0044466A">
        <w:rPr>
          <w:rFonts w:eastAsia="MS Mincho"/>
          <w:lang w:eastAsia="ja-JP"/>
        </w:rPr>
        <w:t>testing events, including the first IPTV Conformance</w:t>
      </w:r>
      <w:r>
        <w:rPr>
          <w:rFonts w:eastAsia="MS Mincho"/>
          <w:lang w:eastAsia="ja-JP"/>
        </w:rPr>
        <w:t xml:space="preserve"> </w:t>
      </w:r>
      <w:r w:rsidRPr="0044466A">
        <w:rPr>
          <w:rFonts w:eastAsia="MS Mincho"/>
          <w:lang w:eastAsia="ja-JP"/>
        </w:rPr>
        <w:t>Testing in Geneva (Oct. 2015) and Rio Paralympic</w:t>
      </w:r>
      <w:r>
        <w:rPr>
          <w:rFonts w:eastAsia="MS Mincho"/>
          <w:lang w:eastAsia="ja-JP"/>
        </w:rPr>
        <w:t xml:space="preserve"> </w:t>
      </w:r>
      <w:r w:rsidRPr="0044466A">
        <w:rPr>
          <w:rFonts w:eastAsia="MS Mincho"/>
          <w:lang w:eastAsia="ja-JP"/>
        </w:rPr>
        <w:t>Games</w:t>
      </w:r>
      <w:r>
        <w:rPr>
          <w:rFonts w:eastAsia="MS Mincho"/>
          <w:lang w:eastAsia="ja-JP"/>
        </w:rPr>
        <w:t>.</w:t>
      </w:r>
    </w:p>
    <w:p w:rsidR="00564495" w:rsidRDefault="00564495" w:rsidP="004A2F81">
      <w:pPr>
        <w:widowControl w:val="0"/>
        <w:ind w:left="352"/>
        <w:jc w:val="both"/>
        <w:rPr>
          <w:rFonts w:eastAsia="MS Mincho"/>
          <w:lang w:eastAsia="ja-JP"/>
        </w:rPr>
      </w:pPr>
    </w:p>
    <w:p w:rsidR="00564495" w:rsidRPr="0044466A" w:rsidRDefault="00564495" w:rsidP="00564495">
      <w:pPr>
        <w:widowControl w:val="0"/>
        <w:spacing w:before="120"/>
        <w:jc w:val="center"/>
        <w:rPr>
          <w:rFonts w:eastAsia="MS Mincho"/>
          <w:lang w:eastAsia="ja-JP"/>
        </w:rPr>
      </w:pPr>
    </w:p>
    <w:p w:rsidR="002C5AF7" w:rsidRDefault="002C5AF7">
      <w:pPr>
        <w:rPr>
          <w:b/>
        </w:rPr>
      </w:pPr>
      <w:r>
        <w:rPr>
          <w:b/>
        </w:rPr>
        <w:br w:type="page"/>
      </w:r>
    </w:p>
    <w:p w:rsidR="002C5AF7" w:rsidRDefault="006502EC" w:rsidP="002C5AF7">
      <w:pPr>
        <w:widowControl w:val="0"/>
        <w:numPr>
          <w:ilvl w:val="0"/>
          <w:numId w:val="15"/>
        </w:numPr>
        <w:spacing w:before="240"/>
        <w:ind w:left="357" w:hanging="357"/>
        <w:jc w:val="both"/>
        <w:rPr>
          <w:b/>
        </w:rPr>
      </w:pPr>
      <w:r>
        <w:rPr>
          <w:b/>
        </w:rPr>
        <w:lastRenderedPageBreak/>
        <w:t xml:space="preserve">Workshop </w:t>
      </w:r>
      <w:r w:rsidR="003735CC">
        <w:rPr>
          <w:b/>
        </w:rPr>
        <w:t>W</w:t>
      </w:r>
      <w:r w:rsidR="002C5AF7">
        <w:rPr>
          <w:b/>
        </w:rPr>
        <w:t>rap-up</w:t>
      </w:r>
    </w:p>
    <w:p w:rsidR="002C5AF7" w:rsidRPr="002C5AF7" w:rsidRDefault="002C5AF7" w:rsidP="002C5AF7">
      <w:pPr>
        <w:pStyle w:val="ListParagraph"/>
        <w:autoSpaceDN w:val="0"/>
        <w:spacing w:before="120" w:after="120"/>
        <w:ind w:leftChars="0" w:left="360"/>
        <w:rPr>
          <w:rFonts w:eastAsia="MS Mincho" w:cs="Times New Roman"/>
          <w:sz w:val="24"/>
          <w:szCs w:val="24"/>
          <w:lang w:eastAsia="ja-JP"/>
        </w:rPr>
      </w:pPr>
      <w:r w:rsidRPr="002C5AF7">
        <w:rPr>
          <w:rFonts w:eastAsia="MS Mincho" w:cs="Times New Roman"/>
          <w:sz w:val="24"/>
          <w:szCs w:val="24"/>
          <w:lang w:eastAsia="ja-JP"/>
        </w:rPr>
        <w:t xml:space="preserve">The future plan of the APT C&amp;I event were discussed in the wrap-up session in the </w:t>
      </w:r>
      <w:r>
        <w:rPr>
          <w:rFonts w:eastAsia="MS Mincho" w:cs="Times New Roman"/>
          <w:sz w:val="24"/>
          <w:szCs w:val="24"/>
          <w:lang w:eastAsia="ja-JP"/>
        </w:rPr>
        <w:t xml:space="preserve">C&amp;I </w:t>
      </w:r>
      <w:r w:rsidRPr="002C5AF7">
        <w:rPr>
          <w:rFonts w:eastAsia="MS Mincho" w:cs="Times New Roman"/>
          <w:sz w:val="24"/>
          <w:szCs w:val="24"/>
          <w:lang w:eastAsia="ja-JP"/>
        </w:rPr>
        <w:t xml:space="preserve">workshop. The moderator suggested to deliver the questionnaire to ask the opinion and evaluation of the APT members and take them into consideration for the next action of APT on C&amp;I. EG ITU-T in the ASTAP will discuss the results of the questionnaire and make a report to WG PSC in the ASTAP-26. </w:t>
      </w:r>
    </w:p>
    <w:p w:rsidR="002E0E35" w:rsidRPr="002E0E35" w:rsidRDefault="002C5AF7" w:rsidP="00146E1B">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Pr>
          <w:b/>
        </w:rPr>
        <w:t>Discussion for the future event</w:t>
      </w:r>
    </w:p>
    <w:p w:rsidR="00CD4B2C" w:rsidRPr="002C5AF7" w:rsidRDefault="00CD4B2C" w:rsidP="003735CC">
      <w:pPr>
        <w:pStyle w:val="ListParagraph"/>
        <w:autoSpaceDN w:val="0"/>
        <w:spacing w:before="120" w:after="120"/>
        <w:ind w:leftChars="0" w:left="360"/>
        <w:rPr>
          <w:rFonts w:eastAsia="MS Mincho" w:cs="Times New Roman"/>
          <w:sz w:val="24"/>
          <w:szCs w:val="24"/>
          <w:lang w:eastAsia="ja-JP"/>
        </w:rPr>
      </w:pPr>
      <w:r w:rsidRPr="002C5AF7">
        <w:rPr>
          <w:rFonts w:eastAsia="MS Mincho" w:cs="Times New Roman"/>
          <w:sz w:val="24"/>
          <w:szCs w:val="24"/>
          <w:lang w:eastAsia="ja-JP"/>
        </w:rPr>
        <w:t>Conformance and interoperability is one of the high interested issues in the global telecom market especially in the developing countries. To assure the end to end interoperability of the service and ICT products is a strong demand of the telecom operators and service providers. In the recent years, emerging technologies and service</w:t>
      </w:r>
      <w:r w:rsidR="00DD0202" w:rsidRPr="002C5AF7">
        <w:rPr>
          <w:rFonts w:eastAsia="MS Mincho" w:cs="Times New Roman"/>
          <w:sz w:val="24"/>
          <w:szCs w:val="24"/>
          <w:lang w:eastAsia="ja-JP"/>
        </w:rPr>
        <w:t>s</w:t>
      </w:r>
      <w:r w:rsidRPr="002C5AF7">
        <w:rPr>
          <w:rFonts w:eastAsia="MS Mincho" w:cs="Times New Roman"/>
          <w:sz w:val="24"/>
          <w:szCs w:val="24"/>
          <w:lang w:eastAsia="ja-JP"/>
        </w:rPr>
        <w:t xml:space="preserve"> </w:t>
      </w:r>
      <w:r w:rsidR="00C04E5F" w:rsidRPr="002C5AF7">
        <w:rPr>
          <w:rFonts w:eastAsia="MS Mincho" w:cs="Times New Roman"/>
          <w:sz w:val="24"/>
          <w:szCs w:val="24"/>
          <w:lang w:eastAsia="ja-JP"/>
        </w:rPr>
        <w:t xml:space="preserve">are innovated </w:t>
      </w:r>
      <w:r w:rsidR="007F38BB" w:rsidRPr="002C5AF7">
        <w:rPr>
          <w:rFonts w:eastAsia="MS Mincho" w:cs="Times New Roman"/>
          <w:sz w:val="24"/>
          <w:szCs w:val="24"/>
          <w:lang w:eastAsia="ja-JP"/>
        </w:rPr>
        <w:t>such as cloud computing</w:t>
      </w:r>
      <w:r w:rsidRPr="002C5AF7">
        <w:rPr>
          <w:rFonts w:eastAsia="MS Mincho" w:cs="Times New Roman"/>
          <w:sz w:val="24"/>
          <w:szCs w:val="24"/>
          <w:lang w:eastAsia="ja-JP"/>
        </w:rPr>
        <w:t>, IoT, bigdata</w:t>
      </w:r>
      <w:r w:rsidR="007F38BB" w:rsidRPr="002C5AF7">
        <w:rPr>
          <w:rFonts w:eastAsia="MS Mincho" w:cs="Times New Roman"/>
          <w:sz w:val="24"/>
          <w:szCs w:val="24"/>
          <w:lang w:eastAsia="ja-JP"/>
        </w:rPr>
        <w:t xml:space="preserve"> and </w:t>
      </w:r>
      <w:r w:rsidRPr="002C5AF7">
        <w:rPr>
          <w:rFonts w:eastAsia="MS Mincho" w:cs="Times New Roman"/>
          <w:sz w:val="24"/>
          <w:szCs w:val="24"/>
          <w:lang w:eastAsia="ja-JP"/>
        </w:rPr>
        <w:t>conv</w:t>
      </w:r>
      <w:r w:rsidR="00DD0202" w:rsidRPr="002C5AF7">
        <w:rPr>
          <w:rFonts w:eastAsia="MS Mincho" w:cs="Times New Roman"/>
          <w:sz w:val="24"/>
          <w:szCs w:val="24"/>
          <w:lang w:eastAsia="ja-JP"/>
        </w:rPr>
        <w:t>ergence of the vertical industries</w:t>
      </w:r>
      <w:r w:rsidRPr="002C5AF7">
        <w:rPr>
          <w:rFonts w:eastAsia="MS Mincho" w:cs="Times New Roman"/>
          <w:sz w:val="24"/>
          <w:szCs w:val="24"/>
          <w:lang w:eastAsia="ja-JP"/>
        </w:rPr>
        <w:t xml:space="preserve"> has been progressing. Many forums and SDOs are challenging to harmonize various technologies </w:t>
      </w:r>
      <w:r w:rsidR="00C04E5F" w:rsidRPr="002C5AF7">
        <w:rPr>
          <w:rFonts w:eastAsia="MS Mincho" w:cs="Times New Roman"/>
          <w:sz w:val="24"/>
          <w:szCs w:val="24"/>
          <w:lang w:eastAsia="ja-JP"/>
        </w:rPr>
        <w:t xml:space="preserve">and products. </w:t>
      </w:r>
      <w:r w:rsidR="00DD0202" w:rsidRPr="002C5AF7">
        <w:rPr>
          <w:rFonts w:eastAsia="MS Mincho" w:cs="Times New Roman"/>
          <w:sz w:val="24"/>
          <w:szCs w:val="24"/>
          <w:lang w:eastAsia="ja-JP"/>
        </w:rPr>
        <w:t xml:space="preserve">Standardization efforts are needed </w:t>
      </w:r>
      <w:r w:rsidRPr="002C5AF7">
        <w:rPr>
          <w:rFonts w:eastAsia="MS Mincho" w:cs="Times New Roman"/>
          <w:sz w:val="24"/>
          <w:szCs w:val="24"/>
          <w:lang w:eastAsia="ja-JP"/>
        </w:rPr>
        <w:t xml:space="preserve">to achieve interoperability </w:t>
      </w:r>
      <w:r w:rsidR="00C04E5F" w:rsidRPr="002C5AF7">
        <w:rPr>
          <w:rFonts w:eastAsia="MS Mincho" w:cs="Times New Roman"/>
          <w:sz w:val="24"/>
          <w:szCs w:val="24"/>
          <w:lang w:eastAsia="ja-JP"/>
        </w:rPr>
        <w:t xml:space="preserve">among these diverse services, networks and </w:t>
      </w:r>
      <w:r w:rsidR="00DD0202" w:rsidRPr="002C5AF7">
        <w:rPr>
          <w:rFonts w:eastAsia="MS Mincho" w:cs="Times New Roman"/>
          <w:sz w:val="24"/>
          <w:szCs w:val="24"/>
          <w:lang w:eastAsia="ja-JP"/>
        </w:rPr>
        <w:t>devices.</w:t>
      </w:r>
      <w:r w:rsidR="00C04E5F" w:rsidRPr="002C5AF7">
        <w:rPr>
          <w:rFonts w:eastAsia="MS Mincho" w:cs="Times New Roman"/>
          <w:sz w:val="24"/>
          <w:szCs w:val="24"/>
          <w:lang w:eastAsia="ja-JP"/>
        </w:rPr>
        <w:t xml:space="preserve">  </w:t>
      </w:r>
      <w:r w:rsidRPr="002C5AF7">
        <w:rPr>
          <w:rFonts w:eastAsia="MS Mincho" w:cs="Times New Roman"/>
          <w:sz w:val="24"/>
          <w:szCs w:val="24"/>
          <w:lang w:eastAsia="ja-JP"/>
        </w:rPr>
        <w:t xml:space="preserve"> </w:t>
      </w:r>
    </w:p>
    <w:p w:rsidR="00DD0202" w:rsidRPr="002C5AF7" w:rsidRDefault="00DD0202" w:rsidP="002C5AF7">
      <w:pPr>
        <w:pStyle w:val="ListParagraph"/>
        <w:autoSpaceDN w:val="0"/>
        <w:spacing w:before="120" w:after="120"/>
        <w:ind w:leftChars="0" w:left="360"/>
        <w:rPr>
          <w:rFonts w:eastAsia="MS Mincho" w:cs="Times New Roman"/>
          <w:sz w:val="24"/>
          <w:szCs w:val="24"/>
          <w:lang w:eastAsia="ja-JP"/>
        </w:rPr>
      </w:pPr>
      <w:r w:rsidRPr="002C5AF7">
        <w:rPr>
          <w:rFonts w:eastAsia="MS Mincho" w:cs="Times New Roman"/>
          <w:sz w:val="24"/>
          <w:szCs w:val="24"/>
          <w:lang w:eastAsia="ja-JP"/>
        </w:rPr>
        <w:t xml:space="preserve">In the 3rd APT/ITU C&amp;I event, </w:t>
      </w:r>
      <w:r w:rsidR="004E5127" w:rsidRPr="002C5AF7">
        <w:rPr>
          <w:rFonts w:eastAsia="MS Mincho" w:cs="Times New Roman"/>
          <w:sz w:val="24"/>
          <w:szCs w:val="24"/>
          <w:lang w:eastAsia="ja-JP"/>
        </w:rPr>
        <w:t xml:space="preserve">NGN E2E service </w:t>
      </w:r>
      <w:r w:rsidR="007F38BB" w:rsidRPr="002C5AF7">
        <w:rPr>
          <w:rFonts w:eastAsia="MS Mincho" w:cs="Times New Roman"/>
          <w:sz w:val="24"/>
          <w:szCs w:val="24"/>
          <w:lang w:eastAsia="ja-JP"/>
        </w:rPr>
        <w:t xml:space="preserve">testing </w:t>
      </w:r>
      <w:r w:rsidR="004E5127" w:rsidRPr="002C5AF7">
        <w:rPr>
          <w:rFonts w:eastAsia="MS Mincho" w:cs="Times New Roman"/>
          <w:sz w:val="24"/>
          <w:szCs w:val="24"/>
          <w:lang w:eastAsia="ja-JP"/>
        </w:rPr>
        <w:t xml:space="preserve">and IPTV </w:t>
      </w:r>
      <w:r w:rsidR="007F38BB" w:rsidRPr="002C5AF7">
        <w:rPr>
          <w:rFonts w:eastAsia="MS Mincho" w:cs="Times New Roman"/>
          <w:sz w:val="24"/>
          <w:szCs w:val="24"/>
          <w:lang w:eastAsia="ja-JP"/>
        </w:rPr>
        <w:t xml:space="preserve">testing </w:t>
      </w:r>
      <w:r w:rsidR="004E5127" w:rsidRPr="002C5AF7">
        <w:rPr>
          <w:rFonts w:eastAsia="MS Mincho" w:cs="Times New Roman"/>
          <w:sz w:val="24"/>
          <w:szCs w:val="24"/>
          <w:lang w:eastAsia="ja-JP"/>
        </w:rPr>
        <w:t xml:space="preserve">were successfully </w:t>
      </w:r>
      <w:r w:rsidR="00B3539B" w:rsidRPr="002C5AF7">
        <w:rPr>
          <w:rFonts w:eastAsia="MS Mincho" w:cs="Times New Roman"/>
          <w:sz w:val="24"/>
          <w:szCs w:val="24"/>
          <w:lang w:eastAsia="ja-JP"/>
        </w:rPr>
        <w:t>performed. 9</w:t>
      </w:r>
      <w:r w:rsidRPr="002C5AF7">
        <w:rPr>
          <w:rFonts w:eastAsia="MS Mincho" w:cs="Times New Roman"/>
          <w:sz w:val="24"/>
          <w:szCs w:val="24"/>
          <w:lang w:eastAsia="ja-JP"/>
        </w:rPr>
        <w:t xml:space="preserve"> exhibitors displayed</w:t>
      </w:r>
      <w:r w:rsidR="00B3539B" w:rsidRPr="002C5AF7">
        <w:rPr>
          <w:rFonts w:eastAsia="MS Mincho" w:cs="Times New Roman"/>
          <w:sz w:val="24"/>
          <w:szCs w:val="24"/>
          <w:lang w:eastAsia="ja-JP"/>
        </w:rPr>
        <w:t xml:space="preserve"> their technologies, solutions and products in the showcasing. </w:t>
      </w:r>
      <w:r w:rsidRPr="002C5AF7">
        <w:rPr>
          <w:rFonts w:eastAsia="MS Mincho" w:cs="Times New Roman"/>
          <w:sz w:val="24"/>
          <w:szCs w:val="24"/>
          <w:lang w:eastAsia="ja-JP"/>
        </w:rPr>
        <w:t xml:space="preserve">16 presentations were introduced in the workshop and useful information and innovative idea were shared among APT member countries. </w:t>
      </w:r>
    </w:p>
    <w:p w:rsidR="002C5AF7" w:rsidRPr="002B6D4E" w:rsidRDefault="002C5AF7" w:rsidP="003735CC">
      <w:pPr>
        <w:pStyle w:val="ListParagraph"/>
        <w:autoSpaceDN w:val="0"/>
        <w:spacing w:before="120" w:after="120"/>
        <w:ind w:leftChars="0" w:left="360"/>
        <w:rPr>
          <w:rFonts w:eastAsia="MS Mincho"/>
          <w:sz w:val="24"/>
          <w:szCs w:val="24"/>
          <w:lang w:eastAsia="ja-JP"/>
        </w:rPr>
      </w:pPr>
      <w:r>
        <w:rPr>
          <w:rFonts w:eastAsia="MS Mincho" w:cs="Times New Roman"/>
          <w:sz w:val="24"/>
          <w:szCs w:val="24"/>
          <w:lang w:eastAsia="ja-JP"/>
        </w:rPr>
        <w:t xml:space="preserve">ASTAP </w:t>
      </w:r>
      <w:r w:rsidRPr="002B6D4E">
        <w:rPr>
          <w:rFonts w:eastAsia="MS Mincho" w:cs="Times New Roman"/>
          <w:sz w:val="24"/>
          <w:szCs w:val="24"/>
          <w:lang w:eastAsia="ja-JP"/>
        </w:rPr>
        <w:t>EG ITU reviewed the report of the thi</w:t>
      </w:r>
      <w:r>
        <w:rPr>
          <w:rFonts w:eastAsia="MS Mincho" w:cs="Times New Roman"/>
          <w:sz w:val="24"/>
          <w:szCs w:val="24"/>
          <w:lang w:eastAsia="ja-JP"/>
        </w:rPr>
        <w:t>rd C&amp;I event which was</w:t>
      </w:r>
      <w:r w:rsidRPr="002B6D4E">
        <w:rPr>
          <w:rFonts w:eastAsia="MS Mincho" w:cs="Times New Roman"/>
          <w:sz w:val="24"/>
          <w:szCs w:val="24"/>
          <w:lang w:eastAsia="ja-JP"/>
        </w:rPr>
        <w:t xml:space="preserve"> held on 7th &amp; 8th in September 2015 back to back with the ASTAP-26. </w:t>
      </w:r>
      <w:r w:rsidRPr="002B6D4E">
        <w:rPr>
          <w:rFonts w:eastAsia="MS Mincho"/>
          <w:lang w:eastAsia="ja-JP"/>
        </w:rPr>
        <w:t xml:space="preserve">EG </w:t>
      </w:r>
      <w:r w:rsidRPr="002B6D4E">
        <w:rPr>
          <w:rFonts w:eastAsia="MS Mincho" w:cs="Times New Roman"/>
          <w:sz w:val="24"/>
          <w:szCs w:val="24"/>
          <w:lang w:eastAsia="ja-JP"/>
        </w:rPr>
        <w:t xml:space="preserve">ITU also briefly reviewed the summary of the questionnaire and recognized that most of the member of ASTAP </w:t>
      </w:r>
      <w:r w:rsidRPr="002B6D4E">
        <w:rPr>
          <w:rFonts w:eastAsia="MS Mincho"/>
          <w:lang w:eastAsia="ja-JP"/>
        </w:rPr>
        <w:t xml:space="preserve">who provided the answer to the questionnaire </w:t>
      </w:r>
      <w:r w:rsidRPr="002B6D4E">
        <w:rPr>
          <w:rFonts w:eastAsia="MS Mincho" w:cs="Times New Roman"/>
          <w:sz w:val="24"/>
          <w:szCs w:val="24"/>
          <w:lang w:eastAsia="ja-JP"/>
        </w:rPr>
        <w:t>supported to continue the C&amp;I event. The meeting discussed the future plan of the event and agreed that EG ITU would create C&amp;I coordination committee to discuss the detailed plan of the next action on APT C&amp;I at</w:t>
      </w:r>
      <w:r>
        <w:rPr>
          <w:rFonts w:eastAsia="MS Mincho" w:cs="Times New Roman"/>
          <w:sz w:val="24"/>
          <w:szCs w:val="24"/>
          <w:lang w:eastAsia="ja-JP"/>
        </w:rPr>
        <w:t xml:space="preserve"> the ASTAP-27 in March 2016. EG ITU</w:t>
      </w:r>
      <w:r w:rsidRPr="002B6D4E">
        <w:rPr>
          <w:rFonts w:eastAsia="MS Mincho" w:cs="Times New Roman"/>
          <w:sz w:val="24"/>
          <w:szCs w:val="24"/>
          <w:lang w:eastAsia="ja-JP"/>
        </w:rPr>
        <w:t xml:space="preserve"> meeting did not get any consensus on the date and the contents of the next event but the chair of EG ITU abstracted some ideas from the answer of the questionnaire as follows;</w:t>
      </w:r>
    </w:p>
    <w:p w:rsidR="002C5AF7" w:rsidRPr="00A716FD" w:rsidRDefault="002C5AF7" w:rsidP="002C5AF7">
      <w:pPr>
        <w:pStyle w:val="ListParagraph"/>
        <w:numPr>
          <w:ilvl w:val="0"/>
          <w:numId w:val="45"/>
        </w:numPr>
        <w:autoSpaceDN w:val="0"/>
        <w:spacing w:beforeLines="0" w:after="120" w:line="240" w:lineRule="auto"/>
        <w:ind w:leftChars="0" w:left="357" w:hanging="357"/>
        <w:rPr>
          <w:rFonts w:eastAsia="MS Mincho" w:cs="Times New Roman"/>
          <w:sz w:val="24"/>
          <w:szCs w:val="24"/>
          <w:lang w:eastAsia="ja-JP"/>
        </w:rPr>
      </w:pPr>
      <w:r w:rsidRPr="00A716FD">
        <w:rPr>
          <w:rFonts w:eastAsia="MS Mincho" w:cs="Times New Roman"/>
          <w:sz w:val="24"/>
          <w:szCs w:val="24"/>
          <w:lang w:eastAsia="ja-JP"/>
        </w:rPr>
        <w:t>Support APT member countries based on ITU’s C&amp;I Pillar 3 Capability building and Pillar 4 Establishing C&amp;I test center. It is proposed that APT provides</w:t>
      </w:r>
      <w:r>
        <w:rPr>
          <w:rFonts w:eastAsia="MS Mincho" w:cs="Times New Roman"/>
          <w:sz w:val="24"/>
          <w:szCs w:val="24"/>
          <w:lang w:eastAsia="ja-JP"/>
        </w:rPr>
        <w:t xml:space="preserve"> C&amp;I training supported by </w:t>
      </w:r>
      <w:r w:rsidRPr="00A716FD">
        <w:rPr>
          <w:rFonts w:eastAsia="MS Mincho" w:cs="Times New Roman"/>
          <w:sz w:val="24"/>
          <w:szCs w:val="24"/>
          <w:lang w:eastAsia="ja-JP"/>
        </w:rPr>
        <w:t>ITU regional office.</w:t>
      </w:r>
    </w:p>
    <w:p w:rsidR="002C5AF7" w:rsidRPr="00A716FD" w:rsidRDefault="002C5AF7" w:rsidP="002C5AF7">
      <w:pPr>
        <w:pStyle w:val="ListParagraph"/>
        <w:numPr>
          <w:ilvl w:val="0"/>
          <w:numId w:val="45"/>
        </w:numPr>
        <w:autoSpaceDN w:val="0"/>
        <w:spacing w:beforeLines="0" w:after="120" w:line="240" w:lineRule="auto"/>
        <w:ind w:leftChars="0" w:left="357" w:hanging="357"/>
        <w:rPr>
          <w:rFonts w:eastAsia="MS Mincho" w:cs="Times New Roman"/>
          <w:sz w:val="24"/>
          <w:szCs w:val="24"/>
          <w:lang w:eastAsia="ja-JP"/>
        </w:rPr>
      </w:pPr>
      <w:r w:rsidRPr="00A716FD">
        <w:rPr>
          <w:rFonts w:eastAsia="MS Mincho" w:cs="Times New Roman"/>
          <w:sz w:val="24"/>
          <w:szCs w:val="24"/>
          <w:lang w:eastAsia="ja-JP"/>
        </w:rPr>
        <w:t xml:space="preserve">Attract more exhibitors and audience from APT member countries and out of APT member countries and increase participation from private sectors especially telecom operators.  The following ideas were proposed </w:t>
      </w:r>
    </w:p>
    <w:p w:rsidR="002C5AF7" w:rsidRPr="00A716FD" w:rsidRDefault="002C5AF7" w:rsidP="002C5AF7">
      <w:pPr>
        <w:pStyle w:val="ListParagraph"/>
        <w:numPr>
          <w:ilvl w:val="1"/>
          <w:numId w:val="15"/>
        </w:numPr>
        <w:autoSpaceDN w:val="0"/>
        <w:spacing w:beforeLines="0" w:line="240" w:lineRule="auto"/>
        <w:ind w:leftChars="0" w:left="720" w:hanging="357"/>
        <w:rPr>
          <w:rFonts w:eastAsia="MS Mincho" w:cs="Times New Roman"/>
          <w:sz w:val="24"/>
          <w:szCs w:val="24"/>
          <w:lang w:eastAsia="ja-JP"/>
        </w:rPr>
      </w:pPr>
      <w:r w:rsidRPr="00A716FD">
        <w:rPr>
          <w:rFonts w:eastAsia="MS Mincho" w:cs="Times New Roman"/>
          <w:sz w:val="24"/>
          <w:szCs w:val="24"/>
          <w:lang w:eastAsia="ja-JP"/>
        </w:rPr>
        <w:t>Enhance the collaboration with ITU such as collocated event with ITU meeting</w:t>
      </w:r>
    </w:p>
    <w:p w:rsidR="002C5AF7" w:rsidRPr="00A716FD" w:rsidRDefault="002C5AF7" w:rsidP="002C5AF7">
      <w:pPr>
        <w:pStyle w:val="ListParagraph"/>
        <w:numPr>
          <w:ilvl w:val="1"/>
          <w:numId w:val="15"/>
        </w:numPr>
        <w:autoSpaceDN w:val="0"/>
        <w:spacing w:beforeLines="0" w:line="240" w:lineRule="auto"/>
        <w:ind w:leftChars="0" w:left="720" w:hanging="357"/>
        <w:rPr>
          <w:rFonts w:eastAsia="MS Mincho" w:cs="Times New Roman"/>
          <w:sz w:val="24"/>
          <w:szCs w:val="24"/>
          <w:lang w:eastAsia="ja-JP"/>
        </w:rPr>
      </w:pPr>
      <w:r w:rsidRPr="00A716FD">
        <w:rPr>
          <w:rFonts w:eastAsia="MS Mincho" w:cs="Times New Roman"/>
          <w:sz w:val="24"/>
          <w:szCs w:val="24"/>
          <w:lang w:eastAsia="ja-JP"/>
        </w:rPr>
        <w:t>Joint with other APT’s events such as APT Policy and Regulatory Forum (PRF)</w:t>
      </w:r>
    </w:p>
    <w:p w:rsidR="00020585" w:rsidRPr="002C5AF7" w:rsidRDefault="002C5AF7" w:rsidP="002C5AF7">
      <w:pPr>
        <w:pStyle w:val="ListParagraph"/>
        <w:numPr>
          <w:ilvl w:val="1"/>
          <w:numId w:val="15"/>
        </w:numPr>
        <w:autoSpaceDN w:val="0"/>
        <w:spacing w:beforeLines="0" w:line="240" w:lineRule="auto"/>
        <w:ind w:leftChars="0" w:left="720" w:hanging="357"/>
        <w:rPr>
          <w:rFonts w:eastAsia="MS Mincho" w:cs="Times New Roman"/>
          <w:sz w:val="24"/>
          <w:szCs w:val="24"/>
          <w:lang w:eastAsia="ja-JP"/>
        </w:rPr>
      </w:pPr>
      <w:r w:rsidRPr="00A716FD">
        <w:rPr>
          <w:rFonts w:eastAsia="MS Mincho" w:cs="Times New Roman"/>
          <w:sz w:val="24"/>
          <w:szCs w:val="24"/>
          <w:lang w:eastAsia="ja-JP"/>
        </w:rPr>
        <w:t>Create a new APT forum independent of ASTAP to organize C&amp;I event.</w:t>
      </w:r>
    </w:p>
    <w:p w:rsidR="008F276B" w:rsidRPr="00A2372F" w:rsidRDefault="008F276B" w:rsidP="00146E1B">
      <w:pPr>
        <w:widowControl w:val="0"/>
        <w:numPr>
          <w:ilvl w:val="0"/>
          <w:numId w:val="9"/>
        </w:numPr>
        <w:tabs>
          <w:tab w:val="num" w:pos="786"/>
        </w:tabs>
        <w:autoSpaceDE w:val="0"/>
        <w:autoSpaceDN w:val="0"/>
        <w:adjustRightInd w:val="0"/>
        <w:snapToGrid w:val="0"/>
        <w:spacing w:beforeLines="100" w:before="240" w:line="240" w:lineRule="atLeast"/>
        <w:ind w:left="357" w:hanging="357"/>
        <w:rPr>
          <w:b/>
        </w:rPr>
      </w:pPr>
      <w:r w:rsidRPr="00A2372F">
        <w:rPr>
          <w:b/>
        </w:rPr>
        <w:t>Closing</w:t>
      </w:r>
    </w:p>
    <w:p w:rsidR="008F276B" w:rsidRDefault="00E356EF" w:rsidP="00A2372F">
      <w:pPr>
        <w:autoSpaceDN w:val="0"/>
        <w:spacing w:before="120"/>
        <w:ind w:left="360"/>
        <w:rPr>
          <w:rFonts w:eastAsia="MS Mincho"/>
          <w:lang w:eastAsia="ja-JP"/>
        </w:rPr>
      </w:pPr>
      <w:r>
        <w:rPr>
          <w:rFonts w:eastAsia="MS Mincho"/>
          <w:lang w:eastAsia="ja-JP"/>
        </w:rPr>
        <w:t xml:space="preserve">The chair of </w:t>
      </w:r>
      <w:r w:rsidR="00C65EE0">
        <w:rPr>
          <w:rFonts w:eastAsia="MS Mincho"/>
          <w:lang w:eastAsia="ja-JP"/>
        </w:rPr>
        <w:t>the coordination committee</w:t>
      </w:r>
      <w:r w:rsidR="00A2372F" w:rsidRPr="00A2372F">
        <w:rPr>
          <w:rFonts w:eastAsia="MS Mincho"/>
          <w:lang w:eastAsia="ja-JP"/>
        </w:rPr>
        <w:t xml:space="preserve"> expressed his appreciations to all pa</w:t>
      </w:r>
      <w:r>
        <w:rPr>
          <w:rFonts w:eastAsia="MS Mincho"/>
          <w:lang w:eastAsia="ja-JP"/>
        </w:rPr>
        <w:t xml:space="preserve">rticipants and </w:t>
      </w:r>
      <w:r w:rsidR="00C65EE0">
        <w:rPr>
          <w:rFonts w:eastAsia="MS Mincho"/>
          <w:lang w:eastAsia="ja-JP"/>
        </w:rPr>
        <w:t>exhibitors of C&amp;I event. He</w:t>
      </w:r>
      <w:r w:rsidR="00A2372F" w:rsidRPr="00A2372F">
        <w:rPr>
          <w:rFonts w:eastAsia="MS Mincho"/>
          <w:lang w:eastAsia="ja-JP"/>
        </w:rPr>
        <w:t xml:space="preserve"> would like to say gratitude to </w:t>
      </w:r>
      <w:r w:rsidR="00C65EE0">
        <w:rPr>
          <w:rFonts w:eastAsia="MS Mincho"/>
          <w:lang w:eastAsia="ja-JP"/>
        </w:rPr>
        <w:t xml:space="preserve">member of coordination committee and </w:t>
      </w:r>
      <w:r w:rsidR="00A2372F" w:rsidRPr="00A2372F">
        <w:rPr>
          <w:rFonts w:eastAsia="MS Mincho"/>
          <w:lang w:eastAsia="ja-JP"/>
        </w:rPr>
        <w:t>APT secretariat for their support</w:t>
      </w:r>
      <w:r w:rsidR="00C65EE0">
        <w:rPr>
          <w:rFonts w:eastAsia="MS Mincho"/>
          <w:lang w:eastAsia="ja-JP"/>
        </w:rPr>
        <w:t xml:space="preserve"> as well</w:t>
      </w:r>
      <w:r w:rsidR="00A2372F" w:rsidRPr="00A2372F">
        <w:rPr>
          <w:rFonts w:eastAsia="MS Mincho"/>
          <w:lang w:eastAsia="ja-JP"/>
        </w:rPr>
        <w:t>.</w:t>
      </w:r>
    </w:p>
    <w:p w:rsidR="000F5678" w:rsidRDefault="000F5678" w:rsidP="00A2372F">
      <w:pPr>
        <w:autoSpaceDN w:val="0"/>
        <w:spacing w:before="120"/>
        <w:ind w:left="360"/>
        <w:rPr>
          <w:rFonts w:eastAsia="MS Mincho"/>
          <w:lang w:eastAsia="ja-JP"/>
        </w:rPr>
      </w:pPr>
    </w:p>
    <w:p w:rsidR="000F5678" w:rsidRDefault="000F5678" w:rsidP="00A2372F">
      <w:pPr>
        <w:autoSpaceDN w:val="0"/>
        <w:spacing w:before="120"/>
        <w:ind w:left="360"/>
        <w:rPr>
          <w:rFonts w:eastAsia="MS Mincho"/>
          <w:lang w:eastAsia="ja-JP"/>
        </w:rPr>
      </w:pPr>
    </w:p>
    <w:p w:rsidR="000F5678" w:rsidRDefault="000F5678" w:rsidP="000F5678">
      <w:pPr>
        <w:autoSpaceDN w:val="0"/>
        <w:spacing w:before="120"/>
        <w:jc w:val="center"/>
        <w:rPr>
          <w:rFonts w:eastAsia="MS Mincho"/>
          <w:lang w:eastAsia="ja-JP"/>
        </w:rPr>
      </w:pPr>
      <w:r>
        <w:rPr>
          <w:rFonts w:eastAsia="MS Mincho"/>
          <w:noProof/>
          <w:lang w:eastAsia="zh-CN"/>
        </w:rPr>
        <w:lastRenderedPageBreak/>
        <w:drawing>
          <wp:inline distT="0" distB="0" distL="0" distR="0" wp14:anchorId="22513A70" wp14:editId="213BA04C">
            <wp:extent cx="5029022" cy="37719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26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3641" cy="3790365"/>
                    </a:xfrm>
                    <a:prstGeom prst="rect">
                      <a:avLst/>
                    </a:prstGeom>
                  </pic:spPr>
                </pic:pic>
              </a:graphicData>
            </a:graphic>
          </wp:inline>
        </w:drawing>
      </w:r>
    </w:p>
    <w:p w:rsidR="000F5678" w:rsidRPr="000F5678" w:rsidRDefault="000F5678" w:rsidP="000F5678">
      <w:pPr>
        <w:autoSpaceDN w:val="0"/>
        <w:spacing w:before="120"/>
        <w:ind w:left="360"/>
        <w:jc w:val="center"/>
        <w:rPr>
          <w:rFonts w:eastAsia="MS Mincho"/>
          <w:b/>
          <w:lang w:eastAsia="ja-JP"/>
        </w:rPr>
      </w:pPr>
      <w:r>
        <w:rPr>
          <w:rFonts w:eastAsia="MS Mincho"/>
          <w:b/>
          <w:lang w:eastAsia="ja-JP"/>
        </w:rPr>
        <w:t>Workshop</w:t>
      </w:r>
    </w:p>
    <w:p w:rsidR="000F5678" w:rsidRPr="00A2372F" w:rsidRDefault="000F5678" w:rsidP="00A2372F">
      <w:pPr>
        <w:autoSpaceDN w:val="0"/>
        <w:spacing w:before="120"/>
        <w:ind w:left="360"/>
        <w:rPr>
          <w:rFonts w:eastAsia="MS Mincho"/>
          <w:lang w:eastAsia="ja-JP"/>
        </w:rPr>
      </w:pPr>
    </w:p>
    <w:p w:rsidR="00440D4D" w:rsidRDefault="000F5678" w:rsidP="000F5678">
      <w:pPr>
        <w:jc w:val="center"/>
        <w:rPr>
          <w:rFonts w:eastAsiaTheme="minorEastAsia"/>
          <w:lang w:eastAsia="ja-JP"/>
        </w:rPr>
      </w:pPr>
      <w:r>
        <w:rPr>
          <w:b/>
          <w:noProof/>
          <w:lang w:eastAsia="zh-CN"/>
        </w:rPr>
        <w:drawing>
          <wp:inline distT="0" distB="0" distL="0" distR="0" wp14:anchorId="3883443E" wp14:editId="1EDDD811">
            <wp:extent cx="5110299" cy="3832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26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4753" cy="3858701"/>
                    </a:xfrm>
                    <a:prstGeom prst="rect">
                      <a:avLst/>
                    </a:prstGeom>
                  </pic:spPr>
                </pic:pic>
              </a:graphicData>
            </a:graphic>
          </wp:inline>
        </w:drawing>
      </w:r>
    </w:p>
    <w:p w:rsidR="000F5678" w:rsidRPr="000F5678" w:rsidRDefault="000F5678" w:rsidP="000F5678">
      <w:pPr>
        <w:autoSpaceDN w:val="0"/>
        <w:spacing w:before="120"/>
        <w:ind w:left="360"/>
        <w:jc w:val="center"/>
        <w:rPr>
          <w:rFonts w:eastAsia="MS Mincho"/>
          <w:b/>
          <w:lang w:eastAsia="ja-JP"/>
        </w:rPr>
      </w:pPr>
      <w:r>
        <w:rPr>
          <w:rFonts w:eastAsia="MS Mincho"/>
          <w:b/>
          <w:lang w:eastAsia="ja-JP"/>
        </w:rPr>
        <w:t>S</w:t>
      </w:r>
      <w:r w:rsidRPr="000F5678">
        <w:rPr>
          <w:rFonts w:eastAsia="MS Mincho"/>
          <w:b/>
          <w:lang w:eastAsia="ja-JP"/>
        </w:rPr>
        <w:t>howcasing</w:t>
      </w:r>
    </w:p>
    <w:p w:rsidR="000F5678" w:rsidRDefault="000F5678" w:rsidP="000F5678">
      <w:pPr>
        <w:jc w:val="center"/>
        <w:rPr>
          <w:rFonts w:eastAsiaTheme="minorEastAsia"/>
          <w:lang w:eastAsia="ja-JP"/>
        </w:rPr>
      </w:pPr>
    </w:p>
    <w:p w:rsidR="003E40D5" w:rsidRDefault="003E40D5" w:rsidP="000F5678">
      <w:pPr>
        <w:jc w:val="center"/>
        <w:rPr>
          <w:rFonts w:eastAsiaTheme="minorEastAsia"/>
          <w:lang w:eastAsia="ja-JP"/>
        </w:rPr>
      </w:pPr>
    </w:p>
    <w:p w:rsidR="003E40D5" w:rsidRDefault="003E40D5" w:rsidP="000F5678">
      <w:pPr>
        <w:jc w:val="center"/>
        <w:rPr>
          <w:rFonts w:eastAsiaTheme="minorEastAsia"/>
          <w:lang w:eastAsia="ja-JP"/>
        </w:rPr>
      </w:pPr>
    </w:p>
    <w:p w:rsidR="003E40D5" w:rsidRDefault="003E40D5" w:rsidP="000F5678">
      <w:pPr>
        <w:jc w:val="center"/>
        <w:rPr>
          <w:rFonts w:eastAsiaTheme="minorEastAsia"/>
          <w:lang w:eastAsia="ja-JP"/>
        </w:rPr>
      </w:pPr>
    </w:p>
    <w:p w:rsidR="003E40D5" w:rsidRDefault="003E40D5" w:rsidP="000F5678">
      <w:pPr>
        <w:jc w:val="center"/>
        <w:rPr>
          <w:rFonts w:eastAsiaTheme="minorEastAsia"/>
          <w:lang w:eastAsia="ja-JP"/>
        </w:rPr>
      </w:pPr>
      <w:r>
        <w:rPr>
          <w:rFonts w:eastAsiaTheme="minorEastAsia"/>
          <w:lang w:eastAsia="ja-JP"/>
        </w:rPr>
        <w:lastRenderedPageBreak/>
        <w:t xml:space="preserve">Annex </w:t>
      </w:r>
    </w:p>
    <w:p w:rsidR="006502EC" w:rsidRDefault="006502EC" w:rsidP="000F5678">
      <w:pPr>
        <w:jc w:val="center"/>
        <w:rPr>
          <w:rFonts w:eastAsiaTheme="minorEastAsia"/>
          <w:lang w:eastAsia="ja-JP"/>
        </w:rPr>
      </w:pPr>
      <w:r w:rsidRPr="006502EC">
        <w:rPr>
          <w:rFonts w:eastAsiaTheme="minorEastAsia"/>
          <w:lang w:eastAsia="ja-JP"/>
        </w:rPr>
        <w:t xml:space="preserve">SUMMARY OF THE RESPONSES FOR THE QUESTIONAIRE </w:t>
      </w:r>
    </w:p>
    <w:p w:rsidR="006502EC" w:rsidRDefault="006502EC" w:rsidP="000F5678">
      <w:pPr>
        <w:jc w:val="center"/>
        <w:rPr>
          <w:rFonts w:eastAsiaTheme="minorEastAsia"/>
          <w:lang w:eastAsia="ja-JP"/>
        </w:rPr>
      </w:pPr>
      <w:r w:rsidRPr="006502EC">
        <w:rPr>
          <w:rFonts w:eastAsiaTheme="minorEastAsia"/>
          <w:lang w:eastAsia="ja-JP"/>
        </w:rPr>
        <w:t>TO EVALUATE THE C&amp;I EVENT 2015</w:t>
      </w:r>
    </w:p>
    <w:p w:rsidR="006502EC" w:rsidRDefault="006502EC" w:rsidP="000F5678">
      <w:pPr>
        <w:jc w:val="center"/>
        <w:rPr>
          <w:rFonts w:eastAsiaTheme="minorEastAsia"/>
          <w:lang w:eastAsia="ja-JP"/>
        </w:rPr>
      </w:pPr>
    </w:p>
    <w:p w:rsidR="006502EC" w:rsidRDefault="006502EC" w:rsidP="000F5678">
      <w:pPr>
        <w:jc w:val="center"/>
        <w:rPr>
          <w:rFonts w:eastAsiaTheme="minorEastAsia"/>
          <w:lang w:eastAsia="ja-JP"/>
        </w:rPr>
      </w:pPr>
      <w:r>
        <w:rPr>
          <w:rFonts w:eastAsiaTheme="minorEastAsia"/>
          <w:lang w:eastAsia="ja-JP"/>
        </w:rPr>
        <w:object w:dxaOrig="1513" w:dyaOrig="1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2.45pt" o:ole="">
            <v:imagedata r:id="rId21" o:title=""/>
          </v:shape>
          <o:OLEObject Type="Embed" ProgID="Excel.Sheet.12" ShapeID="_x0000_i1025" DrawAspect="Icon" ObjectID="_1505030982" r:id="rId22"/>
        </w:object>
      </w:r>
    </w:p>
    <w:sectPr w:rsidR="006502EC" w:rsidSect="00DB0A68">
      <w:headerReference w:type="default" r:id="rId23"/>
      <w:footerReference w:type="even" r:id="rId24"/>
      <w:footerReference w:type="default" r:id="rId25"/>
      <w:footerReference w:type="first" r:id="rId26"/>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EA7" w:rsidRDefault="00CA2EA7">
      <w:r>
        <w:separator/>
      </w:r>
    </w:p>
  </w:endnote>
  <w:endnote w:type="continuationSeparator" w:id="0">
    <w:p w:rsidR="00CA2EA7" w:rsidRDefault="00CA2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altName w:val="Malgun Gothic"/>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altName w:val="Arial Unicode MS"/>
    <w:panose1 w:val="020B0600070205080204"/>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693B" w:rsidRDefault="0097693B"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Default="002C7EA9" w:rsidP="002C7EA9">
    <w:pPr>
      <w:pStyle w:val="Footer"/>
      <w:ind w:right="360"/>
      <w:jc w:val="right"/>
      <w:rPr>
        <w:rStyle w:val="PageNumber"/>
      </w:rPr>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5F7831">
      <w:rPr>
        <w:rStyle w:val="PageNumber"/>
        <w:noProof/>
      </w:rPr>
      <w:t>15</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5F7831">
      <w:rPr>
        <w:rStyle w:val="PageNumber"/>
        <w:noProof/>
      </w:rPr>
      <w:t>15</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0" w:type="dxa"/>
      <w:jc w:val="center"/>
      <w:tblLayout w:type="fixed"/>
      <w:tblCellMar>
        <w:left w:w="57" w:type="dxa"/>
        <w:right w:w="57" w:type="dxa"/>
      </w:tblCellMar>
      <w:tblLook w:val="04A0" w:firstRow="1" w:lastRow="0" w:firstColumn="1" w:lastColumn="0" w:noHBand="0" w:noVBand="1"/>
    </w:tblPr>
    <w:tblGrid>
      <w:gridCol w:w="1618"/>
      <w:gridCol w:w="4397"/>
      <w:gridCol w:w="3915"/>
    </w:tblGrid>
    <w:tr w:rsidR="008F276B" w:rsidTr="008F276B">
      <w:trPr>
        <w:cantSplit/>
        <w:trHeight w:val="204"/>
        <w:jc w:val="center"/>
      </w:trPr>
      <w:tc>
        <w:tcPr>
          <w:tcW w:w="1617" w:type="dxa"/>
          <w:tcBorders>
            <w:top w:val="single" w:sz="12" w:space="0" w:color="auto"/>
            <w:left w:val="nil"/>
            <w:bottom w:val="nil"/>
            <w:right w:val="nil"/>
          </w:tcBorders>
          <w:hideMark/>
        </w:tcPr>
        <w:p w:rsidR="008F276B" w:rsidRDefault="008F276B">
          <w:pPr>
            <w:rPr>
              <w:b/>
              <w:bCs/>
            </w:rPr>
          </w:pPr>
          <w:r>
            <w:rPr>
              <w:b/>
              <w:bCs/>
            </w:rPr>
            <w:t>Contact:</w:t>
          </w:r>
        </w:p>
      </w:tc>
      <w:tc>
        <w:tcPr>
          <w:tcW w:w="4394" w:type="dxa"/>
          <w:tcBorders>
            <w:top w:val="single" w:sz="12" w:space="0" w:color="auto"/>
            <w:left w:val="nil"/>
            <w:bottom w:val="nil"/>
            <w:right w:val="nil"/>
          </w:tcBorders>
          <w:hideMark/>
        </w:tcPr>
        <w:p w:rsidR="008F276B" w:rsidRDefault="008F276B">
          <w:pPr>
            <w:pStyle w:val="Footer"/>
            <w:tabs>
              <w:tab w:val="right" w:pos="4212"/>
            </w:tabs>
            <w:rPr>
              <w:rFonts w:eastAsia="Batang"/>
              <w:szCs w:val="22"/>
            </w:rPr>
          </w:pPr>
          <w:r>
            <w:rPr>
              <w:rFonts w:eastAsia="Batang"/>
              <w:szCs w:val="22"/>
            </w:rPr>
            <w:t>Kaoru KENYOSHI (</w:t>
          </w:r>
          <w:r>
            <w:rPr>
              <w:rFonts w:eastAsia="Times New Roman"/>
              <w:szCs w:val="22"/>
              <w:lang w:eastAsia="ja-JP"/>
            </w:rPr>
            <w:t>C</w:t>
          </w:r>
          <w:r>
            <w:rPr>
              <w:rFonts w:eastAsia="Batang"/>
              <w:szCs w:val="22"/>
            </w:rPr>
            <w:t>hairman)</w:t>
          </w:r>
        </w:p>
        <w:p w:rsidR="008F276B" w:rsidRDefault="008F276B">
          <w:pPr>
            <w:pStyle w:val="Footer"/>
            <w:tabs>
              <w:tab w:val="right" w:pos="4212"/>
            </w:tabs>
            <w:rPr>
              <w:rFonts w:eastAsia="Times New Roman"/>
              <w:szCs w:val="22"/>
              <w:lang w:eastAsia="ja-JP"/>
            </w:rPr>
          </w:pPr>
          <w:r>
            <w:rPr>
              <w:rFonts w:eastAsia="Batang"/>
              <w:szCs w:val="22"/>
            </w:rPr>
            <w:t>NEC</w:t>
          </w:r>
          <w:r>
            <w:rPr>
              <w:rFonts w:eastAsia="Times New Roman"/>
              <w:szCs w:val="22"/>
              <w:lang w:eastAsia="ja-JP"/>
            </w:rPr>
            <w:t xml:space="preserve"> Corporation</w:t>
          </w:r>
        </w:p>
        <w:p w:rsidR="008F276B" w:rsidRDefault="008F276B" w:rsidP="00610096">
          <w:pPr>
            <w:pStyle w:val="Equation"/>
            <w:tabs>
              <w:tab w:val="left" w:pos="1191"/>
              <w:tab w:val="left" w:pos="1588"/>
              <w:tab w:val="left" w:pos="1985"/>
            </w:tabs>
            <w:spacing w:beforeLines="0" w:before="0" w:line="240" w:lineRule="auto"/>
            <w:rPr>
              <w:rFonts w:eastAsiaTheme="minorEastAsia"/>
              <w:lang w:eastAsia="ja-JP"/>
            </w:rPr>
          </w:pPr>
          <w:r>
            <w:rPr>
              <w:rFonts w:eastAsia="Batang"/>
            </w:rPr>
            <w:t>Japan</w:t>
          </w:r>
        </w:p>
        <w:p w:rsidR="008F276B" w:rsidRDefault="008F276B" w:rsidP="00610096">
          <w:pPr>
            <w:pStyle w:val="Equation"/>
            <w:tabs>
              <w:tab w:val="left" w:pos="1191"/>
              <w:tab w:val="left" w:pos="1588"/>
              <w:tab w:val="left" w:pos="1985"/>
            </w:tabs>
            <w:spacing w:beforeLines="0" w:before="0" w:line="240" w:lineRule="auto"/>
            <w:rPr>
              <w:rFonts w:eastAsia="Batang"/>
            </w:rPr>
          </w:pPr>
        </w:p>
      </w:tc>
      <w:tc>
        <w:tcPr>
          <w:tcW w:w="3912" w:type="dxa"/>
          <w:tcBorders>
            <w:top w:val="single" w:sz="12" w:space="0" w:color="auto"/>
            <w:left w:val="nil"/>
            <w:bottom w:val="nil"/>
            <w:right w:val="nil"/>
          </w:tcBorders>
        </w:tcPr>
        <w:p w:rsidR="008F276B" w:rsidRDefault="008F276B">
          <w:pPr>
            <w:rPr>
              <w:rFonts w:eastAsia="Batang"/>
              <w:color w:val="000000"/>
              <w:szCs w:val="22"/>
              <w:lang w:val="fr-FR"/>
            </w:rPr>
          </w:pPr>
          <w:r>
            <w:t xml:space="preserve">Email: </w:t>
          </w:r>
          <w:hyperlink r:id="rId1" w:history="1">
            <w:r>
              <w:rPr>
                <w:rStyle w:val="Hyperlink"/>
                <w:rFonts w:eastAsia="Batang"/>
                <w:szCs w:val="22"/>
                <w:lang w:val="fr-FR"/>
              </w:rPr>
              <w:t>kaoru.kenyoshi@emea.nec.com</w:t>
            </w:r>
          </w:hyperlink>
          <w:r>
            <w:rPr>
              <w:rFonts w:eastAsia="Batang"/>
              <w:color w:val="000000"/>
              <w:szCs w:val="22"/>
              <w:lang w:val="fr-FR"/>
            </w:rPr>
            <w:t xml:space="preserve"> </w:t>
          </w:r>
        </w:p>
        <w:p w:rsidR="008F276B" w:rsidRDefault="008F276B">
          <w:pPr>
            <w:rPr>
              <w:rFonts w:eastAsia="Batang"/>
              <w:color w:val="000000"/>
              <w:szCs w:val="22"/>
              <w:lang w:val="fr-FR"/>
            </w:rPr>
          </w:pPr>
        </w:p>
        <w:p w:rsidR="008F276B" w:rsidRDefault="008F276B">
          <w:pPr>
            <w:rPr>
              <w:rFonts w:eastAsiaTheme="minorEastAsia"/>
              <w:color w:val="000000"/>
              <w:szCs w:val="22"/>
              <w:lang w:val="fr-FR" w:eastAsia="ja-JP"/>
            </w:rPr>
          </w:pPr>
        </w:p>
        <w:p w:rsidR="00610096" w:rsidRPr="00610096" w:rsidRDefault="00610096">
          <w:pPr>
            <w:rPr>
              <w:rFonts w:eastAsiaTheme="minorEastAsia"/>
              <w:color w:val="000000"/>
              <w:szCs w:val="22"/>
              <w:lang w:val="fr-FR" w:eastAsia="ja-JP"/>
            </w:rPr>
          </w:pPr>
        </w:p>
        <w:p w:rsidR="008F276B" w:rsidRDefault="008F276B">
          <w:pPr>
            <w:rPr>
              <w:lang w:eastAsia="ja-JP"/>
            </w:rPr>
          </w:pPr>
        </w:p>
      </w:tc>
    </w:tr>
  </w:tbl>
  <w:p w:rsidR="0097693B" w:rsidRDefault="00976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EA7" w:rsidRDefault="00CA2EA7">
      <w:r>
        <w:separator/>
      </w:r>
    </w:p>
  </w:footnote>
  <w:footnote w:type="continuationSeparator" w:id="0">
    <w:p w:rsidR="00CA2EA7" w:rsidRDefault="00CA2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93B" w:rsidRPr="00F36A9D" w:rsidRDefault="0097693B" w:rsidP="00C15633">
    <w:pPr>
      <w:pStyle w:val="Header"/>
      <w:tabs>
        <w:tab w:val="center" w:pos="4763"/>
        <w:tab w:val="left" w:pos="5820"/>
      </w:tabs>
      <w:rPr>
        <w:rFonts w:eastAsiaTheme="minorEastAsia"/>
        <w:lang w:eastAsia="ja-JP"/>
      </w:rPr>
    </w:pPr>
    <w:r>
      <w:rPr>
        <w:lang w:eastAsia="ko-KR"/>
      </w:rPr>
      <w:tab/>
    </w:r>
    <w:r w:rsidR="00D53308">
      <w:rPr>
        <w:lang w:eastAsia="ko-KR"/>
      </w:rPr>
      <w:t>ASTAP-2</w:t>
    </w:r>
    <w:r w:rsidR="00C34416">
      <w:rPr>
        <w:rFonts w:eastAsiaTheme="minorEastAsia" w:hint="eastAsia"/>
        <w:lang w:eastAsia="ja-JP"/>
      </w:rPr>
      <w:t>6</w:t>
    </w:r>
    <w:r w:rsidR="003578AB">
      <w:rPr>
        <w:rFonts w:hint="eastAsia"/>
        <w:lang w:eastAsia="ko-KR"/>
      </w:rPr>
      <w:t>/</w:t>
    </w:r>
    <w:r w:rsidR="000B2645">
      <w:rPr>
        <w:lang w:eastAsia="ko-KR"/>
      </w:rPr>
      <w:t>OUT</w:t>
    </w:r>
    <w:r w:rsidR="00F36A9D">
      <w:rPr>
        <w:lang w:eastAsia="ko-KR"/>
      </w:rPr>
      <w:t>-</w:t>
    </w:r>
    <w:r w:rsidR="000B2645">
      <w:rPr>
        <w:lang w:eastAsia="ko-KR"/>
      </w:rPr>
      <w:t>18</w:t>
    </w:r>
  </w:p>
  <w:p w:rsidR="0097693B" w:rsidRDefault="0097693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A2823"/>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65354C6"/>
    <w:multiLevelType w:val="hybridMultilevel"/>
    <w:tmpl w:val="DB1652E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8F02282"/>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0F7A77DD"/>
    <w:multiLevelType w:val="hybridMultilevel"/>
    <w:tmpl w:val="3C7CB742"/>
    <w:lvl w:ilvl="0" w:tplc="382C60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A466E3"/>
    <w:multiLevelType w:val="hybridMultilevel"/>
    <w:tmpl w:val="886865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1D9591C"/>
    <w:multiLevelType w:val="hybridMultilevel"/>
    <w:tmpl w:val="90DA6372"/>
    <w:lvl w:ilvl="0" w:tplc="9208A8E4">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747AC3"/>
    <w:multiLevelType w:val="hybridMultilevel"/>
    <w:tmpl w:val="CCE032B6"/>
    <w:lvl w:ilvl="0" w:tplc="9208A8E4">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14B7591D"/>
    <w:multiLevelType w:val="hybridMultilevel"/>
    <w:tmpl w:val="C7B85528"/>
    <w:lvl w:ilvl="0" w:tplc="382C605A">
      <w:start w:val="1"/>
      <w:numFmt w:val="bullet"/>
      <w:lvlText w:val=""/>
      <w:lvlJc w:val="left"/>
      <w:pPr>
        <w:ind w:left="360" w:hanging="360"/>
      </w:pPr>
      <w:rPr>
        <w:rFonts w:ascii="Symbol" w:hAnsi="Symbol" w:hint="default"/>
      </w:rPr>
    </w:lvl>
    <w:lvl w:ilvl="1" w:tplc="08090017">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C74604"/>
    <w:multiLevelType w:val="hybridMultilevel"/>
    <w:tmpl w:val="DD3E262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B5027F"/>
    <w:multiLevelType w:val="hybridMultilevel"/>
    <w:tmpl w:val="0100D95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7890638"/>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18A811A4"/>
    <w:multiLevelType w:val="hybridMultilevel"/>
    <w:tmpl w:val="259C5684"/>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A08675A"/>
    <w:multiLevelType w:val="hybridMultilevel"/>
    <w:tmpl w:val="67FCB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A6097C"/>
    <w:multiLevelType w:val="multilevel"/>
    <w:tmpl w:val="08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17" w15:restartNumberingAfterBreak="0">
    <w:nsid w:val="1B3B5270"/>
    <w:multiLevelType w:val="hybridMultilevel"/>
    <w:tmpl w:val="BC546E1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0" w15:restartNumberingAfterBreak="0">
    <w:nsid w:val="1E485CAC"/>
    <w:multiLevelType w:val="multilevel"/>
    <w:tmpl w:val="DDB4C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F315EFC"/>
    <w:multiLevelType w:val="hybridMultilevel"/>
    <w:tmpl w:val="65443940"/>
    <w:lvl w:ilvl="0" w:tplc="DC006578">
      <w:numFmt w:val="bullet"/>
      <w:lvlText w:val="-"/>
      <w:lvlJc w:val="left"/>
      <w:pPr>
        <w:ind w:left="1080" w:hanging="360"/>
      </w:pPr>
      <w:rPr>
        <w:rFonts w:ascii="Times New Roman" w:eastAsia="Malgun Gothic"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283A04E7"/>
    <w:multiLevelType w:val="hybridMultilevel"/>
    <w:tmpl w:val="95CAEC06"/>
    <w:lvl w:ilvl="0" w:tplc="52E6D740">
      <w:start w:val="1"/>
      <w:numFmt w:val="decimal"/>
      <w:lvlText w:val="%1."/>
      <w:lvlJc w:val="left"/>
      <w:pPr>
        <w:tabs>
          <w:tab w:val="num" w:pos="720"/>
        </w:tabs>
        <w:ind w:left="720" w:hanging="360"/>
      </w:pPr>
    </w:lvl>
    <w:lvl w:ilvl="1" w:tplc="4F387558">
      <w:start w:val="1"/>
      <w:numFmt w:val="lowerLetter"/>
      <w:lvlText w:val="%2)"/>
      <w:lvlJc w:val="left"/>
      <w:pPr>
        <w:tabs>
          <w:tab w:val="num" w:pos="1440"/>
        </w:tabs>
        <w:ind w:left="1440" w:hanging="360"/>
      </w:pPr>
    </w:lvl>
    <w:lvl w:ilvl="2" w:tplc="19BE02A4" w:tentative="1">
      <w:start w:val="1"/>
      <w:numFmt w:val="decimal"/>
      <w:lvlText w:val="%3."/>
      <w:lvlJc w:val="left"/>
      <w:pPr>
        <w:tabs>
          <w:tab w:val="num" w:pos="2160"/>
        </w:tabs>
        <w:ind w:left="2160" w:hanging="360"/>
      </w:pPr>
    </w:lvl>
    <w:lvl w:ilvl="3" w:tplc="85AA462E" w:tentative="1">
      <w:start w:val="1"/>
      <w:numFmt w:val="decimal"/>
      <w:lvlText w:val="%4."/>
      <w:lvlJc w:val="left"/>
      <w:pPr>
        <w:tabs>
          <w:tab w:val="num" w:pos="2880"/>
        </w:tabs>
        <w:ind w:left="2880" w:hanging="360"/>
      </w:pPr>
    </w:lvl>
    <w:lvl w:ilvl="4" w:tplc="D77C634C" w:tentative="1">
      <w:start w:val="1"/>
      <w:numFmt w:val="decimal"/>
      <w:lvlText w:val="%5."/>
      <w:lvlJc w:val="left"/>
      <w:pPr>
        <w:tabs>
          <w:tab w:val="num" w:pos="3600"/>
        </w:tabs>
        <w:ind w:left="3600" w:hanging="360"/>
      </w:pPr>
    </w:lvl>
    <w:lvl w:ilvl="5" w:tplc="DF50BC82" w:tentative="1">
      <w:start w:val="1"/>
      <w:numFmt w:val="decimal"/>
      <w:lvlText w:val="%6."/>
      <w:lvlJc w:val="left"/>
      <w:pPr>
        <w:tabs>
          <w:tab w:val="num" w:pos="4320"/>
        </w:tabs>
        <w:ind w:left="4320" w:hanging="360"/>
      </w:pPr>
    </w:lvl>
    <w:lvl w:ilvl="6" w:tplc="3EACD35C" w:tentative="1">
      <w:start w:val="1"/>
      <w:numFmt w:val="decimal"/>
      <w:lvlText w:val="%7."/>
      <w:lvlJc w:val="left"/>
      <w:pPr>
        <w:tabs>
          <w:tab w:val="num" w:pos="5040"/>
        </w:tabs>
        <w:ind w:left="5040" w:hanging="360"/>
      </w:pPr>
    </w:lvl>
    <w:lvl w:ilvl="7" w:tplc="1F0A1C1E" w:tentative="1">
      <w:start w:val="1"/>
      <w:numFmt w:val="decimal"/>
      <w:lvlText w:val="%8."/>
      <w:lvlJc w:val="left"/>
      <w:pPr>
        <w:tabs>
          <w:tab w:val="num" w:pos="5760"/>
        </w:tabs>
        <w:ind w:left="5760" w:hanging="360"/>
      </w:pPr>
    </w:lvl>
    <w:lvl w:ilvl="8" w:tplc="FCDAD334" w:tentative="1">
      <w:start w:val="1"/>
      <w:numFmt w:val="decimal"/>
      <w:lvlText w:val="%9."/>
      <w:lvlJc w:val="left"/>
      <w:pPr>
        <w:tabs>
          <w:tab w:val="num" w:pos="6480"/>
        </w:tabs>
        <w:ind w:left="6480" w:hanging="360"/>
      </w:pPr>
    </w:lvl>
  </w:abstractNum>
  <w:abstractNum w:abstractNumId="25" w15:restartNumberingAfterBreak="0">
    <w:nsid w:val="2D8331F7"/>
    <w:multiLevelType w:val="hybridMultilevel"/>
    <w:tmpl w:val="29840F56"/>
    <w:lvl w:ilvl="0" w:tplc="DC006578">
      <w:numFmt w:val="bullet"/>
      <w:lvlText w:val="-"/>
      <w:lvlJc w:val="left"/>
      <w:pPr>
        <w:ind w:left="1145" w:hanging="360"/>
      </w:pPr>
      <w:rPr>
        <w:rFonts w:ascii="Times New Roman" w:eastAsia="Malgun Gothic" w:hAnsi="Times New Roman" w:cs="Times New Roman"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6" w15:restartNumberingAfterBreak="0">
    <w:nsid w:val="2FC003DC"/>
    <w:multiLevelType w:val="hybridMultilevel"/>
    <w:tmpl w:val="5C102D64"/>
    <w:lvl w:ilvl="0" w:tplc="08090011">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8" w15:restartNumberingAfterBreak="0">
    <w:nsid w:val="316C4B8E"/>
    <w:multiLevelType w:val="hybridMultilevel"/>
    <w:tmpl w:val="7AD4BC32"/>
    <w:lvl w:ilvl="0" w:tplc="559EFD5E">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1" w15:restartNumberingAfterBreak="0">
    <w:nsid w:val="3E91018D"/>
    <w:multiLevelType w:val="hybridMultilevel"/>
    <w:tmpl w:val="5044941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8F4E61"/>
    <w:multiLevelType w:val="hybridMultilevel"/>
    <w:tmpl w:val="48206BDE"/>
    <w:lvl w:ilvl="0" w:tplc="08090017">
      <w:start w:val="1"/>
      <w:numFmt w:val="lowerLetter"/>
      <w:lvlText w:val="%1)"/>
      <w:lvlJc w:val="left"/>
      <w:pPr>
        <w:ind w:left="360" w:hanging="360"/>
      </w:pPr>
      <w:rPr>
        <w:rFont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33" w15:restartNumberingAfterBreak="0">
    <w:nsid w:val="49EC2F42"/>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15:restartNumberingAfterBreak="0">
    <w:nsid w:val="4A18342F"/>
    <w:multiLevelType w:val="hybridMultilevel"/>
    <w:tmpl w:val="6CEAAAE6"/>
    <w:lvl w:ilvl="0" w:tplc="382C605A">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5" w15:restartNumberingAfterBreak="0">
    <w:nsid w:val="4D003DB6"/>
    <w:multiLevelType w:val="hybridMultilevel"/>
    <w:tmpl w:val="1576C650"/>
    <w:lvl w:ilvl="0" w:tplc="DC00657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36" w15:restartNumberingAfterBreak="0">
    <w:nsid w:val="504D6146"/>
    <w:multiLevelType w:val="hybridMultilevel"/>
    <w:tmpl w:val="11AC6162"/>
    <w:lvl w:ilvl="0" w:tplc="4809000F">
      <w:start w:val="4"/>
      <w:numFmt w:val="bullet"/>
      <w:lvlText w:val="-"/>
      <w:lvlJc w:val="left"/>
      <w:pPr>
        <w:ind w:left="840" w:hanging="420"/>
      </w:pPr>
      <w:rPr>
        <w:rFonts w:ascii="Times New Roman" w:eastAsia="MS Mincho" w:hAnsi="Times New Roman" w:cs="Times New Roman"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7" w15:restartNumberingAfterBreak="0">
    <w:nsid w:val="51043DF6"/>
    <w:multiLevelType w:val="hybridMultilevel"/>
    <w:tmpl w:val="0100D95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3B34815"/>
    <w:multiLevelType w:val="multilevel"/>
    <w:tmpl w:val="48B6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1C7B73"/>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15:restartNumberingAfterBreak="0">
    <w:nsid w:val="62FE63E7"/>
    <w:multiLevelType w:val="hybridMultilevel"/>
    <w:tmpl w:val="DB26FD22"/>
    <w:lvl w:ilvl="0" w:tplc="DC006578">
      <w:numFmt w:val="bullet"/>
      <w:lvlText w:val="-"/>
      <w:lvlJc w:val="left"/>
      <w:pPr>
        <w:ind w:left="360" w:hanging="360"/>
      </w:pPr>
      <w:rPr>
        <w:rFonts w:ascii="Times New Roman" w:eastAsia="Malgun Gothic"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987849"/>
    <w:multiLevelType w:val="hybridMultilevel"/>
    <w:tmpl w:val="91329E2E"/>
    <w:lvl w:ilvl="0" w:tplc="52F04F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E53C2F"/>
    <w:multiLevelType w:val="hybridMultilevel"/>
    <w:tmpl w:val="152810CA"/>
    <w:lvl w:ilvl="0" w:tplc="88F6BE14">
      <w:start w:val="1"/>
      <w:numFmt w:val="bullet"/>
      <w:lvlText w:val="•"/>
      <w:lvlJc w:val="left"/>
      <w:pPr>
        <w:tabs>
          <w:tab w:val="num" w:pos="720"/>
        </w:tabs>
        <w:ind w:left="720" w:hanging="360"/>
      </w:pPr>
      <w:rPr>
        <w:rFonts w:ascii="Arial" w:hAnsi="Arial" w:hint="default"/>
      </w:rPr>
    </w:lvl>
    <w:lvl w:ilvl="1" w:tplc="9BD00F30" w:tentative="1">
      <w:start w:val="1"/>
      <w:numFmt w:val="bullet"/>
      <w:lvlText w:val="•"/>
      <w:lvlJc w:val="left"/>
      <w:pPr>
        <w:tabs>
          <w:tab w:val="num" w:pos="1440"/>
        </w:tabs>
        <w:ind w:left="1440" w:hanging="360"/>
      </w:pPr>
      <w:rPr>
        <w:rFonts w:ascii="Arial" w:hAnsi="Arial" w:hint="default"/>
      </w:rPr>
    </w:lvl>
    <w:lvl w:ilvl="2" w:tplc="19C6306A" w:tentative="1">
      <w:start w:val="1"/>
      <w:numFmt w:val="bullet"/>
      <w:lvlText w:val="•"/>
      <w:lvlJc w:val="left"/>
      <w:pPr>
        <w:tabs>
          <w:tab w:val="num" w:pos="2160"/>
        </w:tabs>
        <w:ind w:left="2160" w:hanging="360"/>
      </w:pPr>
      <w:rPr>
        <w:rFonts w:ascii="Arial" w:hAnsi="Arial" w:hint="default"/>
      </w:rPr>
    </w:lvl>
    <w:lvl w:ilvl="3" w:tplc="B7DABB60" w:tentative="1">
      <w:start w:val="1"/>
      <w:numFmt w:val="bullet"/>
      <w:lvlText w:val="•"/>
      <w:lvlJc w:val="left"/>
      <w:pPr>
        <w:tabs>
          <w:tab w:val="num" w:pos="2880"/>
        </w:tabs>
        <w:ind w:left="2880" w:hanging="360"/>
      </w:pPr>
      <w:rPr>
        <w:rFonts w:ascii="Arial" w:hAnsi="Arial" w:hint="default"/>
      </w:rPr>
    </w:lvl>
    <w:lvl w:ilvl="4" w:tplc="050CEB56" w:tentative="1">
      <w:start w:val="1"/>
      <w:numFmt w:val="bullet"/>
      <w:lvlText w:val="•"/>
      <w:lvlJc w:val="left"/>
      <w:pPr>
        <w:tabs>
          <w:tab w:val="num" w:pos="3600"/>
        </w:tabs>
        <w:ind w:left="3600" w:hanging="360"/>
      </w:pPr>
      <w:rPr>
        <w:rFonts w:ascii="Arial" w:hAnsi="Arial" w:hint="default"/>
      </w:rPr>
    </w:lvl>
    <w:lvl w:ilvl="5" w:tplc="F45C2E18" w:tentative="1">
      <w:start w:val="1"/>
      <w:numFmt w:val="bullet"/>
      <w:lvlText w:val="•"/>
      <w:lvlJc w:val="left"/>
      <w:pPr>
        <w:tabs>
          <w:tab w:val="num" w:pos="4320"/>
        </w:tabs>
        <w:ind w:left="4320" w:hanging="360"/>
      </w:pPr>
      <w:rPr>
        <w:rFonts w:ascii="Arial" w:hAnsi="Arial" w:hint="default"/>
      </w:rPr>
    </w:lvl>
    <w:lvl w:ilvl="6" w:tplc="C8C6DED6" w:tentative="1">
      <w:start w:val="1"/>
      <w:numFmt w:val="bullet"/>
      <w:lvlText w:val="•"/>
      <w:lvlJc w:val="left"/>
      <w:pPr>
        <w:tabs>
          <w:tab w:val="num" w:pos="5040"/>
        </w:tabs>
        <w:ind w:left="5040" w:hanging="360"/>
      </w:pPr>
      <w:rPr>
        <w:rFonts w:ascii="Arial" w:hAnsi="Arial" w:hint="default"/>
      </w:rPr>
    </w:lvl>
    <w:lvl w:ilvl="7" w:tplc="60C00034" w:tentative="1">
      <w:start w:val="1"/>
      <w:numFmt w:val="bullet"/>
      <w:lvlText w:val="•"/>
      <w:lvlJc w:val="left"/>
      <w:pPr>
        <w:tabs>
          <w:tab w:val="num" w:pos="5760"/>
        </w:tabs>
        <w:ind w:left="5760" w:hanging="360"/>
      </w:pPr>
      <w:rPr>
        <w:rFonts w:ascii="Arial" w:hAnsi="Arial" w:hint="default"/>
      </w:rPr>
    </w:lvl>
    <w:lvl w:ilvl="8" w:tplc="0926365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C5F50F2"/>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79CF4B6B"/>
    <w:multiLevelType w:val="hybridMultilevel"/>
    <w:tmpl w:val="F6A6CBB8"/>
    <w:lvl w:ilvl="0" w:tplc="C99AC4F8">
      <w:start w:val="1"/>
      <w:numFmt w:val="bullet"/>
      <w:lvlText w:val="•"/>
      <w:lvlJc w:val="left"/>
      <w:pPr>
        <w:tabs>
          <w:tab w:val="num" w:pos="720"/>
        </w:tabs>
        <w:ind w:left="720" w:hanging="360"/>
      </w:pPr>
      <w:rPr>
        <w:rFonts w:ascii="Arial" w:hAnsi="Arial" w:hint="default"/>
      </w:rPr>
    </w:lvl>
    <w:lvl w:ilvl="1" w:tplc="DCB83610">
      <w:start w:val="1"/>
      <w:numFmt w:val="lowerLetter"/>
      <w:lvlText w:val="%2)"/>
      <w:lvlJc w:val="left"/>
      <w:pPr>
        <w:tabs>
          <w:tab w:val="num" w:pos="1440"/>
        </w:tabs>
        <w:ind w:left="1440" w:hanging="360"/>
      </w:pPr>
    </w:lvl>
    <w:lvl w:ilvl="2" w:tplc="5072B80E" w:tentative="1">
      <w:start w:val="1"/>
      <w:numFmt w:val="bullet"/>
      <w:lvlText w:val="•"/>
      <w:lvlJc w:val="left"/>
      <w:pPr>
        <w:tabs>
          <w:tab w:val="num" w:pos="2160"/>
        </w:tabs>
        <w:ind w:left="2160" w:hanging="360"/>
      </w:pPr>
      <w:rPr>
        <w:rFonts w:ascii="Arial" w:hAnsi="Arial" w:hint="default"/>
      </w:rPr>
    </w:lvl>
    <w:lvl w:ilvl="3" w:tplc="9B1281C8" w:tentative="1">
      <w:start w:val="1"/>
      <w:numFmt w:val="bullet"/>
      <w:lvlText w:val="•"/>
      <w:lvlJc w:val="left"/>
      <w:pPr>
        <w:tabs>
          <w:tab w:val="num" w:pos="2880"/>
        </w:tabs>
        <w:ind w:left="2880" w:hanging="360"/>
      </w:pPr>
      <w:rPr>
        <w:rFonts w:ascii="Arial" w:hAnsi="Arial" w:hint="default"/>
      </w:rPr>
    </w:lvl>
    <w:lvl w:ilvl="4" w:tplc="45CAC502" w:tentative="1">
      <w:start w:val="1"/>
      <w:numFmt w:val="bullet"/>
      <w:lvlText w:val="•"/>
      <w:lvlJc w:val="left"/>
      <w:pPr>
        <w:tabs>
          <w:tab w:val="num" w:pos="3600"/>
        </w:tabs>
        <w:ind w:left="3600" w:hanging="360"/>
      </w:pPr>
      <w:rPr>
        <w:rFonts w:ascii="Arial" w:hAnsi="Arial" w:hint="default"/>
      </w:rPr>
    </w:lvl>
    <w:lvl w:ilvl="5" w:tplc="58BA296E" w:tentative="1">
      <w:start w:val="1"/>
      <w:numFmt w:val="bullet"/>
      <w:lvlText w:val="•"/>
      <w:lvlJc w:val="left"/>
      <w:pPr>
        <w:tabs>
          <w:tab w:val="num" w:pos="4320"/>
        </w:tabs>
        <w:ind w:left="4320" w:hanging="360"/>
      </w:pPr>
      <w:rPr>
        <w:rFonts w:ascii="Arial" w:hAnsi="Arial" w:hint="default"/>
      </w:rPr>
    </w:lvl>
    <w:lvl w:ilvl="6" w:tplc="B87CF1BE" w:tentative="1">
      <w:start w:val="1"/>
      <w:numFmt w:val="bullet"/>
      <w:lvlText w:val="•"/>
      <w:lvlJc w:val="left"/>
      <w:pPr>
        <w:tabs>
          <w:tab w:val="num" w:pos="5040"/>
        </w:tabs>
        <w:ind w:left="5040" w:hanging="360"/>
      </w:pPr>
      <w:rPr>
        <w:rFonts w:ascii="Arial" w:hAnsi="Arial" w:hint="default"/>
      </w:rPr>
    </w:lvl>
    <w:lvl w:ilvl="7" w:tplc="C532B002" w:tentative="1">
      <w:start w:val="1"/>
      <w:numFmt w:val="bullet"/>
      <w:lvlText w:val="•"/>
      <w:lvlJc w:val="left"/>
      <w:pPr>
        <w:tabs>
          <w:tab w:val="num" w:pos="5760"/>
        </w:tabs>
        <w:ind w:left="5760" w:hanging="360"/>
      </w:pPr>
      <w:rPr>
        <w:rFonts w:ascii="Arial" w:hAnsi="Arial" w:hint="default"/>
      </w:rPr>
    </w:lvl>
    <w:lvl w:ilvl="8" w:tplc="C90EBF84"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23"/>
  </w:num>
  <w:num w:numId="3">
    <w:abstractNumId w:val="22"/>
  </w:num>
  <w:num w:numId="4">
    <w:abstractNumId w:val="44"/>
  </w:num>
  <w:num w:numId="5">
    <w:abstractNumId w:val="27"/>
  </w:num>
  <w:num w:numId="6">
    <w:abstractNumId w:val="30"/>
  </w:num>
  <w:num w:numId="7">
    <w:abstractNumId w:val="19"/>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38"/>
  </w:num>
  <w:num w:numId="12">
    <w:abstractNumId w:val="28"/>
  </w:num>
  <w:num w:numId="13">
    <w:abstractNumId w:val="13"/>
  </w:num>
  <w:num w:numId="14">
    <w:abstractNumId w:val="33"/>
  </w:num>
  <w:num w:numId="15">
    <w:abstractNumId w:val="43"/>
  </w:num>
  <w:num w:numId="16">
    <w:abstractNumId w:val="2"/>
  </w:num>
  <w:num w:numId="17">
    <w:abstractNumId w:val="26"/>
  </w:num>
  <w:num w:numId="18">
    <w:abstractNumId w:val="9"/>
  </w:num>
  <w:num w:numId="19">
    <w:abstractNumId w:val="12"/>
  </w:num>
  <w:num w:numId="20">
    <w:abstractNumId w:val="37"/>
  </w:num>
  <w:num w:numId="21">
    <w:abstractNumId w:val="3"/>
  </w:num>
  <w:num w:numId="22">
    <w:abstractNumId w:val="39"/>
  </w:num>
  <w:num w:numId="23">
    <w:abstractNumId w:val="1"/>
  </w:num>
  <w:num w:numId="24">
    <w:abstractNumId w:val="5"/>
  </w:num>
  <w:num w:numId="25">
    <w:abstractNumId w:val="45"/>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11"/>
  </w:num>
  <w:num w:numId="29">
    <w:abstractNumId w:val="14"/>
  </w:num>
  <w:num w:numId="30">
    <w:abstractNumId w:val="34"/>
  </w:num>
  <w:num w:numId="31">
    <w:abstractNumId w:val="0"/>
  </w:num>
  <w:num w:numId="32">
    <w:abstractNumId w:val="18"/>
  </w:num>
  <w:num w:numId="33">
    <w:abstractNumId w:val="42"/>
  </w:num>
  <w:num w:numId="34">
    <w:abstractNumId w:val="40"/>
  </w:num>
  <w:num w:numId="35">
    <w:abstractNumId w:val="21"/>
  </w:num>
  <w:num w:numId="36">
    <w:abstractNumId w:val="6"/>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4"/>
  </w:num>
  <w:num w:numId="42">
    <w:abstractNumId w:val="36"/>
  </w:num>
  <w:num w:numId="43">
    <w:abstractNumId w:val="32"/>
  </w:num>
  <w:num w:numId="44">
    <w:abstractNumId w:val="17"/>
  </w:num>
  <w:num w:numId="45">
    <w:abstractNumId w:val="8"/>
  </w:num>
  <w:num w:numId="46">
    <w:abstractNumId w:val="31"/>
  </w:num>
  <w:num w:numId="47">
    <w:abstractNumId w:val="7"/>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76B"/>
    <w:rsid w:val="000011E8"/>
    <w:rsid w:val="00002E8F"/>
    <w:rsid w:val="00006686"/>
    <w:rsid w:val="00006D1B"/>
    <w:rsid w:val="00011FC2"/>
    <w:rsid w:val="000142F1"/>
    <w:rsid w:val="000143A3"/>
    <w:rsid w:val="00020585"/>
    <w:rsid w:val="00023714"/>
    <w:rsid w:val="000250BC"/>
    <w:rsid w:val="000254EB"/>
    <w:rsid w:val="00025774"/>
    <w:rsid w:val="00026787"/>
    <w:rsid w:val="00032A21"/>
    <w:rsid w:val="0003595B"/>
    <w:rsid w:val="00065C10"/>
    <w:rsid w:val="00067EC1"/>
    <w:rsid w:val="00081C12"/>
    <w:rsid w:val="00096105"/>
    <w:rsid w:val="000A4256"/>
    <w:rsid w:val="000A45C7"/>
    <w:rsid w:val="000A474A"/>
    <w:rsid w:val="000A6769"/>
    <w:rsid w:val="000B230C"/>
    <w:rsid w:val="000B2645"/>
    <w:rsid w:val="000B7888"/>
    <w:rsid w:val="000D0AF4"/>
    <w:rsid w:val="000E4EF4"/>
    <w:rsid w:val="000E59FF"/>
    <w:rsid w:val="000E6ADA"/>
    <w:rsid w:val="000F5540"/>
    <w:rsid w:val="000F5678"/>
    <w:rsid w:val="000F7AF7"/>
    <w:rsid w:val="001140AD"/>
    <w:rsid w:val="001170B1"/>
    <w:rsid w:val="001254E4"/>
    <w:rsid w:val="00133C36"/>
    <w:rsid w:val="00146E1B"/>
    <w:rsid w:val="001507AA"/>
    <w:rsid w:val="0015787B"/>
    <w:rsid w:val="001715F4"/>
    <w:rsid w:val="00176E33"/>
    <w:rsid w:val="001852D9"/>
    <w:rsid w:val="00196568"/>
    <w:rsid w:val="001A0FA6"/>
    <w:rsid w:val="001B18C2"/>
    <w:rsid w:val="001B2608"/>
    <w:rsid w:val="001C0ED5"/>
    <w:rsid w:val="001C665B"/>
    <w:rsid w:val="001D5D7E"/>
    <w:rsid w:val="001E5D5D"/>
    <w:rsid w:val="002076BB"/>
    <w:rsid w:val="00222033"/>
    <w:rsid w:val="002431FF"/>
    <w:rsid w:val="002440A5"/>
    <w:rsid w:val="0024542C"/>
    <w:rsid w:val="00254A1B"/>
    <w:rsid w:val="002559D1"/>
    <w:rsid w:val="002565AA"/>
    <w:rsid w:val="00262EAB"/>
    <w:rsid w:val="002634FF"/>
    <w:rsid w:val="00272E44"/>
    <w:rsid w:val="00277245"/>
    <w:rsid w:val="0028454D"/>
    <w:rsid w:val="0029015F"/>
    <w:rsid w:val="002926D4"/>
    <w:rsid w:val="00297939"/>
    <w:rsid w:val="002B55B2"/>
    <w:rsid w:val="002C07DA"/>
    <w:rsid w:val="002C3169"/>
    <w:rsid w:val="002C5AF7"/>
    <w:rsid w:val="002C7EA9"/>
    <w:rsid w:val="002D4A2F"/>
    <w:rsid w:val="002D62AE"/>
    <w:rsid w:val="002E0E35"/>
    <w:rsid w:val="002F0467"/>
    <w:rsid w:val="002F2C66"/>
    <w:rsid w:val="00304062"/>
    <w:rsid w:val="00307023"/>
    <w:rsid w:val="0032160E"/>
    <w:rsid w:val="00341834"/>
    <w:rsid w:val="00341C29"/>
    <w:rsid w:val="00351478"/>
    <w:rsid w:val="003549A6"/>
    <w:rsid w:val="00355E8C"/>
    <w:rsid w:val="003578AB"/>
    <w:rsid w:val="00364282"/>
    <w:rsid w:val="00370C95"/>
    <w:rsid w:val="003735CC"/>
    <w:rsid w:val="003815E0"/>
    <w:rsid w:val="00397170"/>
    <w:rsid w:val="003A232C"/>
    <w:rsid w:val="003B08E6"/>
    <w:rsid w:val="003B6263"/>
    <w:rsid w:val="003C64A7"/>
    <w:rsid w:val="003D3FDA"/>
    <w:rsid w:val="003D4768"/>
    <w:rsid w:val="003D4BFB"/>
    <w:rsid w:val="003E4071"/>
    <w:rsid w:val="003E40D5"/>
    <w:rsid w:val="003F2317"/>
    <w:rsid w:val="00411A2B"/>
    <w:rsid w:val="00420822"/>
    <w:rsid w:val="00426FE5"/>
    <w:rsid w:val="00430300"/>
    <w:rsid w:val="00435565"/>
    <w:rsid w:val="00440D4D"/>
    <w:rsid w:val="0044466A"/>
    <w:rsid w:val="0045296C"/>
    <w:rsid w:val="0045458F"/>
    <w:rsid w:val="004732C9"/>
    <w:rsid w:val="00475066"/>
    <w:rsid w:val="00486F61"/>
    <w:rsid w:val="00491C75"/>
    <w:rsid w:val="00497380"/>
    <w:rsid w:val="004A2F81"/>
    <w:rsid w:val="004A3473"/>
    <w:rsid w:val="004C3810"/>
    <w:rsid w:val="004D711F"/>
    <w:rsid w:val="004D7A0A"/>
    <w:rsid w:val="004E5127"/>
    <w:rsid w:val="004F120B"/>
    <w:rsid w:val="004F5C66"/>
    <w:rsid w:val="00501D76"/>
    <w:rsid w:val="00522539"/>
    <w:rsid w:val="00530E8C"/>
    <w:rsid w:val="00532030"/>
    <w:rsid w:val="00537523"/>
    <w:rsid w:val="005425A5"/>
    <w:rsid w:val="00544302"/>
    <w:rsid w:val="0054524C"/>
    <w:rsid w:val="00545CF7"/>
    <w:rsid w:val="005561E6"/>
    <w:rsid w:val="00564495"/>
    <w:rsid w:val="0057508D"/>
    <w:rsid w:val="005754AC"/>
    <w:rsid w:val="00584D96"/>
    <w:rsid w:val="00587875"/>
    <w:rsid w:val="005A33DF"/>
    <w:rsid w:val="005C788E"/>
    <w:rsid w:val="005C7E76"/>
    <w:rsid w:val="005D683A"/>
    <w:rsid w:val="005E08E7"/>
    <w:rsid w:val="005E74D0"/>
    <w:rsid w:val="005F7831"/>
    <w:rsid w:val="00602971"/>
    <w:rsid w:val="00606EAB"/>
    <w:rsid w:val="00607E2B"/>
    <w:rsid w:val="00610096"/>
    <w:rsid w:val="00614171"/>
    <w:rsid w:val="0061680A"/>
    <w:rsid w:val="0062338E"/>
    <w:rsid w:val="00627E64"/>
    <w:rsid w:val="0063062B"/>
    <w:rsid w:val="00631842"/>
    <w:rsid w:val="00635338"/>
    <w:rsid w:val="006462B5"/>
    <w:rsid w:val="006502EC"/>
    <w:rsid w:val="006503A1"/>
    <w:rsid w:val="00662679"/>
    <w:rsid w:val="00667229"/>
    <w:rsid w:val="006673DC"/>
    <w:rsid w:val="00667D0F"/>
    <w:rsid w:val="00682BE5"/>
    <w:rsid w:val="006A4864"/>
    <w:rsid w:val="006A5744"/>
    <w:rsid w:val="006A624B"/>
    <w:rsid w:val="006B5C8B"/>
    <w:rsid w:val="006C7574"/>
    <w:rsid w:val="006D0AE9"/>
    <w:rsid w:val="006D30F5"/>
    <w:rsid w:val="006F4CE6"/>
    <w:rsid w:val="007138E5"/>
    <w:rsid w:val="00715E8E"/>
    <w:rsid w:val="00716290"/>
    <w:rsid w:val="0074190C"/>
    <w:rsid w:val="0074649B"/>
    <w:rsid w:val="00747BF1"/>
    <w:rsid w:val="0076003A"/>
    <w:rsid w:val="0076160D"/>
    <w:rsid w:val="00762576"/>
    <w:rsid w:val="00763B4B"/>
    <w:rsid w:val="00765521"/>
    <w:rsid w:val="0077323B"/>
    <w:rsid w:val="00794D4F"/>
    <w:rsid w:val="007B4B4E"/>
    <w:rsid w:val="007D1F9A"/>
    <w:rsid w:val="007D5306"/>
    <w:rsid w:val="007F38BB"/>
    <w:rsid w:val="007F7740"/>
    <w:rsid w:val="008030CE"/>
    <w:rsid w:val="00804383"/>
    <w:rsid w:val="0080570B"/>
    <w:rsid w:val="00811956"/>
    <w:rsid w:val="008148E1"/>
    <w:rsid w:val="00817007"/>
    <w:rsid w:val="00822C21"/>
    <w:rsid w:val="00865017"/>
    <w:rsid w:val="008737C6"/>
    <w:rsid w:val="0088092F"/>
    <w:rsid w:val="0088109B"/>
    <w:rsid w:val="00885480"/>
    <w:rsid w:val="00895ECA"/>
    <w:rsid w:val="008C0E73"/>
    <w:rsid w:val="008C1319"/>
    <w:rsid w:val="008D0E09"/>
    <w:rsid w:val="008E26CD"/>
    <w:rsid w:val="008E2A28"/>
    <w:rsid w:val="008F276B"/>
    <w:rsid w:val="00920E5D"/>
    <w:rsid w:val="00922A59"/>
    <w:rsid w:val="009232C2"/>
    <w:rsid w:val="009254DA"/>
    <w:rsid w:val="009305B0"/>
    <w:rsid w:val="00932C3A"/>
    <w:rsid w:val="0095720E"/>
    <w:rsid w:val="0097397A"/>
    <w:rsid w:val="00975DF6"/>
    <w:rsid w:val="0097693B"/>
    <w:rsid w:val="009811ED"/>
    <w:rsid w:val="00990F0F"/>
    <w:rsid w:val="00993383"/>
    <w:rsid w:val="009A4A6D"/>
    <w:rsid w:val="009A5942"/>
    <w:rsid w:val="009B2D69"/>
    <w:rsid w:val="009B3E1A"/>
    <w:rsid w:val="009B7E6D"/>
    <w:rsid w:val="009C3A88"/>
    <w:rsid w:val="009D4375"/>
    <w:rsid w:val="00A078E0"/>
    <w:rsid w:val="00A07E5A"/>
    <w:rsid w:val="00A175CC"/>
    <w:rsid w:val="00A2372F"/>
    <w:rsid w:val="00A303A1"/>
    <w:rsid w:val="00A438A8"/>
    <w:rsid w:val="00A44BFA"/>
    <w:rsid w:val="00A52249"/>
    <w:rsid w:val="00A53045"/>
    <w:rsid w:val="00A548EF"/>
    <w:rsid w:val="00A558D4"/>
    <w:rsid w:val="00A5608F"/>
    <w:rsid w:val="00A810DA"/>
    <w:rsid w:val="00A82CF4"/>
    <w:rsid w:val="00A86C81"/>
    <w:rsid w:val="00A948CF"/>
    <w:rsid w:val="00AA1095"/>
    <w:rsid w:val="00AA41DB"/>
    <w:rsid w:val="00AA474C"/>
    <w:rsid w:val="00AA756B"/>
    <w:rsid w:val="00AB3C83"/>
    <w:rsid w:val="00AB5881"/>
    <w:rsid w:val="00AC2D96"/>
    <w:rsid w:val="00AC30B3"/>
    <w:rsid w:val="00AD7E5F"/>
    <w:rsid w:val="00AF3403"/>
    <w:rsid w:val="00AF6CF8"/>
    <w:rsid w:val="00B02DC3"/>
    <w:rsid w:val="00B15DFB"/>
    <w:rsid w:val="00B17E38"/>
    <w:rsid w:val="00B25D6A"/>
    <w:rsid w:val="00B306C9"/>
    <w:rsid w:val="00B30C81"/>
    <w:rsid w:val="00B3539B"/>
    <w:rsid w:val="00B46707"/>
    <w:rsid w:val="00B54843"/>
    <w:rsid w:val="00B7310C"/>
    <w:rsid w:val="00B76CB3"/>
    <w:rsid w:val="00B90699"/>
    <w:rsid w:val="00B920A3"/>
    <w:rsid w:val="00BA20AF"/>
    <w:rsid w:val="00BB4D83"/>
    <w:rsid w:val="00BC2372"/>
    <w:rsid w:val="00BF663E"/>
    <w:rsid w:val="00C04E5F"/>
    <w:rsid w:val="00C14826"/>
    <w:rsid w:val="00C15633"/>
    <w:rsid w:val="00C21407"/>
    <w:rsid w:val="00C25C63"/>
    <w:rsid w:val="00C34416"/>
    <w:rsid w:val="00C357AD"/>
    <w:rsid w:val="00C36D8F"/>
    <w:rsid w:val="00C47377"/>
    <w:rsid w:val="00C4782B"/>
    <w:rsid w:val="00C54571"/>
    <w:rsid w:val="00C65EE0"/>
    <w:rsid w:val="00C73FB5"/>
    <w:rsid w:val="00C76119"/>
    <w:rsid w:val="00C7689C"/>
    <w:rsid w:val="00C80746"/>
    <w:rsid w:val="00C85C0D"/>
    <w:rsid w:val="00C862C9"/>
    <w:rsid w:val="00C911EC"/>
    <w:rsid w:val="00C9792D"/>
    <w:rsid w:val="00CA2EA7"/>
    <w:rsid w:val="00CB2D57"/>
    <w:rsid w:val="00CC0922"/>
    <w:rsid w:val="00CD4B2C"/>
    <w:rsid w:val="00CD5431"/>
    <w:rsid w:val="00CD75B4"/>
    <w:rsid w:val="00CE74EB"/>
    <w:rsid w:val="00CF1161"/>
    <w:rsid w:val="00CF2491"/>
    <w:rsid w:val="00CF617A"/>
    <w:rsid w:val="00CF74CF"/>
    <w:rsid w:val="00D169B6"/>
    <w:rsid w:val="00D208D6"/>
    <w:rsid w:val="00D3338C"/>
    <w:rsid w:val="00D333F0"/>
    <w:rsid w:val="00D41FC5"/>
    <w:rsid w:val="00D460B0"/>
    <w:rsid w:val="00D466C0"/>
    <w:rsid w:val="00D53308"/>
    <w:rsid w:val="00D57772"/>
    <w:rsid w:val="00D75A4D"/>
    <w:rsid w:val="00D8478B"/>
    <w:rsid w:val="00D86151"/>
    <w:rsid w:val="00D872FB"/>
    <w:rsid w:val="00D87FDD"/>
    <w:rsid w:val="00D91EE9"/>
    <w:rsid w:val="00DA4A6F"/>
    <w:rsid w:val="00DA7595"/>
    <w:rsid w:val="00DB0A68"/>
    <w:rsid w:val="00DC43A3"/>
    <w:rsid w:val="00DC53B1"/>
    <w:rsid w:val="00DC62C2"/>
    <w:rsid w:val="00DD0202"/>
    <w:rsid w:val="00DD0684"/>
    <w:rsid w:val="00DD1B9F"/>
    <w:rsid w:val="00DD68FC"/>
    <w:rsid w:val="00DD6B45"/>
    <w:rsid w:val="00DE4D0D"/>
    <w:rsid w:val="00DE6175"/>
    <w:rsid w:val="00DF6BF3"/>
    <w:rsid w:val="00E035A1"/>
    <w:rsid w:val="00E11CD0"/>
    <w:rsid w:val="00E24C1C"/>
    <w:rsid w:val="00E345A3"/>
    <w:rsid w:val="00E356EF"/>
    <w:rsid w:val="00E5350C"/>
    <w:rsid w:val="00E53CC2"/>
    <w:rsid w:val="00E60D5B"/>
    <w:rsid w:val="00E674D3"/>
    <w:rsid w:val="00E87158"/>
    <w:rsid w:val="00E92A5D"/>
    <w:rsid w:val="00E93FF9"/>
    <w:rsid w:val="00EC1A88"/>
    <w:rsid w:val="00EE31EC"/>
    <w:rsid w:val="00EF697D"/>
    <w:rsid w:val="00F10D75"/>
    <w:rsid w:val="00F34EC4"/>
    <w:rsid w:val="00F36A9D"/>
    <w:rsid w:val="00F4406A"/>
    <w:rsid w:val="00F52DED"/>
    <w:rsid w:val="00F544E4"/>
    <w:rsid w:val="00F57F46"/>
    <w:rsid w:val="00F80501"/>
    <w:rsid w:val="00F8358C"/>
    <w:rsid w:val="00F84067"/>
    <w:rsid w:val="00F9295A"/>
    <w:rsid w:val="00FA6B4A"/>
    <w:rsid w:val="00FB7146"/>
    <w:rsid w:val="00FC2CE0"/>
    <w:rsid w:val="00FD0C23"/>
    <w:rsid w:val="00FD592E"/>
    <w:rsid w:val="00FE16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4EB834B-D9A2-445C-9528-469D303C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B2"/>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uiPriority w:val="34"/>
    <w:qFormat/>
    <w:rsid w:val="008F276B"/>
    <w:pPr>
      <w:widowControl w:val="0"/>
      <w:spacing w:beforeLines="50" w:line="240" w:lineRule="atLeast"/>
      <w:ind w:leftChars="400" w:left="840"/>
      <w:jc w:val="both"/>
    </w:pPr>
    <w:rPr>
      <w:rFonts w:eastAsia="Times New Roman" w:cs="Angsana New"/>
      <w:kern w:val="2"/>
      <w:sz w:val="22"/>
      <w:szCs w:val="22"/>
      <w:lang w:eastAsia="ko-KR"/>
    </w:rPr>
  </w:style>
  <w:style w:type="character" w:styleId="Hyperlink">
    <w:name w:val="Hyperlink"/>
    <w:unhideWhenUsed/>
    <w:rsid w:val="008F276B"/>
    <w:rPr>
      <w:color w:val="0000FF"/>
      <w:u w:val="single"/>
    </w:rPr>
  </w:style>
  <w:style w:type="character" w:customStyle="1" w:styleId="FooterChar">
    <w:name w:val="Footer Char"/>
    <w:link w:val="Footer"/>
    <w:rsid w:val="008F276B"/>
    <w:rPr>
      <w:rFonts w:eastAsia="BatangChe"/>
      <w:sz w:val="24"/>
      <w:szCs w:val="24"/>
    </w:rPr>
  </w:style>
  <w:style w:type="paragraph" w:styleId="BalloonText">
    <w:name w:val="Balloon Text"/>
    <w:basedOn w:val="Normal"/>
    <w:link w:val="BalloonTextChar"/>
    <w:rsid w:val="00C73FB5"/>
    <w:rPr>
      <w:rFonts w:ascii="Tahoma" w:hAnsi="Tahoma" w:cs="Tahoma"/>
      <w:sz w:val="16"/>
      <w:szCs w:val="16"/>
    </w:rPr>
  </w:style>
  <w:style w:type="character" w:customStyle="1" w:styleId="BalloonTextChar">
    <w:name w:val="Balloon Text Char"/>
    <w:basedOn w:val="DefaultParagraphFont"/>
    <w:link w:val="BalloonText"/>
    <w:rsid w:val="00C73FB5"/>
    <w:rPr>
      <w:rFonts w:ascii="Tahoma" w:eastAsia="BatangChe" w:hAnsi="Tahoma" w:cs="Tahoma"/>
      <w:sz w:val="16"/>
      <w:szCs w:val="16"/>
    </w:rPr>
  </w:style>
  <w:style w:type="table" w:styleId="TableGrid">
    <w:name w:val="Table Grid"/>
    <w:basedOn w:val="TableNormal"/>
    <w:rsid w:val="00440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A624B"/>
    <w:rPr>
      <w:rFonts w:ascii="Calibri" w:eastAsia="MS PGothic" w:hAnsi="Calibri"/>
      <w:sz w:val="22"/>
      <w:szCs w:val="21"/>
      <w:lang w:val="en-GB" w:eastAsia="ja-JP"/>
    </w:rPr>
  </w:style>
  <w:style w:type="character" w:customStyle="1" w:styleId="PlainTextChar">
    <w:name w:val="Plain Text Char"/>
    <w:basedOn w:val="DefaultParagraphFont"/>
    <w:link w:val="PlainText"/>
    <w:uiPriority w:val="99"/>
    <w:rsid w:val="006A624B"/>
    <w:rPr>
      <w:rFonts w:ascii="Calibri" w:eastAsia="MS PGothic" w:hAnsi="Calibri"/>
      <w:sz w:val="22"/>
      <w:szCs w:val="21"/>
      <w:lang w:val="en-GB" w:eastAsia="ja-JP"/>
    </w:rPr>
  </w:style>
  <w:style w:type="character" w:customStyle="1" w:styleId="Heading1Char">
    <w:name w:val="Heading 1 Char"/>
    <w:basedOn w:val="DefaultParagraphFont"/>
    <w:link w:val="Heading1"/>
    <w:locked/>
    <w:rsid w:val="009B3E1A"/>
    <w:rPr>
      <w:rFonts w:eastAsia="BatangChe"/>
      <w:b/>
      <w:bCs/>
      <w:sz w:val="24"/>
      <w:szCs w:val="24"/>
      <w:u w:val="single"/>
    </w:rPr>
  </w:style>
  <w:style w:type="character" w:customStyle="1" w:styleId="Heading8Char">
    <w:name w:val="Heading 8 Char"/>
    <w:basedOn w:val="DefaultParagraphFont"/>
    <w:link w:val="Heading8"/>
    <w:locked/>
    <w:rsid w:val="009B3E1A"/>
    <w:rPr>
      <w:rFonts w:eastAsia="BatangChe"/>
      <w:b/>
      <w:bCs/>
      <w:kern w:val="2"/>
      <w:lang w:eastAsia="ko-KR"/>
    </w:rPr>
  </w:style>
  <w:style w:type="paragraph" w:styleId="NormalWeb">
    <w:name w:val="Normal (Web)"/>
    <w:basedOn w:val="Normal"/>
    <w:uiPriority w:val="99"/>
    <w:unhideWhenUsed/>
    <w:rsid w:val="0062338E"/>
    <w:pPr>
      <w:spacing w:before="100" w:beforeAutospacing="1" w:after="100" w:afterAutospacing="1"/>
    </w:pPr>
    <w:rPr>
      <w:rFonts w:eastAsiaTheme="minorEastAsia"/>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10834">
      <w:bodyDiv w:val="1"/>
      <w:marLeft w:val="0"/>
      <w:marRight w:val="0"/>
      <w:marTop w:val="0"/>
      <w:marBottom w:val="0"/>
      <w:divBdr>
        <w:top w:val="none" w:sz="0" w:space="0" w:color="auto"/>
        <w:left w:val="none" w:sz="0" w:space="0" w:color="auto"/>
        <w:bottom w:val="none" w:sz="0" w:space="0" w:color="auto"/>
        <w:right w:val="none" w:sz="0" w:space="0" w:color="auto"/>
      </w:divBdr>
    </w:div>
    <w:div w:id="510415933">
      <w:bodyDiv w:val="1"/>
      <w:marLeft w:val="0"/>
      <w:marRight w:val="0"/>
      <w:marTop w:val="0"/>
      <w:marBottom w:val="0"/>
      <w:divBdr>
        <w:top w:val="none" w:sz="0" w:space="0" w:color="auto"/>
        <w:left w:val="none" w:sz="0" w:space="0" w:color="auto"/>
        <w:bottom w:val="none" w:sz="0" w:space="0" w:color="auto"/>
        <w:right w:val="none" w:sz="0" w:space="0" w:color="auto"/>
      </w:divBdr>
    </w:div>
    <w:div w:id="535436075">
      <w:bodyDiv w:val="1"/>
      <w:marLeft w:val="0"/>
      <w:marRight w:val="0"/>
      <w:marTop w:val="0"/>
      <w:marBottom w:val="0"/>
      <w:divBdr>
        <w:top w:val="none" w:sz="0" w:space="0" w:color="auto"/>
        <w:left w:val="none" w:sz="0" w:space="0" w:color="auto"/>
        <w:bottom w:val="none" w:sz="0" w:space="0" w:color="auto"/>
        <w:right w:val="none" w:sz="0" w:space="0" w:color="auto"/>
      </w:divBdr>
      <w:divsChild>
        <w:div w:id="37897593">
          <w:marLeft w:val="1526"/>
          <w:marRight w:val="0"/>
          <w:marTop w:val="0"/>
          <w:marBottom w:val="0"/>
          <w:divBdr>
            <w:top w:val="none" w:sz="0" w:space="0" w:color="auto"/>
            <w:left w:val="none" w:sz="0" w:space="0" w:color="auto"/>
            <w:bottom w:val="none" w:sz="0" w:space="0" w:color="auto"/>
            <w:right w:val="none" w:sz="0" w:space="0" w:color="auto"/>
          </w:divBdr>
        </w:div>
        <w:div w:id="40981918">
          <w:marLeft w:val="1526"/>
          <w:marRight w:val="0"/>
          <w:marTop w:val="0"/>
          <w:marBottom w:val="0"/>
          <w:divBdr>
            <w:top w:val="none" w:sz="0" w:space="0" w:color="auto"/>
            <w:left w:val="none" w:sz="0" w:space="0" w:color="auto"/>
            <w:bottom w:val="none" w:sz="0" w:space="0" w:color="auto"/>
            <w:right w:val="none" w:sz="0" w:space="0" w:color="auto"/>
          </w:divBdr>
        </w:div>
        <w:div w:id="278801436">
          <w:marLeft w:val="547"/>
          <w:marRight w:val="0"/>
          <w:marTop w:val="96"/>
          <w:marBottom w:val="0"/>
          <w:divBdr>
            <w:top w:val="none" w:sz="0" w:space="0" w:color="auto"/>
            <w:left w:val="none" w:sz="0" w:space="0" w:color="auto"/>
            <w:bottom w:val="none" w:sz="0" w:space="0" w:color="auto"/>
            <w:right w:val="none" w:sz="0" w:space="0" w:color="auto"/>
          </w:divBdr>
        </w:div>
        <w:div w:id="683020401">
          <w:marLeft w:val="1526"/>
          <w:marRight w:val="0"/>
          <w:marTop w:val="0"/>
          <w:marBottom w:val="0"/>
          <w:divBdr>
            <w:top w:val="none" w:sz="0" w:space="0" w:color="auto"/>
            <w:left w:val="none" w:sz="0" w:space="0" w:color="auto"/>
            <w:bottom w:val="none" w:sz="0" w:space="0" w:color="auto"/>
            <w:right w:val="none" w:sz="0" w:space="0" w:color="auto"/>
          </w:divBdr>
        </w:div>
        <w:div w:id="710692689">
          <w:marLeft w:val="547"/>
          <w:marRight w:val="0"/>
          <w:marTop w:val="96"/>
          <w:marBottom w:val="0"/>
          <w:divBdr>
            <w:top w:val="none" w:sz="0" w:space="0" w:color="auto"/>
            <w:left w:val="none" w:sz="0" w:space="0" w:color="auto"/>
            <w:bottom w:val="none" w:sz="0" w:space="0" w:color="auto"/>
            <w:right w:val="none" w:sz="0" w:space="0" w:color="auto"/>
          </w:divBdr>
        </w:div>
        <w:div w:id="723913345">
          <w:marLeft w:val="1526"/>
          <w:marRight w:val="0"/>
          <w:marTop w:val="0"/>
          <w:marBottom w:val="0"/>
          <w:divBdr>
            <w:top w:val="none" w:sz="0" w:space="0" w:color="auto"/>
            <w:left w:val="none" w:sz="0" w:space="0" w:color="auto"/>
            <w:bottom w:val="none" w:sz="0" w:space="0" w:color="auto"/>
            <w:right w:val="none" w:sz="0" w:space="0" w:color="auto"/>
          </w:divBdr>
        </w:div>
        <w:div w:id="763382393">
          <w:marLeft w:val="1526"/>
          <w:marRight w:val="0"/>
          <w:marTop w:val="0"/>
          <w:marBottom w:val="0"/>
          <w:divBdr>
            <w:top w:val="none" w:sz="0" w:space="0" w:color="auto"/>
            <w:left w:val="none" w:sz="0" w:space="0" w:color="auto"/>
            <w:bottom w:val="none" w:sz="0" w:space="0" w:color="auto"/>
            <w:right w:val="none" w:sz="0" w:space="0" w:color="auto"/>
          </w:divBdr>
        </w:div>
        <w:div w:id="1459030453">
          <w:marLeft w:val="1526"/>
          <w:marRight w:val="0"/>
          <w:marTop w:val="0"/>
          <w:marBottom w:val="0"/>
          <w:divBdr>
            <w:top w:val="none" w:sz="0" w:space="0" w:color="auto"/>
            <w:left w:val="none" w:sz="0" w:space="0" w:color="auto"/>
            <w:bottom w:val="none" w:sz="0" w:space="0" w:color="auto"/>
            <w:right w:val="none" w:sz="0" w:space="0" w:color="auto"/>
          </w:divBdr>
        </w:div>
        <w:div w:id="1524201580">
          <w:marLeft w:val="1526"/>
          <w:marRight w:val="0"/>
          <w:marTop w:val="0"/>
          <w:marBottom w:val="0"/>
          <w:divBdr>
            <w:top w:val="none" w:sz="0" w:space="0" w:color="auto"/>
            <w:left w:val="none" w:sz="0" w:space="0" w:color="auto"/>
            <w:bottom w:val="none" w:sz="0" w:space="0" w:color="auto"/>
            <w:right w:val="none" w:sz="0" w:space="0" w:color="auto"/>
          </w:divBdr>
        </w:div>
        <w:div w:id="1800026275">
          <w:marLeft w:val="1526"/>
          <w:marRight w:val="0"/>
          <w:marTop w:val="0"/>
          <w:marBottom w:val="0"/>
          <w:divBdr>
            <w:top w:val="none" w:sz="0" w:space="0" w:color="auto"/>
            <w:left w:val="none" w:sz="0" w:space="0" w:color="auto"/>
            <w:bottom w:val="none" w:sz="0" w:space="0" w:color="auto"/>
            <w:right w:val="none" w:sz="0" w:space="0" w:color="auto"/>
          </w:divBdr>
        </w:div>
      </w:divsChild>
    </w:div>
    <w:div w:id="686173124">
      <w:bodyDiv w:val="1"/>
      <w:marLeft w:val="0"/>
      <w:marRight w:val="0"/>
      <w:marTop w:val="0"/>
      <w:marBottom w:val="0"/>
      <w:divBdr>
        <w:top w:val="none" w:sz="0" w:space="0" w:color="auto"/>
        <w:left w:val="none" w:sz="0" w:space="0" w:color="auto"/>
        <w:bottom w:val="none" w:sz="0" w:space="0" w:color="auto"/>
        <w:right w:val="none" w:sz="0" w:space="0" w:color="auto"/>
      </w:divBdr>
    </w:div>
    <w:div w:id="705522950">
      <w:bodyDiv w:val="1"/>
      <w:marLeft w:val="0"/>
      <w:marRight w:val="0"/>
      <w:marTop w:val="0"/>
      <w:marBottom w:val="0"/>
      <w:divBdr>
        <w:top w:val="none" w:sz="0" w:space="0" w:color="auto"/>
        <w:left w:val="none" w:sz="0" w:space="0" w:color="auto"/>
        <w:bottom w:val="none" w:sz="0" w:space="0" w:color="auto"/>
        <w:right w:val="none" w:sz="0" w:space="0" w:color="auto"/>
      </w:divBdr>
    </w:div>
    <w:div w:id="757990736">
      <w:bodyDiv w:val="1"/>
      <w:marLeft w:val="0"/>
      <w:marRight w:val="0"/>
      <w:marTop w:val="0"/>
      <w:marBottom w:val="0"/>
      <w:divBdr>
        <w:top w:val="none" w:sz="0" w:space="0" w:color="auto"/>
        <w:left w:val="none" w:sz="0" w:space="0" w:color="auto"/>
        <w:bottom w:val="none" w:sz="0" w:space="0" w:color="auto"/>
        <w:right w:val="none" w:sz="0" w:space="0" w:color="auto"/>
      </w:divBdr>
    </w:div>
    <w:div w:id="815880428">
      <w:bodyDiv w:val="1"/>
      <w:marLeft w:val="0"/>
      <w:marRight w:val="0"/>
      <w:marTop w:val="0"/>
      <w:marBottom w:val="0"/>
      <w:divBdr>
        <w:top w:val="none" w:sz="0" w:space="0" w:color="auto"/>
        <w:left w:val="none" w:sz="0" w:space="0" w:color="auto"/>
        <w:bottom w:val="none" w:sz="0" w:space="0" w:color="auto"/>
        <w:right w:val="none" w:sz="0" w:space="0" w:color="auto"/>
      </w:divBdr>
    </w:div>
    <w:div w:id="820655593">
      <w:bodyDiv w:val="1"/>
      <w:marLeft w:val="0"/>
      <w:marRight w:val="0"/>
      <w:marTop w:val="0"/>
      <w:marBottom w:val="0"/>
      <w:divBdr>
        <w:top w:val="none" w:sz="0" w:space="0" w:color="auto"/>
        <w:left w:val="none" w:sz="0" w:space="0" w:color="auto"/>
        <w:bottom w:val="none" w:sz="0" w:space="0" w:color="auto"/>
        <w:right w:val="none" w:sz="0" w:space="0" w:color="auto"/>
      </w:divBdr>
      <w:divsChild>
        <w:div w:id="74327227">
          <w:marLeft w:val="1526"/>
          <w:marRight w:val="0"/>
          <w:marTop w:val="0"/>
          <w:marBottom w:val="0"/>
          <w:divBdr>
            <w:top w:val="none" w:sz="0" w:space="0" w:color="auto"/>
            <w:left w:val="none" w:sz="0" w:space="0" w:color="auto"/>
            <w:bottom w:val="none" w:sz="0" w:space="0" w:color="auto"/>
            <w:right w:val="none" w:sz="0" w:space="0" w:color="auto"/>
          </w:divBdr>
        </w:div>
        <w:div w:id="119687086">
          <w:marLeft w:val="1526"/>
          <w:marRight w:val="0"/>
          <w:marTop w:val="0"/>
          <w:marBottom w:val="0"/>
          <w:divBdr>
            <w:top w:val="none" w:sz="0" w:space="0" w:color="auto"/>
            <w:left w:val="none" w:sz="0" w:space="0" w:color="auto"/>
            <w:bottom w:val="none" w:sz="0" w:space="0" w:color="auto"/>
            <w:right w:val="none" w:sz="0" w:space="0" w:color="auto"/>
          </w:divBdr>
        </w:div>
        <w:div w:id="173500457">
          <w:marLeft w:val="1526"/>
          <w:marRight w:val="0"/>
          <w:marTop w:val="0"/>
          <w:marBottom w:val="0"/>
          <w:divBdr>
            <w:top w:val="none" w:sz="0" w:space="0" w:color="auto"/>
            <w:left w:val="none" w:sz="0" w:space="0" w:color="auto"/>
            <w:bottom w:val="none" w:sz="0" w:space="0" w:color="auto"/>
            <w:right w:val="none" w:sz="0" w:space="0" w:color="auto"/>
          </w:divBdr>
        </w:div>
        <w:div w:id="223177814">
          <w:marLeft w:val="562"/>
          <w:marRight w:val="0"/>
          <w:marTop w:val="120"/>
          <w:marBottom w:val="0"/>
          <w:divBdr>
            <w:top w:val="none" w:sz="0" w:space="0" w:color="auto"/>
            <w:left w:val="none" w:sz="0" w:space="0" w:color="auto"/>
            <w:bottom w:val="none" w:sz="0" w:space="0" w:color="auto"/>
            <w:right w:val="none" w:sz="0" w:space="0" w:color="auto"/>
          </w:divBdr>
        </w:div>
        <w:div w:id="308556323">
          <w:marLeft w:val="1526"/>
          <w:marRight w:val="0"/>
          <w:marTop w:val="0"/>
          <w:marBottom w:val="0"/>
          <w:divBdr>
            <w:top w:val="none" w:sz="0" w:space="0" w:color="auto"/>
            <w:left w:val="none" w:sz="0" w:space="0" w:color="auto"/>
            <w:bottom w:val="none" w:sz="0" w:space="0" w:color="auto"/>
            <w:right w:val="none" w:sz="0" w:space="0" w:color="auto"/>
          </w:divBdr>
        </w:div>
        <w:div w:id="355693743">
          <w:marLeft w:val="1526"/>
          <w:marRight w:val="0"/>
          <w:marTop w:val="0"/>
          <w:marBottom w:val="0"/>
          <w:divBdr>
            <w:top w:val="none" w:sz="0" w:space="0" w:color="auto"/>
            <w:left w:val="none" w:sz="0" w:space="0" w:color="auto"/>
            <w:bottom w:val="none" w:sz="0" w:space="0" w:color="auto"/>
            <w:right w:val="none" w:sz="0" w:space="0" w:color="auto"/>
          </w:divBdr>
        </w:div>
        <w:div w:id="423497172">
          <w:marLeft w:val="562"/>
          <w:marRight w:val="0"/>
          <w:marTop w:val="0"/>
          <w:marBottom w:val="0"/>
          <w:divBdr>
            <w:top w:val="none" w:sz="0" w:space="0" w:color="auto"/>
            <w:left w:val="none" w:sz="0" w:space="0" w:color="auto"/>
            <w:bottom w:val="none" w:sz="0" w:space="0" w:color="auto"/>
            <w:right w:val="none" w:sz="0" w:space="0" w:color="auto"/>
          </w:divBdr>
        </w:div>
        <w:div w:id="721757236">
          <w:marLeft w:val="1526"/>
          <w:marRight w:val="0"/>
          <w:marTop w:val="0"/>
          <w:marBottom w:val="0"/>
          <w:divBdr>
            <w:top w:val="none" w:sz="0" w:space="0" w:color="auto"/>
            <w:left w:val="none" w:sz="0" w:space="0" w:color="auto"/>
            <w:bottom w:val="none" w:sz="0" w:space="0" w:color="auto"/>
            <w:right w:val="none" w:sz="0" w:space="0" w:color="auto"/>
          </w:divBdr>
        </w:div>
        <w:div w:id="777018482">
          <w:marLeft w:val="1526"/>
          <w:marRight w:val="0"/>
          <w:marTop w:val="0"/>
          <w:marBottom w:val="0"/>
          <w:divBdr>
            <w:top w:val="none" w:sz="0" w:space="0" w:color="auto"/>
            <w:left w:val="none" w:sz="0" w:space="0" w:color="auto"/>
            <w:bottom w:val="none" w:sz="0" w:space="0" w:color="auto"/>
            <w:right w:val="none" w:sz="0" w:space="0" w:color="auto"/>
          </w:divBdr>
        </w:div>
        <w:div w:id="777725149">
          <w:marLeft w:val="562"/>
          <w:marRight w:val="0"/>
          <w:marTop w:val="120"/>
          <w:marBottom w:val="0"/>
          <w:divBdr>
            <w:top w:val="none" w:sz="0" w:space="0" w:color="auto"/>
            <w:left w:val="none" w:sz="0" w:space="0" w:color="auto"/>
            <w:bottom w:val="none" w:sz="0" w:space="0" w:color="auto"/>
            <w:right w:val="none" w:sz="0" w:space="0" w:color="auto"/>
          </w:divBdr>
        </w:div>
        <w:div w:id="866910725">
          <w:marLeft w:val="1526"/>
          <w:marRight w:val="0"/>
          <w:marTop w:val="0"/>
          <w:marBottom w:val="0"/>
          <w:divBdr>
            <w:top w:val="none" w:sz="0" w:space="0" w:color="auto"/>
            <w:left w:val="none" w:sz="0" w:space="0" w:color="auto"/>
            <w:bottom w:val="none" w:sz="0" w:space="0" w:color="auto"/>
            <w:right w:val="none" w:sz="0" w:space="0" w:color="auto"/>
          </w:divBdr>
        </w:div>
        <w:div w:id="893085373">
          <w:marLeft w:val="1526"/>
          <w:marRight w:val="0"/>
          <w:marTop w:val="0"/>
          <w:marBottom w:val="0"/>
          <w:divBdr>
            <w:top w:val="none" w:sz="0" w:space="0" w:color="auto"/>
            <w:left w:val="none" w:sz="0" w:space="0" w:color="auto"/>
            <w:bottom w:val="none" w:sz="0" w:space="0" w:color="auto"/>
            <w:right w:val="none" w:sz="0" w:space="0" w:color="auto"/>
          </w:divBdr>
        </w:div>
        <w:div w:id="1116942608">
          <w:marLeft w:val="1526"/>
          <w:marRight w:val="0"/>
          <w:marTop w:val="0"/>
          <w:marBottom w:val="0"/>
          <w:divBdr>
            <w:top w:val="none" w:sz="0" w:space="0" w:color="auto"/>
            <w:left w:val="none" w:sz="0" w:space="0" w:color="auto"/>
            <w:bottom w:val="none" w:sz="0" w:space="0" w:color="auto"/>
            <w:right w:val="none" w:sz="0" w:space="0" w:color="auto"/>
          </w:divBdr>
        </w:div>
        <w:div w:id="1529642438">
          <w:marLeft w:val="1526"/>
          <w:marRight w:val="0"/>
          <w:marTop w:val="0"/>
          <w:marBottom w:val="0"/>
          <w:divBdr>
            <w:top w:val="none" w:sz="0" w:space="0" w:color="auto"/>
            <w:left w:val="none" w:sz="0" w:space="0" w:color="auto"/>
            <w:bottom w:val="none" w:sz="0" w:space="0" w:color="auto"/>
            <w:right w:val="none" w:sz="0" w:space="0" w:color="auto"/>
          </w:divBdr>
        </w:div>
        <w:div w:id="1833793613">
          <w:marLeft w:val="1526"/>
          <w:marRight w:val="0"/>
          <w:marTop w:val="0"/>
          <w:marBottom w:val="0"/>
          <w:divBdr>
            <w:top w:val="none" w:sz="0" w:space="0" w:color="auto"/>
            <w:left w:val="none" w:sz="0" w:space="0" w:color="auto"/>
            <w:bottom w:val="none" w:sz="0" w:space="0" w:color="auto"/>
            <w:right w:val="none" w:sz="0" w:space="0" w:color="auto"/>
          </w:divBdr>
        </w:div>
        <w:div w:id="1893302185">
          <w:marLeft w:val="1526"/>
          <w:marRight w:val="0"/>
          <w:marTop w:val="0"/>
          <w:marBottom w:val="0"/>
          <w:divBdr>
            <w:top w:val="none" w:sz="0" w:space="0" w:color="auto"/>
            <w:left w:val="none" w:sz="0" w:space="0" w:color="auto"/>
            <w:bottom w:val="none" w:sz="0" w:space="0" w:color="auto"/>
            <w:right w:val="none" w:sz="0" w:space="0" w:color="auto"/>
          </w:divBdr>
        </w:div>
        <w:div w:id="1974214483">
          <w:marLeft w:val="1526"/>
          <w:marRight w:val="0"/>
          <w:marTop w:val="0"/>
          <w:marBottom w:val="0"/>
          <w:divBdr>
            <w:top w:val="none" w:sz="0" w:space="0" w:color="auto"/>
            <w:left w:val="none" w:sz="0" w:space="0" w:color="auto"/>
            <w:bottom w:val="none" w:sz="0" w:space="0" w:color="auto"/>
            <w:right w:val="none" w:sz="0" w:space="0" w:color="auto"/>
          </w:divBdr>
        </w:div>
      </w:divsChild>
    </w:div>
    <w:div w:id="865405327">
      <w:bodyDiv w:val="1"/>
      <w:marLeft w:val="0"/>
      <w:marRight w:val="0"/>
      <w:marTop w:val="0"/>
      <w:marBottom w:val="0"/>
      <w:divBdr>
        <w:top w:val="none" w:sz="0" w:space="0" w:color="auto"/>
        <w:left w:val="none" w:sz="0" w:space="0" w:color="auto"/>
        <w:bottom w:val="none" w:sz="0" w:space="0" w:color="auto"/>
        <w:right w:val="none" w:sz="0" w:space="0" w:color="auto"/>
      </w:divBdr>
      <w:divsChild>
        <w:div w:id="415446880">
          <w:marLeft w:val="547"/>
          <w:marRight w:val="0"/>
          <w:marTop w:val="0"/>
          <w:marBottom w:val="0"/>
          <w:divBdr>
            <w:top w:val="none" w:sz="0" w:space="0" w:color="auto"/>
            <w:left w:val="none" w:sz="0" w:space="0" w:color="auto"/>
            <w:bottom w:val="none" w:sz="0" w:space="0" w:color="auto"/>
            <w:right w:val="none" w:sz="0" w:space="0" w:color="auto"/>
          </w:divBdr>
        </w:div>
        <w:div w:id="989748619">
          <w:marLeft w:val="547"/>
          <w:marRight w:val="0"/>
          <w:marTop w:val="0"/>
          <w:marBottom w:val="0"/>
          <w:divBdr>
            <w:top w:val="none" w:sz="0" w:space="0" w:color="auto"/>
            <w:left w:val="none" w:sz="0" w:space="0" w:color="auto"/>
            <w:bottom w:val="none" w:sz="0" w:space="0" w:color="auto"/>
            <w:right w:val="none" w:sz="0" w:space="0" w:color="auto"/>
          </w:divBdr>
        </w:div>
        <w:div w:id="2038658553">
          <w:marLeft w:val="547"/>
          <w:marRight w:val="0"/>
          <w:marTop w:val="0"/>
          <w:marBottom w:val="0"/>
          <w:divBdr>
            <w:top w:val="none" w:sz="0" w:space="0" w:color="auto"/>
            <w:left w:val="none" w:sz="0" w:space="0" w:color="auto"/>
            <w:bottom w:val="none" w:sz="0" w:space="0" w:color="auto"/>
            <w:right w:val="none" w:sz="0" w:space="0" w:color="auto"/>
          </w:divBdr>
        </w:div>
        <w:div w:id="2142726014">
          <w:marLeft w:val="547"/>
          <w:marRight w:val="0"/>
          <w:marTop w:val="0"/>
          <w:marBottom w:val="0"/>
          <w:divBdr>
            <w:top w:val="none" w:sz="0" w:space="0" w:color="auto"/>
            <w:left w:val="none" w:sz="0" w:space="0" w:color="auto"/>
            <w:bottom w:val="none" w:sz="0" w:space="0" w:color="auto"/>
            <w:right w:val="none" w:sz="0" w:space="0" w:color="auto"/>
          </w:divBdr>
        </w:div>
      </w:divsChild>
    </w:div>
    <w:div w:id="1047290911">
      <w:bodyDiv w:val="1"/>
      <w:marLeft w:val="0"/>
      <w:marRight w:val="0"/>
      <w:marTop w:val="0"/>
      <w:marBottom w:val="0"/>
      <w:divBdr>
        <w:top w:val="none" w:sz="0" w:space="0" w:color="auto"/>
        <w:left w:val="none" w:sz="0" w:space="0" w:color="auto"/>
        <w:bottom w:val="none" w:sz="0" w:space="0" w:color="auto"/>
        <w:right w:val="none" w:sz="0" w:space="0" w:color="auto"/>
      </w:divBdr>
    </w:div>
    <w:div w:id="1373313063">
      <w:bodyDiv w:val="1"/>
      <w:marLeft w:val="0"/>
      <w:marRight w:val="0"/>
      <w:marTop w:val="0"/>
      <w:marBottom w:val="0"/>
      <w:divBdr>
        <w:top w:val="none" w:sz="0" w:space="0" w:color="auto"/>
        <w:left w:val="none" w:sz="0" w:space="0" w:color="auto"/>
        <w:bottom w:val="none" w:sz="0" w:space="0" w:color="auto"/>
        <w:right w:val="none" w:sz="0" w:space="0" w:color="auto"/>
      </w:divBdr>
    </w:div>
    <w:div w:id="1603414367">
      <w:bodyDiv w:val="1"/>
      <w:marLeft w:val="0"/>
      <w:marRight w:val="0"/>
      <w:marTop w:val="0"/>
      <w:marBottom w:val="0"/>
      <w:divBdr>
        <w:top w:val="none" w:sz="0" w:space="0" w:color="auto"/>
        <w:left w:val="none" w:sz="0" w:space="0" w:color="auto"/>
        <w:bottom w:val="none" w:sz="0" w:space="0" w:color="auto"/>
        <w:right w:val="none" w:sz="0" w:space="0" w:color="auto"/>
      </w:divBdr>
    </w:div>
    <w:div w:id="1901668698">
      <w:bodyDiv w:val="1"/>
      <w:marLeft w:val="0"/>
      <w:marRight w:val="0"/>
      <w:marTop w:val="0"/>
      <w:marBottom w:val="0"/>
      <w:divBdr>
        <w:top w:val="none" w:sz="0" w:space="0" w:color="auto"/>
        <w:left w:val="none" w:sz="0" w:space="0" w:color="auto"/>
        <w:bottom w:val="none" w:sz="0" w:space="0" w:color="auto"/>
        <w:right w:val="none" w:sz="0" w:space="0" w:color="auto"/>
      </w:divBdr>
    </w:div>
    <w:div w:id="20972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ptsec.org/2015-CI3-DOCS-INP"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Microsoft_Excel_Worksheet1.xlsx"/><Relationship Id="rId27" Type="http://schemas.openxmlformats.org/officeDocument/2006/relationships/fontTable" Target="fontTable.xml"/><Relationship Id="rId30"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hyperlink" Target="mailto:kaoru.kenyoshi@emea.ne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STAP\ASTAP-22\Documents\ASTAP-22%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0147BB3874154EBB1F63D58EB109D9" ma:contentTypeVersion="1" ma:contentTypeDescription="Create a new document." ma:contentTypeScope="" ma:versionID="c57ce19f6a6d5884e0969c99a0c4a6cb">
  <xsd:schema xmlns:xsd="http://www.w3.org/2001/XMLSchema" xmlns:xs="http://www.w3.org/2001/XMLSchema" xmlns:p="http://schemas.microsoft.com/office/2006/metadata/properties" xmlns:ns1="http://schemas.microsoft.com/sharepoint/v3" targetNamespace="http://schemas.microsoft.com/office/2006/metadata/properties" ma:root="true" ma:fieldsID="c2d465dd849937321cdf8b52b5b5c9f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0F69C-3FF2-4295-AB85-B42D495A28FD}"/>
</file>

<file path=customXml/itemProps2.xml><?xml version="1.0" encoding="utf-8"?>
<ds:datastoreItem xmlns:ds="http://schemas.openxmlformats.org/officeDocument/2006/customXml" ds:itemID="{3347A066-DB41-4165-A47D-A94120450B70}"/>
</file>

<file path=customXml/itemProps3.xml><?xml version="1.0" encoding="utf-8"?>
<ds:datastoreItem xmlns:ds="http://schemas.openxmlformats.org/officeDocument/2006/customXml" ds:itemID="{5701651E-0AB7-4B2F-9A54-4E01CC71B92D}"/>
</file>

<file path=customXml/itemProps4.xml><?xml version="1.0" encoding="utf-8"?>
<ds:datastoreItem xmlns:ds="http://schemas.openxmlformats.org/officeDocument/2006/customXml" ds:itemID="{B49DF7AC-25A9-4645-8076-BEA49494AE33}"/>
</file>

<file path=docProps/app.xml><?xml version="1.0" encoding="utf-8"?>
<Properties xmlns="http://schemas.openxmlformats.org/officeDocument/2006/extended-properties" xmlns:vt="http://schemas.openxmlformats.org/officeDocument/2006/docPropsVTypes">
  <Template>ASTAP-22 Document Template.dot</Template>
  <TotalTime>1</TotalTime>
  <Pages>15</Pages>
  <Words>3688</Words>
  <Characters>21025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Mizuno, Kaoru</cp:lastModifiedBy>
  <cp:revision>2</cp:revision>
  <cp:lastPrinted>2015-09-29T09:21:00Z</cp:lastPrinted>
  <dcterms:created xsi:type="dcterms:W3CDTF">2015-09-29T09:23:00Z</dcterms:created>
  <dcterms:modified xsi:type="dcterms:W3CDTF">2015-09-29T09:23:00Z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0x010100F50147BB3874154EBB1F63D58EB109D9</vt:lpwstr>
  </property>
</Properties>
</file>