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p w:rsidR="00DF6A03" w:rsidRDefault="00DF6A03"/>
    <w:p w:rsidR="00DF6A03" w:rsidRDefault="00DF6A03"/>
    <w:p w:rsidR="00DF6A03" w:rsidRDefault="00DF6A03"/>
    <w:p w:rsidR="00DF6A03" w:rsidRDefault="00DF6A03"/>
    <w:p w:rsidR="00DF6A03" w:rsidRDefault="00DF6A03"/>
    <w:p w:rsidR="00DF6A03" w:rsidRDefault="00DF6A03"/>
    <w:p w:rsidR="00161829" w:rsidRDefault="00161829"/>
    <w:p w:rsidR="00161829" w:rsidRDefault="00161829"/>
    <w:p w:rsidR="00DF6A03" w:rsidRDefault="00DF6A03"/>
    <w:p w:rsidR="0082193E" w:rsidRDefault="0082193E"/>
    <w:p w:rsidR="00DF6A03" w:rsidRDefault="00DF6A03"/>
    <w:tbl>
      <w:tblPr>
        <w:tblW w:w="10089" w:type="dxa"/>
        <w:tblLook w:val="01E0" w:firstRow="1" w:lastRow="1" w:firstColumn="1" w:lastColumn="1" w:noHBand="0" w:noVBand="0"/>
      </w:tblPr>
      <w:tblGrid>
        <w:gridCol w:w="10089"/>
      </w:tblGrid>
      <w:tr w:rsidR="00DF6A03" w:rsidRPr="004F65E4" w:rsidTr="00E656C3">
        <w:tc>
          <w:tcPr>
            <w:tcW w:w="10089" w:type="dxa"/>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153135" w:rsidP="001B1011">
            <w:pPr>
              <w:spacing w:before="380" w:line="280" w:lineRule="exact"/>
              <w:jc w:val="right"/>
              <w:rPr>
                <w:rFonts w:ascii="Tahoma" w:hAnsi="Tahoma" w:cs="Tahoma"/>
                <w:b/>
                <w:bCs/>
                <w:iCs/>
                <w:color w:val="243285"/>
                <w:sz w:val="36"/>
                <w:szCs w:val="36"/>
              </w:rPr>
            </w:pPr>
            <w:r w:rsidRPr="00153135">
              <w:rPr>
                <w:rFonts w:ascii="Tahoma" w:hAnsi="Tahoma" w:cs="Tahoma" w:hint="eastAsia"/>
                <w:b/>
                <w:bCs/>
                <w:iCs/>
                <w:color w:val="243285"/>
                <w:sz w:val="36"/>
                <w:szCs w:val="36"/>
              </w:rPr>
              <w:t xml:space="preserve">ITU-R  </w:t>
            </w:r>
            <w:r w:rsidR="001B1011" w:rsidRPr="001B1011">
              <w:rPr>
                <w:rFonts w:ascii="Tahoma" w:hAnsi="Tahoma" w:cs="Tahoma"/>
                <w:b/>
                <w:bCs/>
                <w:iCs/>
                <w:color w:val="243285"/>
                <w:sz w:val="36"/>
                <w:szCs w:val="36"/>
              </w:rPr>
              <w:t xml:space="preserve">TF.374-6 </w:t>
            </w:r>
            <w:r w:rsidR="00DF6A03" w:rsidRPr="00EE5928">
              <w:rPr>
                <w:rFonts w:ascii="SimHei" w:eastAsia="SimHei" w:hAnsi="Verdana" w:cs="Tahoma" w:hint="eastAsia"/>
                <w:b/>
                <w:bCs/>
                <w:color w:val="000080"/>
                <w:sz w:val="36"/>
                <w:szCs w:val="36"/>
                <w:lang w:eastAsia="zh-CN"/>
              </w:rPr>
              <w:t>建议书</w:t>
            </w:r>
          </w:p>
          <w:p w:rsidR="00DF6A03" w:rsidRPr="004F65E4" w:rsidRDefault="00DF6A03" w:rsidP="001B1011">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1B1011">
              <w:rPr>
                <w:rFonts w:ascii="Tahoma" w:hAnsi="Tahoma" w:cs="Tahoma"/>
                <w:b/>
                <w:bCs/>
                <w:iCs/>
                <w:color w:val="243285"/>
                <w:szCs w:val="24"/>
              </w:rPr>
              <w:t>12</w:t>
            </w:r>
            <w:r w:rsidRPr="004F65E4">
              <w:rPr>
                <w:rFonts w:ascii="Tahoma" w:hAnsi="Tahoma" w:cs="Tahoma"/>
                <w:b/>
                <w:bCs/>
                <w:iCs/>
                <w:color w:val="243285"/>
                <w:szCs w:val="24"/>
              </w:rPr>
              <w:t>/</w:t>
            </w:r>
            <w:r>
              <w:rPr>
                <w:rFonts w:ascii="Tahoma" w:hAnsi="Tahoma" w:cs="Tahoma"/>
                <w:b/>
                <w:bCs/>
                <w:iCs/>
                <w:color w:val="243285"/>
                <w:szCs w:val="24"/>
              </w:rPr>
              <w:t>201</w:t>
            </w:r>
            <w:r w:rsidR="001B1011">
              <w:rPr>
                <w:rFonts w:ascii="Tahoma" w:hAnsi="Tahoma" w:cs="Tahoma"/>
                <w:b/>
                <w:bCs/>
                <w:iCs/>
                <w:color w:val="243285"/>
                <w:szCs w:val="24"/>
              </w:rPr>
              <w:t>4</w:t>
            </w:r>
            <w:r w:rsidRPr="004F65E4">
              <w:rPr>
                <w:rFonts w:ascii="Tahoma" w:hAnsi="Tahoma" w:cs="Tahoma"/>
                <w:b/>
                <w:bCs/>
                <w:iCs/>
                <w:color w:val="243285"/>
                <w:szCs w:val="24"/>
              </w:rPr>
              <w:t>)</w:t>
            </w:r>
          </w:p>
        </w:tc>
      </w:tr>
      <w:tr w:rsidR="00DF6A03" w:rsidRPr="00713713" w:rsidTr="00E656C3">
        <w:tc>
          <w:tcPr>
            <w:tcW w:w="10089" w:type="dxa"/>
          </w:tcPr>
          <w:p w:rsidR="00DF6A03" w:rsidRPr="00063817" w:rsidRDefault="00DF6A03" w:rsidP="00E656C3">
            <w:pPr>
              <w:spacing w:before="80" w:line="500" w:lineRule="exact"/>
              <w:jc w:val="right"/>
              <w:rPr>
                <w:rFonts w:ascii="Tahoma" w:hAnsi="Tahoma" w:cs="Tahoma"/>
                <w:b/>
                <w:bCs/>
                <w:iCs/>
                <w:color w:val="243285"/>
                <w:sz w:val="44"/>
                <w:szCs w:val="44"/>
                <w:lang w:eastAsia="zh-CN"/>
              </w:rPr>
            </w:pPr>
          </w:p>
          <w:p w:rsidR="00153135" w:rsidRPr="00153135" w:rsidRDefault="001B1011" w:rsidP="00153135">
            <w:pPr>
              <w:spacing w:before="80" w:line="500" w:lineRule="exact"/>
              <w:jc w:val="right"/>
              <w:rPr>
                <w:rFonts w:ascii="Tahoma" w:eastAsia="SimHei" w:hAnsi="Tahoma" w:cs="Tahoma"/>
                <w:b/>
                <w:bCs/>
                <w:iCs/>
                <w:color w:val="243285"/>
                <w:sz w:val="44"/>
                <w:szCs w:val="44"/>
                <w:lang w:eastAsia="zh-CN"/>
              </w:rPr>
            </w:pPr>
            <w:r w:rsidRPr="001B1011">
              <w:rPr>
                <w:rFonts w:ascii="Tahoma" w:eastAsia="SimHei" w:hAnsi="Tahoma" w:cs="Tahoma" w:hint="eastAsia"/>
                <w:b/>
                <w:bCs/>
                <w:iCs/>
                <w:color w:val="243285"/>
                <w:sz w:val="44"/>
                <w:szCs w:val="44"/>
                <w:lang w:eastAsia="zh-CN"/>
              </w:rPr>
              <w:t>准确频率和时间信号的传输</w:t>
            </w:r>
          </w:p>
          <w:p w:rsidR="00DF6A03" w:rsidRPr="00713713" w:rsidRDefault="00DF6A03" w:rsidP="00153135">
            <w:pPr>
              <w:spacing w:before="80" w:line="500" w:lineRule="exact"/>
              <w:jc w:val="right"/>
              <w:rPr>
                <w:rFonts w:ascii="SimHei" w:eastAsia="SimHei" w:hAnsi="Tahoma" w:cs="Tahoma"/>
                <w:b/>
                <w:bCs/>
                <w:iCs/>
                <w:color w:val="243285"/>
                <w:sz w:val="44"/>
                <w:szCs w:val="44"/>
                <w:lang w:eastAsia="zh-CN"/>
              </w:rPr>
            </w:pPr>
          </w:p>
          <w:p w:rsidR="00DF6A03" w:rsidRPr="00063817" w:rsidRDefault="00DF6A03" w:rsidP="00E656C3">
            <w:pPr>
              <w:spacing w:before="80" w:line="500" w:lineRule="exact"/>
              <w:jc w:val="right"/>
              <w:rPr>
                <w:rFonts w:ascii="Tahoma" w:hAnsi="Tahoma" w:cs="Tahoma"/>
                <w:b/>
                <w:bCs/>
                <w:iCs/>
                <w:color w:val="243285"/>
                <w:sz w:val="44"/>
                <w:szCs w:val="44"/>
                <w:lang w:eastAsia="zh-CN"/>
              </w:rPr>
            </w:pPr>
          </w:p>
        </w:tc>
      </w:tr>
      <w:tr w:rsidR="00DF6A03" w:rsidTr="00E656C3">
        <w:tc>
          <w:tcPr>
            <w:tcW w:w="10089" w:type="dxa"/>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1511A6" w:rsidRDefault="001B1011" w:rsidP="001B1011">
            <w:pPr>
              <w:spacing w:before="80" w:after="180" w:line="360" w:lineRule="exact"/>
              <w:jc w:val="right"/>
              <w:rPr>
                <w:rFonts w:ascii="Tahoma" w:hAnsi="Tahoma" w:cs="Tahoma"/>
                <w:b/>
                <w:bCs/>
                <w:iCs/>
                <w:color w:val="243285"/>
                <w:sz w:val="36"/>
                <w:szCs w:val="36"/>
                <w:lang w:val="en-US"/>
              </w:rPr>
            </w:pPr>
            <w:r>
              <w:rPr>
                <w:rFonts w:ascii="Tahoma" w:hAnsi="Tahoma" w:cs="Tahoma"/>
                <w:b/>
                <w:bCs/>
                <w:iCs/>
                <w:color w:val="243285"/>
                <w:sz w:val="36"/>
                <w:szCs w:val="36"/>
                <w:lang w:val="en-US"/>
              </w:rPr>
              <w:t>TF</w:t>
            </w:r>
            <w:r w:rsidR="00DF6A03" w:rsidRPr="001511A6">
              <w:rPr>
                <w:rFonts w:ascii="Tahoma" w:hAnsi="Tahoma" w:cs="Tahoma"/>
                <w:b/>
                <w:bCs/>
                <w:iCs/>
                <w:color w:val="243285"/>
                <w:sz w:val="36"/>
                <w:szCs w:val="36"/>
                <w:lang w:val="en-US"/>
              </w:rPr>
              <w:t xml:space="preserve"> </w:t>
            </w:r>
            <w:r w:rsidR="00DF6A03" w:rsidRPr="00F128B0">
              <w:rPr>
                <w:rFonts w:ascii="SimHei" w:eastAsia="SimHei" w:hAnsi="Tahoma" w:cs="Tahoma" w:hint="eastAsia"/>
                <w:b/>
                <w:bCs/>
                <w:color w:val="000080"/>
                <w:sz w:val="36"/>
                <w:szCs w:val="36"/>
                <w:lang w:val="en-US"/>
              </w:rPr>
              <w:t>系列</w:t>
            </w:r>
          </w:p>
          <w:p w:rsidR="00DF6A03" w:rsidRDefault="001B1011" w:rsidP="00153135">
            <w:pPr>
              <w:spacing w:before="80" w:line="360" w:lineRule="exact"/>
              <w:jc w:val="right"/>
              <w:rPr>
                <w:rFonts w:ascii="Arial" w:eastAsia="SimHei" w:hAnsi="Arial" w:cs="Arial"/>
                <w:b/>
                <w:bCs/>
                <w:color w:val="000080"/>
                <w:sz w:val="36"/>
                <w:szCs w:val="36"/>
                <w:lang w:val="en-US"/>
              </w:rPr>
            </w:pPr>
            <w:r w:rsidRPr="001B1011">
              <w:rPr>
                <w:rFonts w:ascii="Arial" w:eastAsia="SimHei" w:hAnsi="Arial" w:cs="Arial" w:hint="eastAsia"/>
                <w:b/>
                <w:bCs/>
                <w:color w:val="000080"/>
                <w:sz w:val="36"/>
                <w:szCs w:val="36"/>
                <w:lang w:val="en-US"/>
              </w:rPr>
              <w:t>时间信号和频率标准发射</w:t>
            </w:r>
          </w:p>
          <w:p w:rsidR="00153135" w:rsidRPr="00E406BD" w:rsidRDefault="00153135" w:rsidP="00153135">
            <w:pPr>
              <w:spacing w:before="80" w:line="400" w:lineRule="exact"/>
              <w:jc w:val="right"/>
              <w:rPr>
                <w:rFonts w:ascii="Tahoma" w:hAnsi="Tahoma" w:cs="Tahoma"/>
                <w:b/>
                <w:bCs/>
                <w:iCs/>
                <w:color w:val="243285"/>
                <w:sz w:val="36"/>
                <w:szCs w:val="36"/>
                <w:lang w:val="en-US"/>
              </w:rPr>
            </w:pPr>
          </w:p>
        </w:tc>
      </w:tr>
    </w:tbl>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pPr>
        <w:sectPr w:rsidR="00DF6A03" w:rsidSect="004E5703">
          <w:headerReference w:type="default" r:id="rId7"/>
          <w:foot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7C537B">
      <w:pPr>
        <w:pStyle w:val="Heading1"/>
        <w:spacing w:before="120"/>
        <w:jc w:val="center"/>
      </w:pPr>
      <w:r w:rsidRPr="00200DF9">
        <w:rPr>
          <w:rFonts w:hint="eastAsia"/>
        </w:rPr>
        <w:lastRenderedPageBreak/>
        <w:t>前言</w:t>
      </w:r>
    </w:p>
    <w:p w:rsidR="00DF6A03" w:rsidRPr="00355C93" w:rsidRDefault="00DF6A03" w:rsidP="00DF6A03">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DF6A03">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5558B3" w:rsidRDefault="00DF6A03" w:rsidP="00716D2C">
      <w:pPr>
        <w:pStyle w:val="Heading1"/>
        <w:jc w:val="center"/>
        <w:rPr>
          <w:lang w:val="en-US" w:eastAsia="zh-CN"/>
        </w:rPr>
      </w:pPr>
      <w:r w:rsidRPr="005558B3">
        <w:rPr>
          <w:rFonts w:hint="eastAsia"/>
          <w:lang w:val="en-US" w:eastAsia="zh-CN"/>
        </w:rPr>
        <w:t>知识产权政策（</w:t>
      </w:r>
      <w:r w:rsidRPr="005558B3">
        <w:rPr>
          <w:lang w:val="en-US" w:eastAsia="zh-CN"/>
        </w:rPr>
        <w:t>IPR</w:t>
      </w:r>
      <w:r w:rsidRPr="005558B3">
        <w:rPr>
          <w:rFonts w:hint="eastAsia"/>
          <w:lang w:val="en-US" w:eastAsia="zh-CN"/>
        </w:rPr>
        <w:t>）</w:t>
      </w:r>
    </w:p>
    <w:p w:rsidR="00DF6A03" w:rsidRPr="00355C93" w:rsidRDefault="00DF6A03" w:rsidP="00DF6A03">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w:t>
      </w:r>
      <w:bookmarkStart w:id="0" w:name="_GoBack"/>
      <w:bookmarkEnd w:id="0"/>
      <w:r w:rsidRPr="00355C93">
        <w:rPr>
          <w:rFonts w:hint="eastAsia"/>
          <w:sz w:val="20"/>
          <w:lang w:eastAsia="zh-CN"/>
        </w:rPr>
        <w:t>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F6A03" w:rsidRPr="00713713" w:rsidTr="00713B4F">
        <w:tc>
          <w:tcPr>
            <w:tcW w:w="9748" w:type="dxa"/>
            <w:gridSpan w:val="2"/>
          </w:tcPr>
          <w:p w:rsidR="00DF6A03" w:rsidRPr="005558B3"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DF6A03" w:rsidRPr="005558B3" w:rsidRDefault="00DF6A03" w:rsidP="00E656C3">
            <w:pPr>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E656C3">
            <w:pPr>
              <w:spacing w:after="40"/>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BO</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BR</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BS</w:t>
            </w:r>
          </w:p>
        </w:tc>
        <w:tc>
          <w:tcPr>
            <w:tcW w:w="8788" w:type="dxa"/>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E656C3">
            <w:pPr>
              <w:spacing w:before="30" w:after="30"/>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B1011">
        <w:tc>
          <w:tcPr>
            <w:tcW w:w="960" w:type="dxa"/>
            <w:tcBorders>
              <w:top w:val="nil"/>
              <w:bottom w:val="nil"/>
            </w:tcBorders>
            <w:shd w:val="clear" w:color="auto" w:fill="auto"/>
          </w:tcPr>
          <w:p w:rsidR="00DF6A03" w:rsidRPr="00153135" w:rsidRDefault="00DF6A03" w:rsidP="00E656C3">
            <w:pPr>
              <w:spacing w:before="30" w:after="30"/>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E656C3">
            <w:pPr>
              <w:spacing w:before="30" w:after="30"/>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1B1011" w:rsidRPr="001B1011" w:rsidTr="001B1011">
        <w:tc>
          <w:tcPr>
            <w:tcW w:w="960" w:type="dxa"/>
            <w:tcBorders>
              <w:top w:val="nil"/>
              <w:bottom w:val="nil"/>
            </w:tcBorders>
            <w:shd w:val="clear" w:color="auto" w:fill="auto"/>
          </w:tcPr>
          <w:p w:rsidR="00DF6A03" w:rsidRPr="001B1011" w:rsidRDefault="00DF6A03" w:rsidP="00E656C3">
            <w:pPr>
              <w:spacing w:before="30" w:after="30"/>
              <w:ind w:left="57"/>
              <w:jc w:val="left"/>
              <w:rPr>
                <w:rFonts w:ascii="Times New Roman Bold" w:hAnsi="Times New Roman Bold" w:cs="Times New Roman Bold"/>
                <w:sz w:val="20"/>
                <w:lang w:val="fr-CH"/>
              </w:rPr>
            </w:pPr>
            <w:r w:rsidRPr="001B1011">
              <w:rPr>
                <w:rFonts w:ascii="Times New Roman Bold" w:hAnsi="Times New Roman Bold" w:cs="Times New Roman Bold"/>
                <w:sz w:val="20"/>
                <w:lang w:val="fr-CH"/>
              </w:rPr>
              <w:t>M</w:t>
            </w:r>
          </w:p>
        </w:tc>
        <w:tc>
          <w:tcPr>
            <w:tcW w:w="8788" w:type="dxa"/>
            <w:tcBorders>
              <w:top w:val="nil"/>
              <w:bottom w:val="nil"/>
            </w:tcBorders>
            <w:shd w:val="clear" w:color="auto" w:fill="auto"/>
          </w:tcPr>
          <w:p w:rsidR="00DF6A03" w:rsidRPr="001B1011" w:rsidRDefault="00DF6A03" w:rsidP="00E656C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 w:val="0"/>
                <w:sz w:val="20"/>
                <w:lang w:val="fr-CH"/>
              </w:rPr>
            </w:pPr>
            <w:r w:rsidRPr="001B1011">
              <w:rPr>
                <w:rFonts w:ascii="Times New Roman Bold" w:hAnsi="Times New Roman Bold" w:cs="Times New Roman Bold" w:hint="eastAsia"/>
                <w:b w:val="0"/>
                <w:sz w:val="20"/>
                <w:lang w:val="fr-CH"/>
              </w:rPr>
              <w:t>移动、无线电定位、业余和相关卫星业务</w:t>
            </w:r>
          </w:p>
        </w:tc>
      </w:tr>
      <w:tr w:rsidR="00DF6A03" w:rsidRPr="004D5B22" w:rsidTr="00E9017A">
        <w:tc>
          <w:tcPr>
            <w:tcW w:w="960" w:type="dxa"/>
            <w:tcBorders>
              <w:top w:val="nil"/>
            </w:tcBorders>
          </w:tcPr>
          <w:p w:rsidR="00DF6A03" w:rsidRPr="004D5B22" w:rsidRDefault="00DF6A03" w:rsidP="00E656C3">
            <w:pPr>
              <w:spacing w:before="30" w:after="30"/>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E656C3">
            <w:pPr>
              <w:spacing w:before="30" w:after="30"/>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RA</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RS</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E656C3">
            <w:pPr>
              <w:spacing w:before="30" w:after="30"/>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E656C3">
            <w:pPr>
              <w:spacing w:before="30" w:after="30"/>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SA</w:t>
            </w:r>
          </w:p>
        </w:tc>
        <w:tc>
          <w:tcPr>
            <w:tcW w:w="8788" w:type="dxa"/>
          </w:tcPr>
          <w:p w:rsidR="00DF6A03" w:rsidRPr="004D5B22" w:rsidRDefault="00DF6A03" w:rsidP="00E656C3">
            <w:pPr>
              <w:spacing w:before="30" w:after="30"/>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SF</w:t>
            </w:r>
          </w:p>
        </w:tc>
        <w:tc>
          <w:tcPr>
            <w:tcW w:w="8788" w:type="dxa"/>
          </w:tcPr>
          <w:p w:rsidR="00DF6A03" w:rsidRPr="004D5B22" w:rsidRDefault="00DF6A03" w:rsidP="00E656C3">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E656C3">
            <w:pPr>
              <w:spacing w:before="30" w:after="30"/>
              <w:ind w:left="57"/>
              <w:jc w:val="left"/>
              <w:rPr>
                <w:b/>
                <w:bCs/>
                <w:sz w:val="20"/>
                <w:lang w:val="en-US"/>
              </w:rPr>
            </w:pPr>
            <w:r w:rsidRPr="004D5B22">
              <w:rPr>
                <w:b/>
                <w:bCs/>
                <w:sz w:val="20"/>
                <w:lang w:val="en-US"/>
              </w:rPr>
              <w:t>SM</w:t>
            </w:r>
          </w:p>
        </w:tc>
        <w:tc>
          <w:tcPr>
            <w:tcW w:w="8788" w:type="dxa"/>
          </w:tcPr>
          <w:p w:rsidR="00DF6A03" w:rsidRPr="004D5B22" w:rsidRDefault="00DF6A03" w:rsidP="00E656C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1B1011">
        <w:tc>
          <w:tcPr>
            <w:tcW w:w="960" w:type="dxa"/>
            <w:tcBorders>
              <w:bottom w:val="nil"/>
            </w:tcBorders>
          </w:tcPr>
          <w:p w:rsidR="00DF6A03" w:rsidRPr="004D5B22" w:rsidRDefault="00DF6A03" w:rsidP="00E656C3">
            <w:pPr>
              <w:spacing w:before="30" w:after="30"/>
              <w:ind w:left="57"/>
              <w:jc w:val="left"/>
              <w:rPr>
                <w:b/>
                <w:bCs/>
                <w:sz w:val="20"/>
                <w:lang w:val="en-US"/>
              </w:rPr>
            </w:pPr>
            <w:r w:rsidRPr="004D5B22">
              <w:rPr>
                <w:b/>
                <w:bCs/>
                <w:sz w:val="20"/>
                <w:lang w:val="en-US"/>
              </w:rPr>
              <w:t>SNG</w:t>
            </w:r>
          </w:p>
        </w:tc>
        <w:tc>
          <w:tcPr>
            <w:tcW w:w="8788" w:type="dxa"/>
            <w:tcBorders>
              <w:bottom w:val="nil"/>
            </w:tcBorders>
          </w:tcPr>
          <w:p w:rsidR="00DF6A03" w:rsidRPr="004D5B22" w:rsidRDefault="00DF6A03" w:rsidP="00E656C3">
            <w:pPr>
              <w:spacing w:before="30" w:after="30"/>
              <w:jc w:val="left"/>
              <w:rPr>
                <w:sz w:val="20"/>
                <w:lang w:val="en-US"/>
              </w:rPr>
            </w:pPr>
            <w:r w:rsidRPr="004D5B22">
              <w:rPr>
                <w:rFonts w:hint="eastAsia"/>
                <w:sz w:val="20"/>
                <w:lang w:val="en-US" w:eastAsia="zh-CN"/>
              </w:rPr>
              <w:t>卫星新闻采集</w:t>
            </w:r>
          </w:p>
        </w:tc>
      </w:tr>
      <w:tr w:rsidR="001B1011" w:rsidRPr="001B1011" w:rsidTr="001B1011">
        <w:tc>
          <w:tcPr>
            <w:tcW w:w="960" w:type="dxa"/>
            <w:tcBorders>
              <w:top w:val="nil"/>
              <w:bottom w:val="nil"/>
            </w:tcBorders>
            <w:shd w:val="pct5" w:color="auto" w:fill="auto"/>
          </w:tcPr>
          <w:p w:rsidR="00DF6A03" w:rsidRPr="001B1011" w:rsidRDefault="00DF6A03" w:rsidP="00E656C3">
            <w:pPr>
              <w:spacing w:before="30" w:after="30"/>
              <w:ind w:left="57"/>
              <w:jc w:val="left"/>
              <w:rPr>
                <w:b/>
                <w:bCs/>
                <w:color w:val="000080"/>
                <w:sz w:val="20"/>
                <w:lang w:val="en-US"/>
              </w:rPr>
            </w:pPr>
            <w:r w:rsidRPr="001B1011">
              <w:rPr>
                <w:b/>
                <w:bCs/>
                <w:color w:val="000080"/>
                <w:sz w:val="20"/>
                <w:lang w:val="en-US"/>
              </w:rPr>
              <w:t>TF</w:t>
            </w:r>
          </w:p>
        </w:tc>
        <w:tc>
          <w:tcPr>
            <w:tcW w:w="8788" w:type="dxa"/>
            <w:tcBorders>
              <w:top w:val="nil"/>
              <w:bottom w:val="nil"/>
            </w:tcBorders>
            <w:shd w:val="pct5" w:color="auto" w:fill="auto"/>
          </w:tcPr>
          <w:p w:rsidR="00DF6A03" w:rsidRPr="001B1011" w:rsidRDefault="00DF6A03" w:rsidP="00E656C3">
            <w:pPr>
              <w:spacing w:before="30" w:after="30"/>
              <w:jc w:val="left"/>
              <w:rPr>
                <w:b/>
                <w:bCs/>
                <w:color w:val="000080"/>
                <w:sz w:val="20"/>
                <w:lang w:val="en-US" w:eastAsia="zh-CN"/>
              </w:rPr>
            </w:pPr>
            <w:r w:rsidRPr="001B1011">
              <w:rPr>
                <w:rFonts w:hint="eastAsia"/>
                <w:b/>
                <w:bCs/>
                <w:color w:val="000080"/>
                <w:sz w:val="20"/>
                <w:lang w:val="en-US" w:eastAsia="zh-CN"/>
              </w:rPr>
              <w:t>时间信号和频率标准发射</w:t>
            </w:r>
          </w:p>
        </w:tc>
      </w:tr>
      <w:tr w:rsidR="00DF6A03" w:rsidRPr="004D5B22" w:rsidTr="001B1011">
        <w:tc>
          <w:tcPr>
            <w:tcW w:w="960" w:type="dxa"/>
            <w:tcBorders>
              <w:top w:val="nil"/>
            </w:tcBorders>
          </w:tcPr>
          <w:p w:rsidR="00DF6A03" w:rsidRPr="004D5B22" w:rsidRDefault="00DF6A03" w:rsidP="00E656C3">
            <w:pPr>
              <w:spacing w:before="30" w:after="30"/>
              <w:ind w:left="57"/>
              <w:jc w:val="left"/>
              <w:rPr>
                <w:b/>
                <w:bCs/>
                <w:sz w:val="20"/>
                <w:lang w:val="en-US"/>
              </w:rPr>
            </w:pPr>
            <w:r w:rsidRPr="004D5B22">
              <w:rPr>
                <w:b/>
                <w:bCs/>
                <w:sz w:val="20"/>
                <w:lang w:val="en-US"/>
              </w:rPr>
              <w:t>V</w:t>
            </w:r>
          </w:p>
        </w:tc>
        <w:tc>
          <w:tcPr>
            <w:tcW w:w="8788" w:type="dxa"/>
            <w:tcBorders>
              <w:top w:val="nil"/>
            </w:tcBorders>
          </w:tcPr>
          <w:p w:rsidR="00DF6A03" w:rsidRPr="004D5B22" w:rsidRDefault="00DF6A03" w:rsidP="00E656C3">
            <w:pPr>
              <w:spacing w:before="30" w:after="180"/>
              <w:jc w:val="left"/>
              <w:rPr>
                <w:sz w:val="20"/>
                <w:lang w:val="en-US"/>
              </w:rPr>
            </w:pPr>
            <w:r w:rsidRPr="004D5B22">
              <w:rPr>
                <w:rFonts w:hint="eastAsia"/>
                <w:sz w:val="20"/>
                <w:lang w:val="en-US" w:eastAsia="zh-CN"/>
              </w:rPr>
              <w:t>词汇和相关问题</w:t>
            </w:r>
          </w:p>
        </w:tc>
      </w:tr>
    </w:tbl>
    <w:p w:rsidR="00DF6A03" w:rsidRDefault="00DF6A03" w:rsidP="00DF6A03">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F6A03" w:rsidRPr="004D5B22" w:rsidTr="00713B4F">
        <w:tc>
          <w:tcPr>
            <w:tcW w:w="9775" w:type="dxa"/>
          </w:tcPr>
          <w:p w:rsidR="00DF6A03" w:rsidRPr="003C2890" w:rsidRDefault="00DF6A03" w:rsidP="00E656C3">
            <w:pPr>
              <w:spacing w:after="120"/>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713713">
              <w:rPr>
                <w:rFonts w:eastAsia="STKaiti" w:hAnsi="STKaiti" w:hint="eastAsia"/>
                <w:iCs/>
                <w:smallCaps/>
                <w:sz w:val="20"/>
                <w:lang w:val="en-US" w:eastAsia="zh-CN"/>
              </w:rPr>
              <w:t>本</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建议书英文版已按</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第</w:t>
            </w:r>
            <w:r w:rsidRPr="00713713">
              <w:rPr>
                <w:rFonts w:eastAsia="STKaiti"/>
                <w:bCs/>
                <w:iCs/>
                <w:smallCaps/>
                <w:sz w:val="20"/>
                <w:lang w:val="en-US" w:eastAsia="zh-CN"/>
              </w:rPr>
              <w:t>1</w:t>
            </w:r>
            <w:r w:rsidRPr="00713713">
              <w:rPr>
                <w:rFonts w:eastAsia="STKaiti" w:hAnsi="STKaiti" w:hint="eastAsia"/>
                <w:bCs/>
                <w:iCs/>
                <w:smallCaps/>
                <w:sz w:val="20"/>
                <w:lang w:val="en-US" w:eastAsia="zh-CN"/>
              </w:rPr>
              <w:t>号决议规定的程序批准。</w:t>
            </w:r>
          </w:p>
        </w:tc>
      </w:tr>
    </w:tbl>
    <w:p w:rsidR="00DF6A03" w:rsidRPr="00355C93" w:rsidRDefault="00DF6A03" w:rsidP="00D97756">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D97756">
        <w:rPr>
          <w:sz w:val="20"/>
          <w:lang w:eastAsia="zh-CN"/>
        </w:rPr>
        <w:t>5</w:t>
      </w:r>
      <w:r w:rsidRPr="00355C93">
        <w:rPr>
          <w:rFonts w:hint="eastAsia"/>
          <w:sz w:val="20"/>
          <w:lang w:eastAsia="zh-CN"/>
        </w:rPr>
        <w:t>年，日内瓦</w:t>
      </w:r>
    </w:p>
    <w:p w:rsidR="00DF6A03" w:rsidRPr="00A613D0" w:rsidRDefault="00DF6A03" w:rsidP="00D97756">
      <w:pPr>
        <w:spacing w:before="600"/>
        <w:jc w:val="center"/>
        <w:rPr>
          <w:sz w:val="20"/>
          <w:lang w:val="en-US" w:eastAsia="zh-CN"/>
        </w:rPr>
      </w:pPr>
      <w:r w:rsidRPr="00A613D0">
        <w:rPr>
          <w:sz w:val="20"/>
          <w:lang w:val="en-US"/>
        </w:rPr>
        <w:sym w:font="Symbol" w:char="F0E3"/>
      </w:r>
      <w:r w:rsidRPr="00A613D0">
        <w:rPr>
          <w:sz w:val="20"/>
          <w:lang w:val="en-US" w:eastAsia="zh-CN"/>
        </w:rPr>
        <w:t xml:space="preserve"> </w:t>
      </w:r>
      <w:bookmarkStart w:id="1" w:name="iiannee"/>
      <w:bookmarkEnd w:id="1"/>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D97756">
        <w:rPr>
          <w:sz w:val="20"/>
          <w:lang w:val="en-US" w:eastAsia="zh-CN"/>
        </w:rPr>
        <w:t>5</w:t>
      </w:r>
    </w:p>
    <w:p w:rsidR="00DF6A03" w:rsidRDefault="00DF6A03" w:rsidP="00200DF9">
      <w:pPr>
        <w:ind w:firstLineChars="200" w:firstLine="360"/>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DF6A03" w:rsidRDefault="00DF6A03">
      <w:pPr>
        <w:sectPr w:rsidR="00DF6A03" w:rsidSect="007C537B">
          <w:headerReference w:type="even" r:id="rId13"/>
          <w:headerReference w:type="default" r:id="rId14"/>
          <w:footerReference w:type="default" r:id="rId15"/>
          <w:headerReference w:type="first" r:id="rId16"/>
          <w:pgSz w:w="11907" w:h="16840" w:code="9"/>
          <w:pgMar w:top="1418" w:right="1134" w:bottom="1134" w:left="1134" w:header="720" w:footer="482" w:gutter="0"/>
          <w:pgNumType w:fmt="lowerRoman" w:start="2"/>
          <w:cols w:space="708"/>
          <w:titlePg/>
          <w:docGrid w:linePitch="360"/>
        </w:sectPr>
      </w:pPr>
    </w:p>
    <w:p w:rsidR="001B1011" w:rsidRPr="009F08F6" w:rsidRDefault="001B1011" w:rsidP="001B1011">
      <w:pPr>
        <w:pStyle w:val="RecNoBR"/>
        <w:spacing w:before="240"/>
        <w:rPr>
          <w:lang w:eastAsia="zh-CN"/>
        </w:rPr>
      </w:pPr>
      <w:r w:rsidRPr="009F08F6">
        <w:rPr>
          <w:lang w:eastAsia="zh-CN"/>
        </w:rPr>
        <w:lastRenderedPageBreak/>
        <w:t xml:space="preserve">ITU-R </w:t>
      </w:r>
      <w:r>
        <w:rPr>
          <w:lang w:eastAsia="zh-CN"/>
        </w:rPr>
        <w:t>TF.374</w:t>
      </w:r>
      <w:r w:rsidRPr="009F08F6">
        <w:rPr>
          <w:lang w:eastAsia="zh-CN"/>
        </w:rPr>
        <w:t>-</w:t>
      </w:r>
      <w:r>
        <w:rPr>
          <w:lang w:eastAsia="zh-CN"/>
        </w:rPr>
        <w:t>6</w:t>
      </w:r>
      <w:r w:rsidRPr="009F08F6">
        <w:rPr>
          <w:rFonts w:hint="eastAsia"/>
          <w:lang w:eastAsia="zh-CN"/>
        </w:rPr>
        <w:t xml:space="preserve"> </w:t>
      </w:r>
      <w:r w:rsidRPr="009F08F6">
        <w:rPr>
          <w:rFonts w:hint="eastAsia"/>
          <w:lang w:eastAsia="zh-CN"/>
        </w:rPr>
        <w:t>建议书</w:t>
      </w:r>
    </w:p>
    <w:p w:rsidR="001B1011" w:rsidRDefault="001B1011" w:rsidP="001B1011">
      <w:pPr>
        <w:pStyle w:val="RectitleBR"/>
        <w:rPr>
          <w:lang w:val="en-US" w:eastAsia="zh-CN"/>
        </w:rPr>
      </w:pPr>
      <w:r w:rsidRPr="008E5B67">
        <w:rPr>
          <w:rFonts w:hint="eastAsia"/>
          <w:lang w:val="en-US" w:eastAsia="zh-CN"/>
        </w:rPr>
        <w:t>时间信号和频率标准发射</w:t>
      </w:r>
    </w:p>
    <w:p w:rsidR="001B1011" w:rsidRPr="00FD1768" w:rsidRDefault="001B1011" w:rsidP="001B1011">
      <w:pPr>
        <w:pStyle w:val="RecTitleRef"/>
        <w:rPr>
          <w:rFonts w:eastAsiaTheme="minorEastAsia"/>
          <w:sz w:val="24"/>
          <w:szCs w:val="24"/>
          <w:lang w:val="fr-CH" w:eastAsia="zh-CN"/>
        </w:rPr>
      </w:pPr>
      <w:r w:rsidRPr="004B00BD">
        <w:rPr>
          <w:sz w:val="24"/>
          <w:szCs w:val="24"/>
          <w:lang w:val="fr-CH" w:eastAsia="zh-CN"/>
        </w:rPr>
        <w:t>(ITU-R 152-2/7</w:t>
      </w:r>
      <w:r>
        <w:rPr>
          <w:rFonts w:ascii="SimSun" w:eastAsia="SimSun" w:hAnsi="SimSun" w:cs="SimSun" w:hint="eastAsia"/>
          <w:sz w:val="24"/>
          <w:szCs w:val="24"/>
          <w:lang w:val="fr-CH" w:eastAsia="zh-CN"/>
        </w:rPr>
        <w:t>、</w:t>
      </w:r>
      <w:r w:rsidRPr="004B00BD">
        <w:rPr>
          <w:sz w:val="24"/>
          <w:szCs w:val="24"/>
          <w:lang w:val="fr-CH" w:eastAsia="zh-CN"/>
        </w:rPr>
        <w:t>244/7</w:t>
      </w:r>
      <w:r>
        <w:rPr>
          <w:rFonts w:ascii="SimSun" w:eastAsia="SimSun" w:hAnsi="SimSun" w:cs="SimSun" w:hint="eastAsia"/>
          <w:sz w:val="24"/>
          <w:szCs w:val="24"/>
          <w:lang w:val="fr-CH" w:eastAsia="zh-CN"/>
        </w:rPr>
        <w:t>、</w:t>
      </w:r>
      <w:r w:rsidRPr="004B00BD">
        <w:rPr>
          <w:sz w:val="24"/>
          <w:szCs w:val="24"/>
          <w:lang w:val="fr-CH" w:eastAsia="zh-CN"/>
        </w:rPr>
        <w:t>248/7</w:t>
      </w:r>
      <w:r>
        <w:rPr>
          <w:rFonts w:ascii="SimSun" w:eastAsia="SimSun" w:hAnsi="SimSun" w:cs="SimSun" w:hint="eastAsia"/>
          <w:sz w:val="24"/>
          <w:szCs w:val="24"/>
          <w:lang w:val="fr-CH" w:eastAsia="zh-CN"/>
        </w:rPr>
        <w:t>和</w:t>
      </w:r>
      <w:r w:rsidRPr="004B00BD">
        <w:rPr>
          <w:sz w:val="24"/>
          <w:szCs w:val="24"/>
          <w:lang w:val="fr-CH" w:eastAsia="zh-CN"/>
        </w:rPr>
        <w:t>250/7</w:t>
      </w:r>
      <w:r>
        <w:rPr>
          <w:rFonts w:eastAsiaTheme="minorEastAsia" w:hint="eastAsia"/>
          <w:sz w:val="24"/>
          <w:szCs w:val="24"/>
          <w:lang w:val="fr-CH" w:eastAsia="zh-CN"/>
        </w:rPr>
        <w:t>号课题</w:t>
      </w:r>
      <w:r w:rsidRPr="004B00BD">
        <w:rPr>
          <w:sz w:val="24"/>
          <w:szCs w:val="24"/>
          <w:lang w:val="fr-CH" w:eastAsia="zh-CN"/>
        </w:rPr>
        <w:t>)</w:t>
      </w:r>
    </w:p>
    <w:p w:rsidR="001B1011" w:rsidRPr="001A5F09" w:rsidRDefault="001B1011" w:rsidP="001B1011">
      <w:pPr>
        <w:pStyle w:val="Recdate"/>
        <w:rPr>
          <w:lang w:val="fr-CH" w:eastAsia="zh-CN"/>
        </w:rPr>
      </w:pPr>
      <w:r w:rsidRPr="004B00BD">
        <w:rPr>
          <w:lang w:val="fr-CH" w:eastAsia="zh-CN"/>
        </w:rPr>
        <w:t>(1951-1953-1956-1959-1963-1966-1970-1974-1998-1999-201</w:t>
      </w:r>
      <w:r w:rsidRPr="00452E1F">
        <w:rPr>
          <w:lang w:val="fr-CH" w:eastAsia="zh-CN"/>
        </w:rPr>
        <w:t>4</w:t>
      </w:r>
      <w:r>
        <w:rPr>
          <w:rFonts w:hint="eastAsia"/>
          <w:lang w:val="fr-CH" w:eastAsia="zh-CN"/>
        </w:rPr>
        <w:t>年</w:t>
      </w:r>
      <w:r w:rsidRPr="004B00BD">
        <w:rPr>
          <w:lang w:val="fr-CH" w:eastAsia="zh-CN"/>
        </w:rPr>
        <w:t>)</w:t>
      </w:r>
    </w:p>
    <w:p w:rsidR="001B1011" w:rsidRPr="009F08F6" w:rsidRDefault="001B1011" w:rsidP="001B1011">
      <w:pPr>
        <w:pStyle w:val="HeadingSum"/>
        <w:rPr>
          <w:lang w:eastAsia="zh-CN"/>
        </w:rPr>
      </w:pPr>
      <w:r w:rsidRPr="009F08F6">
        <w:rPr>
          <w:rFonts w:hint="eastAsia"/>
          <w:lang w:eastAsia="zh-CN"/>
        </w:rPr>
        <w:t>范围</w:t>
      </w:r>
    </w:p>
    <w:p w:rsidR="001B1011" w:rsidRPr="0025600B" w:rsidRDefault="001B1011" w:rsidP="001B1011">
      <w:pPr>
        <w:pStyle w:val="Summary"/>
        <w:ind w:firstLineChars="200" w:firstLine="440"/>
        <w:rPr>
          <w:lang w:val="en-US" w:eastAsia="zh-CN"/>
        </w:rPr>
      </w:pPr>
      <w:r>
        <w:rPr>
          <w:rFonts w:hint="eastAsia"/>
          <w:lang w:val="en-US" w:eastAsia="zh-CN"/>
        </w:rPr>
        <w:t>本文件</w:t>
      </w:r>
      <w:r>
        <w:rPr>
          <w:lang w:val="en-US" w:eastAsia="zh-CN"/>
        </w:rPr>
        <w:t>介绍了</w:t>
      </w:r>
      <w:r>
        <w:rPr>
          <w:rFonts w:hint="eastAsia"/>
          <w:lang w:val="en-US" w:eastAsia="zh-CN"/>
        </w:rPr>
        <w:t>用于</w:t>
      </w:r>
      <w:r w:rsidRPr="00FD1768">
        <w:rPr>
          <w:rFonts w:hint="eastAsia"/>
          <w:lang w:val="en-US" w:eastAsia="zh-CN"/>
        </w:rPr>
        <w:t>准确频率和时间信号传输的</w:t>
      </w:r>
      <w:r>
        <w:rPr>
          <w:rFonts w:hint="eastAsia"/>
          <w:lang w:val="en-US" w:eastAsia="zh-CN"/>
        </w:rPr>
        <w:t>频率指配，</w:t>
      </w:r>
      <w:r w:rsidRPr="00A209E5">
        <w:rPr>
          <w:rFonts w:hint="eastAsia"/>
          <w:lang w:val="en-US" w:eastAsia="zh-CN"/>
        </w:rPr>
        <w:t>包括</w:t>
      </w:r>
      <w:r>
        <w:rPr>
          <w:rFonts w:hint="eastAsia"/>
          <w:lang w:val="en-US" w:eastAsia="zh-CN"/>
        </w:rPr>
        <w:t>新兴的</w:t>
      </w:r>
      <w:r>
        <w:rPr>
          <w:lang w:val="en-US" w:eastAsia="zh-CN"/>
        </w:rPr>
        <w:t>卫星导航系统</w:t>
      </w:r>
      <w:r>
        <w:rPr>
          <w:rFonts w:hint="eastAsia"/>
          <w:lang w:val="en-US" w:eastAsia="zh-CN"/>
        </w:rPr>
        <w:t>及</w:t>
      </w:r>
      <w:r w:rsidRPr="00A209E5">
        <w:rPr>
          <w:rFonts w:hint="eastAsia"/>
          <w:lang w:val="en-US" w:eastAsia="zh-CN"/>
        </w:rPr>
        <w:t>其业务所占频段。</w:t>
      </w:r>
      <w:r>
        <w:rPr>
          <w:rFonts w:hint="eastAsia"/>
          <w:lang w:val="en-US" w:eastAsia="zh-CN"/>
        </w:rPr>
        <w:t>与</w:t>
      </w:r>
      <w:r>
        <w:rPr>
          <w:lang w:val="en-US" w:eastAsia="zh-CN"/>
        </w:rPr>
        <w:t>当今设置的系统</w:t>
      </w:r>
      <w:r>
        <w:rPr>
          <w:rFonts w:hint="eastAsia"/>
          <w:lang w:val="en-US" w:eastAsia="zh-CN"/>
        </w:rPr>
        <w:t>相同</w:t>
      </w:r>
      <w:r>
        <w:rPr>
          <w:lang w:val="en-US" w:eastAsia="zh-CN"/>
        </w:rPr>
        <w:t>，</w:t>
      </w:r>
      <w:r>
        <w:rPr>
          <w:rFonts w:hint="eastAsia"/>
          <w:lang w:val="en-US" w:eastAsia="zh-CN"/>
        </w:rPr>
        <w:t>新兴的</w:t>
      </w:r>
      <w:r>
        <w:rPr>
          <w:lang w:val="en-US" w:eastAsia="zh-CN"/>
        </w:rPr>
        <w:t>卫星导航系统</w:t>
      </w:r>
      <w:r w:rsidRPr="00A209E5">
        <w:rPr>
          <w:rFonts w:hint="eastAsia"/>
          <w:lang w:val="en-US" w:eastAsia="zh-CN"/>
        </w:rPr>
        <w:t>将</w:t>
      </w:r>
      <w:r>
        <w:rPr>
          <w:rFonts w:hint="eastAsia"/>
          <w:lang w:val="en-US" w:eastAsia="zh-CN"/>
        </w:rPr>
        <w:t>在</w:t>
      </w:r>
      <w:r>
        <w:rPr>
          <w:lang w:val="en-US" w:eastAsia="zh-CN"/>
        </w:rPr>
        <w:t>时间和频率</w:t>
      </w:r>
      <w:r>
        <w:rPr>
          <w:rFonts w:hint="eastAsia"/>
          <w:lang w:val="en-US" w:eastAsia="zh-CN"/>
        </w:rPr>
        <w:t>传播</w:t>
      </w:r>
      <w:r>
        <w:rPr>
          <w:lang w:val="en-US" w:eastAsia="zh-CN"/>
        </w:rPr>
        <w:t>方面</w:t>
      </w:r>
      <w:r w:rsidRPr="00A209E5">
        <w:rPr>
          <w:rFonts w:hint="eastAsia"/>
          <w:lang w:val="en-US" w:eastAsia="zh-CN"/>
        </w:rPr>
        <w:t>迅速发挥与现有系统同样重要的作用。</w:t>
      </w:r>
    </w:p>
    <w:p w:rsidR="001B1011" w:rsidRPr="00FE4F4D" w:rsidRDefault="001B1011" w:rsidP="001B1011">
      <w:pPr>
        <w:pStyle w:val="Normalaftertitle"/>
        <w:rPr>
          <w:lang w:eastAsia="zh-CN"/>
        </w:rPr>
      </w:pPr>
      <w:r w:rsidRPr="00FE4F4D">
        <w:rPr>
          <w:rFonts w:hint="eastAsia"/>
          <w:lang w:val="zh-CN" w:eastAsia="zh-CN"/>
        </w:rPr>
        <w:t>国际电联无线电通信全会，</w:t>
      </w:r>
    </w:p>
    <w:p w:rsidR="001B1011" w:rsidRPr="001E2A51" w:rsidRDefault="001B1011" w:rsidP="001B1011">
      <w:pPr>
        <w:pStyle w:val="Call"/>
        <w:rPr>
          <w:rFonts w:ascii="STKaiti" w:hAnsi="STKaiti"/>
          <w:i/>
          <w:iCs/>
          <w:lang w:eastAsia="zh-CN"/>
        </w:rPr>
      </w:pPr>
      <w:r w:rsidRPr="001E2A51">
        <w:rPr>
          <w:rFonts w:ascii="STKaiti" w:hAnsi="STKaiti" w:hint="eastAsia"/>
          <w:iCs/>
          <w:lang w:val="zh-CN" w:eastAsia="zh-CN"/>
        </w:rPr>
        <w:t>考虑到</w:t>
      </w:r>
    </w:p>
    <w:p w:rsidR="001B1011" w:rsidRPr="00D84362" w:rsidRDefault="001B1011" w:rsidP="001B1011">
      <w:pPr>
        <w:rPr>
          <w:lang w:eastAsia="zh-CN"/>
        </w:rPr>
      </w:pPr>
      <w:r w:rsidRPr="00D84362">
        <w:rPr>
          <w:i/>
          <w:iCs/>
          <w:lang w:eastAsia="zh-CN"/>
        </w:rPr>
        <w:t>a</w:t>
      </w:r>
      <w:r w:rsidRPr="001B1011">
        <w:rPr>
          <w:i/>
          <w:iCs/>
          <w:lang w:eastAsia="zh-CN"/>
        </w:rPr>
        <w:t>)</w:t>
      </w:r>
      <w:r w:rsidRPr="00D84362">
        <w:rPr>
          <w:lang w:eastAsia="zh-CN"/>
        </w:rPr>
        <w:tab/>
      </w:r>
      <w:r>
        <w:rPr>
          <w:rFonts w:hint="eastAsia"/>
          <w:lang w:val="en-US" w:eastAsia="zh-CN"/>
        </w:rPr>
        <w:t>多年</w:t>
      </w:r>
      <w:r>
        <w:rPr>
          <w:lang w:val="en-US" w:eastAsia="zh-CN"/>
        </w:rPr>
        <w:t>来</w:t>
      </w:r>
      <w:r w:rsidRPr="00D84362">
        <w:rPr>
          <w:lang w:eastAsia="zh-CN"/>
        </w:rPr>
        <w:t>，</w:t>
      </w:r>
      <w:r>
        <w:rPr>
          <w:lang w:val="en-US" w:eastAsia="zh-CN"/>
        </w:rPr>
        <w:t>世界无线电通信大会将</w:t>
      </w:r>
      <w:r w:rsidRPr="00D84362">
        <w:rPr>
          <w:lang w:eastAsia="zh-CN"/>
        </w:rPr>
        <w:t>19.95-20.05 kHz</w:t>
      </w:r>
      <w:r>
        <w:rPr>
          <w:lang w:eastAsia="zh-CN"/>
        </w:rPr>
        <w:t>、</w:t>
      </w:r>
      <w:r w:rsidRPr="00D84362">
        <w:rPr>
          <w:lang w:eastAsia="zh-CN"/>
        </w:rPr>
        <w:t>2 495-2 </w:t>
      </w:r>
      <w:r>
        <w:rPr>
          <w:lang w:eastAsia="zh-CN"/>
        </w:rPr>
        <w:t>505 MHz</w:t>
      </w:r>
      <w:r>
        <w:rPr>
          <w:lang w:eastAsia="zh-CN"/>
        </w:rPr>
        <w:t>（</w:t>
      </w:r>
      <w:r>
        <w:rPr>
          <w:rFonts w:hint="eastAsia"/>
          <w:lang w:eastAsia="zh-CN"/>
        </w:rPr>
        <w:t>1</w:t>
      </w:r>
      <w:r>
        <w:rPr>
          <w:rFonts w:hint="eastAsia"/>
          <w:lang w:eastAsia="zh-CN"/>
        </w:rPr>
        <w:t>区</w:t>
      </w:r>
      <w:r>
        <w:rPr>
          <w:lang w:eastAsia="zh-CN"/>
        </w:rPr>
        <w:t>为</w:t>
      </w:r>
      <w:r w:rsidRPr="00D84362">
        <w:rPr>
          <w:lang w:eastAsia="zh-CN"/>
        </w:rPr>
        <w:t>2 498-2 502 MHz</w:t>
      </w:r>
      <w:r>
        <w:rPr>
          <w:lang w:eastAsia="zh-CN"/>
        </w:rPr>
        <w:t>）、</w:t>
      </w:r>
      <w:r w:rsidRPr="00D84362">
        <w:rPr>
          <w:lang w:eastAsia="zh-CN"/>
        </w:rPr>
        <w:t>4 995-5 005 MHz</w:t>
      </w:r>
      <w:r>
        <w:rPr>
          <w:lang w:eastAsia="zh-CN"/>
        </w:rPr>
        <w:t>、</w:t>
      </w:r>
      <w:r w:rsidRPr="00D84362">
        <w:rPr>
          <w:lang w:eastAsia="zh-CN"/>
        </w:rPr>
        <w:t>9 995</w:t>
      </w:r>
      <w:r w:rsidRPr="00D84362">
        <w:rPr>
          <w:lang w:eastAsia="zh-CN"/>
        </w:rPr>
        <w:noBreakHyphen/>
        <w:t>10 005 MHz</w:t>
      </w:r>
      <w:r>
        <w:rPr>
          <w:lang w:eastAsia="zh-CN"/>
        </w:rPr>
        <w:t>、</w:t>
      </w:r>
      <w:r w:rsidRPr="00D84362">
        <w:rPr>
          <w:lang w:eastAsia="zh-CN"/>
        </w:rPr>
        <w:t>14 990-15 010 MHz</w:t>
      </w:r>
      <w:r>
        <w:rPr>
          <w:lang w:eastAsia="zh-CN"/>
        </w:rPr>
        <w:t>、</w:t>
      </w:r>
      <w:r w:rsidRPr="00D84362">
        <w:rPr>
          <w:lang w:eastAsia="zh-CN"/>
        </w:rPr>
        <w:t>19 990-20 010 MHz</w:t>
      </w:r>
      <w:r>
        <w:rPr>
          <w:rFonts w:hint="eastAsia"/>
          <w:lang w:eastAsia="zh-CN"/>
        </w:rPr>
        <w:t>和</w:t>
      </w:r>
      <w:r w:rsidRPr="00D84362">
        <w:rPr>
          <w:lang w:eastAsia="zh-CN"/>
        </w:rPr>
        <w:t>24 990-25 010 MHz</w:t>
      </w:r>
      <w:r>
        <w:rPr>
          <w:rFonts w:hint="eastAsia"/>
          <w:lang w:eastAsia="zh-CN"/>
        </w:rPr>
        <w:t>频段划分</w:t>
      </w:r>
      <w:r>
        <w:rPr>
          <w:lang w:eastAsia="zh-CN"/>
        </w:rPr>
        <w:t>给标准频率和时间信号业务；</w:t>
      </w:r>
    </w:p>
    <w:p w:rsidR="001B1011" w:rsidRPr="00D84362" w:rsidRDefault="001B1011" w:rsidP="001B1011">
      <w:pPr>
        <w:rPr>
          <w:lang w:eastAsia="zh-CN"/>
        </w:rPr>
      </w:pPr>
      <w:r w:rsidRPr="00D84362">
        <w:rPr>
          <w:i/>
          <w:iCs/>
          <w:lang w:eastAsia="zh-CN"/>
        </w:rPr>
        <w:t>b)</w:t>
      </w:r>
      <w:r w:rsidRPr="00D84362">
        <w:rPr>
          <w:lang w:eastAsia="zh-CN"/>
        </w:rPr>
        <w:tab/>
      </w:r>
      <w:r>
        <w:rPr>
          <w:rFonts w:hint="eastAsia"/>
          <w:lang w:val="en-US" w:eastAsia="zh-CN"/>
        </w:rPr>
        <w:t>此外</w:t>
      </w:r>
      <w:r w:rsidRPr="00D84362">
        <w:rPr>
          <w:rFonts w:hint="eastAsia"/>
          <w:lang w:eastAsia="zh-CN"/>
        </w:rPr>
        <w:t>，</w:t>
      </w:r>
      <w:r>
        <w:rPr>
          <w:lang w:val="en-US" w:eastAsia="zh-CN"/>
        </w:rPr>
        <w:t>还将以下频段划分给卫星标准频率和时间信号业务使用</w:t>
      </w:r>
      <w:r w:rsidRPr="00D84362">
        <w:rPr>
          <w:rFonts w:hint="eastAsia"/>
          <w:lang w:eastAsia="zh-CN"/>
        </w:rPr>
        <w:t>：</w:t>
      </w:r>
    </w:p>
    <w:p w:rsidR="001B1011" w:rsidRPr="00D84362" w:rsidRDefault="001B1011" w:rsidP="001B1011">
      <w:pPr>
        <w:pStyle w:val="enumlev1"/>
        <w:rPr>
          <w:lang w:eastAsia="zh-CN"/>
        </w:rPr>
      </w:pPr>
      <w:r w:rsidRPr="00D84362">
        <w:rPr>
          <w:lang w:eastAsia="zh-CN"/>
        </w:rPr>
        <w:tab/>
        <w:t>400.05-400.15 MHz</w:t>
      </w:r>
      <w:r w:rsidRPr="00D84362">
        <w:rPr>
          <w:rFonts w:hint="eastAsia"/>
          <w:lang w:eastAsia="zh-CN"/>
        </w:rPr>
        <w:t>，</w:t>
      </w:r>
    </w:p>
    <w:p w:rsidR="001B1011" w:rsidRPr="00D84362" w:rsidRDefault="001B1011" w:rsidP="001B1011">
      <w:pPr>
        <w:pStyle w:val="enumlev1"/>
        <w:rPr>
          <w:lang w:eastAsia="zh-CN"/>
        </w:rPr>
      </w:pPr>
      <w:r w:rsidRPr="00D84362">
        <w:rPr>
          <w:lang w:eastAsia="zh-CN"/>
        </w:rPr>
        <w:tab/>
        <w:t>4 200-4 204 MHz</w:t>
      </w:r>
      <w:r w:rsidRPr="00D84362">
        <w:rPr>
          <w:lang w:eastAsia="zh-CN"/>
        </w:rPr>
        <w:t>（</w:t>
      </w:r>
      <w:r>
        <w:rPr>
          <w:rFonts w:hint="eastAsia"/>
          <w:lang w:val="en-US" w:eastAsia="zh-CN"/>
        </w:rPr>
        <w:t>空</w:t>
      </w:r>
      <w:r>
        <w:rPr>
          <w:lang w:val="en-US" w:eastAsia="zh-CN"/>
        </w:rPr>
        <w:t>对地</w:t>
      </w:r>
      <w:r w:rsidRPr="00D84362">
        <w:rPr>
          <w:lang w:eastAsia="zh-CN"/>
        </w:rPr>
        <w:t>）</w:t>
      </w:r>
      <w:r w:rsidRPr="00D84362">
        <w:rPr>
          <w:rFonts w:hint="eastAsia"/>
          <w:lang w:eastAsia="zh-CN"/>
        </w:rPr>
        <w:t>，</w:t>
      </w:r>
    </w:p>
    <w:p w:rsidR="001B1011" w:rsidRPr="00D84362" w:rsidRDefault="001B1011" w:rsidP="001B1011">
      <w:pPr>
        <w:pStyle w:val="enumlev1"/>
        <w:rPr>
          <w:lang w:eastAsia="zh-CN"/>
        </w:rPr>
      </w:pPr>
      <w:r w:rsidRPr="00D84362">
        <w:rPr>
          <w:lang w:eastAsia="zh-CN"/>
        </w:rPr>
        <w:tab/>
        <w:t>6 425-6 429 MHz</w:t>
      </w:r>
      <w:r w:rsidRPr="00D84362">
        <w:rPr>
          <w:lang w:eastAsia="zh-CN"/>
        </w:rPr>
        <w:t>（</w:t>
      </w:r>
      <w:r>
        <w:rPr>
          <w:rFonts w:hint="eastAsia"/>
          <w:lang w:val="en-US" w:eastAsia="zh-CN"/>
        </w:rPr>
        <w:t>地</w:t>
      </w:r>
      <w:r>
        <w:rPr>
          <w:lang w:val="en-US" w:eastAsia="zh-CN"/>
        </w:rPr>
        <w:t>对空</w:t>
      </w:r>
      <w:r w:rsidRPr="00D84362">
        <w:rPr>
          <w:lang w:eastAsia="zh-CN"/>
        </w:rPr>
        <w:t>）</w:t>
      </w:r>
      <w:r w:rsidRPr="00D84362">
        <w:rPr>
          <w:rFonts w:hint="eastAsia"/>
          <w:lang w:eastAsia="zh-CN"/>
        </w:rPr>
        <w:t>，</w:t>
      </w:r>
    </w:p>
    <w:p w:rsidR="001B1011" w:rsidRPr="00D84362" w:rsidRDefault="001B1011" w:rsidP="001B1011">
      <w:pPr>
        <w:pStyle w:val="enumlev1"/>
        <w:rPr>
          <w:lang w:eastAsia="zh-CN"/>
        </w:rPr>
      </w:pPr>
      <w:r w:rsidRPr="00D84362">
        <w:rPr>
          <w:lang w:eastAsia="zh-CN"/>
        </w:rPr>
        <w:tab/>
        <w:t>13.4-14 GHz</w:t>
      </w:r>
      <w:r w:rsidRPr="00D84362">
        <w:rPr>
          <w:lang w:eastAsia="zh-CN"/>
        </w:rPr>
        <w:t>（</w:t>
      </w:r>
      <w:r>
        <w:rPr>
          <w:rFonts w:hint="eastAsia"/>
          <w:lang w:val="en-US" w:eastAsia="zh-CN"/>
        </w:rPr>
        <w:t>地</w:t>
      </w:r>
      <w:r>
        <w:rPr>
          <w:lang w:val="en-US" w:eastAsia="zh-CN"/>
        </w:rPr>
        <w:t>对空</w:t>
      </w:r>
      <w:r w:rsidRPr="00D84362">
        <w:rPr>
          <w:lang w:eastAsia="zh-CN"/>
        </w:rPr>
        <w:t>）</w:t>
      </w:r>
      <w:r w:rsidRPr="00D84362">
        <w:rPr>
          <w:rFonts w:hint="eastAsia"/>
          <w:lang w:eastAsia="zh-CN"/>
        </w:rPr>
        <w:t>，</w:t>
      </w:r>
    </w:p>
    <w:p w:rsidR="001B1011" w:rsidRPr="00D84362" w:rsidRDefault="001B1011" w:rsidP="001B1011">
      <w:pPr>
        <w:pStyle w:val="enumlev1"/>
        <w:rPr>
          <w:lang w:eastAsia="zh-CN"/>
        </w:rPr>
      </w:pPr>
      <w:r w:rsidRPr="00D84362">
        <w:rPr>
          <w:lang w:eastAsia="zh-CN"/>
        </w:rPr>
        <w:tab/>
        <w:t>20.2-21.2 GHz</w:t>
      </w:r>
      <w:r w:rsidRPr="00D84362">
        <w:rPr>
          <w:lang w:eastAsia="zh-CN"/>
        </w:rPr>
        <w:t>（</w:t>
      </w:r>
      <w:r>
        <w:rPr>
          <w:rFonts w:hint="eastAsia"/>
          <w:lang w:val="en-US" w:eastAsia="zh-CN"/>
        </w:rPr>
        <w:t>空</w:t>
      </w:r>
      <w:r>
        <w:rPr>
          <w:lang w:val="en-US" w:eastAsia="zh-CN"/>
        </w:rPr>
        <w:t>对地</w:t>
      </w:r>
      <w:r w:rsidRPr="00D84362">
        <w:rPr>
          <w:lang w:eastAsia="zh-CN"/>
        </w:rPr>
        <w:t>）</w:t>
      </w:r>
      <w:r w:rsidRPr="00D84362">
        <w:rPr>
          <w:rFonts w:hint="eastAsia"/>
          <w:lang w:eastAsia="zh-CN"/>
        </w:rPr>
        <w:t>，</w:t>
      </w:r>
    </w:p>
    <w:p w:rsidR="001B1011" w:rsidRPr="00DA0A64" w:rsidRDefault="001B1011" w:rsidP="001B1011">
      <w:pPr>
        <w:pStyle w:val="enumlev1"/>
        <w:rPr>
          <w:lang w:val="en-US" w:eastAsia="zh-CN"/>
        </w:rPr>
      </w:pPr>
      <w:r w:rsidRPr="00D84362">
        <w:rPr>
          <w:lang w:eastAsia="zh-CN"/>
        </w:rPr>
        <w:tab/>
      </w:r>
      <w:r>
        <w:rPr>
          <w:lang w:val="en-US" w:eastAsia="zh-CN"/>
        </w:rPr>
        <w:t>25.25-27 GHz</w:t>
      </w:r>
      <w:r>
        <w:rPr>
          <w:lang w:val="en-US" w:eastAsia="zh-CN"/>
        </w:rPr>
        <w:t>（</w:t>
      </w:r>
      <w:r>
        <w:rPr>
          <w:rFonts w:hint="eastAsia"/>
          <w:lang w:val="en-US" w:eastAsia="zh-CN"/>
        </w:rPr>
        <w:t>地</w:t>
      </w:r>
      <w:r>
        <w:rPr>
          <w:lang w:val="en-US" w:eastAsia="zh-CN"/>
        </w:rPr>
        <w:t>对空）</w:t>
      </w:r>
      <w:r>
        <w:rPr>
          <w:rFonts w:hint="eastAsia"/>
          <w:lang w:val="en-US" w:eastAsia="zh-CN"/>
        </w:rPr>
        <w:t>，</w:t>
      </w:r>
    </w:p>
    <w:p w:rsidR="001B1011" w:rsidRPr="00DA0A64" w:rsidRDefault="001B1011" w:rsidP="001B1011">
      <w:pPr>
        <w:pStyle w:val="enumlev1"/>
        <w:rPr>
          <w:lang w:val="en-US" w:eastAsia="zh-CN"/>
        </w:rPr>
      </w:pPr>
      <w:r>
        <w:rPr>
          <w:lang w:val="en-US" w:eastAsia="zh-CN"/>
        </w:rPr>
        <w:tab/>
        <w:t>30-31.3 GHz</w:t>
      </w:r>
      <w:r>
        <w:rPr>
          <w:lang w:val="en-US" w:eastAsia="zh-CN"/>
        </w:rPr>
        <w:t>（</w:t>
      </w:r>
      <w:r>
        <w:rPr>
          <w:rFonts w:hint="eastAsia"/>
          <w:lang w:val="en-US" w:eastAsia="zh-CN"/>
        </w:rPr>
        <w:t>空</w:t>
      </w:r>
      <w:r>
        <w:rPr>
          <w:lang w:val="en-US" w:eastAsia="zh-CN"/>
        </w:rPr>
        <w:t>对地）</w:t>
      </w:r>
      <w:r>
        <w:rPr>
          <w:rFonts w:hint="eastAsia"/>
          <w:lang w:val="en-US" w:eastAsia="zh-CN"/>
        </w:rPr>
        <w:t>；</w:t>
      </w:r>
    </w:p>
    <w:p w:rsidR="001B1011" w:rsidRPr="00DA0A64" w:rsidRDefault="001B1011" w:rsidP="001B1011">
      <w:pPr>
        <w:rPr>
          <w:lang w:val="en-US" w:eastAsia="zh-CN"/>
        </w:rPr>
      </w:pPr>
      <w:r w:rsidRPr="00DA0A64">
        <w:rPr>
          <w:i/>
          <w:iCs/>
          <w:lang w:val="en-US" w:eastAsia="zh-CN"/>
        </w:rPr>
        <w:t>c)</w:t>
      </w:r>
      <w:r w:rsidRPr="00DA0A64">
        <w:rPr>
          <w:lang w:val="en-US" w:eastAsia="zh-CN"/>
        </w:rPr>
        <w:tab/>
      </w:r>
      <w:r>
        <w:rPr>
          <w:rFonts w:hint="eastAsia"/>
          <w:lang w:val="en-US" w:eastAsia="zh-CN"/>
        </w:rPr>
        <w:t>还</w:t>
      </w:r>
      <w:r>
        <w:rPr>
          <w:lang w:val="en-US" w:eastAsia="zh-CN"/>
        </w:rPr>
        <w:t>在</w:t>
      </w:r>
      <w:r w:rsidRPr="00DA0A64">
        <w:rPr>
          <w:lang w:val="en-US" w:eastAsia="zh-CN"/>
        </w:rPr>
        <w:t>14-19.95 kHz</w:t>
      </w:r>
      <w:r>
        <w:rPr>
          <w:rFonts w:hint="eastAsia"/>
          <w:lang w:val="en-US" w:eastAsia="zh-CN"/>
        </w:rPr>
        <w:t>和</w:t>
      </w:r>
      <w:r w:rsidRPr="00DA0A64">
        <w:rPr>
          <w:lang w:val="en-US" w:eastAsia="zh-CN"/>
        </w:rPr>
        <w:t>20.05-70 kHz</w:t>
      </w:r>
      <w:r>
        <w:rPr>
          <w:rFonts w:hint="eastAsia"/>
          <w:lang w:val="en-US" w:eastAsia="zh-CN"/>
        </w:rPr>
        <w:t>以</w:t>
      </w:r>
      <w:r>
        <w:rPr>
          <w:lang w:val="en-US" w:eastAsia="zh-CN"/>
        </w:rPr>
        <w:t>及</w:t>
      </w:r>
      <w:r>
        <w:rPr>
          <w:rFonts w:hint="eastAsia"/>
          <w:lang w:val="en-US" w:eastAsia="zh-CN"/>
        </w:rPr>
        <w:t>1</w:t>
      </w:r>
      <w:r>
        <w:rPr>
          <w:rFonts w:hint="eastAsia"/>
          <w:lang w:val="en-US" w:eastAsia="zh-CN"/>
        </w:rPr>
        <w:t>区</w:t>
      </w:r>
      <w:r>
        <w:rPr>
          <w:lang w:val="en-US" w:eastAsia="zh-CN"/>
        </w:rPr>
        <w:t>的</w:t>
      </w:r>
      <w:r w:rsidRPr="00DA0A64">
        <w:rPr>
          <w:lang w:val="en-US" w:eastAsia="zh-CN"/>
        </w:rPr>
        <w:t>72-84 kHz</w:t>
      </w:r>
      <w:r>
        <w:rPr>
          <w:rFonts w:hint="eastAsia"/>
          <w:lang w:val="en-US" w:eastAsia="zh-CN"/>
        </w:rPr>
        <w:t>和</w:t>
      </w:r>
      <w:r w:rsidRPr="00DA0A64">
        <w:rPr>
          <w:lang w:val="en-US" w:eastAsia="zh-CN"/>
        </w:rPr>
        <w:t>86-90 kHz</w:t>
      </w:r>
      <w:r>
        <w:rPr>
          <w:rFonts w:hint="eastAsia"/>
          <w:lang w:val="en-US" w:eastAsia="zh-CN"/>
        </w:rPr>
        <w:t>等</w:t>
      </w:r>
      <w:r>
        <w:rPr>
          <w:lang w:val="en-US" w:eastAsia="zh-CN"/>
        </w:rPr>
        <w:t>其它大会指定频段发射了标准频率和时间信号</w:t>
      </w:r>
      <w:r>
        <w:rPr>
          <w:rFonts w:hint="eastAsia"/>
          <w:lang w:val="en-US" w:eastAsia="zh-CN"/>
        </w:rPr>
        <w:t>（见《</w:t>
      </w:r>
      <w:r>
        <w:rPr>
          <w:lang w:val="en-US" w:eastAsia="zh-CN"/>
        </w:rPr>
        <w:t>无线电规则》（</w:t>
      </w:r>
      <w:r>
        <w:rPr>
          <w:lang w:val="en-US" w:eastAsia="zh-CN"/>
        </w:rPr>
        <w:t>RR</w:t>
      </w:r>
      <w:r>
        <w:rPr>
          <w:lang w:val="en-US" w:eastAsia="zh-CN"/>
        </w:rPr>
        <w:t>）第</w:t>
      </w:r>
      <w:r w:rsidRPr="00DA0A64">
        <w:rPr>
          <w:b/>
          <w:bCs/>
          <w:lang w:val="en-US" w:eastAsia="zh-CN"/>
        </w:rPr>
        <w:t>5.56</w:t>
      </w:r>
      <w:r>
        <w:rPr>
          <w:lang w:val="en-US" w:eastAsia="zh-CN"/>
        </w:rPr>
        <w:t>款</w:t>
      </w:r>
      <w:r>
        <w:rPr>
          <w:rFonts w:hint="eastAsia"/>
          <w:lang w:val="en-US" w:eastAsia="zh-CN"/>
        </w:rPr>
        <w:t>）</w:t>
      </w:r>
      <w:r>
        <w:rPr>
          <w:lang w:val="en-US" w:eastAsia="zh-CN"/>
        </w:rPr>
        <w:t>；</w:t>
      </w:r>
    </w:p>
    <w:p w:rsidR="001B1011" w:rsidRPr="00DA0A64" w:rsidRDefault="001B1011" w:rsidP="001B1011">
      <w:pPr>
        <w:rPr>
          <w:lang w:val="en-US" w:eastAsia="zh-CN"/>
        </w:rPr>
      </w:pPr>
      <w:r w:rsidRPr="00DA0A64">
        <w:rPr>
          <w:i/>
          <w:iCs/>
          <w:lang w:val="en-US" w:eastAsia="zh-CN"/>
        </w:rPr>
        <w:t>d)</w:t>
      </w:r>
      <w:r w:rsidRPr="00DA0A64">
        <w:rPr>
          <w:lang w:val="en-US" w:eastAsia="zh-CN"/>
        </w:rPr>
        <w:tab/>
      </w:r>
      <w:r>
        <w:rPr>
          <w:rFonts w:hint="eastAsia"/>
          <w:lang w:val="en-US" w:eastAsia="zh-CN"/>
        </w:rPr>
        <w:t>还</w:t>
      </w:r>
      <w:r>
        <w:rPr>
          <w:lang w:val="en-US" w:eastAsia="zh-CN"/>
        </w:rPr>
        <w:t>从</w:t>
      </w:r>
      <w:r w:rsidRPr="00DA0A64">
        <w:rPr>
          <w:lang w:val="en-US" w:eastAsia="zh-CN"/>
        </w:rPr>
        <w:t>1</w:t>
      </w:r>
      <w:r>
        <w:rPr>
          <w:lang w:val="en-US" w:eastAsia="zh-CN"/>
        </w:rPr>
        <w:t> </w:t>
      </w:r>
      <w:r w:rsidRPr="00DA0A64">
        <w:rPr>
          <w:lang w:val="en-US" w:eastAsia="zh-CN"/>
        </w:rPr>
        <w:t>164-1</w:t>
      </w:r>
      <w:r>
        <w:rPr>
          <w:rFonts w:ascii="Tms Rmn" w:hAnsi="Tms Rmn"/>
          <w:sz w:val="12"/>
          <w:lang w:val="en-US" w:eastAsia="zh-CN"/>
        </w:rPr>
        <w:t> </w:t>
      </w:r>
      <w:r w:rsidRPr="00DA0A64">
        <w:rPr>
          <w:lang w:val="en-US" w:eastAsia="zh-CN"/>
        </w:rPr>
        <w:t>300 MHz</w:t>
      </w:r>
      <w:r>
        <w:rPr>
          <w:rFonts w:hint="eastAsia"/>
          <w:lang w:val="en-US" w:eastAsia="zh-CN"/>
        </w:rPr>
        <w:t>和</w:t>
      </w:r>
      <w:r w:rsidRPr="00DA0A64">
        <w:rPr>
          <w:lang w:val="en-US" w:eastAsia="zh-CN"/>
        </w:rPr>
        <w:t>1</w:t>
      </w:r>
      <w:r w:rsidRPr="00DA0A64">
        <w:rPr>
          <w:rFonts w:ascii="Tms Rmn" w:hAnsi="Tms Rmn"/>
          <w:sz w:val="12"/>
          <w:lang w:val="en-US" w:eastAsia="zh-CN"/>
        </w:rPr>
        <w:t> </w:t>
      </w:r>
      <w:r w:rsidRPr="00DA0A64">
        <w:rPr>
          <w:lang w:val="en-US" w:eastAsia="zh-CN"/>
        </w:rPr>
        <w:t>559-1</w:t>
      </w:r>
      <w:r w:rsidRPr="00DA0A64">
        <w:rPr>
          <w:rFonts w:ascii="Tms Rmn" w:hAnsi="Tms Rmn"/>
          <w:sz w:val="12"/>
          <w:lang w:val="en-US" w:eastAsia="zh-CN"/>
        </w:rPr>
        <w:t> </w:t>
      </w:r>
      <w:r>
        <w:rPr>
          <w:lang w:val="en-US" w:eastAsia="zh-CN"/>
        </w:rPr>
        <w:t>610 MHz</w:t>
      </w:r>
      <w:r>
        <w:rPr>
          <w:lang w:val="en-US" w:eastAsia="zh-CN"/>
        </w:rPr>
        <w:t>（</w:t>
      </w:r>
      <w:r w:rsidRPr="00DA0A64">
        <w:rPr>
          <w:lang w:val="en-US" w:eastAsia="zh-CN"/>
        </w:rPr>
        <w:t>GPS/GLONASS/Galileo/BeiDou</w:t>
      </w:r>
      <w:r>
        <w:rPr>
          <w:lang w:val="en-US" w:eastAsia="zh-CN"/>
        </w:rPr>
        <w:t>）</w:t>
      </w:r>
      <w:r>
        <w:rPr>
          <w:rFonts w:hint="eastAsia"/>
          <w:lang w:val="en-US" w:eastAsia="zh-CN"/>
        </w:rPr>
        <w:t>的</w:t>
      </w:r>
      <w:r>
        <w:rPr>
          <w:lang w:val="en-US" w:eastAsia="zh-CN"/>
        </w:rPr>
        <w:t>卫星无线电导航业务、</w:t>
      </w:r>
      <w:r w:rsidRPr="00DA0A64">
        <w:rPr>
          <w:lang w:val="en-US" w:eastAsia="zh-CN"/>
        </w:rPr>
        <w:t>Ku</w:t>
      </w:r>
      <w:r>
        <w:rPr>
          <w:rFonts w:hint="eastAsia"/>
          <w:lang w:val="en-US" w:eastAsia="zh-CN"/>
        </w:rPr>
        <w:t>频段</w:t>
      </w:r>
      <w:r>
        <w:rPr>
          <w:lang w:val="en-US" w:eastAsia="zh-CN"/>
        </w:rPr>
        <w:t>（</w:t>
      </w:r>
      <w:r w:rsidRPr="00DA0A64">
        <w:rPr>
          <w:lang w:val="en-US" w:eastAsia="zh-CN"/>
        </w:rPr>
        <w:t>10.7-14.5 GHz</w:t>
      </w:r>
      <w:r>
        <w:rPr>
          <w:lang w:val="en-US" w:eastAsia="zh-CN"/>
        </w:rPr>
        <w:t>）</w:t>
      </w:r>
      <w:r>
        <w:rPr>
          <w:rFonts w:hint="eastAsia"/>
          <w:lang w:val="en-US" w:eastAsia="zh-CN"/>
        </w:rPr>
        <w:t>和</w:t>
      </w:r>
      <w:r w:rsidRPr="00DA0A64">
        <w:rPr>
          <w:lang w:val="en-US" w:eastAsia="zh-CN"/>
        </w:rPr>
        <w:t>C</w:t>
      </w:r>
      <w:r>
        <w:rPr>
          <w:rFonts w:hint="eastAsia"/>
          <w:lang w:val="en-US" w:eastAsia="zh-CN"/>
        </w:rPr>
        <w:t>频段</w:t>
      </w:r>
      <w:r>
        <w:rPr>
          <w:lang w:val="en-US" w:eastAsia="zh-CN"/>
        </w:rPr>
        <w:t>（</w:t>
      </w:r>
      <w:r w:rsidRPr="00DA0A64">
        <w:rPr>
          <w:lang w:val="en-US" w:eastAsia="zh-CN"/>
        </w:rPr>
        <w:t>4-8 GHz</w:t>
      </w:r>
      <w:r>
        <w:rPr>
          <w:lang w:val="en-US" w:eastAsia="zh-CN"/>
        </w:rPr>
        <w:t>）（</w:t>
      </w:r>
      <w:r>
        <w:rPr>
          <w:rFonts w:hint="eastAsia"/>
          <w:lang w:val="en-US" w:eastAsia="zh-CN"/>
        </w:rPr>
        <w:t>双向</w:t>
      </w:r>
      <w:r>
        <w:rPr>
          <w:lang w:val="en-US" w:eastAsia="zh-CN"/>
        </w:rPr>
        <w:t>卫星时间和频率传输）的卫星固定业务和</w:t>
      </w:r>
      <w:r w:rsidRPr="00DA0A64">
        <w:rPr>
          <w:lang w:val="en-US" w:eastAsia="zh-CN"/>
        </w:rPr>
        <w:t>100 kHz</w:t>
      </w:r>
      <w:r>
        <w:rPr>
          <w:rFonts w:hint="eastAsia"/>
          <w:lang w:val="en-US" w:eastAsia="zh-CN"/>
        </w:rPr>
        <w:t>频段</w:t>
      </w:r>
      <w:r>
        <w:rPr>
          <w:lang w:val="en-US" w:eastAsia="zh-CN"/>
        </w:rPr>
        <w:t>（</w:t>
      </w:r>
      <w:r w:rsidRPr="00DA0A64">
        <w:rPr>
          <w:lang w:val="en-US" w:eastAsia="zh-CN"/>
        </w:rPr>
        <w:t>Loran-C</w:t>
      </w:r>
      <w:r>
        <w:rPr>
          <w:lang w:val="en-US" w:eastAsia="zh-CN"/>
        </w:rPr>
        <w:t>）</w:t>
      </w:r>
      <w:r>
        <w:rPr>
          <w:rFonts w:hint="eastAsia"/>
          <w:lang w:val="en-US" w:eastAsia="zh-CN"/>
        </w:rPr>
        <w:t>的</w:t>
      </w:r>
      <w:r>
        <w:rPr>
          <w:lang w:val="en-US" w:eastAsia="zh-CN"/>
        </w:rPr>
        <w:t>无线电</w:t>
      </w:r>
      <w:r>
        <w:rPr>
          <w:rFonts w:hint="eastAsia"/>
          <w:lang w:val="en-US" w:eastAsia="zh-CN"/>
        </w:rPr>
        <w:t>导航</w:t>
      </w:r>
      <w:r>
        <w:rPr>
          <w:lang w:val="en-US" w:eastAsia="zh-CN"/>
        </w:rPr>
        <w:t>业务</w:t>
      </w:r>
      <w:r>
        <w:rPr>
          <w:rFonts w:hint="eastAsia"/>
          <w:lang w:val="en-US" w:eastAsia="zh-CN"/>
        </w:rPr>
        <w:t>信号中获得了</w:t>
      </w:r>
      <w:r>
        <w:rPr>
          <w:lang w:val="en-US" w:eastAsia="zh-CN"/>
        </w:rPr>
        <w:t>时间和</w:t>
      </w:r>
      <w:r w:rsidRPr="00024E86">
        <w:rPr>
          <w:lang w:eastAsia="zh-CN"/>
        </w:rPr>
        <w:t>频率传输</w:t>
      </w:r>
      <w:r>
        <w:rPr>
          <w:lang w:val="en-US" w:eastAsia="zh-CN"/>
        </w:rPr>
        <w:t>；</w:t>
      </w:r>
    </w:p>
    <w:p w:rsidR="001B1011" w:rsidRPr="001A5F09" w:rsidRDefault="001B1011" w:rsidP="001B1011">
      <w:pPr>
        <w:rPr>
          <w:lang w:val="en-US" w:eastAsia="zh-CN"/>
        </w:rPr>
      </w:pPr>
      <w:r w:rsidRPr="00DA0A64">
        <w:rPr>
          <w:i/>
          <w:iCs/>
          <w:lang w:val="en-US" w:eastAsia="zh-CN"/>
        </w:rPr>
        <w:t>e)</w:t>
      </w:r>
      <w:r w:rsidRPr="00DA0A64">
        <w:rPr>
          <w:lang w:val="en-US" w:eastAsia="zh-CN"/>
        </w:rPr>
        <w:tab/>
      </w:r>
      <w:r>
        <w:rPr>
          <w:rFonts w:hint="eastAsia"/>
          <w:lang w:val="en-US" w:eastAsia="zh-CN"/>
        </w:rPr>
        <w:t>通过</w:t>
      </w:r>
      <w:r>
        <w:rPr>
          <w:lang w:val="en-US" w:eastAsia="zh-CN"/>
        </w:rPr>
        <w:t>卫星全球导航系统信号进行的时间和频率传输</w:t>
      </w:r>
      <w:r>
        <w:rPr>
          <w:rFonts w:hint="eastAsia"/>
          <w:lang w:val="en-US" w:eastAsia="zh-CN"/>
        </w:rPr>
        <w:t>，</w:t>
      </w:r>
      <w:r>
        <w:rPr>
          <w:lang w:val="en-US" w:eastAsia="zh-CN"/>
        </w:rPr>
        <w:t>发挥着仅次于其它用途的移动和固定电信网络及配电网络同步化促进作用；</w:t>
      </w:r>
    </w:p>
    <w:p w:rsidR="001B1011" w:rsidRPr="00DA0A64" w:rsidRDefault="001B1011" w:rsidP="001B1011">
      <w:pPr>
        <w:rPr>
          <w:lang w:val="en-US" w:eastAsia="zh-CN"/>
        </w:rPr>
      </w:pPr>
      <w:r w:rsidRPr="00DA0A64">
        <w:rPr>
          <w:i/>
          <w:iCs/>
          <w:lang w:val="en-US" w:eastAsia="zh-CN"/>
        </w:rPr>
        <w:t>f)</w:t>
      </w:r>
      <w:r w:rsidRPr="00DA0A64">
        <w:rPr>
          <w:lang w:val="en-US" w:eastAsia="zh-CN"/>
        </w:rPr>
        <w:tab/>
      </w:r>
      <w:r>
        <w:rPr>
          <w:rFonts w:hint="eastAsia"/>
          <w:lang w:val="en-US" w:eastAsia="zh-CN"/>
        </w:rPr>
        <w:t>《</w:t>
      </w:r>
      <w:r>
        <w:rPr>
          <w:lang w:val="en-US" w:eastAsia="zh-CN"/>
        </w:rPr>
        <w:t>无线电规则》第</w:t>
      </w:r>
      <w:r w:rsidRPr="00DA0A64">
        <w:rPr>
          <w:b/>
          <w:bCs/>
          <w:lang w:val="en-US" w:eastAsia="zh-CN"/>
        </w:rPr>
        <w:t>26</w:t>
      </w:r>
      <w:r>
        <w:rPr>
          <w:lang w:val="en-US" w:eastAsia="zh-CN"/>
        </w:rPr>
        <w:t>条的</w:t>
      </w:r>
      <w:r>
        <w:rPr>
          <w:rFonts w:hint="eastAsia"/>
          <w:lang w:val="en-US" w:eastAsia="zh-CN"/>
        </w:rPr>
        <w:t>规定</w:t>
      </w:r>
      <w:r>
        <w:rPr>
          <w:lang w:val="en-US" w:eastAsia="zh-CN"/>
        </w:rPr>
        <w:t>；</w:t>
      </w:r>
    </w:p>
    <w:p w:rsidR="001B1011" w:rsidRPr="00DA0A64" w:rsidRDefault="001B1011" w:rsidP="001B1011">
      <w:pPr>
        <w:rPr>
          <w:lang w:val="en-US" w:eastAsia="zh-CN"/>
        </w:rPr>
      </w:pPr>
      <w:r w:rsidRPr="00DA0A64">
        <w:rPr>
          <w:i/>
          <w:iCs/>
          <w:lang w:val="en-US" w:eastAsia="zh-CN"/>
        </w:rPr>
        <w:t>g)</w:t>
      </w:r>
      <w:r w:rsidRPr="00DA0A64">
        <w:rPr>
          <w:lang w:val="en-US" w:eastAsia="zh-CN"/>
        </w:rPr>
        <w:tab/>
      </w:r>
      <w:r w:rsidRPr="003B3DA8">
        <w:rPr>
          <w:rFonts w:ascii="STKaiti" w:eastAsia="STKaiti" w:hAnsi="STKaiti" w:hint="eastAsia"/>
          <w:lang w:val="en-US" w:eastAsia="zh-CN"/>
        </w:rPr>
        <w:t>考虑</w:t>
      </w:r>
      <w:r w:rsidRPr="003B3DA8">
        <w:rPr>
          <w:rFonts w:ascii="STKaiti" w:eastAsia="STKaiti" w:hAnsi="STKaiti"/>
          <w:lang w:val="en-US" w:eastAsia="zh-CN"/>
        </w:rPr>
        <w:t>到</w:t>
      </w:r>
      <w:r w:rsidRPr="00DA0A64">
        <w:rPr>
          <w:i/>
          <w:lang w:val="en-US" w:eastAsia="zh-CN"/>
        </w:rPr>
        <w:t>a)</w:t>
      </w:r>
      <w:r>
        <w:rPr>
          <w:rFonts w:hint="eastAsia"/>
          <w:lang w:val="en-US" w:eastAsia="zh-CN"/>
        </w:rPr>
        <w:t>涉及</w:t>
      </w:r>
      <w:r>
        <w:rPr>
          <w:lang w:val="en-US" w:eastAsia="zh-CN"/>
        </w:rPr>
        <w:t>的频段内</w:t>
      </w:r>
      <w:r>
        <w:rPr>
          <w:rFonts w:hint="eastAsia"/>
          <w:lang w:val="en-US" w:eastAsia="zh-CN"/>
        </w:rPr>
        <w:t>传输</w:t>
      </w:r>
      <w:r>
        <w:rPr>
          <w:lang w:val="en-US" w:eastAsia="zh-CN"/>
        </w:rPr>
        <w:t>以及</w:t>
      </w:r>
      <w:r w:rsidRPr="003B3DA8">
        <w:rPr>
          <w:rFonts w:ascii="STKaiti" w:eastAsia="STKaiti" w:hAnsi="STKaiti"/>
          <w:lang w:val="en-US" w:eastAsia="zh-CN"/>
        </w:rPr>
        <w:t>考虑到</w:t>
      </w:r>
      <w:r w:rsidRPr="00DA0A64">
        <w:rPr>
          <w:i/>
          <w:iCs/>
          <w:lang w:val="en-US" w:eastAsia="zh-CN"/>
        </w:rPr>
        <w:t>c)</w:t>
      </w:r>
      <w:r>
        <w:rPr>
          <w:rFonts w:hint="eastAsia"/>
          <w:lang w:val="en-US" w:eastAsia="zh-CN"/>
        </w:rPr>
        <w:t>重点提及传输</w:t>
      </w:r>
      <w:r>
        <w:rPr>
          <w:lang w:val="en-US" w:eastAsia="zh-CN"/>
        </w:rPr>
        <w:t>，提供了得到广泛接受的时间信号和标准频率分配</w:t>
      </w:r>
      <w:r>
        <w:rPr>
          <w:rFonts w:hint="eastAsia"/>
          <w:lang w:val="en-US" w:eastAsia="zh-CN"/>
        </w:rPr>
        <w:t>方式</w:t>
      </w:r>
      <w:r>
        <w:rPr>
          <w:lang w:val="en-US" w:eastAsia="zh-CN"/>
        </w:rPr>
        <w:t>；</w:t>
      </w:r>
    </w:p>
    <w:p w:rsidR="007C537B" w:rsidRDefault="007C537B">
      <w:pPr>
        <w:tabs>
          <w:tab w:val="clear" w:pos="794"/>
          <w:tab w:val="clear" w:pos="1191"/>
          <w:tab w:val="clear" w:pos="1588"/>
          <w:tab w:val="clear" w:pos="1985"/>
        </w:tabs>
        <w:overflowPunct/>
        <w:autoSpaceDE/>
        <w:autoSpaceDN/>
        <w:adjustRightInd/>
        <w:spacing w:before="0" w:after="160" w:line="259" w:lineRule="auto"/>
        <w:jc w:val="left"/>
        <w:textAlignment w:val="auto"/>
        <w:rPr>
          <w:i/>
          <w:iCs/>
          <w:lang w:val="en-US" w:eastAsia="zh-CN"/>
        </w:rPr>
      </w:pPr>
      <w:r>
        <w:rPr>
          <w:i/>
          <w:iCs/>
          <w:lang w:val="en-US" w:eastAsia="zh-CN"/>
        </w:rPr>
        <w:br w:type="page"/>
      </w:r>
    </w:p>
    <w:p w:rsidR="001B1011" w:rsidRPr="00DA0A64" w:rsidRDefault="001B1011" w:rsidP="001B1011">
      <w:pPr>
        <w:rPr>
          <w:lang w:val="en-US" w:eastAsia="zh-CN"/>
        </w:rPr>
      </w:pPr>
      <w:r w:rsidRPr="00DA0A64">
        <w:rPr>
          <w:i/>
          <w:iCs/>
          <w:lang w:val="en-US" w:eastAsia="zh-CN"/>
        </w:rPr>
        <w:lastRenderedPageBreak/>
        <w:t>h)</w:t>
      </w:r>
      <w:r w:rsidRPr="00DA0A64">
        <w:rPr>
          <w:lang w:val="en-US" w:eastAsia="zh-CN"/>
        </w:rPr>
        <w:tab/>
      </w:r>
      <w:r>
        <w:rPr>
          <w:rFonts w:hint="eastAsia"/>
          <w:lang w:val="en-US" w:eastAsia="zh-CN"/>
        </w:rPr>
        <w:t>许多</w:t>
      </w:r>
      <w:r>
        <w:rPr>
          <w:lang w:val="en-US" w:eastAsia="zh-CN"/>
        </w:rPr>
        <w:t>用途都需要不确定性小于</w:t>
      </w:r>
      <w:r w:rsidRPr="00DA0A64">
        <w:rPr>
          <w:lang w:val="en-US" w:eastAsia="zh-CN"/>
        </w:rPr>
        <w:t>1 ms</w:t>
      </w:r>
      <w:r>
        <w:rPr>
          <w:rFonts w:hint="eastAsia"/>
          <w:lang w:val="en-US" w:eastAsia="zh-CN"/>
        </w:rPr>
        <w:t>的</w:t>
      </w:r>
      <w:r>
        <w:rPr>
          <w:lang w:val="en-US" w:eastAsia="zh-CN"/>
        </w:rPr>
        <w:t>全球时间同步，在理想情况下，该同步化应基于简单和便宜的设备</w:t>
      </w:r>
      <w:r>
        <w:rPr>
          <w:rFonts w:hint="eastAsia"/>
          <w:lang w:val="en-US" w:eastAsia="zh-CN"/>
        </w:rPr>
        <w:t>；</w:t>
      </w:r>
    </w:p>
    <w:p w:rsidR="001B1011" w:rsidRPr="001A5F09" w:rsidRDefault="001B1011" w:rsidP="001B1011">
      <w:pPr>
        <w:rPr>
          <w:lang w:val="en-US" w:eastAsia="zh-CN"/>
        </w:rPr>
      </w:pPr>
      <w:r w:rsidRPr="00DA0A64">
        <w:rPr>
          <w:i/>
          <w:iCs/>
          <w:lang w:val="en-US" w:eastAsia="zh-CN"/>
        </w:rPr>
        <w:t>i)</w:t>
      </w:r>
      <w:r w:rsidRPr="00DA0A64">
        <w:rPr>
          <w:lang w:val="en-US" w:eastAsia="zh-CN"/>
        </w:rPr>
        <w:tab/>
      </w:r>
      <w:r>
        <w:rPr>
          <w:rFonts w:hint="eastAsia"/>
          <w:lang w:val="en-US" w:eastAsia="zh-CN"/>
        </w:rPr>
        <w:t>干扰</w:t>
      </w:r>
      <w:r>
        <w:rPr>
          <w:lang w:val="en-US" w:eastAsia="zh-CN"/>
        </w:rPr>
        <w:t>可能会</w:t>
      </w:r>
      <w:r>
        <w:rPr>
          <w:rFonts w:hint="eastAsia"/>
          <w:lang w:val="en-US" w:eastAsia="zh-CN"/>
        </w:rPr>
        <w:t>严重降低</w:t>
      </w:r>
      <w:r>
        <w:rPr>
          <w:lang w:eastAsia="zh-CN"/>
        </w:rPr>
        <w:t>标准频率和时间信号业务</w:t>
      </w:r>
      <w:r>
        <w:rPr>
          <w:rFonts w:hint="eastAsia"/>
          <w:lang w:eastAsia="zh-CN"/>
        </w:rPr>
        <w:t>的</w:t>
      </w:r>
      <w:r>
        <w:rPr>
          <w:lang w:eastAsia="zh-CN"/>
        </w:rPr>
        <w:t>可用性</w:t>
      </w:r>
      <w:r w:rsidRPr="00F16021">
        <w:rPr>
          <w:lang w:val="en-US" w:eastAsia="zh-CN"/>
        </w:rPr>
        <w:t>，</w:t>
      </w:r>
    </w:p>
    <w:p w:rsidR="001B1011" w:rsidRPr="001E2A51" w:rsidRDefault="001B1011" w:rsidP="001B1011">
      <w:pPr>
        <w:pStyle w:val="Call"/>
        <w:rPr>
          <w:rFonts w:ascii="STKaiti" w:hAnsi="STKaiti"/>
          <w:i/>
          <w:iCs/>
          <w:lang w:val="zh-CN" w:eastAsia="zh-CN"/>
        </w:rPr>
      </w:pPr>
      <w:r w:rsidRPr="001E2A51">
        <w:rPr>
          <w:rFonts w:ascii="STKaiti" w:hAnsi="STKaiti" w:hint="eastAsia"/>
          <w:iCs/>
          <w:lang w:val="zh-CN" w:eastAsia="zh-CN"/>
        </w:rPr>
        <w:t>建议</w:t>
      </w:r>
    </w:p>
    <w:p w:rsidR="001B1011" w:rsidRPr="00DA0A64" w:rsidRDefault="001B1011" w:rsidP="001B1011">
      <w:pPr>
        <w:rPr>
          <w:lang w:val="en-US" w:eastAsia="zh-CN"/>
        </w:rPr>
      </w:pPr>
      <w:r w:rsidRPr="00DA0A64">
        <w:rPr>
          <w:b/>
          <w:lang w:val="en-US" w:eastAsia="zh-CN"/>
        </w:rPr>
        <w:t>1</w:t>
      </w:r>
      <w:r w:rsidRPr="00DA0A64">
        <w:rPr>
          <w:lang w:val="en-US" w:eastAsia="zh-CN"/>
        </w:rPr>
        <w:tab/>
        <w:t>ITU-R</w:t>
      </w:r>
      <w:r>
        <w:rPr>
          <w:rFonts w:hint="eastAsia"/>
          <w:lang w:val="en-US" w:eastAsia="zh-CN"/>
        </w:rPr>
        <w:t>继续</w:t>
      </w:r>
      <w:r>
        <w:rPr>
          <w:lang w:val="en-US" w:eastAsia="zh-CN"/>
        </w:rPr>
        <w:t>研究全球标准频率和时间</w:t>
      </w:r>
      <w:r>
        <w:rPr>
          <w:rFonts w:hint="eastAsia"/>
          <w:lang w:val="en-US" w:eastAsia="zh-CN"/>
        </w:rPr>
        <w:t>信号</w:t>
      </w:r>
      <w:r>
        <w:rPr>
          <w:lang w:val="en-US" w:eastAsia="zh-CN"/>
        </w:rPr>
        <w:t>业务并为</w:t>
      </w:r>
      <w:r>
        <w:rPr>
          <w:rFonts w:hint="eastAsia"/>
          <w:lang w:val="en-US" w:eastAsia="zh-CN"/>
        </w:rPr>
        <w:t>此</w:t>
      </w:r>
      <w:r>
        <w:rPr>
          <w:lang w:val="en-US" w:eastAsia="zh-CN"/>
        </w:rPr>
        <w:t>目的探讨新技术的应用；</w:t>
      </w:r>
    </w:p>
    <w:p w:rsidR="001B1011" w:rsidRPr="00DA0A64" w:rsidRDefault="001B1011" w:rsidP="001B1011">
      <w:pPr>
        <w:rPr>
          <w:lang w:val="en-US" w:eastAsia="zh-CN"/>
        </w:rPr>
      </w:pPr>
      <w:r w:rsidRPr="00DA0A64">
        <w:rPr>
          <w:b/>
          <w:lang w:val="en-US" w:eastAsia="zh-CN"/>
        </w:rPr>
        <w:t>2</w:t>
      </w:r>
      <w:r w:rsidRPr="00DA0A64">
        <w:rPr>
          <w:lang w:val="en-US" w:eastAsia="zh-CN"/>
        </w:rPr>
        <w:tab/>
      </w:r>
      <w:r>
        <w:rPr>
          <w:rFonts w:hint="eastAsia"/>
          <w:lang w:val="en-US" w:eastAsia="zh-CN"/>
        </w:rPr>
        <w:t>根据</w:t>
      </w:r>
      <w:r>
        <w:rPr>
          <w:lang w:val="en-US" w:eastAsia="zh-CN"/>
        </w:rPr>
        <w:t>详细的</w:t>
      </w:r>
      <w:r w:rsidRPr="00DA0A64">
        <w:rPr>
          <w:lang w:val="en-US" w:eastAsia="zh-CN"/>
        </w:rPr>
        <w:t>ITU-R</w:t>
      </w:r>
      <w:r>
        <w:rPr>
          <w:rFonts w:hint="eastAsia"/>
          <w:lang w:val="en-US" w:eastAsia="zh-CN"/>
        </w:rPr>
        <w:t>建议</w:t>
      </w:r>
      <w:r>
        <w:rPr>
          <w:lang w:val="en-US" w:eastAsia="zh-CN"/>
        </w:rPr>
        <w:t>书</w:t>
      </w:r>
      <w:r>
        <w:rPr>
          <w:rFonts w:hint="eastAsia"/>
          <w:lang w:val="en-US" w:eastAsia="zh-CN"/>
        </w:rPr>
        <w:t>从事</w:t>
      </w:r>
      <w:r>
        <w:rPr>
          <w:lang w:val="en-US" w:eastAsia="zh-CN"/>
        </w:rPr>
        <w:t>现有的</w:t>
      </w:r>
      <w:r>
        <w:rPr>
          <w:lang w:eastAsia="zh-CN"/>
        </w:rPr>
        <w:t>标准频率和时间信号业务</w:t>
      </w:r>
      <w:r w:rsidRPr="004F2F23">
        <w:rPr>
          <w:rFonts w:hint="eastAsia"/>
          <w:lang w:val="en-US" w:eastAsia="zh-CN"/>
        </w:rPr>
        <w:t>；</w:t>
      </w:r>
    </w:p>
    <w:p w:rsidR="001B1011" w:rsidRDefault="001B1011" w:rsidP="001B1011">
      <w:pPr>
        <w:rPr>
          <w:lang w:val="en-US" w:eastAsia="zh-CN"/>
        </w:rPr>
      </w:pPr>
      <w:r w:rsidRPr="00DA0A64">
        <w:rPr>
          <w:b/>
          <w:lang w:val="en-US" w:eastAsia="zh-CN"/>
        </w:rPr>
        <w:t>3</w:t>
      </w:r>
      <w:r w:rsidRPr="00DA0A64">
        <w:rPr>
          <w:lang w:val="en-US" w:eastAsia="zh-CN"/>
        </w:rPr>
        <w:tab/>
      </w:r>
      <w:r>
        <w:rPr>
          <w:rFonts w:hint="eastAsia"/>
          <w:lang w:val="en-US" w:eastAsia="zh-CN"/>
        </w:rPr>
        <w:t>尽</w:t>
      </w:r>
      <w:r>
        <w:rPr>
          <w:lang w:val="en-US" w:eastAsia="zh-CN"/>
        </w:rPr>
        <w:t>最大</w:t>
      </w:r>
      <w:r>
        <w:rPr>
          <w:rFonts w:hint="eastAsia"/>
          <w:lang w:val="en-US" w:eastAsia="zh-CN"/>
        </w:rPr>
        <w:t>努力</w:t>
      </w:r>
      <w:r>
        <w:rPr>
          <w:lang w:val="en-US" w:eastAsia="zh-CN"/>
        </w:rPr>
        <w:t>防止或减少</w:t>
      </w:r>
      <w:r w:rsidRPr="00797B53">
        <w:rPr>
          <w:rFonts w:ascii="STKaiti" w:eastAsia="STKaiti" w:hAnsi="STKaiti"/>
          <w:lang w:val="en-US" w:eastAsia="zh-CN"/>
        </w:rPr>
        <w:t>考虑到</w:t>
      </w:r>
      <w:r>
        <w:rPr>
          <w:lang w:val="en-US" w:eastAsia="zh-CN"/>
        </w:rPr>
        <w:t>具体涉及的频段发射之间的相互干扰；</w:t>
      </w:r>
    </w:p>
    <w:p w:rsidR="001B1011" w:rsidRPr="00DA0A64" w:rsidRDefault="001B1011" w:rsidP="001B1011">
      <w:pPr>
        <w:rPr>
          <w:lang w:val="en-US" w:eastAsia="zh-CN"/>
        </w:rPr>
      </w:pPr>
      <w:r w:rsidRPr="00DA0A64">
        <w:rPr>
          <w:b/>
          <w:lang w:val="en-US" w:eastAsia="zh-CN"/>
        </w:rPr>
        <w:t>4</w:t>
      </w:r>
      <w:r w:rsidRPr="00DA0A64">
        <w:rPr>
          <w:lang w:val="en-US" w:eastAsia="zh-CN"/>
        </w:rPr>
        <w:tab/>
      </w:r>
      <w:r>
        <w:rPr>
          <w:rFonts w:hint="eastAsia"/>
          <w:lang w:val="en-US" w:eastAsia="zh-CN"/>
        </w:rPr>
        <w:t>向</w:t>
      </w:r>
      <w:r w:rsidRPr="00DA0A64">
        <w:rPr>
          <w:lang w:val="en-US" w:eastAsia="zh-CN"/>
        </w:rPr>
        <w:t>ITU-R</w:t>
      </w:r>
      <w:r>
        <w:rPr>
          <w:rFonts w:hint="eastAsia"/>
          <w:lang w:val="en-US" w:eastAsia="zh-CN"/>
        </w:rPr>
        <w:t>提供</w:t>
      </w:r>
      <w:r>
        <w:rPr>
          <w:lang w:val="en-US" w:eastAsia="zh-CN"/>
        </w:rPr>
        <w:t>第</w:t>
      </w:r>
      <w:r>
        <w:rPr>
          <w:rFonts w:hint="eastAsia"/>
          <w:lang w:val="en-US" w:eastAsia="zh-CN"/>
        </w:rPr>
        <w:t>4</w:t>
      </w:r>
      <w:r>
        <w:rPr>
          <w:rFonts w:hint="eastAsia"/>
          <w:lang w:val="en-US" w:eastAsia="zh-CN"/>
        </w:rPr>
        <w:t>和</w:t>
      </w:r>
      <w:r>
        <w:rPr>
          <w:rFonts w:hint="eastAsia"/>
          <w:lang w:val="en-US" w:eastAsia="zh-CN"/>
        </w:rPr>
        <w:t>5</w:t>
      </w:r>
      <w:r>
        <w:rPr>
          <w:rFonts w:hint="eastAsia"/>
          <w:lang w:val="en-US" w:eastAsia="zh-CN"/>
        </w:rPr>
        <w:t>频段</w:t>
      </w:r>
      <w:r>
        <w:rPr>
          <w:lang w:val="en-US" w:eastAsia="zh-CN"/>
        </w:rPr>
        <w:t>（见《无线电规则》第</w:t>
      </w:r>
      <w:r w:rsidRPr="0036099A">
        <w:rPr>
          <w:rFonts w:hint="eastAsia"/>
          <w:b/>
          <w:bCs/>
          <w:lang w:val="en-US" w:eastAsia="zh-CN"/>
        </w:rPr>
        <w:t>2</w:t>
      </w:r>
      <w:r>
        <w:rPr>
          <w:rFonts w:hint="eastAsia"/>
          <w:lang w:val="en-US" w:eastAsia="zh-CN"/>
        </w:rPr>
        <w:t>条</w:t>
      </w:r>
      <w:r>
        <w:rPr>
          <w:lang w:val="en-US" w:eastAsia="zh-CN"/>
        </w:rPr>
        <w:t>）路径相位稳定性测量的方法和结果；</w:t>
      </w:r>
    </w:p>
    <w:p w:rsidR="001B1011" w:rsidRPr="00DA0A64" w:rsidRDefault="001B1011" w:rsidP="001B1011">
      <w:pPr>
        <w:rPr>
          <w:lang w:val="en-US" w:eastAsia="zh-CN"/>
        </w:rPr>
      </w:pPr>
      <w:r w:rsidRPr="00DA0A64">
        <w:rPr>
          <w:b/>
          <w:lang w:val="en-US" w:eastAsia="zh-CN"/>
        </w:rPr>
        <w:t>5</w:t>
      </w:r>
      <w:r w:rsidRPr="00DA0A64">
        <w:rPr>
          <w:lang w:val="en-US" w:eastAsia="zh-CN"/>
        </w:rPr>
        <w:tab/>
      </w:r>
      <w:r>
        <w:rPr>
          <w:rFonts w:hint="eastAsia"/>
          <w:lang w:val="en-US" w:eastAsia="zh-CN"/>
        </w:rPr>
        <w:t>通过</w:t>
      </w:r>
      <w:r>
        <w:rPr>
          <w:lang w:val="en-US" w:eastAsia="zh-CN"/>
        </w:rPr>
        <w:t>以精确控制其</w:t>
      </w:r>
      <w:r>
        <w:rPr>
          <w:rFonts w:hint="eastAsia"/>
          <w:lang w:val="en-US" w:eastAsia="zh-CN"/>
        </w:rPr>
        <w:t>载波</w:t>
      </w:r>
      <w:r>
        <w:rPr>
          <w:lang w:val="en-US" w:eastAsia="zh-CN"/>
        </w:rPr>
        <w:t>频率作为对分配时间基准的卫星系统的补充，利用</w:t>
      </w:r>
      <w:r>
        <w:rPr>
          <w:rFonts w:hint="eastAsia"/>
          <w:lang w:val="en-US" w:eastAsia="zh-CN"/>
        </w:rPr>
        <w:t>5</w:t>
      </w:r>
      <w:r>
        <w:rPr>
          <w:rFonts w:hint="eastAsia"/>
          <w:lang w:val="en-US" w:eastAsia="zh-CN"/>
        </w:rPr>
        <w:t>频段</w:t>
      </w:r>
      <w:r>
        <w:rPr>
          <w:lang w:val="en-US" w:eastAsia="zh-CN"/>
        </w:rPr>
        <w:t>的现有适用电台分配标准频率；</w:t>
      </w:r>
    </w:p>
    <w:p w:rsidR="001B1011" w:rsidRDefault="001B1011" w:rsidP="001B1011">
      <w:pPr>
        <w:rPr>
          <w:lang w:val="en-US" w:eastAsia="zh-CN"/>
        </w:rPr>
      </w:pPr>
      <w:r w:rsidRPr="00DA0A64">
        <w:rPr>
          <w:b/>
          <w:lang w:val="en-US" w:eastAsia="zh-CN"/>
        </w:rPr>
        <w:t>6</w:t>
      </w:r>
      <w:r w:rsidRPr="00DA0A64">
        <w:rPr>
          <w:lang w:val="en-US" w:eastAsia="zh-CN"/>
        </w:rPr>
        <w:tab/>
      </w:r>
      <w:r>
        <w:rPr>
          <w:rFonts w:hint="eastAsia"/>
          <w:lang w:val="en-US" w:eastAsia="zh-CN"/>
        </w:rPr>
        <w:t>在</w:t>
      </w:r>
      <w:r>
        <w:rPr>
          <w:lang w:val="en-US" w:eastAsia="zh-CN"/>
        </w:rPr>
        <w:t>使用现有业务或规划新业务时，考虑到</w:t>
      </w:r>
      <w:r w:rsidRPr="00DA0A64">
        <w:rPr>
          <w:lang w:val="en-US" w:eastAsia="zh-CN"/>
        </w:rPr>
        <w:t>ITU-R TF.583</w:t>
      </w:r>
      <w:r>
        <w:rPr>
          <w:rFonts w:hint="eastAsia"/>
          <w:lang w:val="en-US" w:eastAsia="zh-CN"/>
        </w:rPr>
        <w:t>和</w:t>
      </w:r>
      <w:r w:rsidRPr="00DA0A64">
        <w:rPr>
          <w:lang w:val="en-US" w:eastAsia="zh-CN"/>
        </w:rPr>
        <w:t>ITU-R TF.768</w:t>
      </w:r>
      <w:r>
        <w:rPr>
          <w:rFonts w:hint="eastAsia"/>
          <w:lang w:val="en-US" w:eastAsia="zh-CN"/>
        </w:rPr>
        <w:t>建议</w:t>
      </w:r>
      <w:r>
        <w:rPr>
          <w:lang w:val="en-US" w:eastAsia="zh-CN"/>
        </w:rPr>
        <w:t>书、</w:t>
      </w:r>
      <w:r w:rsidRPr="00DA0A64">
        <w:rPr>
          <w:lang w:val="en-US" w:eastAsia="zh-CN"/>
        </w:rPr>
        <w:t>ITU-R</w:t>
      </w:r>
      <w:r>
        <w:rPr>
          <w:rFonts w:hint="eastAsia"/>
          <w:lang w:val="en-US" w:eastAsia="zh-CN"/>
        </w:rPr>
        <w:t>“精确</w:t>
      </w:r>
      <w:r>
        <w:rPr>
          <w:lang w:val="en-US" w:eastAsia="zh-CN"/>
        </w:rPr>
        <w:t>频率和时间系统选择与使用</w:t>
      </w:r>
      <w:r>
        <w:rPr>
          <w:rFonts w:hint="eastAsia"/>
          <w:lang w:val="en-US" w:eastAsia="zh-CN"/>
        </w:rPr>
        <w:t>”</w:t>
      </w:r>
      <w:r>
        <w:rPr>
          <w:lang w:val="en-US" w:eastAsia="zh-CN"/>
        </w:rPr>
        <w:t>手册</w:t>
      </w:r>
      <w:r>
        <w:rPr>
          <w:rFonts w:hint="eastAsia"/>
          <w:lang w:val="en-US" w:eastAsia="zh-CN"/>
        </w:rPr>
        <w:t>第</w:t>
      </w:r>
      <w:r>
        <w:rPr>
          <w:rFonts w:hint="eastAsia"/>
          <w:lang w:val="en-US" w:eastAsia="zh-CN"/>
        </w:rPr>
        <w:t>2</w:t>
      </w:r>
      <w:r>
        <w:rPr>
          <w:lang w:val="en-US" w:eastAsia="zh-CN"/>
        </w:rPr>
        <w:t>B</w:t>
      </w:r>
      <w:r>
        <w:rPr>
          <w:rFonts w:hint="eastAsia"/>
          <w:lang w:val="en-US" w:eastAsia="zh-CN"/>
        </w:rPr>
        <w:t>章</w:t>
      </w:r>
      <w:r>
        <w:rPr>
          <w:lang w:val="en-US" w:eastAsia="zh-CN"/>
        </w:rPr>
        <w:t>以及</w:t>
      </w:r>
      <w:r w:rsidRPr="00DA0A64">
        <w:rPr>
          <w:lang w:val="en-US" w:eastAsia="zh-CN"/>
        </w:rPr>
        <w:t>ITU-R</w:t>
      </w:r>
      <w:r>
        <w:rPr>
          <w:rFonts w:hint="eastAsia"/>
          <w:lang w:val="en-US" w:eastAsia="zh-CN"/>
        </w:rPr>
        <w:t>“</w:t>
      </w:r>
      <w:r>
        <w:rPr>
          <w:lang w:val="en-US" w:eastAsia="zh-CN"/>
        </w:rPr>
        <w:t>卫星时间和频率传输及传播</w:t>
      </w:r>
      <w:r>
        <w:rPr>
          <w:rFonts w:hint="eastAsia"/>
          <w:lang w:val="en-US" w:eastAsia="zh-CN"/>
        </w:rPr>
        <w:t>”</w:t>
      </w:r>
      <w:r>
        <w:rPr>
          <w:lang w:val="en-US" w:eastAsia="zh-CN"/>
        </w:rPr>
        <w:t>手册的业务文件记录。</w:t>
      </w:r>
    </w:p>
    <w:p w:rsidR="001B1011" w:rsidRDefault="001B1011" w:rsidP="001B1011">
      <w:pPr>
        <w:rPr>
          <w:lang w:val="en-US" w:eastAsia="zh-CN"/>
        </w:rPr>
      </w:pPr>
    </w:p>
    <w:p w:rsidR="001B1011" w:rsidRDefault="001B1011" w:rsidP="001B1011">
      <w:pPr>
        <w:rPr>
          <w:lang w:val="en-US" w:eastAsia="zh-CN"/>
        </w:rPr>
      </w:pPr>
    </w:p>
    <w:p w:rsidR="001B1011" w:rsidRPr="008D3DE8" w:rsidRDefault="001B1011" w:rsidP="001B1011">
      <w:pPr>
        <w:pStyle w:val="Line"/>
        <w:rPr>
          <w:lang w:eastAsia="zh-CN"/>
        </w:rPr>
      </w:pPr>
    </w:p>
    <w:p w:rsidR="00DF6A03" w:rsidRDefault="00DF6A03" w:rsidP="001B1011">
      <w:pPr>
        <w:pStyle w:val="RecNo"/>
        <w:spacing w:before="120" w:after="40"/>
      </w:pPr>
    </w:p>
    <w:sectPr w:rsidR="00DF6A03" w:rsidSect="007C537B">
      <w:headerReference w:type="even" r:id="rId17"/>
      <w:headerReference w:type="default" r:id="rId18"/>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B1" w:rsidRDefault="004E68B1" w:rsidP="00254DD3">
      <w:r>
        <w:separator/>
      </w:r>
    </w:p>
  </w:endnote>
  <w:endnote w:type="continuationSeparator" w:id="0">
    <w:p w:rsidR="004E68B1" w:rsidRDefault="004E68B1"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Footer"/>
    </w:pPr>
    <w:r>
      <w:rPr>
        <w:noProof/>
        <w:lang w:val="en-US" w:eastAsia="zh-CN"/>
      </w:rPr>
      <w:drawing>
        <wp:anchor distT="0" distB="0" distL="114300" distR="114300" simplePos="0" relativeHeight="251659264" behindDoc="1" locked="0" layoutInCell="1" allowOverlap="1">
          <wp:simplePos x="0" y="0"/>
          <wp:positionH relativeFrom="column">
            <wp:posOffset>-150495</wp:posOffset>
          </wp:positionH>
          <wp:positionV relativeFrom="paragraph">
            <wp:posOffset>-931545</wp:posOffset>
          </wp:positionV>
          <wp:extent cx="1247775" cy="9353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200DF9">
    <w:pPr>
      <w:pStyle w:val="Footer"/>
      <w:tabs>
        <w:tab w:val="clear" w:pos="794"/>
        <w:tab w:val="clear" w:pos="1191"/>
        <w:tab w:val="clear" w:pos="1588"/>
        <w:tab w:val="clear" w:pos="1985"/>
        <w:tab w:val="clear" w:pos="4680"/>
        <w:tab w:val="clear" w:pos="9360"/>
        <w:tab w:val="left" w:pos="606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B1" w:rsidRDefault="004E68B1" w:rsidP="00254DD3">
      <w:r>
        <w:separator/>
      </w:r>
    </w:p>
  </w:footnote>
  <w:footnote w:type="continuationSeparator" w:id="0">
    <w:p w:rsidR="004E68B1" w:rsidRDefault="004E68B1" w:rsidP="002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r w:rsidRPr="00254DD3">
      <w:rPr>
        <w:noProof/>
        <w:lang w:val="en-US"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r>
      <w:rPr>
        <w:b/>
        <w:lang w:eastAsia="zh-CN"/>
      </w:rPr>
      <w:tab/>
    </w:r>
    <w:r w:rsidRPr="00C54A74">
      <w:rPr>
        <w:rFonts w:hint="eastAsia"/>
        <w:b/>
        <w:lang w:eastAsia="zh-CN"/>
      </w:rPr>
      <w:t>ITU-R F.746-</w:t>
    </w:r>
    <w:r>
      <w:rPr>
        <w:b/>
        <w:lang w:eastAsia="zh-CN"/>
      </w:rPr>
      <w:t>10</w:t>
    </w:r>
    <w:r w:rsidRPr="00C54A74">
      <w:rPr>
        <w:rFonts w:hint="eastAsia"/>
        <w:b/>
        <w:lang w:eastAsia="zh-CN"/>
      </w:rPr>
      <w:t>建议书</w:t>
    </w:r>
    <w:r>
      <w:rPr>
        <w:b/>
        <w:lang w:eastAsia="zh-CN"/>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rsidP="00200DF9">
    <w:pPr>
      <w:pStyle w:val="Heade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tab/>
    </w:r>
    <w:r w:rsidRPr="00C54A74">
      <w:rPr>
        <w:rFonts w:hint="eastAsia"/>
        <w:b/>
        <w:lang w:eastAsia="zh-CN"/>
      </w:rPr>
      <w:t>ITU-R F.746-</w:t>
    </w:r>
    <w:r>
      <w:rPr>
        <w:b/>
        <w:lang w:eastAsia="zh-CN"/>
      </w:rPr>
      <w:t>10</w:t>
    </w:r>
    <w:r w:rsidRPr="00C54A74">
      <w:rPr>
        <w:rFonts w:hint="eastAsia"/>
        <w:b/>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Default="00200D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F9" w:rsidRPr="007C537B" w:rsidRDefault="00200DF9" w:rsidP="007C537B">
    <w:pPr>
      <w:pStyle w:val="Header"/>
      <w:spacing w:before="0"/>
    </w:pPr>
    <w:r w:rsidRPr="00200DF9">
      <w:rPr>
        <w:rStyle w:val="PageNumber"/>
        <w:b/>
        <w:bCs/>
      </w:rPr>
      <w:fldChar w:fldCharType="begin"/>
    </w:r>
    <w:r w:rsidRPr="00200DF9">
      <w:rPr>
        <w:rStyle w:val="PageNumber"/>
        <w:b/>
        <w:bCs/>
      </w:rPr>
      <w:instrText xml:space="preserve"> PAGE </w:instrText>
    </w:r>
    <w:r w:rsidRPr="00200DF9">
      <w:rPr>
        <w:rStyle w:val="PageNumber"/>
        <w:b/>
        <w:bCs/>
      </w:rPr>
      <w:fldChar w:fldCharType="separate"/>
    </w:r>
    <w:r w:rsidR="00314A16">
      <w:rPr>
        <w:rStyle w:val="PageNumber"/>
        <w:b/>
        <w:bCs/>
        <w:noProof/>
      </w:rPr>
      <w:t>ii</w:t>
    </w:r>
    <w:r w:rsidRPr="00200DF9">
      <w:rPr>
        <w:rStyle w:val="PageNumber"/>
        <w:b/>
        <w:bCs/>
      </w:rPr>
      <w:fldChar w:fldCharType="end"/>
    </w:r>
    <w:r w:rsidRPr="00200DF9">
      <w:rPr>
        <w:b/>
        <w:bCs/>
      </w:rPr>
      <w:tab/>
    </w:r>
    <w:r w:rsidR="007C537B" w:rsidRPr="009F08F6">
      <w:rPr>
        <w:b/>
        <w:bCs/>
      </w:rPr>
      <w:t xml:space="preserve">ITU-R </w:t>
    </w:r>
    <w:r w:rsidR="007C537B">
      <w:rPr>
        <w:rFonts w:hint="eastAsia"/>
        <w:b/>
        <w:bCs/>
        <w:lang w:eastAsia="zh-CN"/>
      </w:rPr>
      <w:t xml:space="preserve"> </w:t>
    </w:r>
    <w:r w:rsidR="007C537B">
      <w:rPr>
        <w:b/>
        <w:bCs/>
      </w:rPr>
      <w:t>TF.3</w:t>
    </w:r>
    <w:r w:rsidR="007C537B" w:rsidRPr="009F08F6">
      <w:rPr>
        <w:b/>
        <w:bCs/>
      </w:rPr>
      <w:t>7</w:t>
    </w:r>
    <w:r w:rsidR="007C537B">
      <w:rPr>
        <w:b/>
        <w:bCs/>
      </w:rPr>
      <w:t>4-6</w:t>
    </w:r>
    <w:r w:rsidR="007C537B" w:rsidRPr="009F08F6">
      <w:rPr>
        <w:rFonts w:hint="eastAsia"/>
        <w:b/>
        <w:bCs/>
      </w:rPr>
      <w:t xml:space="preserve"> </w:t>
    </w:r>
    <w:r w:rsidR="007C537B" w:rsidRPr="009F08F6">
      <w:rPr>
        <w:rFonts w:hint="eastAsia"/>
        <w:b/>
        <w:bCs/>
      </w:rPr>
      <w:t>建议书</w:t>
    </w:r>
    <w:r w:rsidRPr="00200DF9">
      <w:rPr>
        <w:b/>
        <w:bC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41" w:rsidRPr="009F08F6" w:rsidRDefault="008B242A" w:rsidP="007C537B">
    <w:pPr>
      <w:pStyle w:val="Header"/>
      <w:spacing w:before="0"/>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14A16">
      <w:rPr>
        <w:rStyle w:val="PageNumber"/>
        <w:b/>
        <w:bCs/>
        <w:noProof/>
        <w:lang w:val="en-US"/>
      </w:rPr>
      <w:t>2</w:t>
    </w:r>
    <w:r>
      <w:rPr>
        <w:rStyle w:val="PageNumber"/>
        <w:b/>
        <w:bCs/>
      </w:rPr>
      <w:fldChar w:fldCharType="end"/>
    </w:r>
    <w:r>
      <w:rPr>
        <w:lang w:val="en-US"/>
      </w:rPr>
      <w:tab/>
    </w:r>
    <w:r w:rsidRPr="009F08F6">
      <w:rPr>
        <w:b/>
        <w:bCs/>
      </w:rPr>
      <w:t>ITU-R</w:t>
    </w:r>
    <w:r>
      <w:rPr>
        <w:rFonts w:hint="eastAsia"/>
        <w:b/>
        <w:bCs/>
        <w:lang w:eastAsia="zh-CN"/>
      </w:rPr>
      <w:t xml:space="preserve"> </w:t>
    </w:r>
    <w:r>
      <w:rPr>
        <w:b/>
        <w:bCs/>
      </w:rPr>
      <w:t xml:space="preserve"> TF.3</w:t>
    </w:r>
    <w:r w:rsidRPr="009F08F6">
      <w:rPr>
        <w:b/>
        <w:bCs/>
      </w:rPr>
      <w:t>7</w:t>
    </w:r>
    <w:r>
      <w:rPr>
        <w:b/>
        <w:bCs/>
      </w:rPr>
      <w:t>4-6</w:t>
    </w:r>
    <w:r w:rsidRPr="009F08F6">
      <w:rPr>
        <w:rFonts w:hint="eastAsia"/>
        <w:b/>
        <w:bCs/>
      </w:rPr>
      <w:t xml:space="preserve"> </w:t>
    </w:r>
    <w:r w:rsidRPr="009F08F6">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41" w:rsidRDefault="008B242A" w:rsidP="007C537B">
    <w:pPr>
      <w:pStyle w:val="Header"/>
      <w:spacing w:before="0"/>
    </w:pPr>
    <w:r>
      <w:tab/>
    </w:r>
    <w:r w:rsidRPr="009F08F6">
      <w:rPr>
        <w:b/>
        <w:bCs/>
      </w:rPr>
      <w:t xml:space="preserve">ITU-R </w:t>
    </w:r>
    <w:r>
      <w:rPr>
        <w:rFonts w:hint="eastAsia"/>
        <w:b/>
        <w:bCs/>
        <w:lang w:eastAsia="zh-CN"/>
      </w:rPr>
      <w:t xml:space="preserve"> </w:t>
    </w:r>
    <w:r>
      <w:rPr>
        <w:b/>
        <w:bCs/>
      </w:rPr>
      <w:t>TF.3</w:t>
    </w:r>
    <w:r w:rsidRPr="009F08F6">
      <w:rPr>
        <w:b/>
        <w:bCs/>
      </w:rPr>
      <w:t>7</w:t>
    </w:r>
    <w:r>
      <w:rPr>
        <w:b/>
        <w:bCs/>
      </w:rPr>
      <w:t>4-6</w:t>
    </w:r>
    <w:r w:rsidRPr="009F08F6">
      <w:rPr>
        <w:rFonts w:hint="eastAsia"/>
        <w:b/>
        <w:bCs/>
      </w:rPr>
      <w:t xml:space="preserve"> </w:t>
    </w:r>
    <w:r w:rsidRPr="009F08F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314A16">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03"/>
    <w:rsid w:val="000244A7"/>
    <w:rsid w:val="00036C5D"/>
    <w:rsid w:val="00097FBE"/>
    <w:rsid w:val="000D5CA5"/>
    <w:rsid w:val="000E2145"/>
    <w:rsid w:val="000E5C1B"/>
    <w:rsid w:val="00153135"/>
    <w:rsid w:val="00161829"/>
    <w:rsid w:val="001B1011"/>
    <w:rsid w:val="001E39F0"/>
    <w:rsid w:val="00200DF9"/>
    <w:rsid w:val="00204CB2"/>
    <w:rsid w:val="00254DD3"/>
    <w:rsid w:val="00274CC8"/>
    <w:rsid w:val="002A76A6"/>
    <w:rsid w:val="0030734D"/>
    <w:rsid w:val="00314A16"/>
    <w:rsid w:val="0046395A"/>
    <w:rsid w:val="0046629F"/>
    <w:rsid w:val="004A13CA"/>
    <w:rsid w:val="004E5703"/>
    <w:rsid w:val="004E68B1"/>
    <w:rsid w:val="005070DA"/>
    <w:rsid w:val="005139BC"/>
    <w:rsid w:val="005408DE"/>
    <w:rsid w:val="005769A6"/>
    <w:rsid w:val="005C4E15"/>
    <w:rsid w:val="0069697A"/>
    <w:rsid w:val="006B7B86"/>
    <w:rsid w:val="0070363D"/>
    <w:rsid w:val="00713B4F"/>
    <w:rsid w:val="00716D2C"/>
    <w:rsid w:val="007B610C"/>
    <w:rsid w:val="007C537B"/>
    <w:rsid w:val="008167FC"/>
    <w:rsid w:val="0082193E"/>
    <w:rsid w:val="008B242A"/>
    <w:rsid w:val="009512FC"/>
    <w:rsid w:val="00984C16"/>
    <w:rsid w:val="00A941FC"/>
    <w:rsid w:val="00AD6E44"/>
    <w:rsid w:val="00BB3B01"/>
    <w:rsid w:val="00C37CF0"/>
    <w:rsid w:val="00CC255B"/>
    <w:rsid w:val="00D12372"/>
    <w:rsid w:val="00D42DE4"/>
    <w:rsid w:val="00D56748"/>
    <w:rsid w:val="00D71DB8"/>
    <w:rsid w:val="00D97756"/>
    <w:rsid w:val="00DC6F11"/>
    <w:rsid w:val="00DD595B"/>
    <w:rsid w:val="00DE3422"/>
    <w:rsid w:val="00DF6A03"/>
    <w:rsid w:val="00E3511A"/>
    <w:rsid w:val="00E656C3"/>
    <w:rsid w:val="00E9017A"/>
    <w:rsid w:val="00E95782"/>
    <w:rsid w:val="00ED4451"/>
    <w:rsid w:val="00EE08B3"/>
    <w:rsid w:val="00FB7EED"/>
    <w:rsid w:val="00FC40A8"/>
    <w:rsid w:val="00FC7C6E"/>
    <w:rsid w:val="00FD4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675056-6C32-466B-B684-302D7F7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F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qFormat/>
    <w:rsid w:val="00DF6A03"/>
    <w:pPr>
      <w:keepNext/>
      <w:keepLines/>
      <w:spacing w:before="480"/>
      <w:ind w:left="794" w:hanging="794"/>
      <w:outlineLvl w:val="0"/>
    </w:pPr>
    <w:rPr>
      <w:b/>
    </w:rPr>
  </w:style>
  <w:style w:type="paragraph" w:styleId="Heading2">
    <w:name w:val="heading 2"/>
    <w:basedOn w:val="Heading1"/>
    <w:next w:val="Normal"/>
    <w:link w:val="Heading2Char"/>
    <w:qFormat/>
    <w:rsid w:val="0046629F"/>
    <w:pPr>
      <w:spacing w:before="320"/>
      <w:outlineLvl w:val="1"/>
    </w:pPr>
    <w:rPr>
      <w:rFonts w:eastAsia="SimSun"/>
    </w:rPr>
  </w:style>
  <w:style w:type="paragraph" w:styleId="Heading3">
    <w:name w:val="heading 3"/>
    <w:basedOn w:val="Heading1"/>
    <w:next w:val="Normal"/>
    <w:link w:val="Heading3Char"/>
    <w:qFormat/>
    <w:rsid w:val="0046629F"/>
    <w:pPr>
      <w:spacing w:before="200"/>
      <w:outlineLvl w:val="2"/>
    </w:pPr>
    <w:rPr>
      <w:rFonts w:eastAsia="SimSun"/>
    </w:rPr>
  </w:style>
  <w:style w:type="paragraph" w:styleId="Heading4">
    <w:name w:val="heading 4"/>
    <w:basedOn w:val="Heading3"/>
    <w:next w:val="Normal"/>
    <w:link w:val="Heading4Char"/>
    <w:qFormat/>
    <w:rsid w:val="0046629F"/>
    <w:pPr>
      <w:tabs>
        <w:tab w:val="clear" w:pos="794"/>
        <w:tab w:val="left" w:pos="992"/>
      </w:tabs>
      <w:ind w:left="992" w:hanging="992"/>
      <w:outlineLvl w:val="3"/>
    </w:pPr>
  </w:style>
  <w:style w:type="paragraph" w:styleId="Heading5">
    <w:name w:val="heading 5"/>
    <w:basedOn w:val="Heading4"/>
    <w:next w:val="Normal"/>
    <w:link w:val="Heading5Char"/>
    <w:qFormat/>
    <w:rsid w:val="0046629F"/>
    <w:pPr>
      <w:outlineLvl w:val="4"/>
    </w:pPr>
  </w:style>
  <w:style w:type="paragraph" w:styleId="Heading6">
    <w:name w:val="heading 6"/>
    <w:basedOn w:val="Heading4"/>
    <w:next w:val="Normal"/>
    <w:link w:val="Heading6Char"/>
    <w:qFormat/>
    <w:rsid w:val="0046629F"/>
    <w:pPr>
      <w:tabs>
        <w:tab w:val="clear" w:pos="992"/>
        <w:tab w:val="clear" w:pos="1191"/>
      </w:tabs>
      <w:ind w:left="1588" w:hanging="1588"/>
      <w:outlineLvl w:val="5"/>
    </w:pPr>
  </w:style>
  <w:style w:type="paragraph" w:styleId="Heading7">
    <w:name w:val="heading 7"/>
    <w:basedOn w:val="Heading6"/>
    <w:next w:val="Normal"/>
    <w:link w:val="Heading7Char"/>
    <w:qFormat/>
    <w:rsid w:val="0046629F"/>
    <w:pPr>
      <w:outlineLvl w:val="6"/>
    </w:pPr>
  </w:style>
  <w:style w:type="paragraph" w:styleId="Heading8">
    <w:name w:val="heading 8"/>
    <w:basedOn w:val="Heading6"/>
    <w:next w:val="Normal"/>
    <w:link w:val="Heading8Char"/>
    <w:qFormat/>
    <w:rsid w:val="0046629F"/>
    <w:pPr>
      <w:outlineLvl w:val="7"/>
    </w:pPr>
  </w:style>
  <w:style w:type="paragraph" w:styleId="Heading9">
    <w:name w:val="heading 9"/>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unhideWhenUsed/>
    <w:rsid w:val="00200DF9"/>
    <w:pPr>
      <w:tabs>
        <w:tab w:val="clear" w:pos="794"/>
        <w:tab w:val="clear" w:pos="1191"/>
        <w:tab w:val="clear" w:pos="1588"/>
        <w:tab w:val="clear" w:pos="1985"/>
        <w:tab w:val="center" w:pos="4820"/>
        <w:tab w:val="right" w:pos="9639"/>
      </w:tabs>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00DF9"/>
    <w:rPr>
      <w:rFonts w:ascii="Times New Roman" w:hAnsi="Times New Roman" w:cs="Times New Roman"/>
      <w:sz w:val="24"/>
      <w:szCs w:val="20"/>
      <w:lang w:val="fr-FR" w:eastAsia="en-US"/>
    </w:rPr>
  </w:style>
  <w:style w:type="paragraph" w:styleId="Footer">
    <w:name w:val="footer"/>
    <w:basedOn w:val="Normal"/>
    <w:link w:val="FooterChar"/>
    <w:unhideWhenUsed/>
    <w:rsid w:val="00254DD3"/>
    <w:pPr>
      <w:tabs>
        <w:tab w:val="center" w:pos="4680"/>
        <w:tab w:val="right" w:pos="9360"/>
      </w:tabs>
    </w:pPr>
  </w:style>
  <w:style w:type="character" w:customStyle="1" w:styleId="FooterChar">
    <w:name w:val="Footer Char"/>
    <w:basedOn w:val="DefaultParagraphFont"/>
    <w:link w:val="Footer"/>
    <w:uiPriority w:val="99"/>
    <w:rsid w:val="00254DD3"/>
  </w:style>
  <w:style w:type="character" w:customStyle="1" w:styleId="Heading1Char">
    <w:name w:val="Heading 1 Char"/>
    <w:basedOn w:val="DefaultParagraphFont"/>
    <w:link w:val="Heading1"/>
    <w:rsid w:val="00DF6A03"/>
    <w:rPr>
      <w:rFonts w:ascii="Times New Roman" w:hAnsi="Times New Roman" w:cs="Times New Roman"/>
      <w:b/>
      <w:sz w:val="24"/>
      <w:szCs w:val="20"/>
      <w:lang w:val="fr-FR" w:eastAsia="en-US"/>
    </w:rPr>
  </w:style>
  <w:style w:type="paragraph" w:customStyle="1" w:styleId="Tablehead">
    <w:name w:val="Table_head"/>
    <w:basedOn w:val="Normal"/>
    <w:next w:val="Normal"/>
    <w:link w:val="TableheadChar"/>
    <w:rsid w:val="00DF6A0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F6A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Hyperlink">
    <w:name w:val="Hyperlink"/>
    <w:basedOn w:val="DefaultParagraphFont"/>
    <w:rsid w:val="00DF6A03"/>
    <w:rPr>
      <w:color w:val="0000FF"/>
      <w:u w:val="single"/>
    </w:rPr>
  </w:style>
  <w:style w:type="character" w:customStyle="1" w:styleId="TabletextChar">
    <w:name w:val="Table_text Char"/>
    <w:basedOn w:val="DefaultParagraphFont"/>
    <w:link w:val="Tabletext"/>
    <w:locked/>
    <w:rsid w:val="00DF6A03"/>
    <w:rPr>
      <w:rFonts w:ascii="Times New Roman" w:hAnsi="Times New Roman" w:cs="Times New Roman"/>
      <w:szCs w:val="20"/>
      <w:lang w:val="fr-FR" w:eastAsia="en-US"/>
    </w:rPr>
  </w:style>
  <w:style w:type="character" w:customStyle="1" w:styleId="Heading2Char">
    <w:name w:val="Heading 2 Char"/>
    <w:basedOn w:val="DefaultParagraphFont"/>
    <w:link w:val="Heading2"/>
    <w:rsid w:val="0046629F"/>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rsid w:val="0046629F"/>
    <w:rPr>
      <w:rFonts w:ascii="Times New Roman" w:eastAsia="SimSun" w:hAnsi="Times New Roman" w:cs="Times New Roman"/>
      <w:b/>
      <w:sz w:val="24"/>
      <w:szCs w:val="20"/>
      <w:lang w:val="fr-FR" w:eastAsia="en-US"/>
    </w:rPr>
  </w:style>
  <w:style w:type="character" w:styleId="PageNumber">
    <w:name w:val="page number"/>
    <w:basedOn w:val="DefaultParagraphFont"/>
    <w:rsid w:val="0046629F"/>
  </w:style>
  <w:style w:type="paragraph" w:customStyle="1" w:styleId="Headingb">
    <w:name w:val="Heading_b"/>
    <w:basedOn w:val="Heading3"/>
    <w:next w:val="Normal"/>
    <w:rsid w:val="0046629F"/>
    <w:pPr>
      <w:spacing w:before="160"/>
      <w:ind w:left="0" w:firstLine="0"/>
      <w:outlineLvl w:val="9"/>
    </w:pPr>
  </w:style>
  <w:style w:type="paragraph" w:customStyle="1" w:styleId="Headingi">
    <w:name w:val="Heading_i"/>
    <w:basedOn w:val="Heading3"/>
    <w:next w:val="Normal"/>
    <w:rsid w:val="0046629F"/>
    <w:pPr>
      <w:spacing w:before="160"/>
      <w:ind w:left="0" w:firstLine="0"/>
    </w:pPr>
    <w:rPr>
      <w:b w:val="0"/>
      <w:i/>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paragraph" w:customStyle="1" w:styleId="enumlev2">
    <w:name w:val="enumlev2"/>
    <w:basedOn w:val="enumlev1"/>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rsid w:val="0046629F"/>
    <w:pPr>
      <w:spacing w:before="320"/>
    </w:pPr>
    <w:rPr>
      <w:rFonts w:eastAsia="SimSun"/>
    </w:rPr>
  </w:style>
  <w:style w:type="paragraph" w:customStyle="1" w:styleId="Note">
    <w:name w:val="Note"/>
    <w:basedOn w:val="Normal"/>
    <w:rsid w:val="0046629F"/>
    <w:pPr>
      <w:tabs>
        <w:tab w:val="clear" w:pos="794"/>
        <w:tab w:val="clear" w:pos="1191"/>
        <w:tab w:val="clear" w:pos="1588"/>
        <w:tab w:val="clear" w:pos="1985"/>
      </w:tabs>
      <w:spacing w:before="80"/>
    </w:pPr>
    <w:rPr>
      <w:rFonts w:eastAsia="SimSun"/>
      <w:sz w:val="22"/>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paragraph" w:customStyle="1" w:styleId="HeadingSum">
    <w:name w:val="Heading_Sum"/>
    <w:basedOn w:val="Headingb"/>
    <w:next w:val="Normal"/>
    <w:rsid w:val="0046629F"/>
    <w:pPr>
      <w:spacing w:before="240"/>
    </w:pPr>
    <w:rPr>
      <w:sz w:val="22"/>
      <w:lang w:val="es-ES_tradnl"/>
    </w:rPr>
  </w:style>
  <w:style w:type="paragraph" w:customStyle="1" w:styleId="AnnexNoTitle">
    <w:name w:val="Annex_NoTitle"/>
    <w:basedOn w:val="Normal"/>
    <w:next w:val="Normalaftertitle"/>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rsid w:val="0046629F"/>
    <w:pPr>
      <w:spacing w:before="0"/>
    </w:pPr>
    <w:rPr>
      <w:rFonts w:eastAsia="SimSun"/>
      <w:sz w:val="20"/>
      <w:lang w:val="en-GB"/>
    </w:rPr>
  </w:style>
  <w:style w:type="paragraph" w:customStyle="1" w:styleId="Tablelegend">
    <w:name w:val="Table_legend"/>
    <w:basedOn w:val="Normal"/>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rsid w:val="0046629F"/>
    <w:pPr>
      <w:keepNext/>
      <w:spacing w:before="360" w:after="120"/>
      <w:jc w:val="center"/>
    </w:pPr>
    <w:rPr>
      <w:rFonts w:eastAsia="SimSun"/>
    </w:rPr>
  </w:style>
  <w:style w:type="paragraph" w:customStyle="1" w:styleId="Equation">
    <w:name w:val="Equation"/>
    <w:basedOn w:val="Normal"/>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6629F"/>
    <w:pPr>
      <w:ind w:left="794"/>
    </w:pPr>
    <w:rPr>
      <w:rFonts w:eastAsia="SimSun"/>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46629F"/>
    <w:pPr>
      <w:keepLines/>
      <w:spacing w:before="480" w:after="80"/>
      <w:jc w:val="center"/>
    </w:pPr>
    <w:rPr>
      <w:rFonts w:eastAsia="SimSun"/>
      <w:caps/>
      <w:sz w:val="18"/>
    </w:rPr>
  </w:style>
  <w:style w:type="paragraph" w:customStyle="1" w:styleId="Figuretitle">
    <w:name w:val="Figure_title"/>
    <w:basedOn w:val="Normal"/>
    <w:next w:val="Figure"/>
    <w:link w:val="FiguretitleChar"/>
    <w:rsid w:val="0046629F"/>
    <w:pPr>
      <w:keepNext/>
      <w:spacing w:before="0" w:after="120"/>
      <w:jc w:val="center"/>
    </w:pPr>
    <w:rPr>
      <w:rFonts w:ascii="Times New Roman Bold" w:eastAsia="SimSun" w:hAnsi="Times New Roman Bold"/>
      <w:b/>
      <w:sz w:val="18"/>
    </w:rPr>
  </w:style>
  <w:style w:type="paragraph" w:customStyle="1" w:styleId="Figure">
    <w:name w:val="Figure"/>
    <w:basedOn w:val="FigureNo"/>
    <w:next w:val="Figuretitle"/>
    <w:rsid w:val="0046629F"/>
    <w:pPr>
      <w:spacing w:before="0" w:after="240"/>
    </w:p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semiHidden/>
    <w:rsid w:val="0046629F"/>
    <w:rPr>
      <w:position w:val="6"/>
      <w:sz w:val="18"/>
    </w:rPr>
  </w:style>
  <w:style w:type="paragraph" w:styleId="FootnoteText">
    <w:name w:val="footnote text"/>
    <w:basedOn w:val="Normal"/>
    <w:link w:val="FootnoteTextChar"/>
    <w:semiHidden/>
    <w:rsid w:val="0046629F"/>
    <w:pPr>
      <w:keepLines/>
      <w:tabs>
        <w:tab w:val="left" w:pos="255"/>
      </w:tabs>
      <w:ind w:left="255" w:hanging="255"/>
    </w:pPr>
    <w:rPr>
      <w:rFonts w:eastAsia="SimSun"/>
      <w:sz w:val="22"/>
    </w:rPr>
  </w:style>
  <w:style w:type="character" w:customStyle="1" w:styleId="FootnoteTextChar">
    <w:name w:val="Footnote Text Char"/>
    <w:basedOn w:val="DefaultParagraphFont"/>
    <w:link w:val="FootnoteText"/>
    <w:uiPriority w:val="99"/>
    <w:semiHidden/>
    <w:rsid w:val="0046629F"/>
    <w:rPr>
      <w:rFonts w:ascii="Times New Roman" w:eastAsia="SimSun" w:hAnsi="Times New Roman" w:cs="Times New Roman"/>
      <w:szCs w:val="20"/>
      <w:lang w:val="fr-FR" w:eastAsia="en-US"/>
    </w:rPr>
  </w:style>
  <w:style w:type="paragraph" w:styleId="Index1">
    <w:name w:val="index 1"/>
    <w:basedOn w:val="Normal"/>
    <w:next w:val="Normal"/>
    <w:semiHidden/>
    <w:rsid w:val="0046629F"/>
    <w:rPr>
      <w:rFonts w:eastAsia="SimSun"/>
    </w:rPr>
  </w:style>
  <w:style w:type="paragraph" w:styleId="Index2">
    <w:name w:val="index 2"/>
    <w:basedOn w:val="Normal"/>
    <w:next w:val="Normal"/>
    <w:semiHidden/>
    <w:rsid w:val="0046629F"/>
    <w:pPr>
      <w:ind w:left="283"/>
    </w:pPr>
    <w:rPr>
      <w:rFonts w:eastAsia="SimSun"/>
    </w:rPr>
  </w:style>
  <w:style w:type="paragraph" w:styleId="Index3">
    <w:name w:val="index 3"/>
    <w:basedOn w:val="Normal"/>
    <w:next w:val="Normal"/>
    <w:semiHidden/>
    <w:rsid w:val="0046629F"/>
    <w:pPr>
      <w:ind w:left="566"/>
    </w:pPr>
    <w:rPr>
      <w:rFonts w:eastAsia="SimSun"/>
    </w:rPr>
  </w:style>
  <w:style w:type="paragraph" w:styleId="IndexHeading">
    <w:name w:val="index heading"/>
    <w:basedOn w:val="Normal"/>
    <w:next w:val="Index1"/>
    <w:semiHidden/>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semiHidden/>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semiHidden/>
    <w:rsid w:val="0046629F"/>
    <w:pPr>
      <w:tabs>
        <w:tab w:val="clear" w:pos="567"/>
        <w:tab w:val="left" w:pos="1276"/>
      </w:tabs>
      <w:spacing w:before="160"/>
      <w:ind w:left="1276" w:hanging="709"/>
    </w:pPr>
  </w:style>
  <w:style w:type="paragraph" w:styleId="TOC3">
    <w:name w:val="toc 3"/>
    <w:basedOn w:val="TOC2"/>
    <w:semiHidden/>
    <w:rsid w:val="0046629F"/>
    <w:pPr>
      <w:tabs>
        <w:tab w:val="clear" w:pos="1276"/>
        <w:tab w:val="left" w:pos="2155"/>
      </w:tabs>
      <w:ind w:left="2155" w:hanging="879"/>
    </w:pPr>
  </w:style>
  <w:style w:type="paragraph" w:styleId="TOC4">
    <w:name w:val="toc 4"/>
    <w:basedOn w:val="TOC3"/>
    <w:semiHidden/>
    <w:rsid w:val="0046629F"/>
    <w:pPr>
      <w:tabs>
        <w:tab w:val="left" w:pos="3261"/>
      </w:tabs>
      <w:spacing w:before="80"/>
      <w:ind w:left="3261" w:hanging="993"/>
    </w:pPr>
  </w:style>
  <w:style w:type="paragraph" w:styleId="TOC5">
    <w:name w:val="toc 5"/>
    <w:basedOn w:val="TOC4"/>
    <w:semiHidden/>
    <w:rsid w:val="0046629F"/>
  </w:style>
  <w:style w:type="paragraph" w:styleId="TOC6">
    <w:name w:val="toc 6"/>
    <w:basedOn w:val="TOC4"/>
    <w:semiHidden/>
    <w:rsid w:val="0046629F"/>
  </w:style>
  <w:style w:type="paragraph" w:styleId="TOC7">
    <w:name w:val="toc 7"/>
    <w:basedOn w:val="TOC4"/>
    <w:semiHidden/>
    <w:rsid w:val="0046629F"/>
  </w:style>
  <w:style w:type="paragraph" w:styleId="TOC8">
    <w:name w:val="toc 8"/>
    <w:basedOn w:val="TOC4"/>
    <w:semiHidden/>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rsid w:val="0046629F"/>
    <w:pPr>
      <w:keepNext/>
      <w:spacing w:before="0" w:after="120"/>
      <w:jc w:val="center"/>
    </w:pPr>
    <w:rPr>
      <w:rFonts w:eastAsia="SimSun"/>
      <w:b/>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semiHidden/>
    <w:rsid w:val="0046629F"/>
    <w:rPr>
      <w:sz w:val="16"/>
      <w:szCs w:val="16"/>
    </w:rPr>
  </w:style>
  <w:style w:type="paragraph" w:styleId="CommentText">
    <w:name w:val="annotation text"/>
    <w:basedOn w:val="Normal"/>
    <w:link w:val="CommentTextChar"/>
    <w:semiHidden/>
    <w:rsid w:val="0046629F"/>
    <w:rPr>
      <w:rFonts w:eastAsia="MS Mincho"/>
      <w:sz w:val="20"/>
    </w:rPr>
  </w:style>
  <w:style w:type="character" w:customStyle="1" w:styleId="CommentTextChar">
    <w:name w:val="Comment Text Char"/>
    <w:basedOn w:val="DefaultParagraphFont"/>
    <w:link w:val="CommentText"/>
    <w:semiHidden/>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a">
    <w:name w:val="上页码"/>
    <w:next w:val="Normal"/>
    <w:rsid w:val="0046629F"/>
    <w:pPr>
      <w:widowControl w:val="0"/>
      <w:spacing w:after="0" w:line="240" w:lineRule="auto"/>
      <w:jc w:val="both"/>
    </w:pPr>
    <w:rPr>
      <w:rFonts w:ascii="Times New Roman" w:eastAsia="SimSun" w:hAnsi="Times New Roman" w:cs="Times New Roman"/>
      <w:b/>
      <w:bCs/>
      <w:color w:val="FFFFFF"/>
      <w:sz w:val="18"/>
      <w:szCs w:val="18"/>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customStyle="1" w:styleId="a0">
    <w:name w:val="附件（录）上"/>
    <w:next w:val="Normal"/>
    <w:rsid w:val="0046629F"/>
    <w:pPr>
      <w:widowControl w:val="0"/>
      <w:spacing w:after="0" w:line="240" w:lineRule="auto"/>
      <w:jc w:val="center"/>
    </w:pPr>
    <w:rPr>
      <w:rFonts w:ascii="Times New Roman MT Extra Bold" w:eastAsia="方正小标宋简体" w:hAnsi="Times New Roman MT Extra Bold" w:cs="Times New Roman"/>
      <w:noProof/>
      <w:sz w:val="24"/>
      <w:szCs w:val="24"/>
    </w:rPr>
  </w:style>
  <w:style w:type="paragraph" w:customStyle="1" w:styleId="a1">
    <w:name w:val="附件（录）下"/>
    <w:next w:val="Normal"/>
    <w:rsid w:val="0046629F"/>
    <w:pPr>
      <w:widowControl w:val="0"/>
      <w:spacing w:before="80" w:after="0" w:line="240" w:lineRule="auto"/>
      <w:jc w:val="center"/>
    </w:pPr>
    <w:rPr>
      <w:rFonts w:ascii="Times New Roman MT Extra Bold" w:eastAsia="SimHei" w:hAnsi="Times New Roman MT Extra Bold" w:cs="Times New Roman"/>
      <w:noProof/>
      <w:sz w:val="24"/>
      <w:szCs w:val="24"/>
    </w:rPr>
  </w:style>
  <w:style w:type="paragraph" w:styleId="Caption">
    <w:name w:val="caption"/>
    <w:basedOn w:val="Normal"/>
    <w:next w:val="Normal"/>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3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character" w:customStyle="1" w:styleId="TableheadChar">
    <w:name w:val="Table_head Char"/>
    <w:basedOn w:val="DefaultParagraphFont"/>
    <w:link w:val="Tablehead"/>
    <w:locked/>
    <w:rsid w:val="00153135"/>
    <w:rPr>
      <w:rFonts w:ascii="Times New Roman" w:hAnsi="Times New Roman" w:cs="Times New Roman"/>
      <w:b/>
      <w:szCs w:val="20"/>
      <w:lang w:val="fr-FR" w:eastAsia="en-US"/>
    </w:rPr>
  </w:style>
  <w:style w:type="character" w:customStyle="1" w:styleId="TableNo0">
    <w:name w:val="Table_No Знак"/>
    <w:link w:val="TableNo"/>
    <w:locked/>
    <w:rsid w:val="00153135"/>
    <w:rPr>
      <w:rFonts w:ascii="Times New Roman" w:eastAsia="SimSun" w:hAnsi="Times New Roman" w:cs="Times New Roman"/>
      <w:sz w:val="24"/>
      <w:szCs w:val="20"/>
      <w:lang w:val="fr-FR" w:eastAsia="en-US"/>
    </w:rPr>
  </w:style>
  <w:style w:type="character" w:customStyle="1" w:styleId="FiguretitleChar">
    <w:name w:val="Figure_title Char"/>
    <w:link w:val="Figuretitle"/>
    <w:locked/>
    <w:rsid w:val="00153135"/>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153135"/>
    <w:rPr>
      <w:rFonts w:ascii="Times New Roman" w:eastAsia="SimSun" w:hAnsi="Times New Roman" w:cs="Times New Roman"/>
      <w:caps/>
      <w:sz w:val="18"/>
      <w:szCs w:val="20"/>
      <w:lang w:val="fr-FR" w:eastAsia="en-US"/>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rsid w:val="001B101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1B1011"/>
    <w:pPr>
      <w:keepNext/>
      <w:keepLines/>
      <w:spacing w:before="240"/>
      <w:jc w:val="center"/>
    </w:pPr>
    <w:rPr>
      <w:b/>
      <w:sz w:val="28"/>
    </w:rPr>
  </w:style>
  <w:style w:type="paragraph" w:customStyle="1" w:styleId="RecTitleRef">
    <w:name w:val="Rec_Title/Ref"/>
    <w:basedOn w:val="Rectitle"/>
    <w:next w:val="Normal"/>
    <w:rsid w:val="001B1011"/>
    <w:pPr>
      <w:tabs>
        <w:tab w:val="clear" w:pos="794"/>
        <w:tab w:val="clear" w:pos="1191"/>
        <w:tab w:val="clear" w:pos="1588"/>
        <w:tab w:val="clear" w:pos="1985"/>
        <w:tab w:val="center" w:pos="4849"/>
        <w:tab w:val="right" w:pos="9696"/>
      </w:tabs>
      <w:spacing w:before="136"/>
    </w:pPr>
    <w:rPr>
      <w:rFonts w:eastAsia="Times New Roman"/>
      <w:b w:val="0"/>
      <w:sz w:val="20"/>
      <w:lang w:val="en-US"/>
    </w:rPr>
  </w:style>
  <w:style w:type="character" w:customStyle="1" w:styleId="enumlev1Char">
    <w:name w:val="enumlev1 Char"/>
    <w:basedOn w:val="DefaultParagraphFont"/>
    <w:link w:val="enumlev1"/>
    <w:locked/>
    <w:rsid w:val="001B1011"/>
    <w:rPr>
      <w:rFonts w:ascii="Times New Roman" w:eastAsia="SimSu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patents/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ITU-R F.746-10建议书</vt:lpstr>
    </vt:vector>
  </TitlesOfParts>
  <Company>ITU</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TF.374-6建议书</dc:title>
  <dc:subject/>
  <dc:creator>ITU</dc:creator>
  <cp:keywords/>
  <dc:description/>
  <cp:lastModifiedBy>Gao, Lili</cp:lastModifiedBy>
  <cp:revision>7</cp:revision>
  <cp:lastPrinted>2015-07-10T13:03:00Z</cp:lastPrinted>
  <dcterms:created xsi:type="dcterms:W3CDTF">2015-07-09T13:05:00Z</dcterms:created>
  <dcterms:modified xsi:type="dcterms:W3CDTF">2015-07-10T13:07:00Z</dcterms:modified>
</cp:coreProperties>
</file>