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6837" w:rsidRPr="0015619A" w:rsidRDefault="00356837" w:rsidP="00957191">
      <w:pPr>
        <w:rPr>
          <w:lang w:val="es-ES"/>
        </w:rPr>
      </w:pPr>
      <w:bookmarkStart w:id="0" w:name="dbreak"/>
      <w:bookmarkEnd w:id="0"/>
    </w:p>
    <w:p w:rsidR="00356837" w:rsidRPr="0015619A" w:rsidRDefault="00356837" w:rsidP="00957191">
      <w:pPr>
        <w:rPr>
          <w:lang w:val="es-ES"/>
        </w:rPr>
      </w:pPr>
    </w:p>
    <w:p w:rsidR="00356837" w:rsidRPr="0015619A" w:rsidRDefault="00356837" w:rsidP="00957191">
      <w:pPr>
        <w:rPr>
          <w:lang w:val="es-ES"/>
        </w:rPr>
      </w:pPr>
    </w:p>
    <w:p w:rsidR="00356837" w:rsidRPr="0015619A" w:rsidRDefault="00356837" w:rsidP="00957191">
      <w:pPr>
        <w:rPr>
          <w:lang w:val="es-ES"/>
        </w:rPr>
      </w:pPr>
    </w:p>
    <w:p w:rsidR="00356837" w:rsidRPr="0015619A" w:rsidRDefault="00356837" w:rsidP="00957191">
      <w:pPr>
        <w:rPr>
          <w:lang w:val="es-ES"/>
        </w:rPr>
      </w:pPr>
    </w:p>
    <w:p w:rsidR="00356837" w:rsidRPr="0015619A" w:rsidRDefault="00356837" w:rsidP="00957191">
      <w:pPr>
        <w:rPr>
          <w:lang w:val="es-ES"/>
        </w:rPr>
      </w:pPr>
    </w:p>
    <w:p w:rsidR="00356837" w:rsidRPr="0015619A" w:rsidRDefault="00356837" w:rsidP="00957191">
      <w:pPr>
        <w:rPr>
          <w:lang w:val="es-ES"/>
        </w:rPr>
      </w:pPr>
    </w:p>
    <w:p w:rsidR="00356837" w:rsidRPr="0015619A" w:rsidRDefault="00356837" w:rsidP="00957191">
      <w:pPr>
        <w:rPr>
          <w:lang w:val="es-ES"/>
        </w:rPr>
      </w:pPr>
    </w:p>
    <w:p w:rsidR="00356837" w:rsidRPr="0015619A" w:rsidRDefault="00356837" w:rsidP="00957191">
      <w:pPr>
        <w:rPr>
          <w:lang w:val="es-ES"/>
        </w:rPr>
      </w:pPr>
    </w:p>
    <w:p w:rsidR="00356837" w:rsidRPr="0015619A" w:rsidRDefault="00356837" w:rsidP="00957191">
      <w:pPr>
        <w:rPr>
          <w:lang w:val="es-ES"/>
        </w:rPr>
      </w:pPr>
    </w:p>
    <w:p w:rsidR="00356837" w:rsidRPr="0015619A" w:rsidRDefault="00356837" w:rsidP="00957191">
      <w:pPr>
        <w:rPr>
          <w:lang w:val="es-ES"/>
        </w:rPr>
      </w:pPr>
    </w:p>
    <w:p w:rsidR="00356837" w:rsidRPr="0015619A" w:rsidRDefault="00356837" w:rsidP="00957191">
      <w:pPr>
        <w:rPr>
          <w:lang w:val="es-ES"/>
        </w:rPr>
      </w:pPr>
    </w:p>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356837" w:rsidRPr="0015619A" w:rsidTr="00957191">
        <w:tc>
          <w:tcPr>
            <w:tcW w:w="10089" w:type="dxa"/>
          </w:tcPr>
          <w:p w:rsidR="00356837" w:rsidRPr="0015619A" w:rsidRDefault="00356837" w:rsidP="00957191">
            <w:pPr>
              <w:spacing w:before="380" w:line="280" w:lineRule="exact"/>
              <w:jc w:val="right"/>
              <w:rPr>
                <w:rFonts w:ascii="Tahoma" w:hAnsi="Tahoma" w:cs="Tahoma"/>
                <w:b/>
                <w:bCs/>
                <w:iCs/>
                <w:color w:val="243285"/>
                <w:sz w:val="32"/>
                <w:szCs w:val="32"/>
                <w:lang w:val="es-ES"/>
              </w:rPr>
            </w:pPr>
          </w:p>
          <w:p w:rsidR="00C21FF7" w:rsidRPr="0015619A" w:rsidRDefault="00C21FF7" w:rsidP="00C21FF7">
            <w:pPr>
              <w:spacing w:before="380" w:line="280" w:lineRule="exact"/>
              <w:jc w:val="right"/>
              <w:rPr>
                <w:rFonts w:ascii="Tahoma" w:hAnsi="Tahoma" w:cs="Tahoma"/>
                <w:b/>
                <w:bCs/>
                <w:iCs/>
                <w:color w:val="243285"/>
                <w:sz w:val="36"/>
                <w:szCs w:val="36"/>
                <w:lang w:val="es-ES"/>
              </w:rPr>
            </w:pPr>
            <w:r w:rsidRPr="0015619A">
              <w:rPr>
                <w:rFonts w:ascii="Tahoma" w:hAnsi="Tahoma" w:cs="Tahoma"/>
                <w:b/>
                <w:bCs/>
                <w:iCs/>
                <w:color w:val="243285"/>
                <w:sz w:val="36"/>
                <w:szCs w:val="36"/>
                <w:lang w:val="es-ES"/>
              </w:rPr>
              <w:t>Recomendación  UIT-R  SNG.770-2</w:t>
            </w:r>
          </w:p>
          <w:p w:rsidR="00356837" w:rsidRPr="0015619A" w:rsidRDefault="00C21FF7" w:rsidP="00C21FF7">
            <w:pPr>
              <w:spacing w:before="80" w:line="280" w:lineRule="exact"/>
              <w:jc w:val="right"/>
              <w:rPr>
                <w:rFonts w:ascii="Tahoma" w:hAnsi="Tahoma" w:cs="Tahoma"/>
                <w:b/>
                <w:bCs/>
                <w:iCs/>
                <w:color w:val="243285"/>
                <w:szCs w:val="24"/>
                <w:lang w:val="es-ES"/>
              </w:rPr>
            </w:pPr>
            <w:r w:rsidRPr="0015619A">
              <w:rPr>
                <w:rFonts w:ascii="Tahoma" w:hAnsi="Tahoma" w:cs="Tahoma"/>
                <w:b/>
                <w:bCs/>
                <w:iCs/>
                <w:color w:val="243285"/>
                <w:szCs w:val="24"/>
                <w:lang w:val="es-ES"/>
              </w:rPr>
              <w:t>(01/2012)</w:t>
            </w:r>
          </w:p>
        </w:tc>
      </w:tr>
      <w:tr w:rsidR="00356837" w:rsidRPr="00FE22F9" w:rsidTr="00957191">
        <w:tc>
          <w:tcPr>
            <w:tcW w:w="10089" w:type="dxa"/>
          </w:tcPr>
          <w:p w:rsidR="00356837" w:rsidRPr="0015619A" w:rsidRDefault="00356837" w:rsidP="00957191">
            <w:pPr>
              <w:spacing w:before="80" w:line="500" w:lineRule="exact"/>
              <w:jc w:val="right"/>
              <w:rPr>
                <w:rFonts w:ascii="Tahoma" w:hAnsi="Tahoma" w:cs="Tahoma"/>
                <w:b/>
                <w:bCs/>
                <w:iCs/>
                <w:color w:val="243285"/>
                <w:sz w:val="44"/>
                <w:szCs w:val="44"/>
                <w:lang w:val="es-ES"/>
              </w:rPr>
            </w:pPr>
          </w:p>
          <w:p w:rsidR="00356837" w:rsidRPr="0015619A" w:rsidRDefault="00C21FF7" w:rsidP="008C35CA">
            <w:pPr>
              <w:spacing w:before="80"/>
              <w:jc w:val="right"/>
              <w:rPr>
                <w:rFonts w:ascii="Tahoma" w:hAnsi="Tahoma" w:cs="Tahoma"/>
                <w:b/>
                <w:bCs/>
                <w:iCs/>
                <w:color w:val="243285"/>
                <w:sz w:val="44"/>
                <w:szCs w:val="44"/>
                <w:lang w:val="es-ES"/>
              </w:rPr>
            </w:pPr>
            <w:r w:rsidRPr="0015619A">
              <w:rPr>
                <w:rFonts w:ascii="Tahoma" w:hAnsi="Tahoma" w:cs="Tahoma"/>
                <w:b/>
                <w:bCs/>
                <w:color w:val="243285"/>
                <w:sz w:val="44"/>
                <w:szCs w:val="44"/>
                <w:lang w:val="es-ES"/>
              </w:rPr>
              <w:t>Procedimientos operacionales uniformes para el periodismo electrónico</w:t>
            </w:r>
            <w:r w:rsidRPr="0015619A">
              <w:rPr>
                <w:rFonts w:ascii="Tahoma" w:hAnsi="Tahoma" w:cs="Tahoma"/>
                <w:b/>
                <w:bCs/>
                <w:color w:val="243285"/>
                <w:sz w:val="44"/>
                <w:szCs w:val="44"/>
                <w:lang w:val="es-ES"/>
              </w:rPr>
              <w:br/>
            </w:r>
            <w:r w:rsidR="0015619A" w:rsidRPr="0015619A">
              <w:rPr>
                <w:rFonts w:ascii="Tahoma" w:hAnsi="Tahoma" w:cs="Tahoma"/>
                <w:b/>
                <w:bCs/>
                <w:color w:val="243285"/>
                <w:sz w:val="44"/>
                <w:szCs w:val="44"/>
                <w:lang w:val="es-ES"/>
              </w:rPr>
              <w:t xml:space="preserve">digital </w:t>
            </w:r>
            <w:r w:rsidRPr="0015619A">
              <w:rPr>
                <w:rFonts w:ascii="Tahoma" w:hAnsi="Tahoma" w:cs="Tahoma"/>
                <w:b/>
                <w:bCs/>
                <w:color w:val="243285"/>
                <w:sz w:val="44"/>
                <w:szCs w:val="44"/>
                <w:lang w:val="es-ES"/>
              </w:rPr>
              <w:t>por satélite (DSNG)</w:t>
            </w:r>
          </w:p>
        </w:tc>
      </w:tr>
      <w:tr w:rsidR="00356837" w:rsidRPr="00FE22F9" w:rsidTr="00957191">
        <w:tc>
          <w:tcPr>
            <w:tcW w:w="10089" w:type="dxa"/>
          </w:tcPr>
          <w:p w:rsidR="00356837" w:rsidRPr="0015619A" w:rsidRDefault="00356837" w:rsidP="00957191">
            <w:pPr>
              <w:spacing w:before="80" w:line="280" w:lineRule="exact"/>
              <w:ind w:right="640"/>
              <w:rPr>
                <w:rFonts w:ascii="Tahoma" w:hAnsi="Tahoma" w:cs="Tahoma"/>
                <w:b/>
                <w:bCs/>
                <w:iCs/>
                <w:color w:val="243285"/>
                <w:sz w:val="32"/>
                <w:szCs w:val="32"/>
                <w:lang w:val="es-ES"/>
              </w:rPr>
            </w:pPr>
          </w:p>
          <w:p w:rsidR="00356837" w:rsidRPr="0015619A" w:rsidRDefault="00356837" w:rsidP="00957191">
            <w:pPr>
              <w:spacing w:before="80" w:line="280" w:lineRule="exact"/>
              <w:ind w:right="640"/>
              <w:rPr>
                <w:rFonts w:ascii="Tahoma" w:hAnsi="Tahoma" w:cs="Tahoma"/>
                <w:b/>
                <w:bCs/>
                <w:iCs/>
                <w:color w:val="243285"/>
                <w:sz w:val="32"/>
                <w:szCs w:val="32"/>
                <w:lang w:val="es-ES"/>
              </w:rPr>
            </w:pPr>
          </w:p>
          <w:p w:rsidR="00356837" w:rsidRPr="0015619A" w:rsidRDefault="00356837" w:rsidP="00957191">
            <w:pPr>
              <w:spacing w:before="80" w:after="180" w:line="360" w:lineRule="exact"/>
              <w:ind w:right="720"/>
              <w:rPr>
                <w:rFonts w:ascii="Tahoma" w:hAnsi="Tahoma" w:cs="Tahoma"/>
                <w:b/>
                <w:bCs/>
                <w:iCs/>
                <w:color w:val="243285"/>
                <w:sz w:val="36"/>
                <w:szCs w:val="36"/>
                <w:lang w:val="es-ES"/>
              </w:rPr>
            </w:pPr>
          </w:p>
          <w:p w:rsidR="00356837" w:rsidRPr="0015619A" w:rsidRDefault="00C21FF7" w:rsidP="00C21FF7">
            <w:pPr>
              <w:spacing w:before="80" w:after="180" w:line="360" w:lineRule="exact"/>
              <w:jc w:val="right"/>
              <w:rPr>
                <w:rFonts w:ascii="Tahoma" w:hAnsi="Tahoma" w:cs="Tahoma"/>
                <w:b/>
                <w:bCs/>
                <w:iCs/>
                <w:color w:val="243285"/>
                <w:sz w:val="36"/>
                <w:szCs w:val="36"/>
                <w:lang w:val="es-ES"/>
              </w:rPr>
            </w:pPr>
            <w:r w:rsidRPr="0015619A">
              <w:rPr>
                <w:rFonts w:ascii="Tahoma" w:hAnsi="Tahoma" w:cs="Tahoma"/>
                <w:b/>
                <w:bCs/>
                <w:iCs/>
                <w:color w:val="243285"/>
                <w:sz w:val="36"/>
                <w:szCs w:val="36"/>
                <w:lang w:val="es-ES"/>
              </w:rPr>
              <w:t>Serie SNG</w:t>
            </w:r>
          </w:p>
          <w:p w:rsidR="00356837" w:rsidRPr="0015619A" w:rsidRDefault="00C21FF7" w:rsidP="00C21FF7">
            <w:pPr>
              <w:spacing w:before="80" w:line="420" w:lineRule="exact"/>
              <w:jc w:val="right"/>
              <w:rPr>
                <w:rFonts w:ascii="Tahoma" w:hAnsi="Tahoma" w:cs="Tahoma"/>
                <w:b/>
                <w:bCs/>
                <w:iCs/>
                <w:color w:val="243285"/>
                <w:sz w:val="36"/>
                <w:szCs w:val="36"/>
                <w:lang w:val="es-ES"/>
              </w:rPr>
            </w:pPr>
            <w:r w:rsidRPr="0015619A">
              <w:rPr>
                <w:rFonts w:ascii="Tahoma" w:hAnsi="Tahoma" w:cs="Tahoma"/>
                <w:b/>
                <w:bCs/>
                <w:iCs/>
                <w:color w:val="243285"/>
                <w:sz w:val="36"/>
                <w:szCs w:val="36"/>
                <w:lang w:val="es-ES"/>
              </w:rPr>
              <w:t>Periodismo electrónico por satélite</w:t>
            </w:r>
          </w:p>
        </w:tc>
      </w:tr>
    </w:tbl>
    <w:p w:rsidR="00356837" w:rsidRPr="0015619A" w:rsidRDefault="00356837" w:rsidP="00957191">
      <w:pPr>
        <w:spacing w:before="80"/>
        <w:rPr>
          <w:i/>
          <w:sz w:val="22"/>
          <w:lang w:val="es-ES"/>
        </w:rPr>
      </w:pPr>
    </w:p>
    <w:p w:rsidR="00356837" w:rsidRPr="0015619A" w:rsidRDefault="00356837" w:rsidP="00957191">
      <w:pPr>
        <w:spacing w:before="80"/>
        <w:rPr>
          <w:i/>
          <w:sz w:val="22"/>
          <w:lang w:val="es-ES"/>
        </w:rPr>
      </w:pPr>
    </w:p>
    <w:p w:rsidR="00356837" w:rsidRPr="0015619A" w:rsidRDefault="00356837" w:rsidP="00957191">
      <w:pPr>
        <w:spacing w:before="80"/>
        <w:rPr>
          <w:i/>
          <w:sz w:val="22"/>
          <w:lang w:val="es-ES"/>
        </w:rPr>
      </w:pPr>
    </w:p>
    <w:p w:rsidR="00356837" w:rsidRPr="0015619A" w:rsidRDefault="00356837" w:rsidP="00957191">
      <w:pPr>
        <w:spacing w:before="80"/>
        <w:rPr>
          <w:i/>
          <w:sz w:val="22"/>
          <w:lang w:val="es-ES"/>
        </w:rPr>
      </w:pPr>
    </w:p>
    <w:p w:rsidR="00356837" w:rsidRPr="0015619A" w:rsidRDefault="00356837" w:rsidP="00957191">
      <w:pPr>
        <w:spacing w:before="80"/>
        <w:rPr>
          <w:i/>
          <w:sz w:val="22"/>
          <w:lang w:val="es-ES"/>
        </w:rPr>
      </w:pPr>
    </w:p>
    <w:p w:rsidR="00356837" w:rsidRPr="0015619A" w:rsidRDefault="00356837" w:rsidP="00957191">
      <w:pPr>
        <w:spacing w:before="80"/>
        <w:rPr>
          <w:i/>
          <w:sz w:val="22"/>
          <w:lang w:val="es-ES"/>
        </w:rPr>
      </w:pPr>
    </w:p>
    <w:p w:rsidR="00356837" w:rsidRPr="0015619A" w:rsidRDefault="00356837" w:rsidP="00957191">
      <w:pPr>
        <w:pStyle w:val="Equation"/>
        <w:tabs>
          <w:tab w:val="clear" w:pos="4820"/>
          <w:tab w:val="clear" w:pos="9639"/>
          <w:tab w:val="left" w:pos="1191"/>
          <w:tab w:val="left" w:pos="1588"/>
          <w:tab w:val="left" w:pos="1985"/>
        </w:tabs>
        <w:rPr>
          <w:rFonts w:ascii="Palatino Linotype" w:hAnsi="Palatino Linotype"/>
          <w:lang w:val="es-ES"/>
        </w:rPr>
        <w:sectPr w:rsidR="00356837" w:rsidRPr="0015619A" w:rsidSect="00957191">
          <w:headerReference w:type="even" r:id="rId7"/>
          <w:headerReference w:type="default" r:id="rId8"/>
          <w:pgSz w:w="11907" w:h="16834" w:code="9"/>
          <w:pgMar w:top="1418" w:right="1134" w:bottom="1134" w:left="1134" w:header="720" w:footer="482" w:gutter="0"/>
          <w:paperSrc w:first="15" w:other="15"/>
          <w:cols w:space="720"/>
        </w:sectPr>
      </w:pPr>
    </w:p>
    <w:p w:rsidR="001451C6" w:rsidRPr="0015619A" w:rsidRDefault="001451C6" w:rsidP="001451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
        </w:rPr>
      </w:pPr>
      <w:bookmarkStart w:id="1" w:name="c2tope"/>
      <w:bookmarkEnd w:id="1"/>
      <w:r w:rsidRPr="0015619A">
        <w:rPr>
          <w:bCs/>
          <w:sz w:val="24"/>
          <w:szCs w:val="24"/>
          <w:lang w:val="es-ES"/>
        </w:rPr>
        <w:lastRenderedPageBreak/>
        <w:t>Prólogo</w:t>
      </w:r>
    </w:p>
    <w:p w:rsidR="001451C6" w:rsidRPr="0015619A" w:rsidRDefault="001451C6" w:rsidP="001451C6">
      <w:pPr>
        <w:spacing w:before="180"/>
        <w:rPr>
          <w:sz w:val="20"/>
          <w:lang w:val="es-ES"/>
        </w:rPr>
      </w:pPr>
      <w:r w:rsidRPr="0015619A">
        <w:rPr>
          <w:sz w:val="20"/>
          <w:lang w:val="es-ES"/>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1451C6" w:rsidRPr="0015619A" w:rsidRDefault="001451C6" w:rsidP="001451C6">
      <w:pPr>
        <w:rPr>
          <w:sz w:val="20"/>
          <w:lang w:val="es-ES"/>
        </w:rPr>
      </w:pPr>
      <w:r w:rsidRPr="0015619A">
        <w:rPr>
          <w:sz w:val="20"/>
          <w:lang w:val="es-ES"/>
        </w:rPr>
        <w:t>Las Conferencias Mundiales y Regionales de Radiocomunicaciones y las Asambleas de Radiocomunicaciones, con la colaboración de las Comisiones de Estudio, cumplen las funciones reglamentarias y políticas del Sector de Radiocomunicaciones.</w:t>
      </w:r>
    </w:p>
    <w:p w:rsidR="001451C6" w:rsidRPr="0015619A" w:rsidRDefault="001451C6" w:rsidP="001451C6">
      <w:pPr>
        <w:pStyle w:val="Heading1"/>
        <w:spacing w:before="340"/>
        <w:jc w:val="center"/>
        <w:rPr>
          <w:szCs w:val="24"/>
          <w:lang w:val="es-ES"/>
        </w:rPr>
      </w:pPr>
      <w:r w:rsidRPr="0015619A">
        <w:rPr>
          <w:lang w:val="es-ES"/>
        </w:rPr>
        <w:t>Política sobre Derechos de Propiedad Intelectual</w:t>
      </w:r>
      <w:r w:rsidRPr="0015619A">
        <w:rPr>
          <w:szCs w:val="24"/>
          <w:lang w:val="es-ES"/>
        </w:rPr>
        <w:t xml:space="preserve"> (IPR)</w:t>
      </w:r>
    </w:p>
    <w:p w:rsidR="001451C6" w:rsidRPr="0015619A" w:rsidRDefault="001451C6" w:rsidP="001451C6">
      <w:pPr>
        <w:spacing w:before="180"/>
        <w:rPr>
          <w:sz w:val="20"/>
          <w:lang w:val="es-ES"/>
        </w:rPr>
      </w:pPr>
      <w:r w:rsidRPr="0015619A">
        <w:rPr>
          <w:sz w:val="20"/>
          <w:lang w:val="es-ES"/>
        </w:rPr>
        <w:t>La política del UIT</w:t>
      </w:r>
      <w:r w:rsidRPr="0015619A">
        <w:rPr>
          <w:sz w:val="20"/>
          <w:lang w:val="es-ES"/>
        </w:rPr>
        <w:noBreakHyphen/>
        <w:t>R sobre Derechos de Propiedad Intelectual se describe en la Política Común de Patentes UIT</w:t>
      </w:r>
      <w:r w:rsidRPr="0015619A">
        <w:rPr>
          <w:sz w:val="20"/>
          <w:lang w:val="es-ES"/>
        </w:rPr>
        <w:noBreakHyphen/>
        <w:t>T/UIT</w:t>
      </w:r>
      <w:r w:rsidRPr="0015619A">
        <w:rPr>
          <w:sz w:val="20"/>
          <w:lang w:val="es-ES"/>
        </w:rPr>
        <w:noBreakHyphen/>
        <w:t>R/ISO/CEI a la que se hace referencia en el Anexo 1 a la Resolución UIT</w:t>
      </w:r>
      <w:r w:rsidRPr="0015619A">
        <w:rPr>
          <w:sz w:val="20"/>
          <w:lang w:val="es-ES"/>
        </w:rPr>
        <w:noBreakHyphen/>
        <w:t xml:space="preserve">R 1. Los formularios que deben utilizarse en la declaración sobre patentes y utilización de patentes por los titulares de las mismas figuran en la dirección web </w:t>
      </w:r>
      <w:hyperlink r:id="rId9" w:history="1">
        <w:r w:rsidRPr="0015619A">
          <w:rPr>
            <w:rStyle w:val="Hyperlink"/>
            <w:sz w:val="20"/>
            <w:lang w:val="es-ES"/>
          </w:rPr>
          <w:t>http://www.itu.int/ITU-R/go/patents/es</w:t>
        </w:r>
      </w:hyperlink>
      <w:r w:rsidRPr="0015619A">
        <w:rPr>
          <w:sz w:val="20"/>
          <w:lang w:val="es-ES"/>
        </w:rPr>
        <w:t>, donde también aparecen las Directrices para la implementación de la Política Común de Patentes UIT</w:t>
      </w:r>
      <w:r w:rsidRPr="0015619A">
        <w:rPr>
          <w:sz w:val="20"/>
          <w:lang w:val="es-ES"/>
        </w:rPr>
        <w:noBreakHyphen/>
        <w:t>T/UIT</w:t>
      </w:r>
      <w:r w:rsidRPr="0015619A">
        <w:rPr>
          <w:sz w:val="20"/>
          <w:lang w:val="es-ES"/>
        </w:rPr>
        <w:noBreakHyphen/>
        <w:t>R/ISO/CEI y la base de datos sobre información de patentes del UIT</w:t>
      </w:r>
      <w:r w:rsidRPr="0015619A">
        <w:rPr>
          <w:sz w:val="20"/>
          <w:lang w:val="es-ES"/>
        </w:rPr>
        <w:noBreakHyphen/>
        <w:t>R sobre este asunto.</w:t>
      </w:r>
    </w:p>
    <w:p w:rsidR="001451C6" w:rsidRPr="0015619A" w:rsidRDefault="001451C6" w:rsidP="001451C6">
      <w:pPr>
        <w:spacing w:before="0"/>
        <w:jc w:val="center"/>
        <w:rPr>
          <w:sz w:val="22"/>
          <w:lang w:val="es-ES"/>
        </w:rPr>
      </w:pPr>
    </w:p>
    <w:p w:rsidR="001451C6" w:rsidRPr="0015619A" w:rsidRDefault="001451C6" w:rsidP="001451C6">
      <w:pPr>
        <w:spacing w:before="0"/>
        <w:jc w:val="center"/>
        <w:rPr>
          <w:sz w:val="22"/>
          <w:lang w:val="es-E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451C6" w:rsidRPr="00FE22F9" w:rsidTr="00CB2890">
        <w:tc>
          <w:tcPr>
            <w:tcW w:w="9360" w:type="dxa"/>
            <w:gridSpan w:val="2"/>
          </w:tcPr>
          <w:p w:rsidR="001451C6" w:rsidRPr="0015619A" w:rsidRDefault="001451C6" w:rsidP="00CB2890">
            <w:pPr>
              <w:pStyle w:val="Chaptitle"/>
              <w:keepLines w:val="0"/>
              <w:tabs>
                <w:tab w:val="clear" w:pos="794"/>
                <w:tab w:val="clear" w:pos="1191"/>
                <w:tab w:val="clear" w:pos="1588"/>
                <w:tab w:val="clear" w:pos="1985"/>
              </w:tabs>
              <w:overflowPunct/>
              <w:spacing w:before="140"/>
              <w:textAlignment w:val="auto"/>
              <w:rPr>
                <w:sz w:val="22"/>
                <w:szCs w:val="22"/>
                <w:lang w:val="es-ES"/>
              </w:rPr>
            </w:pPr>
            <w:r w:rsidRPr="0015619A">
              <w:rPr>
                <w:sz w:val="22"/>
                <w:szCs w:val="22"/>
                <w:lang w:val="es-ES"/>
              </w:rPr>
              <w:t xml:space="preserve">Series de las Recomendaciones UIT-R </w:t>
            </w:r>
          </w:p>
          <w:p w:rsidR="001451C6" w:rsidRPr="0015619A" w:rsidRDefault="001451C6" w:rsidP="00CB28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
              </w:rPr>
            </w:pPr>
            <w:r w:rsidRPr="0015619A">
              <w:rPr>
                <w:b w:val="0"/>
                <w:sz w:val="18"/>
                <w:szCs w:val="18"/>
                <w:lang w:val="es-ES"/>
              </w:rPr>
              <w:t xml:space="preserve">(También disponible en línea en </w:t>
            </w:r>
            <w:hyperlink r:id="rId10" w:history="1">
              <w:r w:rsidRPr="0015619A">
                <w:rPr>
                  <w:rStyle w:val="Hyperlink"/>
                  <w:b w:val="0"/>
                  <w:bCs/>
                  <w:sz w:val="18"/>
                  <w:szCs w:val="18"/>
                  <w:lang w:val="es-ES"/>
                </w:rPr>
                <w:t>http://www.itu.int/publ/R-REC/es</w:t>
              </w:r>
            </w:hyperlink>
            <w:r w:rsidRPr="0015619A">
              <w:rPr>
                <w:b w:val="0"/>
                <w:bCs/>
                <w:sz w:val="18"/>
                <w:szCs w:val="18"/>
                <w:lang w:val="es-ES"/>
              </w:rPr>
              <w:t>)</w:t>
            </w:r>
          </w:p>
        </w:tc>
      </w:tr>
      <w:tr w:rsidR="001451C6" w:rsidRPr="0015619A" w:rsidTr="00CB2890">
        <w:tc>
          <w:tcPr>
            <w:tcW w:w="1140" w:type="dxa"/>
            <w:tcBorders>
              <w:bottom w:val="nil"/>
            </w:tcBorders>
          </w:tcPr>
          <w:p w:rsidR="001451C6" w:rsidRPr="0015619A" w:rsidRDefault="001451C6" w:rsidP="00CB2890">
            <w:pPr>
              <w:spacing w:before="180" w:after="100"/>
              <w:ind w:left="57"/>
              <w:rPr>
                <w:b/>
                <w:bCs/>
                <w:sz w:val="20"/>
                <w:lang w:val="es-ES"/>
              </w:rPr>
            </w:pPr>
            <w:r w:rsidRPr="0015619A">
              <w:rPr>
                <w:b/>
                <w:bCs/>
                <w:sz w:val="20"/>
                <w:lang w:val="es-ES"/>
              </w:rPr>
              <w:t>Series</w:t>
            </w:r>
          </w:p>
        </w:tc>
        <w:tc>
          <w:tcPr>
            <w:tcW w:w="8220" w:type="dxa"/>
            <w:tcBorders>
              <w:bottom w:val="nil"/>
            </w:tcBorders>
          </w:tcPr>
          <w:p w:rsidR="001451C6" w:rsidRPr="0015619A" w:rsidRDefault="001451C6" w:rsidP="00CB28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
              </w:rPr>
            </w:pPr>
            <w:r w:rsidRPr="0015619A">
              <w:rPr>
                <w:bCs/>
                <w:sz w:val="20"/>
                <w:lang w:val="es-ES"/>
              </w:rPr>
              <w:t>Título</w:t>
            </w:r>
          </w:p>
        </w:tc>
      </w:tr>
      <w:tr w:rsidR="001451C6" w:rsidRPr="0015619A" w:rsidTr="00CB2890">
        <w:tc>
          <w:tcPr>
            <w:tcW w:w="1140" w:type="dxa"/>
            <w:tcBorders>
              <w:top w:val="nil"/>
              <w:bottom w:val="nil"/>
            </w:tcBorders>
            <w:shd w:val="clear" w:color="auto" w:fill="auto"/>
          </w:tcPr>
          <w:p w:rsidR="001451C6" w:rsidRPr="0015619A" w:rsidRDefault="001451C6" w:rsidP="00CB2890">
            <w:pPr>
              <w:spacing w:before="30" w:after="30"/>
              <w:ind w:left="57"/>
              <w:jc w:val="left"/>
              <w:rPr>
                <w:b/>
                <w:bCs/>
                <w:sz w:val="20"/>
                <w:lang w:val="es-ES"/>
              </w:rPr>
            </w:pPr>
            <w:r w:rsidRPr="0015619A">
              <w:rPr>
                <w:b/>
                <w:bCs/>
                <w:sz w:val="20"/>
                <w:lang w:val="es-ES"/>
              </w:rPr>
              <w:t>BO</w:t>
            </w:r>
          </w:p>
        </w:tc>
        <w:tc>
          <w:tcPr>
            <w:tcW w:w="8220" w:type="dxa"/>
            <w:tcBorders>
              <w:top w:val="nil"/>
              <w:bottom w:val="nil"/>
            </w:tcBorders>
            <w:shd w:val="clear" w:color="auto" w:fill="auto"/>
          </w:tcPr>
          <w:p w:rsidR="001451C6" w:rsidRPr="0015619A" w:rsidRDefault="001451C6" w:rsidP="00CB28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
              </w:rPr>
            </w:pPr>
            <w:r w:rsidRPr="0015619A">
              <w:rPr>
                <w:b w:val="0"/>
                <w:sz w:val="20"/>
                <w:lang w:val="es-ES"/>
              </w:rPr>
              <w:t>Distribución por satélite</w:t>
            </w:r>
          </w:p>
        </w:tc>
      </w:tr>
      <w:tr w:rsidR="001451C6" w:rsidRPr="00FE22F9" w:rsidTr="00CB2890">
        <w:tc>
          <w:tcPr>
            <w:tcW w:w="1140" w:type="dxa"/>
            <w:tcBorders>
              <w:top w:val="nil"/>
              <w:bottom w:val="nil"/>
            </w:tcBorders>
            <w:shd w:val="clear" w:color="auto" w:fill="auto"/>
          </w:tcPr>
          <w:p w:rsidR="001451C6" w:rsidRPr="0015619A" w:rsidRDefault="001451C6" w:rsidP="00CB2890">
            <w:pPr>
              <w:spacing w:before="30" w:after="30"/>
              <w:ind w:left="57"/>
              <w:jc w:val="left"/>
              <w:rPr>
                <w:b/>
                <w:bCs/>
                <w:sz w:val="20"/>
                <w:lang w:val="es-ES"/>
              </w:rPr>
            </w:pPr>
            <w:r w:rsidRPr="0015619A">
              <w:rPr>
                <w:b/>
                <w:bCs/>
                <w:sz w:val="20"/>
                <w:lang w:val="es-ES"/>
              </w:rPr>
              <w:t>BR</w:t>
            </w:r>
          </w:p>
        </w:tc>
        <w:tc>
          <w:tcPr>
            <w:tcW w:w="8220" w:type="dxa"/>
            <w:tcBorders>
              <w:top w:val="nil"/>
              <w:bottom w:val="nil"/>
            </w:tcBorders>
            <w:shd w:val="clear" w:color="auto" w:fill="auto"/>
          </w:tcPr>
          <w:p w:rsidR="001451C6" w:rsidRPr="0015619A" w:rsidRDefault="001451C6" w:rsidP="00CB28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
              </w:rPr>
            </w:pPr>
            <w:r w:rsidRPr="0015619A">
              <w:rPr>
                <w:b w:val="0"/>
                <w:sz w:val="20"/>
                <w:lang w:val="es-ES"/>
              </w:rPr>
              <w:t>Registro para producción, archivo y reproducción; películas en televisión</w:t>
            </w:r>
          </w:p>
        </w:tc>
      </w:tr>
      <w:tr w:rsidR="001451C6" w:rsidRPr="0015619A" w:rsidTr="00CB2890">
        <w:tc>
          <w:tcPr>
            <w:tcW w:w="1140" w:type="dxa"/>
            <w:tcBorders>
              <w:top w:val="nil"/>
              <w:bottom w:val="nil"/>
            </w:tcBorders>
            <w:shd w:val="clear" w:color="auto" w:fill="auto"/>
          </w:tcPr>
          <w:p w:rsidR="001451C6" w:rsidRPr="0015619A" w:rsidRDefault="001451C6" w:rsidP="00CB2890">
            <w:pPr>
              <w:spacing w:before="30" w:after="30"/>
              <w:ind w:left="57"/>
              <w:jc w:val="left"/>
              <w:rPr>
                <w:b/>
                <w:bCs/>
                <w:sz w:val="20"/>
                <w:lang w:val="es-ES"/>
              </w:rPr>
            </w:pPr>
            <w:r w:rsidRPr="0015619A">
              <w:rPr>
                <w:b/>
                <w:bCs/>
                <w:sz w:val="20"/>
                <w:lang w:val="es-ES"/>
              </w:rPr>
              <w:t>BS</w:t>
            </w:r>
          </w:p>
        </w:tc>
        <w:tc>
          <w:tcPr>
            <w:tcW w:w="8220" w:type="dxa"/>
            <w:tcBorders>
              <w:top w:val="nil"/>
              <w:bottom w:val="nil"/>
            </w:tcBorders>
            <w:shd w:val="clear" w:color="auto" w:fill="auto"/>
          </w:tcPr>
          <w:p w:rsidR="001451C6" w:rsidRPr="0015619A" w:rsidRDefault="001451C6" w:rsidP="00CB28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
              </w:rPr>
            </w:pPr>
            <w:r w:rsidRPr="0015619A">
              <w:rPr>
                <w:b w:val="0"/>
                <w:sz w:val="20"/>
                <w:lang w:val="es-ES"/>
              </w:rPr>
              <w:t>Servicio de radiodifusión sonora</w:t>
            </w:r>
          </w:p>
        </w:tc>
      </w:tr>
      <w:tr w:rsidR="001451C6" w:rsidRPr="0015619A" w:rsidTr="00CB2890">
        <w:tc>
          <w:tcPr>
            <w:tcW w:w="1140" w:type="dxa"/>
            <w:tcBorders>
              <w:top w:val="nil"/>
              <w:bottom w:val="nil"/>
            </w:tcBorders>
            <w:shd w:val="clear" w:color="auto" w:fill="auto"/>
          </w:tcPr>
          <w:p w:rsidR="001451C6" w:rsidRPr="0015619A" w:rsidRDefault="001451C6" w:rsidP="00CB2890">
            <w:pPr>
              <w:spacing w:before="30" w:after="30"/>
              <w:ind w:left="57"/>
              <w:jc w:val="left"/>
              <w:rPr>
                <w:b/>
                <w:bCs/>
                <w:sz w:val="20"/>
                <w:lang w:val="es-ES"/>
              </w:rPr>
            </w:pPr>
            <w:r w:rsidRPr="0015619A">
              <w:rPr>
                <w:b/>
                <w:bCs/>
                <w:sz w:val="20"/>
                <w:lang w:val="es-ES"/>
              </w:rPr>
              <w:t>BT</w:t>
            </w:r>
          </w:p>
        </w:tc>
        <w:tc>
          <w:tcPr>
            <w:tcW w:w="8220" w:type="dxa"/>
            <w:tcBorders>
              <w:top w:val="nil"/>
              <w:bottom w:val="nil"/>
            </w:tcBorders>
            <w:shd w:val="clear" w:color="auto" w:fill="auto"/>
          </w:tcPr>
          <w:p w:rsidR="001451C6" w:rsidRPr="0015619A" w:rsidRDefault="001451C6" w:rsidP="00CB28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
              </w:rPr>
            </w:pPr>
            <w:r w:rsidRPr="0015619A">
              <w:rPr>
                <w:b w:val="0"/>
                <w:bCs/>
                <w:sz w:val="20"/>
                <w:lang w:val="es-ES"/>
              </w:rPr>
              <w:t>Servicio de radiodifusión (televisión)</w:t>
            </w:r>
          </w:p>
        </w:tc>
      </w:tr>
      <w:tr w:rsidR="001451C6" w:rsidRPr="0015619A" w:rsidTr="00CB2890">
        <w:tc>
          <w:tcPr>
            <w:tcW w:w="1140" w:type="dxa"/>
            <w:tcBorders>
              <w:top w:val="nil"/>
              <w:bottom w:val="nil"/>
            </w:tcBorders>
            <w:shd w:val="clear" w:color="auto" w:fill="auto"/>
          </w:tcPr>
          <w:p w:rsidR="001451C6" w:rsidRPr="0015619A" w:rsidRDefault="001451C6" w:rsidP="00CB2890">
            <w:pPr>
              <w:spacing w:before="30" w:after="30"/>
              <w:ind w:left="57"/>
              <w:jc w:val="left"/>
              <w:rPr>
                <w:b/>
                <w:bCs/>
                <w:sz w:val="20"/>
                <w:lang w:val="es-ES"/>
              </w:rPr>
            </w:pPr>
            <w:r w:rsidRPr="0015619A">
              <w:rPr>
                <w:b/>
                <w:bCs/>
                <w:sz w:val="20"/>
                <w:lang w:val="es-ES"/>
              </w:rPr>
              <w:t>F</w:t>
            </w:r>
          </w:p>
        </w:tc>
        <w:tc>
          <w:tcPr>
            <w:tcW w:w="8220" w:type="dxa"/>
            <w:tcBorders>
              <w:top w:val="nil"/>
              <w:bottom w:val="nil"/>
            </w:tcBorders>
            <w:shd w:val="clear" w:color="auto" w:fill="auto"/>
          </w:tcPr>
          <w:p w:rsidR="001451C6" w:rsidRPr="0015619A" w:rsidRDefault="001451C6" w:rsidP="00CB289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
              </w:rPr>
            </w:pPr>
            <w:r w:rsidRPr="0015619A">
              <w:rPr>
                <w:sz w:val="20"/>
                <w:lang w:val="es-ES"/>
              </w:rPr>
              <w:t>Servicio fijo</w:t>
            </w:r>
          </w:p>
        </w:tc>
      </w:tr>
      <w:tr w:rsidR="001451C6" w:rsidRPr="00FE22F9" w:rsidTr="00CB2890">
        <w:tc>
          <w:tcPr>
            <w:tcW w:w="1140" w:type="dxa"/>
            <w:tcBorders>
              <w:top w:val="nil"/>
              <w:bottom w:val="nil"/>
            </w:tcBorders>
            <w:shd w:val="clear" w:color="auto" w:fill="auto"/>
          </w:tcPr>
          <w:p w:rsidR="001451C6" w:rsidRPr="0015619A" w:rsidRDefault="001451C6" w:rsidP="00CB2890">
            <w:pPr>
              <w:spacing w:before="30" w:after="30"/>
              <w:ind w:left="57"/>
              <w:jc w:val="left"/>
              <w:rPr>
                <w:rFonts w:hAnsi="Times New Roman Bold"/>
                <w:b/>
                <w:bCs/>
                <w:sz w:val="20"/>
                <w:lang w:val="es-ES"/>
              </w:rPr>
            </w:pPr>
            <w:r w:rsidRPr="0015619A">
              <w:rPr>
                <w:rFonts w:hAnsi="Times New Roman Bold"/>
                <w:b/>
                <w:bCs/>
                <w:sz w:val="20"/>
                <w:lang w:val="es-ES"/>
              </w:rPr>
              <w:t>M</w:t>
            </w:r>
          </w:p>
        </w:tc>
        <w:tc>
          <w:tcPr>
            <w:tcW w:w="8220" w:type="dxa"/>
            <w:tcBorders>
              <w:top w:val="nil"/>
              <w:bottom w:val="nil"/>
            </w:tcBorders>
            <w:shd w:val="clear" w:color="auto" w:fill="auto"/>
          </w:tcPr>
          <w:p w:rsidR="001451C6" w:rsidRPr="0015619A" w:rsidRDefault="001451C6" w:rsidP="00CB28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
              </w:rPr>
            </w:pPr>
            <w:r w:rsidRPr="0015619A">
              <w:rPr>
                <w:rFonts w:hAnsi="Times New Roman Bold"/>
                <w:b w:val="0"/>
                <w:sz w:val="20"/>
                <w:lang w:val="es-ES"/>
              </w:rPr>
              <w:t>Servicios m</w:t>
            </w:r>
            <w:r w:rsidRPr="0015619A">
              <w:rPr>
                <w:rFonts w:hAnsi="Times New Roman Bold"/>
                <w:b w:val="0"/>
                <w:sz w:val="20"/>
                <w:lang w:val="es-ES"/>
              </w:rPr>
              <w:t>ó</w:t>
            </w:r>
            <w:r w:rsidRPr="0015619A">
              <w:rPr>
                <w:rFonts w:hAnsi="Times New Roman Bold"/>
                <w:b w:val="0"/>
                <w:sz w:val="20"/>
                <w:lang w:val="es-ES"/>
              </w:rPr>
              <w:t>viles, de radiodeterminaci</w:t>
            </w:r>
            <w:r w:rsidRPr="0015619A">
              <w:rPr>
                <w:rFonts w:hAnsi="Times New Roman Bold"/>
                <w:b w:val="0"/>
                <w:sz w:val="20"/>
                <w:lang w:val="es-ES"/>
              </w:rPr>
              <w:t>ó</w:t>
            </w:r>
            <w:r w:rsidRPr="0015619A">
              <w:rPr>
                <w:rFonts w:hAnsi="Times New Roman Bold"/>
                <w:b w:val="0"/>
                <w:sz w:val="20"/>
                <w:lang w:val="es-ES"/>
              </w:rPr>
              <w:t>n, de aficionados y otros servicios por sat</w:t>
            </w:r>
            <w:r w:rsidRPr="0015619A">
              <w:rPr>
                <w:rFonts w:hAnsi="Times New Roman Bold"/>
                <w:b w:val="0"/>
                <w:sz w:val="20"/>
                <w:lang w:val="es-ES"/>
              </w:rPr>
              <w:t>é</w:t>
            </w:r>
            <w:r w:rsidRPr="0015619A">
              <w:rPr>
                <w:rFonts w:hAnsi="Times New Roman Bold"/>
                <w:b w:val="0"/>
                <w:sz w:val="20"/>
                <w:lang w:val="es-ES"/>
              </w:rPr>
              <w:t>lite conexos</w:t>
            </w:r>
          </w:p>
        </w:tc>
      </w:tr>
      <w:tr w:rsidR="001451C6" w:rsidRPr="00FE22F9" w:rsidTr="00CB2890">
        <w:tc>
          <w:tcPr>
            <w:tcW w:w="1140" w:type="dxa"/>
            <w:tcBorders>
              <w:top w:val="nil"/>
              <w:bottom w:val="nil"/>
            </w:tcBorders>
            <w:shd w:val="clear" w:color="auto" w:fill="auto"/>
          </w:tcPr>
          <w:p w:rsidR="001451C6" w:rsidRPr="0015619A" w:rsidRDefault="001451C6" w:rsidP="00CB2890">
            <w:pPr>
              <w:spacing w:before="30" w:after="30"/>
              <w:ind w:left="57"/>
              <w:jc w:val="left"/>
              <w:rPr>
                <w:b/>
                <w:bCs/>
                <w:sz w:val="20"/>
                <w:lang w:val="es-ES"/>
              </w:rPr>
            </w:pPr>
            <w:r w:rsidRPr="0015619A">
              <w:rPr>
                <w:b/>
                <w:bCs/>
                <w:sz w:val="20"/>
                <w:lang w:val="es-ES"/>
              </w:rPr>
              <w:t>P</w:t>
            </w:r>
          </w:p>
        </w:tc>
        <w:tc>
          <w:tcPr>
            <w:tcW w:w="8220" w:type="dxa"/>
            <w:tcBorders>
              <w:top w:val="nil"/>
              <w:bottom w:val="nil"/>
            </w:tcBorders>
            <w:shd w:val="clear" w:color="auto" w:fill="auto"/>
          </w:tcPr>
          <w:p w:rsidR="001451C6" w:rsidRPr="0015619A" w:rsidRDefault="001451C6" w:rsidP="00CB2890">
            <w:pPr>
              <w:spacing w:before="30" w:after="30"/>
              <w:jc w:val="left"/>
              <w:rPr>
                <w:sz w:val="20"/>
                <w:lang w:val="es-ES"/>
              </w:rPr>
            </w:pPr>
            <w:r w:rsidRPr="0015619A">
              <w:rPr>
                <w:sz w:val="20"/>
                <w:lang w:val="es-ES"/>
              </w:rPr>
              <w:t>Propagación de las ondas radioeléctricas</w:t>
            </w:r>
          </w:p>
        </w:tc>
      </w:tr>
      <w:tr w:rsidR="001451C6" w:rsidRPr="0015619A" w:rsidTr="00CB2890">
        <w:tc>
          <w:tcPr>
            <w:tcW w:w="1140" w:type="dxa"/>
            <w:tcBorders>
              <w:top w:val="nil"/>
              <w:bottom w:val="nil"/>
            </w:tcBorders>
            <w:shd w:val="clear" w:color="auto" w:fill="auto"/>
          </w:tcPr>
          <w:p w:rsidR="001451C6" w:rsidRPr="0015619A" w:rsidRDefault="001451C6" w:rsidP="00CB2890">
            <w:pPr>
              <w:spacing w:before="30" w:after="30"/>
              <w:ind w:left="57"/>
              <w:jc w:val="left"/>
              <w:rPr>
                <w:b/>
                <w:bCs/>
                <w:sz w:val="20"/>
                <w:lang w:val="es-ES"/>
              </w:rPr>
            </w:pPr>
            <w:r w:rsidRPr="0015619A">
              <w:rPr>
                <w:b/>
                <w:bCs/>
                <w:sz w:val="20"/>
                <w:lang w:val="es-ES"/>
              </w:rPr>
              <w:t>RA</w:t>
            </w:r>
          </w:p>
        </w:tc>
        <w:tc>
          <w:tcPr>
            <w:tcW w:w="8220" w:type="dxa"/>
            <w:tcBorders>
              <w:top w:val="nil"/>
              <w:bottom w:val="nil"/>
            </w:tcBorders>
            <w:shd w:val="clear" w:color="auto" w:fill="auto"/>
          </w:tcPr>
          <w:p w:rsidR="001451C6" w:rsidRPr="0015619A" w:rsidRDefault="001451C6" w:rsidP="00CB289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
              </w:rPr>
            </w:pPr>
            <w:r w:rsidRPr="0015619A">
              <w:rPr>
                <w:sz w:val="20"/>
                <w:lang w:val="es-ES"/>
              </w:rPr>
              <w:t>Radioastronomía</w:t>
            </w:r>
          </w:p>
        </w:tc>
      </w:tr>
      <w:tr w:rsidR="001451C6" w:rsidRPr="00FE22F9" w:rsidTr="00CB2890">
        <w:tc>
          <w:tcPr>
            <w:tcW w:w="1140" w:type="dxa"/>
            <w:tcBorders>
              <w:top w:val="nil"/>
              <w:bottom w:val="nil"/>
            </w:tcBorders>
            <w:shd w:val="clear" w:color="auto" w:fill="auto"/>
          </w:tcPr>
          <w:p w:rsidR="001451C6" w:rsidRPr="0015619A" w:rsidRDefault="001451C6" w:rsidP="00CB2890">
            <w:pPr>
              <w:spacing w:before="30" w:after="30"/>
              <w:ind w:left="57"/>
              <w:jc w:val="left"/>
              <w:rPr>
                <w:b/>
                <w:bCs/>
                <w:sz w:val="20"/>
                <w:lang w:val="es-ES"/>
              </w:rPr>
            </w:pPr>
            <w:r w:rsidRPr="0015619A">
              <w:rPr>
                <w:b/>
                <w:bCs/>
                <w:sz w:val="20"/>
                <w:lang w:val="es-ES"/>
              </w:rPr>
              <w:t>RS</w:t>
            </w:r>
          </w:p>
        </w:tc>
        <w:tc>
          <w:tcPr>
            <w:tcW w:w="8220" w:type="dxa"/>
            <w:tcBorders>
              <w:top w:val="nil"/>
              <w:bottom w:val="nil"/>
            </w:tcBorders>
            <w:shd w:val="clear" w:color="auto" w:fill="auto"/>
          </w:tcPr>
          <w:p w:rsidR="001451C6" w:rsidRPr="0015619A" w:rsidRDefault="001451C6" w:rsidP="00CB289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
              </w:rPr>
            </w:pPr>
            <w:r w:rsidRPr="0015619A">
              <w:rPr>
                <w:sz w:val="20"/>
                <w:lang w:val="es-ES"/>
              </w:rPr>
              <w:t>Sistemas de detección a distancia</w:t>
            </w:r>
          </w:p>
        </w:tc>
      </w:tr>
      <w:tr w:rsidR="001451C6" w:rsidRPr="0015619A" w:rsidTr="00CB2890">
        <w:tc>
          <w:tcPr>
            <w:tcW w:w="1140" w:type="dxa"/>
            <w:tcBorders>
              <w:top w:val="nil"/>
              <w:bottom w:val="nil"/>
            </w:tcBorders>
            <w:shd w:val="clear" w:color="auto" w:fill="auto"/>
          </w:tcPr>
          <w:p w:rsidR="001451C6" w:rsidRPr="0015619A" w:rsidRDefault="001451C6" w:rsidP="00CB2890">
            <w:pPr>
              <w:spacing w:before="30" w:after="30"/>
              <w:ind w:left="57"/>
              <w:jc w:val="left"/>
              <w:rPr>
                <w:b/>
                <w:bCs/>
                <w:sz w:val="20"/>
                <w:lang w:val="es-ES"/>
              </w:rPr>
            </w:pPr>
            <w:r w:rsidRPr="0015619A">
              <w:rPr>
                <w:b/>
                <w:bCs/>
                <w:sz w:val="20"/>
                <w:lang w:val="es-ES"/>
              </w:rPr>
              <w:t>S</w:t>
            </w:r>
          </w:p>
        </w:tc>
        <w:tc>
          <w:tcPr>
            <w:tcW w:w="8220" w:type="dxa"/>
            <w:tcBorders>
              <w:top w:val="nil"/>
              <w:bottom w:val="nil"/>
            </w:tcBorders>
            <w:shd w:val="clear" w:color="auto" w:fill="auto"/>
          </w:tcPr>
          <w:p w:rsidR="001451C6" w:rsidRPr="0015619A" w:rsidRDefault="001451C6" w:rsidP="00CB2890">
            <w:pPr>
              <w:spacing w:before="30" w:after="30"/>
              <w:jc w:val="left"/>
              <w:rPr>
                <w:sz w:val="20"/>
                <w:lang w:val="es-ES"/>
              </w:rPr>
            </w:pPr>
            <w:r w:rsidRPr="0015619A">
              <w:rPr>
                <w:sz w:val="20"/>
                <w:lang w:val="es-ES"/>
              </w:rPr>
              <w:t>Servicio fijo por satélite</w:t>
            </w:r>
          </w:p>
        </w:tc>
      </w:tr>
      <w:tr w:rsidR="001451C6" w:rsidRPr="0015619A" w:rsidTr="00CB2890">
        <w:tc>
          <w:tcPr>
            <w:tcW w:w="1140" w:type="dxa"/>
            <w:tcBorders>
              <w:top w:val="nil"/>
              <w:bottom w:val="nil"/>
            </w:tcBorders>
            <w:shd w:val="clear" w:color="auto" w:fill="auto"/>
          </w:tcPr>
          <w:p w:rsidR="001451C6" w:rsidRPr="0015619A" w:rsidRDefault="001451C6" w:rsidP="00CB2890">
            <w:pPr>
              <w:spacing w:before="30" w:after="30"/>
              <w:ind w:left="57"/>
              <w:jc w:val="left"/>
              <w:rPr>
                <w:b/>
                <w:bCs/>
                <w:sz w:val="20"/>
                <w:lang w:val="es-ES"/>
              </w:rPr>
            </w:pPr>
            <w:r w:rsidRPr="0015619A">
              <w:rPr>
                <w:b/>
                <w:bCs/>
                <w:sz w:val="20"/>
                <w:lang w:val="es-ES"/>
              </w:rPr>
              <w:t>SA</w:t>
            </w:r>
          </w:p>
        </w:tc>
        <w:tc>
          <w:tcPr>
            <w:tcW w:w="8220" w:type="dxa"/>
            <w:tcBorders>
              <w:top w:val="nil"/>
              <w:bottom w:val="nil"/>
            </w:tcBorders>
            <w:shd w:val="clear" w:color="auto" w:fill="auto"/>
          </w:tcPr>
          <w:p w:rsidR="001451C6" w:rsidRPr="0015619A" w:rsidRDefault="001451C6" w:rsidP="00CB2890">
            <w:pPr>
              <w:spacing w:before="30" w:after="30"/>
              <w:jc w:val="left"/>
              <w:rPr>
                <w:sz w:val="20"/>
                <w:lang w:val="es-ES"/>
              </w:rPr>
            </w:pPr>
            <w:r w:rsidRPr="0015619A">
              <w:rPr>
                <w:sz w:val="20"/>
                <w:lang w:val="es-ES"/>
              </w:rPr>
              <w:t>Aplicaciones espaciales y meteorología</w:t>
            </w:r>
          </w:p>
        </w:tc>
      </w:tr>
      <w:tr w:rsidR="001451C6" w:rsidRPr="00FE22F9" w:rsidTr="00CB2890">
        <w:tc>
          <w:tcPr>
            <w:tcW w:w="1140" w:type="dxa"/>
            <w:tcBorders>
              <w:top w:val="nil"/>
              <w:bottom w:val="nil"/>
            </w:tcBorders>
            <w:shd w:val="clear" w:color="auto" w:fill="auto"/>
          </w:tcPr>
          <w:p w:rsidR="001451C6" w:rsidRPr="0015619A" w:rsidRDefault="001451C6" w:rsidP="00CB2890">
            <w:pPr>
              <w:spacing w:before="30" w:after="30"/>
              <w:ind w:left="57"/>
              <w:jc w:val="left"/>
              <w:rPr>
                <w:b/>
                <w:bCs/>
                <w:sz w:val="20"/>
                <w:lang w:val="es-ES"/>
              </w:rPr>
            </w:pPr>
            <w:r w:rsidRPr="0015619A">
              <w:rPr>
                <w:b/>
                <w:bCs/>
                <w:sz w:val="20"/>
                <w:lang w:val="es-ES"/>
              </w:rPr>
              <w:t>SF</w:t>
            </w:r>
          </w:p>
        </w:tc>
        <w:tc>
          <w:tcPr>
            <w:tcW w:w="8220" w:type="dxa"/>
            <w:tcBorders>
              <w:top w:val="nil"/>
              <w:bottom w:val="nil"/>
            </w:tcBorders>
            <w:shd w:val="clear" w:color="auto" w:fill="auto"/>
          </w:tcPr>
          <w:p w:rsidR="001451C6" w:rsidRPr="0015619A" w:rsidRDefault="001451C6" w:rsidP="00CB2890">
            <w:pPr>
              <w:spacing w:before="30" w:after="30"/>
              <w:jc w:val="left"/>
              <w:rPr>
                <w:sz w:val="20"/>
                <w:lang w:val="es-ES"/>
              </w:rPr>
            </w:pPr>
            <w:r w:rsidRPr="0015619A">
              <w:rPr>
                <w:sz w:val="20"/>
                <w:lang w:val="es-ES"/>
              </w:rPr>
              <w:t>Compartición de frecuencias y coordinación entre los sistemas del servicio fijo por satélite y del servicio fijo</w:t>
            </w:r>
          </w:p>
        </w:tc>
      </w:tr>
      <w:tr w:rsidR="001451C6" w:rsidRPr="0015619A" w:rsidTr="008C35CA">
        <w:tc>
          <w:tcPr>
            <w:tcW w:w="1140" w:type="dxa"/>
            <w:tcBorders>
              <w:top w:val="nil"/>
              <w:bottom w:val="nil"/>
            </w:tcBorders>
            <w:shd w:val="clear" w:color="auto" w:fill="auto"/>
          </w:tcPr>
          <w:p w:rsidR="001451C6" w:rsidRPr="008C35CA" w:rsidRDefault="001451C6" w:rsidP="00CB2890">
            <w:pPr>
              <w:keepLines/>
              <w:tabs>
                <w:tab w:val="left" w:pos="2155"/>
                <w:tab w:val="left" w:leader="dot" w:pos="8789"/>
                <w:tab w:val="right" w:pos="9611"/>
              </w:tabs>
              <w:spacing w:before="30" w:after="30"/>
              <w:ind w:left="57" w:right="851" w:hanging="879"/>
              <w:jc w:val="left"/>
              <w:rPr>
                <w:b/>
                <w:bCs/>
                <w:sz w:val="20"/>
                <w:lang w:val="es-ES"/>
              </w:rPr>
            </w:pPr>
            <w:r w:rsidRPr="008C35CA">
              <w:rPr>
                <w:b/>
                <w:bCs/>
                <w:sz w:val="20"/>
                <w:lang w:val="es-ES"/>
              </w:rPr>
              <w:t>SM</w:t>
            </w:r>
          </w:p>
        </w:tc>
        <w:tc>
          <w:tcPr>
            <w:tcW w:w="8220" w:type="dxa"/>
            <w:tcBorders>
              <w:top w:val="nil"/>
              <w:bottom w:val="nil"/>
            </w:tcBorders>
            <w:shd w:val="clear" w:color="auto" w:fill="auto"/>
          </w:tcPr>
          <w:p w:rsidR="001451C6" w:rsidRPr="008C35CA" w:rsidRDefault="001451C6" w:rsidP="000D6FF8">
            <w:pPr>
              <w:keepLines/>
              <w:tabs>
                <w:tab w:val="left" w:pos="2155"/>
                <w:tab w:val="left" w:leader="dot" w:pos="8789"/>
                <w:tab w:val="right" w:pos="9611"/>
              </w:tabs>
              <w:spacing w:before="30" w:after="30"/>
              <w:ind w:left="879" w:right="851" w:hanging="879"/>
              <w:jc w:val="left"/>
              <w:rPr>
                <w:sz w:val="20"/>
                <w:lang w:val="es-ES"/>
              </w:rPr>
            </w:pPr>
            <w:r w:rsidRPr="008C35CA">
              <w:rPr>
                <w:sz w:val="20"/>
                <w:lang w:val="es-ES"/>
              </w:rPr>
              <w:t>Gestión del espectro</w:t>
            </w:r>
          </w:p>
        </w:tc>
      </w:tr>
      <w:tr w:rsidR="001451C6" w:rsidRPr="0015619A" w:rsidTr="008C35CA">
        <w:tc>
          <w:tcPr>
            <w:tcW w:w="1140" w:type="dxa"/>
            <w:tcBorders>
              <w:top w:val="nil"/>
            </w:tcBorders>
            <w:shd w:val="clear" w:color="auto" w:fill="DBE5F1" w:themeFill="accent1" w:themeFillTint="33"/>
          </w:tcPr>
          <w:p w:rsidR="001451C6" w:rsidRPr="008C35CA" w:rsidRDefault="001451C6" w:rsidP="00CB2890">
            <w:pPr>
              <w:spacing w:before="30" w:after="30"/>
              <w:ind w:left="57"/>
              <w:jc w:val="left"/>
              <w:rPr>
                <w:b/>
                <w:bCs/>
                <w:color w:val="1F497D" w:themeColor="text2"/>
                <w:sz w:val="20"/>
                <w:lang w:val="es-ES"/>
              </w:rPr>
            </w:pPr>
            <w:r w:rsidRPr="008C35CA">
              <w:rPr>
                <w:b/>
                <w:bCs/>
                <w:color w:val="1F497D" w:themeColor="text2"/>
                <w:sz w:val="20"/>
                <w:lang w:val="es-ES"/>
              </w:rPr>
              <w:t>SNG</w:t>
            </w:r>
          </w:p>
        </w:tc>
        <w:tc>
          <w:tcPr>
            <w:tcW w:w="8220" w:type="dxa"/>
            <w:tcBorders>
              <w:top w:val="nil"/>
            </w:tcBorders>
            <w:shd w:val="clear" w:color="auto" w:fill="DBE5F1" w:themeFill="accent1" w:themeFillTint="33"/>
          </w:tcPr>
          <w:p w:rsidR="001451C6" w:rsidRPr="008C35CA" w:rsidRDefault="001451C6" w:rsidP="000D6FF8">
            <w:pPr>
              <w:keepLines/>
              <w:tabs>
                <w:tab w:val="left" w:pos="2155"/>
                <w:tab w:val="left" w:leader="dot" w:pos="8789"/>
                <w:tab w:val="right" w:pos="9611"/>
              </w:tabs>
              <w:spacing w:before="30" w:after="30"/>
              <w:ind w:left="879" w:right="851" w:hanging="879"/>
              <w:jc w:val="left"/>
              <w:rPr>
                <w:b/>
                <w:bCs/>
                <w:color w:val="1F497D" w:themeColor="text2"/>
                <w:sz w:val="20"/>
                <w:lang w:val="es-ES"/>
              </w:rPr>
            </w:pPr>
            <w:r w:rsidRPr="008C35CA">
              <w:rPr>
                <w:b/>
                <w:bCs/>
                <w:color w:val="1F497D" w:themeColor="text2"/>
                <w:sz w:val="20"/>
                <w:lang w:val="es-ES"/>
              </w:rPr>
              <w:t>Periodismo electrónico por satélite</w:t>
            </w:r>
          </w:p>
        </w:tc>
      </w:tr>
      <w:tr w:rsidR="001451C6" w:rsidRPr="00FE22F9" w:rsidTr="00CB2890">
        <w:tc>
          <w:tcPr>
            <w:tcW w:w="1140" w:type="dxa"/>
          </w:tcPr>
          <w:p w:rsidR="001451C6" w:rsidRPr="0015619A" w:rsidRDefault="001451C6" w:rsidP="00CB2890">
            <w:pPr>
              <w:spacing w:before="30" w:after="30"/>
              <w:ind w:left="57"/>
              <w:jc w:val="left"/>
              <w:rPr>
                <w:b/>
                <w:bCs/>
                <w:sz w:val="20"/>
                <w:lang w:val="es-ES"/>
              </w:rPr>
            </w:pPr>
            <w:r w:rsidRPr="0015619A">
              <w:rPr>
                <w:b/>
                <w:bCs/>
                <w:sz w:val="20"/>
                <w:lang w:val="es-ES"/>
              </w:rPr>
              <w:t>TF</w:t>
            </w:r>
          </w:p>
        </w:tc>
        <w:tc>
          <w:tcPr>
            <w:tcW w:w="8220" w:type="dxa"/>
          </w:tcPr>
          <w:p w:rsidR="001451C6" w:rsidRPr="0015619A" w:rsidRDefault="001451C6" w:rsidP="00CB2890">
            <w:pPr>
              <w:spacing w:before="30" w:after="30"/>
              <w:jc w:val="left"/>
              <w:rPr>
                <w:bCs/>
                <w:sz w:val="20"/>
                <w:lang w:val="es-ES"/>
              </w:rPr>
            </w:pPr>
            <w:r w:rsidRPr="0015619A">
              <w:rPr>
                <w:bCs/>
                <w:sz w:val="20"/>
                <w:lang w:val="es-ES"/>
              </w:rPr>
              <w:t>Emisiones de frecuencias patrón y señales horarias</w:t>
            </w:r>
          </w:p>
        </w:tc>
      </w:tr>
      <w:tr w:rsidR="001451C6" w:rsidRPr="0015619A" w:rsidTr="00CB2890">
        <w:tc>
          <w:tcPr>
            <w:tcW w:w="1140" w:type="dxa"/>
          </w:tcPr>
          <w:p w:rsidR="001451C6" w:rsidRPr="0015619A" w:rsidRDefault="001451C6" w:rsidP="00CB2890">
            <w:pPr>
              <w:spacing w:before="30" w:after="30"/>
              <w:ind w:left="57"/>
              <w:jc w:val="left"/>
              <w:rPr>
                <w:b/>
                <w:bCs/>
                <w:sz w:val="20"/>
                <w:lang w:val="es-ES"/>
              </w:rPr>
            </w:pPr>
            <w:r w:rsidRPr="0015619A">
              <w:rPr>
                <w:b/>
                <w:bCs/>
                <w:sz w:val="20"/>
                <w:lang w:val="es-ES"/>
              </w:rPr>
              <w:t>V</w:t>
            </w:r>
          </w:p>
        </w:tc>
        <w:tc>
          <w:tcPr>
            <w:tcW w:w="8220" w:type="dxa"/>
          </w:tcPr>
          <w:p w:rsidR="001451C6" w:rsidRPr="0015619A" w:rsidRDefault="001451C6" w:rsidP="00CB2890">
            <w:pPr>
              <w:spacing w:before="30" w:after="140"/>
              <w:jc w:val="left"/>
              <w:rPr>
                <w:bCs/>
                <w:sz w:val="20"/>
                <w:lang w:val="es-ES"/>
              </w:rPr>
            </w:pPr>
            <w:r w:rsidRPr="0015619A">
              <w:rPr>
                <w:bCs/>
                <w:sz w:val="20"/>
                <w:lang w:val="es-ES"/>
              </w:rPr>
              <w:t>Vocabulario y cuestiones afines</w:t>
            </w:r>
          </w:p>
        </w:tc>
      </w:tr>
    </w:tbl>
    <w:p w:rsidR="001451C6" w:rsidRPr="0015619A" w:rsidRDefault="001451C6" w:rsidP="001451C6">
      <w:pPr>
        <w:spacing w:before="0" w:after="140"/>
        <w:jc w:val="center"/>
        <w:rPr>
          <w:sz w:val="20"/>
          <w:lang w:val="es-ES"/>
        </w:rPr>
      </w:pPr>
    </w:p>
    <w:tbl>
      <w:tblPr>
        <w:tblpPr w:leftFromText="180" w:rightFromText="180" w:vertAnchor="text" w:tblpX="-5771" w:tblpY="-4031"/>
        <w:tblW w:w="0" w:type="auto"/>
        <w:tblLook w:val="0000" w:firstRow="0" w:lastRow="0" w:firstColumn="0" w:lastColumn="0" w:noHBand="0" w:noVBand="0"/>
      </w:tblPr>
      <w:tblGrid>
        <w:gridCol w:w="720"/>
      </w:tblGrid>
      <w:tr w:rsidR="001451C6" w:rsidRPr="0015619A" w:rsidTr="00CB2890">
        <w:tc>
          <w:tcPr>
            <w:tcW w:w="720" w:type="dxa"/>
          </w:tcPr>
          <w:p w:rsidR="001451C6" w:rsidRPr="0015619A" w:rsidRDefault="001451C6" w:rsidP="00CB2890">
            <w:pPr>
              <w:spacing w:before="0"/>
              <w:jc w:val="center"/>
              <w:rPr>
                <w:sz w:val="22"/>
                <w:lang w:val="es-E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1451C6" w:rsidRPr="00FE22F9" w:rsidTr="00CB2890">
        <w:tc>
          <w:tcPr>
            <w:tcW w:w="9360" w:type="dxa"/>
          </w:tcPr>
          <w:p w:rsidR="001451C6" w:rsidRPr="0015619A" w:rsidRDefault="001451C6" w:rsidP="00CB2890">
            <w:pPr>
              <w:spacing w:before="92" w:after="92"/>
              <w:jc w:val="left"/>
              <w:rPr>
                <w:i/>
                <w:iCs/>
                <w:sz w:val="20"/>
                <w:lang w:val="es-ES"/>
              </w:rPr>
            </w:pPr>
            <w:r w:rsidRPr="0015619A">
              <w:rPr>
                <w:b/>
                <w:bCs/>
                <w:i/>
                <w:iCs/>
                <w:sz w:val="20"/>
                <w:lang w:val="es-ES"/>
              </w:rPr>
              <w:t>Nota</w:t>
            </w:r>
            <w:r w:rsidRPr="0015619A">
              <w:rPr>
                <w:i/>
                <w:iCs/>
                <w:sz w:val="20"/>
                <w:lang w:val="es-ES"/>
              </w:rPr>
              <w:t xml:space="preserve">: Esta Recomendación UIT-R fue aprobada en inglés conforme al procedimiento detallado en la </w:t>
            </w:r>
            <w:r w:rsidRPr="0015619A">
              <w:rPr>
                <w:i/>
                <w:iCs/>
                <w:sz w:val="20"/>
                <w:lang w:val="es-ES"/>
              </w:rPr>
              <w:br/>
              <w:t>Resolución UIT-R 1.</w:t>
            </w:r>
          </w:p>
        </w:tc>
      </w:tr>
    </w:tbl>
    <w:p w:rsidR="001451C6" w:rsidRPr="0015619A" w:rsidRDefault="001451C6" w:rsidP="001451C6">
      <w:pPr>
        <w:spacing w:before="0"/>
        <w:jc w:val="center"/>
        <w:rPr>
          <w:sz w:val="22"/>
          <w:lang w:val="es-ES"/>
        </w:rPr>
      </w:pPr>
    </w:p>
    <w:p w:rsidR="001451C6" w:rsidRPr="0015619A" w:rsidRDefault="001451C6" w:rsidP="001451C6">
      <w:pPr>
        <w:spacing w:before="60"/>
        <w:jc w:val="right"/>
        <w:rPr>
          <w:i/>
          <w:iCs/>
          <w:sz w:val="20"/>
          <w:lang w:val="es-ES"/>
        </w:rPr>
      </w:pPr>
      <w:r w:rsidRPr="0015619A">
        <w:rPr>
          <w:i/>
          <w:iCs/>
          <w:sz w:val="20"/>
          <w:lang w:val="es-ES"/>
        </w:rPr>
        <w:t>Publicación electrónica</w:t>
      </w:r>
    </w:p>
    <w:p w:rsidR="001451C6" w:rsidRPr="0015619A" w:rsidRDefault="001451C6" w:rsidP="001451C6">
      <w:pPr>
        <w:spacing w:before="0" w:after="40"/>
        <w:jc w:val="right"/>
        <w:rPr>
          <w:sz w:val="20"/>
          <w:lang w:val="es-ES"/>
        </w:rPr>
      </w:pPr>
      <w:r w:rsidRPr="0015619A">
        <w:rPr>
          <w:sz w:val="20"/>
          <w:lang w:val="es-ES"/>
        </w:rPr>
        <w:t>Ginebra, 2011</w:t>
      </w:r>
    </w:p>
    <w:p w:rsidR="001451C6" w:rsidRPr="0015619A" w:rsidRDefault="001451C6" w:rsidP="001451C6">
      <w:pPr>
        <w:spacing w:before="0"/>
        <w:jc w:val="center"/>
        <w:rPr>
          <w:sz w:val="22"/>
          <w:lang w:val="es-ES"/>
        </w:rPr>
      </w:pPr>
    </w:p>
    <w:p w:rsidR="001451C6" w:rsidRPr="0015619A" w:rsidRDefault="001451C6" w:rsidP="001451C6">
      <w:pPr>
        <w:spacing w:before="0"/>
        <w:jc w:val="center"/>
        <w:rPr>
          <w:sz w:val="20"/>
          <w:lang w:val="es-ES"/>
        </w:rPr>
      </w:pPr>
      <w:r w:rsidRPr="0015619A">
        <w:rPr>
          <w:sz w:val="20"/>
          <w:lang w:val="es-ES"/>
        </w:rPr>
        <w:sym w:font="Symbol" w:char="F0E3"/>
      </w:r>
      <w:r w:rsidRPr="0015619A">
        <w:rPr>
          <w:sz w:val="20"/>
          <w:lang w:val="es-ES"/>
        </w:rPr>
        <w:t xml:space="preserve"> UIT </w:t>
      </w:r>
      <w:bookmarkStart w:id="2" w:name="iiannee"/>
      <w:bookmarkEnd w:id="2"/>
      <w:r w:rsidRPr="0015619A">
        <w:rPr>
          <w:sz w:val="20"/>
          <w:lang w:val="es-ES"/>
        </w:rPr>
        <w:t>2011</w:t>
      </w:r>
    </w:p>
    <w:p w:rsidR="00356837" w:rsidRPr="0015619A" w:rsidRDefault="001451C6" w:rsidP="001451C6">
      <w:pPr>
        <w:spacing w:before="80"/>
        <w:rPr>
          <w:sz w:val="18"/>
          <w:szCs w:val="18"/>
          <w:lang w:val="es-ES"/>
        </w:rPr>
      </w:pPr>
      <w:r w:rsidRPr="0015619A">
        <w:rPr>
          <w:sz w:val="18"/>
          <w:szCs w:val="18"/>
          <w:lang w:val="es-ES"/>
        </w:rPr>
        <w:t>Reservados todos los derechos. Ninguna parte de esta publicación puede reproducirse por ningún procedimiento sin previa autorización escrita por parte de la UIT.</w:t>
      </w:r>
    </w:p>
    <w:p w:rsidR="00356837" w:rsidRPr="0015619A" w:rsidRDefault="00356837" w:rsidP="00957191">
      <w:pPr>
        <w:spacing w:before="160"/>
        <w:rPr>
          <w:i/>
          <w:sz w:val="20"/>
          <w:highlight w:val="yellow"/>
          <w:lang w:val="es-ES"/>
        </w:rPr>
        <w:sectPr w:rsidR="00356837" w:rsidRPr="0015619A" w:rsidSect="00957191">
          <w:headerReference w:type="even" r:id="rId11"/>
          <w:headerReference w:type="default" r:id="rId12"/>
          <w:footerReference w:type="even" r:id="rId13"/>
          <w:pgSz w:w="11907" w:h="16834" w:code="9"/>
          <w:pgMar w:top="1418" w:right="1134" w:bottom="1134" w:left="1134" w:header="720" w:footer="482" w:gutter="0"/>
          <w:pgNumType w:fmt="lowerRoman" w:start="2"/>
          <w:cols w:space="720"/>
        </w:sectPr>
      </w:pPr>
    </w:p>
    <w:p w:rsidR="00356837" w:rsidRPr="0015619A" w:rsidRDefault="00356837" w:rsidP="008F6448">
      <w:pPr>
        <w:pStyle w:val="RecNo"/>
        <w:spacing w:before="0"/>
        <w:rPr>
          <w:lang w:val="es-ES"/>
        </w:rPr>
      </w:pPr>
      <w:bookmarkStart w:id="3" w:name="irecnoe"/>
      <w:bookmarkEnd w:id="3"/>
      <w:r w:rsidRPr="0015619A">
        <w:rPr>
          <w:lang w:val="es-ES"/>
        </w:rPr>
        <w:lastRenderedPageBreak/>
        <w:t xml:space="preserve">RECOMENDACIÓN  </w:t>
      </w:r>
      <w:r w:rsidRPr="0015619A">
        <w:rPr>
          <w:rStyle w:val="href"/>
          <w:lang w:val="es-ES"/>
        </w:rPr>
        <w:t>UIT-R  S</w:t>
      </w:r>
      <w:r w:rsidR="00852FEF" w:rsidRPr="0015619A">
        <w:rPr>
          <w:rStyle w:val="href"/>
          <w:lang w:val="es-ES"/>
        </w:rPr>
        <w:t>NG</w:t>
      </w:r>
      <w:r w:rsidRPr="0015619A">
        <w:rPr>
          <w:rStyle w:val="href"/>
          <w:lang w:val="es-ES"/>
        </w:rPr>
        <w:t>.</w:t>
      </w:r>
      <w:r w:rsidR="00852FEF" w:rsidRPr="0015619A">
        <w:rPr>
          <w:rStyle w:val="href"/>
          <w:lang w:val="es-ES"/>
        </w:rPr>
        <w:t>770-2</w:t>
      </w:r>
    </w:p>
    <w:p w:rsidR="00356837" w:rsidRPr="0015619A" w:rsidRDefault="00852FEF" w:rsidP="0020509D">
      <w:pPr>
        <w:pStyle w:val="Rectitle"/>
        <w:rPr>
          <w:lang w:val="es-ES"/>
        </w:rPr>
      </w:pPr>
      <w:bookmarkStart w:id="4" w:name="Revision_history"/>
      <w:r w:rsidRPr="0015619A">
        <w:rPr>
          <w:lang w:val="es-ES"/>
        </w:rPr>
        <w:t xml:space="preserve">Procedimientos operacionales uniformes </w:t>
      </w:r>
      <w:r w:rsidRPr="0015619A">
        <w:rPr>
          <w:lang w:val="es-ES"/>
        </w:rPr>
        <w:br/>
        <w:t>para el periodismo electrónico</w:t>
      </w:r>
      <w:r w:rsidR="0015619A" w:rsidRPr="0015619A">
        <w:rPr>
          <w:lang w:val="es-ES"/>
        </w:rPr>
        <w:t xml:space="preserve"> digital</w:t>
      </w:r>
      <w:r w:rsidRPr="0015619A">
        <w:rPr>
          <w:lang w:val="es-ES"/>
        </w:rPr>
        <w:br/>
        <w:t>por satélite (DSNG)</w:t>
      </w:r>
    </w:p>
    <w:p w:rsidR="00356837" w:rsidRPr="00583E88" w:rsidRDefault="00356837" w:rsidP="008F6448">
      <w:pPr>
        <w:pStyle w:val="Recdate"/>
        <w:rPr>
          <w:lang w:val="es-ES"/>
        </w:rPr>
      </w:pPr>
      <w:r w:rsidRPr="0015619A">
        <w:rPr>
          <w:lang w:val="es-ES"/>
        </w:rPr>
        <w:t>(</w:t>
      </w:r>
      <w:r w:rsidR="00852FEF" w:rsidRPr="00583E88">
        <w:rPr>
          <w:lang w:val="es-ES"/>
        </w:rPr>
        <w:t>1992-1994-2012</w:t>
      </w:r>
      <w:r w:rsidRPr="00583E88">
        <w:rPr>
          <w:lang w:val="es-ES"/>
        </w:rPr>
        <w:t>)</w:t>
      </w:r>
    </w:p>
    <w:bookmarkEnd w:id="4"/>
    <w:p w:rsidR="00CB2890" w:rsidRPr="0015619A" w:rsidRDefault="0015619A" w:rsidP="008F6448">
      <w:pPr>
        <w:pStyle w:val="HeadingSum"/>
        <w:rPr>
          <w:lang w:val="es-ES"/>
        </w:rPr>
      </w:pPr>
      <w:r w:rsidRPr="0015619A">
        <w:rPr>
          <w:lang w:val="es-ES"/>
        </w:rPr>
        <w:t>Alcance</w:t>
      </w:r>
    </w:p>
    <w:p w:rsidR="00CB2890" w:rsidRPr="0015619A" w:rsidRDefault="0015619A" w:rsidP="008F6448">
      <w:pPr>
        <w:pStyle w:val="Summary"/>
        <w:rPr>
          <w:lang w:val="es-ES"/>
        </w:rPr>
      </w:pPr>
      <w:r w:rsidRPr="0015619A">
        <w:rPr>
          <w:lang w:val="es-ES"/>
        </w:rPr>
        <w:t>En esta Recomendación se especifican las características y los procedimientos operativos para las transmisiones de periodismo electrónico por satélite que utilizan técnicas de codificación y modulación digital. En el Anexo 1 se facilitan las características y los procedimientos operativos con miras a la prevención de la interferencia en</w:t>
      </w:r>
      <w:r w:rsidR="00E174DF">
        <w:rPr>
          <w:lang w:val="es-ES"/>
        </w:rPr>
        <w:t>tre transmisiones de satélite.</w:t>
      </w:r>
    </w:p>
    <w:p w:rsidR="00CB2890" w:rsidRPr="0015619A" w:rsidRDefault="00CB2890" w:rsidP="008F6448">
      <w:pPr>
        <w:pStyle w:val="Normalaftertitle"/>
        <w:rPr>
          <w:lang w:val="es-ES"/>
        </w:rPr>
      </w:pPr>
      <w:r w:rsidRPr="0015619A">
        <w:rPr>
          <w:lang w:val="es-ES"/>
        </w:rPr>
        <w:t>La Asamblea de Radiocomunicaciones de la UIT,</w:t>
      </w:r>
    </w:p>
    <w:p w:rsidR="00CB2890" w:rsidRPr="0015619A" w:rsidRDefault="00CB2890" w:rsidP="008F6448">
      <w:pPr>
        <w:pStyle w:val="Call"/>
        <w:rPr>
          <w:lang w:val="es-ES"/>
        </w:rPr>
      </w:pPr>
      <w:r w:rsidRPr="0015619A">
        <w:rPr>
          <w:lang w:val="es-ES"/>
        </w:rPr>
        <w:t>considerando</w:t>
      </w:r>
    </w:p>
    <w:p w:rsidR="00CB2890" w:rsidRPr="0015619A" w:rsidRDefault="00CB2890" w:rsidP="008F6448">
      <w:pPr>
        <w:rPr>
          <w:lang w:val="es-ES"/>
        </w:rPr>
      </w:pPr>
      <w:r w:rsidRPr="0015619A">
        <w:rPr>
          <w:lang w:val="es-ES"/>
        </w:rPr>
        <w:t>a)</w:t>
      </w:r>
      <w:r w:rsidRPr="0015619A">
        <w:rPr>
          <w:lang w:val="es-ES"/>
        </w:rPr>
        <w:tab/>
        <w:t xml:space="preserve">que el periodismo electrónico </w:t>
      </w:r>
      <w:r w:rsidR="00F358A8">
        <w:rPr>
          <w:lang w:val="es-ES"/>
        </w:rPr>
        <w:t xml:space="preserve">digital </w:t>
      </w:r>
      <w:r w:rsidRPr="0015619A">
        <w:rPr>
          <w:lang w:val="es-ES"/>
        </w:rPr>
        <w:t>por satélite (</w:t>
      </w:r>
      <w:r w:rsidR="00F358A8">
        <w:rPr>
          <w:lang w:val="es-ES"/>
        </w:rPr>
        <w:t>D</w:t>
      </w:r>
      <w:r w:rsidRPr="0015619A">
        <w:rPr>
          <w:lang w:val="es-ES"/>
        </w:rPr>
        <w:t>SNG – «</w:t>
      </w:r>
      <w:r w:rsidR="00F358A8">
        <w:rPr>
          <w:lang w:val="es-ES"/>
        </w:rPr>
        <w:t xml:space="preserve">Digital </w:t>
      </w:r>
      <w:r w:rsidRPr="0015619A">
        <w:rPr>
          <w:lang w:val="es-ES"/>
        </w:rPr>
        <w:t>Satellite News Gathering») mediante estaciones terrenas transmisoras transportables es esencial en las operaciones de radiodifusión y constituye un valioso método de transmisión para la adquisición rápida y la difusión de noticias;</w:t>
      </w:r>
    </w:p>
    <w:p w:rsidR="00CB2890" w:rsidRPr="0015619A" w:rsidRDefault="00CB2890" w:rsidP="008F6448">
      <w:pPr>
        <w:rPr>
          <w:lang w:val="es-ES"/>
        </w:rPr>
      </w:pPr>
      <w:r w:rsidRPr="0015619A">
        <w:rPr>
          <w:lang w:val="es-ES"/>
        </w:rPr>
        <w:t>b)</w:t>
      </w:r>
      <w:r w:rsidRPr="0015619A">
        <w:rPr>
          <w:lang w:val="es-ES"/>
        </w:rPr>
        <w:tab/>
        <w:t xml:space="preserve">que para facilitar el tratamiento internacional de noticias y optimizar el diseño de equipos </w:t>
      </w:r>
      <w:r w:rsidR="00583E88">
        <w:rPr>
          <w:lang w:val="es-ES"/>
        </w:rPr>
        <w:t>ha sido deseable</w:t>
      </w:r>
      <w:r w:rsidRPr="0015619A">
        <w:rPr>
          <w:lang w:val="es-ES"/>
        </w:rPr>
        <w:t xml:space="preserve"> adoptar procedimientos operativos uniformes para el SNG, teniendo en cuenta la posibilidad de causar interferencia a otros satélites y sistemas;</w:t>
      </w:r>
    </w:p>
    <w:p w:rsidR="00CB2890" w:rsidRPr="0015619A" w:rsidRDefault="00CB2890" w:rsidP="008F6448">
      <w:pPr>
        <w:rPr>
          <w:lang w:val="es-ES"/>
        </w:rPr>
      </w:pPr>
      <w:r w:rsidRPr="0015619A">
        <w:rPr>
          <w:lang w:val="es-ES"/>
        </w:rPr>
        <w:t>c)</w:t>
      </w:r>
      <w:r w:rsidRPr="0015619A">
        <w:rPr>
          <w:lang w:val="es-ES"/>
        </w:rPr>
        <w:tab/>
        <w:t>que el SNG es temporal y ocasional, y que a menudo su activación no puede determinarse con gran antelación;</w:t>
      </w:r>
    </w:p>
    <w:p w:rsidR="00CB2890" w:rsidRPr="0015619A" w:rsidRDefault="00CB2890" w:rsidP="008F6448">
      <w:pPr>
        <w:rPr>
          <w:lang w:val="es-ES"/>
        </w:rPr>
      </w:pPr>
      <w:r w:rsidRPr="0015619A">
        <w:rPr>
          <w:lang w:val="es-ES"/>
        </w:rPr>
        <w:t>d)</w:t>
      </w:r>
      <w:r w:rsidRPr="0015619A">
        <w:rPr>
          <w:lang w:val="es-ES"/>
        </w:rPr>
        <w:tab/>
        <w:t>que la Constitución de la UIT establece en su Preámbulo: «... reconociendo en toda su plenitud el derecho soberano de cada Estado a reg</w:t>
      </w:r>
      <w:r w:rsidR="0020509D">
        <w:rPr>
          <w:lang w:val="es-ES"/>
        </w:rPr>
        <w:t>lamentar sus telecomunicaciones</w:t>
      </w:r>
      <w:r w:rsidRPr="0015619A">
        <w:rPr>
          <w:lang w:val="es-ES"/>
        </w:rPr>
        <w:t>...»;</w:t>
      </w:r>
    </w:p>
    <w:p w:rsidR="00CB2890" w:rsidRPr="0015619A" w:rsidRDefault="00CB2890" w:rsidP="008F6448">
      <w:pPr>
        <w:rPr>
          <w:lang w:val="es-ES"/>
        </w:rPr>
      </w:pPr>
      <w:r w:rsidRPr="0015619A">
        <w:rPr>
          <w:lang w:val="es-ES"/>
        </w:rPr>
        <w:t>e)</w:t>
      </w:r>
      <w:r w:rsidRPr="0015619A">
        <w:rPr>
          <w:lang w:val="es-ES"/>
        </w:rPr>
        <w:tab/>
        <w:t>que para la correcta explotación del SNG es esencial que sea expeditiva la autorización de activación de las estaciones terrenas del SNG para las transmisiones a un satélite de telecomunicación, de acuerdo con los procedimientos administrativos del propio país y los criterios operativos y técnicos establecidos para estos sistemas;</w:t>
      </w:r>
    </w:p>
    <w:p w:rsidR="00CB2890" w:rsidRPr="0015619A" w:rsidRDefault="00CB2890" w:rsidP="008F6448">
      <w:pPr>
        <w:rPr>
          <w:lang w:val="es-ES"/>
        </w:rPr>
      </w:pPr>
      <w:r w:rsidRPr="0015619A">
        <w:rPr>
          <w:lang w:val="es-ES"/>
        </w:rPr>
        <w:t>f)</w:t>
      </w:r>
      <w:r w:rsidRPr="0015619A">
        <w:rPr>
          <w:lang w:val="es-ES"/>
        </w:rPr>
        <w:tab/>
        <w:t>que se facilitaría el SNG si se dispusiese de una guía de usuario del SNG preparada por los explotadores de los satélites (suministradores de segmento espacial) y de los países de acogida;</w:t>
      </w:r>
    </w:p>
    <w:p w:rsidR="00CB2890" w:rsidRPr="0015619A" w:rsidRDefault="00CB2890" w:rsidP="00093097">
      <w:pPr>
        <w:rPr>
          <w:lang w:val="es-ES"/>
        </w:rPr>
      </w:pPr>
      <w:r w:rsidRPr="0015619A">
        <w:rPr>
          <w:lang w:val="es-ES"/>
        </w:rPr>
        <w:t>g)</w:t>
      </w:r>
      <w:r w:rsidRPr="0015619A">
        <w:rPr>
          <w:lang w:val="es-ES"/>
        </w:rPr>
        <w:tab/>
        <w:t>que</w:t>
      </w:r>
      <w:r w:rsidR="00093097">
        <w:rPr>
          <w:lang w:val="es-ES"/>
        </w:rPr>
        <w:t>,</w:t>
      </w:r>
      <w:r w:rsidRPr="0015619A">
        <w:rPr>
          <w:lang w:val="es-ES"/>
        </w:rPr>
        <w:t xml:space="preserve"> para apoyar a los operadores del SNG</w:t>
      </w:r>
      <w:r w:rsidR="00093097">
        <w:rPr>
          <w:lang w:val="es-ES"/>
        </w:rPr>
        <w:t>,</w:t>
      </w:r>
      <w:r w:rsidRPr="0015619A">
        <w:rPr>
          <w:lang w:val="es-ES"/>
        </w:rPr>
        <w:t xml:space="preserve"> </w:t>
      </w:r>
      <w:r w:rsidR="00093097">
        <w:rPr>
          <w:lang w:val="es-ES"/>
        </w:rPr>
        <w:t>es posible que se requieran</w:t>
      </w:r>
      <w:r w:rsidRPr="0015619A">
        <w:rPr>
          <w:lang w:val="es-ES"/>
        </w:rPr>
        <w:t xml:space="preserve"> servicios de comunicaciones adicionales, como microondas punto a punto, sistemas de comunicaciones telefónicas, micrófonos inalámbricos símplex/dúplex bidireccionales y terminales móviles de satélite para voz y datos;</w:t>
      </w:r>
    </w:p>
    <w:p w:rsidR="00CB2890" w:rsidRPr="0015619A" w:rsidRDefault="00CB2890" w:rsidP="008F6448">
      <w:pPr>
        <w:rPr>
          <w:lang w:val="es-ES"/>
        </w:rPr>
      </w:pPr>
      <w:r w:rsidRPr="0015619A">
        <w:rPr>
          <w:lang w:val="es-ES"/>
        </w:rPr>
        <w:t>h)</w:t>
      </w:r>
      <w:r w:rsidRPr="0015619A">
        <w:rPr>
          <w:lang w:val="es-ES"/>
        </w:rPr>
        <w:tab/>
        <w:t>que algunas organizaciones regionales o nacionales ya han elaborado normas que deben satisfacer las estaciones terrenas de transmisión de SNG</w:t>
      </w:r>
      <w:r w:rsidR="0088493C" w:rsidRPr="0015619A">
        <w:rPr>
          <w:lang w:val="es-ES"/>
        </w:rPr>
        <w:t>;</w:t>
      </w:r>
    </w:p>
    <w:p w:rsidR="00CB2890" w:rsidRPr="0015619A" w:rsidRDefault="00CB2890" w:rsidP="008F6448">
      <w:pPr>
        <w:rPr>
          <w:lang w:val="es-ES"/>
        </w:rPr>
      </w:pPr>
      <w:r w:rsidRPr="0015619A">
        <w:rPr>
          <w:lang w:val="es-ES"/>
        </w:rPr>
        <w:t>j)</w:t>
      </w:r>
      <w:r w:rsidRPr="0015619A">
        <w:rPr>
          <w:lang w:val="es-ES"/>
        </w:rPr>
        <w:tab/>
      </w:r>
      <w:r w:rsidR="0015619A" w:rsidRPr="0015619A">
        <w:rPr>
          <w:lang w:val="es-ES"/>
        </w:rPr>
        <w:t xml:space="preserve">que los sistemas, aplicaciones e intercambios internacionales de SNG emplean ahora </w:t>
      </w:r>
      <w:r w:rsidR="00F358A8">
        <w:rPr>
          <w:lang w:val="es-ES"/>
        </w:rPr>
        <w:t>técnicas de codificación y modu</w:t>
      </w:r>
      <w:r w:rsidR="0015619A" w:rsidRPr="0015619A">
        <w:rPr>
          <w:lang w:val="es-ES"/>
        </w:rPr>
        <w:t>lación digital</w:t>
      </w:r>
      <w:r w:rsidRPr="0015619A">
        <w:rPr>
          <w:lang w:val="es-ES"/>
        </w:rPr>
        <w:t>,</w:t>
      </w:r>
    </w:p>
    <w:p w:rsidR="0026364D" w:rsidRPr="0015619A" w:rsidRDefault="0015619A" w:rsidP="008F6448">
      <w:pPr>
        <w:pStyle w:val="Call"/>
        <w:rPr>
          <w:lang w:val="es-ES"/>
        </w:rPr>
      </w:pPr>
      <w:r w:rsidRPr="0015619A">
        <w:rPr>
          <w:lang w:val="es-ES"/>
        </w:rPr>
        <w:t>observando</w:t>
      </w:r>
    </w:p>
    <w:p w:rsidR="0026364D" w:rsidRPr="008C35CA" w:rsidRDefault="0026364D" w:rsidP="0020509D">
      <w:pPr>
        <w:rPr>
          <w:lang w:val="es-ES"/>
        </w:rPr>
      </w:pPr>
      <w:r w:rsidRPr="008C35CA">
        <w:rPr>
          <w:lang w:val="es-ES"/>
        </w:rPr>
        <w:t>a)</w:t>
      </w:r>
      <w:r w:rsidRPr="008C35CA">
        <w:rPr>
          <w:lang w:val="es-ES"/>
        </w:rPr>
        <w:tab/>
      </w:r>
      <w:r w:rsidR="0015619A" w:rsidRPr="0015619A">
        <w:rPr>
          <w:lang w:val="es-ES"/>
        </w:rPr>
        <w:t xml:space="preserve">que el UIT-R ha establecido la Recomendación UIT-R </w:t>
      </w:r>
      <w:r w:rsidRPr="008C35CA">
        <w:rPr>
          <w:lang w:val="es-ES"/>
        </w:rPr>
        <w:t xml:space="preserve">BO.1516 </w:t>
      </w:r>
      <w:r w:rsidRPr="008C35CA">
        <w:rPr>
          <w:i/>
          <w:iCs/>
          <w:lang w:val="es-ES"/>
        </w:rPr>
        <w:t>Sistemas de televisión digital multiprograma para utilización por satélites que funcionan en la gama de frecuencias 11/12</w:t>
      </w:r>
      <w:r w:rsidR="0020509D">
        <w:rPr>
          <w:i/>
          <w:iCs/>
          <w:lang w:val="es-ES"/>
        </w:rPr>
        <w:t> </w:t>
      </w:r>
      <w:r w:rsidRPr="008C35CA">
        <w:rPr>
          <w:i/>
          <w:iCs/>
          <w:lang w:val="es-ES"/>
        </w:rPr>
        <w:t>GHz;</w:t>
      </w:r>
    </w:p>
    <w:p w:rsidR="0026364D" w:rsidRPr="008C35CA" w:rsidRDefault="0026364D" w:rsidP="008F6448">
      <w:pPr>
        <w:rPr>
          <w:i/>
          <w:iCs/>
          <w:lang w:val="es-ES"/>
        </w:rPr>
      </w:pPr>
      <w:r w:rsidRPr="008C35CA">
        <w:rPr>
          <w:lang w:val="es-ES"/>
        </w:rPr>
        <w:lastRenderedPageBreak/>
        <w:t>b)</w:t>
      </w:r>
      <w:r w:rsidRPr="008C35CA">
        <w:rPr>
          <w:lang w:val="es-ES"/>
        </w:rPr>
        <w:tab/>
      </w:r>
      <w:r w:rsidR="0015619A" w:rsidRPr="0015619A">
        <w:rPr>
          <w:lang w:val="es-ES"/>
        </w:rPr>
        <w:t xml:space="preserve">que el UIT-R ha establecido la Recomendación UIT-R </w:t>
      </w:r>
      <w:r w:rsidRPr="008C35CA">
        <w:rPr>
          <w:lang w:val="es-ES"/>
        </w:rPr>
        <w:t xml:space="preserve">BO.1784 </w:t>
      </w:r>
      <w:r w:rsidR="00153B2A" w:rsidRPr="008C35CA">
        <w:rPr>
          <w:i/>
          <w:iCs/>
          <w:lang w:val="es-ES"/>
        </w:rPr>
        <w:t>Sistema de radiodifusión digital por satélite (televisión, sonido, datos) con configuración flexible</w:t>
      </w:r>
      <w:r w:rsidRPr="008C35CA">
        <w:rPr>
          <w:lang w:val="es-ES"/>
        </w:rPr>
        <w:t>,</w:t>
      </w:r>
    </w:p>
    <w:p w:rsidR="0026364D" w:rsidRPr="0015619A" w:rsidRDefault="0026364D" w:rsidP="008F6448">
      <w:pPr>
        <w:pStyle w:val="Call"/>
        <w:rPr>
          <w:highlight w:val="yellow"/>
          <w:lang w:val="es-ES" w:eastAsia="ja-JP"/>
        </w:rPr>
      </w:pPr>
      <w:r w:rsidRPr="0015619A">
        <w:rPr>
          <w:lang w:val="es-ES" w:eastAsia="ja-JP"/>
        </w:rPr>
        <w:t>reco</w:t>
      </w:r>
      <w:r w:rsidR="0015619A" w:rsidRPr="0015619A">
        <w:rPr>
          <w:lang w:val="es-ES" w:eastAsia="ja-JP"/>
        </w:rPr>
        <w:t>nociendo</w:t>
      </w:r>
    </w:p>
    <w:p w:rsidR="0026364D" w:rsidRPr="0015619A" w:rsidRDefault="0015619A" w:rsidP="008F6448">
      <w:pPr>
        <w:rPr>
          <w:i/>
          <w:lang w:val="es-ES" w:eastAsia="ja-JP"/>
        </w:rPr>
      </w:pPr>
      <w:r w:rsidRPr="0015619A">
        <w:rPr>
          <w:iCs/>
          <w:lang w:val="es-ES" w:eastAsia="ja-JP"/>
        </w:rPr>
        <w:t xml:space="preserve">que el periodismo electrónico digital por satélite </w:t>
      </w:r>
      <w:r w:rsidR="0026364D" w:rsidRPr="0015619A">
        <w:rPr>
          <w:lang w:val="es-ES"/>
        </w:rPr>
        <w:t xml:space="preserve">(DSNG) </w:t>
      </w:r>
      <w:r w:rsidRPr="0015619A">
        <w:rPr>
          <w:lang w:val="es-ES"/>
        </w:rPr>
        <w:t xml:space="preserve">es un servicio de extremo a extremo que, generalmente, se presta a través del servicio fijo por satélite, y que </w:t>
      </w:r>
      <w:r>
        <w:rPr>
          <w:lang w:val="es-ES"/>
        </w:rPr>
        <w:t xml:space="preserve">se define </w:t>
      </w:r>
      <w:r w:rsidRPr="0015619A">
        <w:rPr>
          <w:lang w:val="es-ES"/>
        </w:rPr>
        <w:t xml:space="preserve">el </w:t>
      </w:r>
      <w:r>
        <w:rPr>
          <w:lang w:val="es-ES"/>
        </w:rPr>
        <w:t xml:space="preserve">servicio de radiodifusión por satélite en el Reglamento de Radiocomunicaciones como un servicio de radiocomunicación en el que las señales transmitidas o retransmitidas por estaciones espaciales están destinadas a la recepción directa por el público en general, </w:t>
      </w:r>
    </w:p>
    <w:p w:rsidR="00CB2890" w:rsidRPr="0015619A" w:rsidRDefault="00CB2890" w:rsidP="008F6448">
      <w:pPr>
        <w:pStyle w:val="Call"/>
        <w:rPr>
          <w:lang w:val="es-ES"/>
        </w:rPr>
      </w:pPr>
      <w:r w:rsidRPr="0015619A">
        <w:rPr>
          <w:lang w:val="es-ES"/>
        </w:rPr>
        <w:t>recomienda</w:t>
      </w:r>
    </w:p>
    <w:p w:rsidR="00CB2890" w:rsidRPr="0015619A" w:rsidRDefault="00CB2890" w:rsidP="0020509D">
      <w:pPr>
        <w:rPr>
          <w:lang w:val="es-ES"/>
        </w:rPr>
      </w:pPr>
      <w:r w:rsidRPr="0015619A">
        <w:rPr>
          <w:b/>
          <w:lang w:val="es-ES"/>
        </w:rPr>
        <w:t>1</w:t>
      </w:r>
      <w:r w:rsidR="0020509D">
        <w:rPr>
          <w:lang w:val="es-ES"/>
        </w:rPr>
        <w:tab/>
        <w:t>que la explotación del</w:t>
      </w:r>
      <w:r w:rsidR="00093097">
        <w:rPr>
          <w:lang w:val="es-ES"/>
        </w:rPr>
        <w:t xml:space="preserve"> SNG digital (</w:t>
      </w:r>
      <w:r w:rsidR="00583E88">
        <w:rPr>
          <w:lang w:val="es-ES"/>
        </w:rPr>
        <w:t>D</w:t>
      </w:r>
      <w:r w:rsidRPr="0015619A">
        <w:rPr>
          <w:lang w:val="es-ES"/>
        </w:rPr>
        <w:t>SNG</w:t>
      </w:r>
      <w:r w:rsidR="00093097">
        <w:rPr>
          <w:lang w:val="es-ES"/>
        </w:rPr>
        <w:t>)</w:t>
      </w:r>
      <w:r w:rsidRPr="0015619A">
        <w:rPr>
          <w:lang w:val="es-ES"/>
        </w:rPr>
        <w:t xml:space="preserve"> cumpla los procedimientos operativos uniformes descritos en</w:t>
      </w:r>
      <w:r w:rsidR="0020509D">
        <w:rPr>
          <w:lang w:val="es-ES"/>
        </w:rPr>
        <w:t xml:space="preserve"> </w:t>
      </w:r>
      <w:r w:rsidRPr="0015619A">
        <w:rPr>
          <w:lang w:val="es-ES"/>
        </w:rPr>
        <w:t>el Anexo 1;</w:t>
      </w:r>
    </w:p>
    <w:p w:rsidR="00CB2890" w:rsidRPr="0015619A" w:rsidRDefault="00CB2890" w:rsidP="008F6448">
      <w:pPr>
        <w:rPr>
          <w:lang w:val="es-ES"/>
        </w:rPr>
      </w:pPr>
      <w:r w:rsidRPr="0015619A">
        <w:rPr>
          <w:b/>
          <w:lang w:val="es-ES"/>
        </w:rPr>
        <w:t>2</w:t>
      </w:r>
      <w:r w:rsidRPr="0015619A">
        <w:rPr>
          <w:lang w:val="es-ES"/>
        </w:rPr>
        <w:tab/>
        <w:t xml:space="preserve">que, para facilitar la autorización temporal de operaciones del </w:t>
      </w:r>
      <w:r w:rsidR="00583E88">
        <w:rPr>
          <w:lang w:val="es-ES"/>
        </w:rPr>
        <w:t>D</w:t>
      </w:r>
      <w:r w:rsidRPr="0015619A">
        <w:rPr>
          <w:lang w:val="es-ES"/>
        </w:rPr>
        <w:t xml:space="preserve">SNG, se aliente a las administraciones y organizaciones pertinentes a que consideren la armonización de las normas que pueden existir en este campo y la armonización de procedimientos expeditivos y simplificados (por ejemplo, aprobación de estaciones terrenas, reserva de satélites, coordinación de frecuencias y autorización oportuna de servicios radioeléctricos conexos en apoyo de facilidades adicionales de comunicaciones para el </w:t>
      </w:r>
      <w:r w:rsidR="00583E88">
        <w:rPr>
          <w:lang w:val="es-ES"/>
        </w:rPr>
        <w:t>D</w:t>
      </w:r>
      <w:r w:rsidRPr="0015619A">
        <w:rPr>
          <w:lang w:val="es-ES"/>
        </w:rPr>
        <w:t>SNG, etc.);</w:t>
      </w:r>
    </w:p>
    <w:p w:rsidR="00CB2890" w:rsidRPr="0015619A" w:rsidRDefault="00CB2890" w:rsidP="008F6448">
      <w:pPr>
        <w:rPr>
          <w:lang w:val="es-ES"/>
        </w:rPr>
      </w:pPr>
      <w:r w:rsidRPr="0015619A">
        <w:rPr>
          <w:b/>
          <w:lang w:val="es-ES"/>
        </w:rPr>
        <w:t>3</w:t>
      </w:r>
      <w:r w:rsidRPr="0015619A">
        <w:rPr>
          <w:lang w:val="es-ES"/>
        </w:rPr>
        <w:tab/>
        <w:t>que cada administración establezca un punto de contacto permanente para el intercambio de información y la orientación en materia de coordinación de frecuencias y procedimientos administrativos del país de acogida (</w:t>
      </w:r>
      <w:r w:rsidR="0015619A">
        <w:rPr>
          <w:lang w:val="es-ES"/>
        </w:rPr>
        <w:t>por ejemplo</w:t>
      </w:r>
      <w:r w:rsidR="00F358A8">
        <w:rPr>
          <w:lang w:val="es-ES"/>
        </w:rPr>
        <w:t>,</w:t>
      </w:r>
      <w:r w:rsidR="0015619A">
        <w:rPr>
          <w:lang w:val="es-ES"/>
        </w:rPr>
        <w:t xml:space="preserve"> a través de una página web de Internet</w:t>
      </w:r>
      <w:r w:rsidRPr="0015619A">
        <w:rPr>
          <w:lang w:val="es-ES"/>
        </w:rPr>
        <w:t>);</w:t>
      </w:r>
    </w:p>
    <w:p w:rsidR="00CB2890" w:rsidRPr="0015619A" w:rsidRDefault="00CB2890" w:rsidP="008F6448">
      <w:pPr>
        <w:rPr>
          <w:lang w:val="es-ES"/>
        </w:rPr>
      </w:pPr>
      <w:r w:rsidRPr="0015619A">
        <w:rPr>
          <w:b/>
          <w:lang w:val="es-ES"/>
        </w:rPr>
        <w:t>4</w:t>
      </w:r>
      <w:r w:rsidRPr="0015619A">
        <w:rPr>
          <w:lang w:val="es-ES"/>
        </w:rPr>
        <w:tab/>
        <w:t xml:space="preserve">que, con objeto de simplificar las operaciones y minimizar los retrasos, los proveedores de segmento espacial de satélite elaboren guías de usuario para los procedimientos operativos del </w:t>
      </w:r>
      <w:r w:rsidR="00093097">
        <w:rPr>
          <w:lang w:val="es-ES"/>
        </w:rPr>
        <w:t>D</w:t>
      </w:r>
      <w:r w:rsidRPr="0015619A">
        <w:rPr>
          <w:lang w:val="es-ES"/>
        </w:rPr>
        <w:t>SNG de sus distintos sistemas y adopten medidas para armonizar esos procedimientos entre tales sistemas;</w:t>
      </w:r>
    </w:p>
    <w:p w:rsidR="00CB2890" w:rsidRPr="0015619A" w:rsidRDefault="00CB2890" w:rsidP="008F6448">
      <w:pPr>
        <w:rPr>
          <w:lang w:val="es-ES"/>
        </w:rPr>
      </w:pPr>
      <w:r w:rsidRPr="0015619A">
        <w:rPr>
          <w:b/>
          <w:lang w:val="es-ES"/>
        </w:rPr>
        <w:t>5</w:t>
      </w:r>
      <w:r w:rsidRPr="0015619A">
        <w:rPr>
          <w:lang w:val="es-ES"/>
        </w:rPr>
        <w:tab/>
        <w:t xml:space="preserve">que se aliente a los países de acogida a preparar guías de usuario del </w:t>
      </w:r>
      <w:r w:rsidR="00583E88">
        <w:rPr>
          <w:lang w:val="es-ES"/>
        </w:rPr>
        <w:t>D</w:t>
      </w:r>
      <w:r w:rsidRPr="0015619A">
        <w:rPr>
          <w:lang w:val="es-ES"/>
        </w:rPr>
        <w:t>SNG u otros documentos que puedan adoptar la forma de reglamentos nacionales para facilitar las operaciones;</w:t>
      </w:r>
    </w:p>
    <w:p w:rsidR="00CB2890" w:rsidRPr="0015619A" w:rsidRDefault="00CB2890" w:rsidP="008F6448">
      <w:pPr>
        <w:rPr>
          <w:lang w:val="es-ES"/>
        </w:rPr>
      </w:pPr>
      <w:r w:rsidRPr="0015619A">
        <w:rPr>
          <w:b/>
          <w:lang w:val="es-ES"/>
        </w:rPr>
        <w:t>6</w:t>
      </w:r>
      <w:r w:rsidRPr="0015619A">
        <w:rPr>
          <w:lang w:val="es-ES"/>
        </w:rPr>
        <w:tab/>
        <w:t xml:space="preserve">que las organizaciones de satélites deberían designar, previa petición, una portadora de fácil identificación que facilite la explotación de las estaciones terrenas del </w:t>
      </w:r>
      <w:r w:rsidR="00583E88">
        <w:rPr>
          <w:lang w:val="es-ES"/>
        </w:rPr>
        <w:t>D</w:t>
      </w:r>
      <w:r w:rsidRPr="0015619A">
        <w:rPr>
          <w:lang w:val="es-ES"/>
        </w:rPr>
        <w:t>SNG;</w:t>
      </w:r>
    </w:p>
    <w:p w:rsidR="00CB2890" w:rsidRPr="0015619A" w:rsidRDefault="00CB2890" w:rsidP="008F6448">
      <w:pPr>
        <w:rPr>
          <w:lang w:val="es-ES"/>
        </w:rPr>
      </w:pPr>
      <w:r w:rsidRPr="0015619A">
        <w:rPr>
          <w:b/>
          <w:lang w:val="es-ES"/>
        </w:rPr>
        <w:t>7</w:t>
      </w:r>
      <w:r w:rsidRPr="0015619A">
        <w:rPr>
          <w:lang w:val="es-ES"/>
        </w:rPr>
        <w:tab/>
        <w:t xml:space="preserve">que en las transmisiones del </w:t>
      </w:r>
      <w:r w:rsidR="00583E88">
        <w:rPr>
          <w:lang w:val="es-ES"/>
        </w:rPr>
        <w:t>D</w:t>
      </w:r>
      <w:r w:rsidRPr="0015619A">
        <w:rPr>
          <w:lang w:val="es-ES"/>
        </w:rPr>
        <w:t>SNG se incluya una señal de identificación idónea, que se notificará al país de acogida para contribuir a la reducción de interferencias;</w:t>
      </w:r>
    </w:p>
    <w:p w:rsidR="00CB2890" w:rsidRPr="0015619A" w:rsidRDefault="00CB2890" w:rsidP="0020509D">
      <w:pPr>
        <w:rPr>
          <w:lang w:val="es-ES"/>
        </w:rPr>
      </w:pPr>
      <w:r w:rsidRPr="0015619A">
        <w:rPr>
          <w:b/>
          <w:lang w:val="es-ES"/>
        </w:rPr>
        <w:t>8</w:t>
      </w:r>
      <w:r w:rsidRPr="0015619A">
        <w:rPr>
          <w:b/>
          <w:lang w:val="es-ES"/>
        </w:rPr>
        <w:tab/>
      </w:r>
      <w:r w:rsidRPr="0015619A">
        <w:rPr>
          <w:lang w:val="es-ES"/>
        </w:rPr>
        <w:t xml:space="preserve">que antes de efectuar transmisiones del </w:t>
      </w:r>
      <w:r w:rsidR="00583E88">
        <w:rPr>
          <w:lang w:val="es-ES"/>
        </w:rPr>
        <w:t>D</w:t>
      </w:r>
      <w:r w:rsidRPr="0015619A">
        <w:rPr>
          <w:lang w:val="es-ES"/>
        </w:rPr>
        <w:t>SNG y durante las mismas, se disponga de circuitos de radiocomunicaciones bidireccionales;</w:t>
      </w:r>
    </w:p>
    <w:p w:rsidR="00CB2890" w:rsidRPr="0015619A" w:rsidRDefault="00CB2890" w:rsidP="008F6448">
      <w:pPr>
        <w:rPr>
          <w:lang w:val="es-ES"/>
        </w:rPr>
      </w:pPr>
      <w:r w:rsidRPr="0015619A">
        <w:rPr>
          <w:b/>
          <w:lang w:val="es-ES"/>
        </w:rPr>
        <w:t>9</w:t>
      </w:r>
      <w:r w:rsidRPr="0015619A">
        <w:rPr>
          <w:lang w:val="es-ES"/>
        </w:rPr>
        <w:tab/>
        <w:t>que para los transportes de satélite cuya cobertura regional abarque varios países, sólo se requiera la autorización del país a que corresponda el enlace ascendente apropiado.</w:t>
      </w:r>
    </w:p>
    <w:p w:rsidR="00CB2890" w:rsidRPr="0015619A" w:rsidRDefault="00CB2890" w:rsidP="008F6448">
      <w:pPr>
        <w:rPr>
          <w:lang w:val="es-ES"/>
        </w:rPr>
      </w:pPr>
    </w:p>
    <w:p w:rsidR="00CB2890" w:rsidRPr="0015619A" w:rsidRDefault="00CB2890" w:rsidP="00FE22F9">
      <w:pPr>
        <w:pStyle w:val="AnnexNoTitle"/>
        <w:rPr>
          <w:lang w:val="es-ES"/>
        </w:rPr>
      </w:pPr>
      <w:r w:rsidRPr="0015619A">
        <w:rPr>
          <w:lang w:val="es-ES"/>
        </w:rPr>
        <w:lastRenderedPageBreak/>
        <w:t>A</w:t>
      </w:r>
      <w:r w:rsidR="00FE22F9" w:rsidRPr="0015619A">
        <w:rPr>
          <w:lang w:val="es-ES"/>
        </w:rPr>
        <w:t xml:space="preserve">nexo  </w:t>
      </w:r>
      <w:r w:rsidRPr="0015619A">
        <w:rPr>
          <w:lang w:val="es-ES"/>
        </w:rPr>
        <w:t>1</w:t>
      </w:r>
      <w:r w:rsidR="00FE22F9">
        <w:rPr>
          <w:lang w:val="es-ES"/>
        </w:rPr>
        <w:br/>
      </w:r>
      <w:r w:rsidR="00FE22F9">
        <w:rPr>
          <w:lang w:val="es-ES"/>
        </w:rPr>
        <w:br/>
      </w:r>
      <w:r w:rsidRPr="0015619A">
        <w:rPr>
          <w:lang w:val="es-ES"/>
        </w:rPr>
        <w:t xml:space="preserve">Procedimientos operativos uniformes para el </w:t>
      </w:r>
      <w:r w:rsidR="00583E88">
        <w:rPr>
          <w:lang w:val="es-ES"/>
        </w:rPr>
        <w:t>D</w:t>
      </w:r>
      <w:r w:rsidRPr="0015619A">
        <w:rPr>
          <w:lang w:val="es-ES"/>
        </w:rPr>
        <w:t>SNG</w:t>
      </w:r>
    </w:p>
    <w:p w:rsidR="00CB2890" w:rsidRPr="0015619A" w:rsidRDefault="00CB2890" w:rsidP="008F6448">
      <w:pPr>
        <w:pStyle w:val="Heading1"/>
        <w:rPr>
          <w:lang w:val="es-ES"/>
        </w:rPr>
      </w:pPr>
      <w:r w:rsidRPr="0015619A">
        <w:rPr>
          <w:lang w:val="es-ES"/>
        </w:rPr>
        <w:t>1</w:t>
      </w:r>
      <w:r w:rsidRPr="0015619A">
        <w:rPr>
          <w:lang w:val="es-ES"/>
        </w:rPr>
        <w:tab/>
        <w:t>Características de funcionamiento</w:t>
      </w:r>
    </w:p>
    <w:p w:rsidR="00CB2890" w:rsidRPr="0015619A" w:rsidRDefault="00CB2890" w:rsidP="0020509D">
      <w:pPr>
        <w:keepNext/>
        <w:rPr>
          <w:lang w:val="es-ES"/>
        </w:rPr>
      </w:pPr>
      <w:r w:rsidRPr="0015619A">
        <w:rPr>
          <w:lang w:val="es-ES"/>
        </w:rPr>
        <w:t xml:space="preserve">A continuación se describe la naturaleza de las operaciones del </w:t>
      </w:r>
      <w:r w:rsidR="00583E88">
        <w:rPr>
          <w:lang w:val="es-ES"/>
        </w:rPr>
        <w:t>D</w:t>
      </w:r>
      <w:r w:rsidRPr="0015619A">
        <w:rPr>
          <w:lang w:val="es-ES"/>
        </w:rPr>
        <w:t>SNG con respecto a la utilización de frecuencias y a las necesidades.</w:t>
      </w:r>
    </w:p>
    <w:p w:rsidR="00CB2890" w:rsidRPr="0015619A" w:rsidRDefault="00CB2890" w:rsidP="008F6448">
      <w:pPr>
        <w:pStyle w:val="Heading2"/>
        <w:rPr>
          <w:lang w:val="es-ES"/>
        </w:rPr>
      </w:pPr>
      <w:r w:rsidRPr="0015619A">
        <w:rPr>
          <w:lang w:val="es-ES"/>
        </w:rPr>
        <w:t>1.1</w:t>
      </w:r>
      <w:r w:rsidRPr="0015619A">
        <w:rPr>
          <w:lang w:val="es-ES"/>
        </w:rPr>
        <w:tab/>
        <w:t>Definición del </w:t>
      </w:r>
      <w:r w:rsidR="00583E88">
        <w:rPr>
          <w:lang w:val="es-ES"/>
        </w:rPr>
        <w:t>D</w:t>
      </w:r>
      <w:r w:rsidRPr="0015619A">
        <w:rPr>
          <w:lang w:val="es-ES"/>
        </w:rPr>
        <w:t>SNG</w:t>
      </w:r>
    </w:p>
    <w:p w:rsidR="00CB2890" w:rsidRPr="0015619A" w:rsidRDefault="00CB2890" w:rsidP="008F6448">
      <w:pPr>
        <w:rPr>
          <w:lang w:val="es-ES"/>
        </w:rPr>
      </w:pPr>
      <w:r w:rsidRPr="0015619A">
        <w:rPr>
          <w:lang w:val="es-ES"/>
        </w:rPr>
        <w:t>Transmisión temporal y ocasional de televisión o sonido radiofónico con escaso tiempo de aviso con fines de difusión, utilizando estaciones terrenas de enlace ascendente portátiles o fácilmente transportables que operan en el marco del servicio fijo por satélite.</w:t>
      </w:r>
    </w:p>
    <w:p w:rsidR="00CB2890" w:rsidRPr="0015619A" w:rsidRDefault="00CB2890" w:rsidP="008F6448">
      <w:pPr>
        <w:rPr>
          <w:lang w:val="es-ES"/>
        </w:rPr>
      </w:pPr>
      <w:r w:rsidRPr="0015619A">
        <w:rPr>
          <w:lang w:val="es-ES"/>
        </w:rPr>
        <w:t xml:space="preserve">La definición del equipo especifica que éste deberá estar en condiciones de transmitir por el enlace ascendente el </w:t>
      </w:r>
      <w:r w:rsidR="00583E88">
        <w:rPr>
          <w:lang w:val="es-ES"/>
        </w:rPr>
        <w:t xml:space="preserve">material del </w:t>
      </w:r>
      <w:r w:rsidRPr="0015619A">
        <w:rPr>
          <w:lang w:val="es-ES"/>
        </w:rPr>
        <w:t xml:space="preserve">programa </w:t>
      </w:r>
      <w:r w:rsidR="00583E88">
        <w:rPr>
          <w:lang w:val="es-ES"/>
        </w:rPr>
        <w:t xml:space="preserve">video </w:t>
      </w:r>
      <w:r w:rsidRPr="0015619A">
        <w:rPr>
          <w:lang w:val="es-ES"/>
        </w:rPr>
        <w:t xml:space="preserve">de </w:t>
      </w:r>
      <w:r w:rsidR="00583E88">
        <w:rPr>
          <w:lang w:val="es-ES"/>
        </w:rPr>
        <w:t xml:space="preserve">noticias </w:t>
      </w:r>
      <w:r w:rsidRPr="0015619A">
        <w:rPr>
          <w:lang w:val="es-ES"/>
        </w:rPr>
        <w:t>imagen con sus señales de sonido radiofónicas asociadas</w:t>
      </w:r>
      <w:r w:rsidR="00A21C95">
        <w:rPr>
          <w:lang w:val="es-ES"/>
        </w:rPr>
        <w:t>.</w:t>
      </w:r>
      <w:r w:rsidRPr="0015619A">
        <w:rPr>
          <w:lang w:val="es-ES"/>
        </w:rPr>
        <w:t xml:space="preserve"> </w:t>
      </w:r>
      <w:r w:rsidR="00A21C95">
        <w:rPr>
          <w:lang w:val="es-ES"/>
        </w:rPr>
        <w:t>El equipo puede</w:t>
      </w:r>
      <w:r w:rsidRPr="0015619A">
        <w:rPr>
          <w:lang w:val="es-ES"/>
        </w:rPr>
        <w:t xml:space="preserve">, eventualmente, </w:t>
      </w:r>
      <w:r w:rsidR="00A21C95">
        <w:rPr>
          <w:lang w:val="es-ES"/>
        </w:rPr>
        <w:t xml:space="preserve">prever las </w:t>
      </w:r>
      <w:r w:rsidRPr="0015619A">
        <w:rPr>
          <w:lang w:val="es-ES"/>
        </w:rPr>
        <w:t>transmisiones de datos, y debe poder</w:t>
      </w:r>
      <w:r w:rsidR="00A21C95">
        <w:rPr>
          <w:lang w:val="es-ES"/>
        </w:rPr>
        <w:t>se</w:t>
      </w:r>
      <w:r w:rsidRPr="0015619A">
        <w:rPr>
          <w:lang w:val="es-ES"/>
        </w:rPr>
        <w:t xml:space="preserve"> ajustar y manejar por </w:t>
      </w:r>
      <w:r w:rsidR="00A21C95">
        <w:rPr>
          <w:lang w:val="es-ES"/>
        </w:rPr>
        <w:t xml:space="preserve">un equipo de </w:t>
      </w:r>
      <w:r w:rsidRPr="0015619A">
        <w:rPr>
          <w:lang w:val="es-ES"/>
        </w:rPr>
        <w:t>no más de dos (2) personas en un tiempo razonablemente corto (por ejemplo, 1 h).</w:t>
      </w:r>
    </w:p>
    <w:p w:rsidR="00CB2890" w:rsidRPr="0015619A" w:rsidRDefault="00CB2890" w:rsidP="008F6448">
      <w:pPr>
        <w:rPr>
          <w:lang w:val="es-ES"/>
        </w:rPr>
      </w:pPr>
      <w:r w:rsidRPr="0015619A">
        <w:rPr>
          <w:lang w:val="es-ES"/>
        </w:rPr>
        <w:t xml:space="preserve">Las estaciones terrenas transportables también pueden emplearse para las necesidades del </w:t>
      </w:r>
      <w:r w:rsidR="00A21C95">
        <w:rPr>
          <w:lang w:val="es-ES"/>
        </w:rPr>
        <w:t>D</w:t>
      </w:r>
      <w:r w:rsidR="00A21C95" w:rsidRPr="0015619A">
        <w:rPr>
          <w:lang w:val="es-ES"/>
        </w:rPr>
        <w:t xml:space="preserve">SNG </w:t>
      </w:r>
      <w:r w:rsidRPr="0015619A">
        <w:rPr>
          <w:lang w:val="es-ES"/>
        </w:rPr>
        <w:t xml:space="preserve">cuando la logística aconseje su utilización y cumplan las características funcionales básicas de los sistemas </w:t>
      </w:r>
      <w:r w:rsidR="00A21C95">
        <w:rPr>
          <w:lang w:val="es-ES"/>
        </w:rPr>
        <w:t>D</w:t>
      </w:r>
      <w:r w:rsidR="00A21C95" w:rsidRPr="0015619A">
        <w:rPr>
          <w:lang w:val="es-ES"/>
        </w:rPr>
        <w:t>SNG</w:t>
      </w:r>
      <w:r w:rsidRPr="0015619A">
        <w:rPr>
          <w:lang w:val="es-ES"/>
        </w:rPr>
        <w:t>. El </w:t>
      </w:r>
      <w:r w:rsidR="00A21C95">
        <w:rPr>
          <w:lang w:val="es-ES"/>
        </w:rPr>
        <w:t>D</w:t>
      </w:r>
      <w:r w:rsidR="00A21C95" w:rsidRPr="0015619A">
        <w:rPr>
          <w:lang w:val="es-ES"/>
        </w:rPr>
        <w:t xml:space="preserve">SNG </w:t>
      </w:r>
      <w:r w:rsidRPr="0015619A">
        <w:rPr>
          <w:lang w:val="es-ES"/>
        </w:rPr>
        <w:t>(radiodifusión sonora) puede funcionar también en el servicio móvil por satélite.</w:t>
      </w:r>
    </w:p>
    <w:p w:rsidR="00CB2890" w:rsidRPr="0015619A" w:rsidRDefault="00CB2890" w:rsidP="008F6448">
      <w:pPr>
        <w:pStyle w:val="Heading2"/>
        <w:rPr>
          <w:lang w:val="es-ES"/>
        </w:rPr>
      </w:pPr>
      <w:r w:rsidRPr="0015619A">
        <w:rPr>
          <w:lang w:val="es-ES"/>
        </w:rPr>
        <w:t>1.2</w:t>
      </w:r>
      <w:r w:rsidRPr="0015619A">
        <w:rPr>
          <w:lang w:val="es-ES"/>
        </w:rPr>
        <w:tab/>
        <w:t>Descripción funcional</w:t>
      </w:r>
    </w:p>
    <w:p w:rsidR="00CB2890" w:rsidRPr="0015619A" w:rsidRDefault="00CB2890" w:rsidP="008F6448">
      <w:pPr>
        <w:rPr>
          <w:lang w:val="es-ES"/>
        </w:rPr>
      </w:pPr>
      <w:r w:rsidRPr="0015619A">
        <w:rPr>
          <w:lang w:val="es-ES"/>
        </w:rPr>
        <w:t xml:space="preserve">Las características principales de los sistemas </w:t>
      </w:r>
      <w:r w:rsidR="00A21C95">
        <w:rPr>
          <w:lang w:val="es-ES"/>
        </w:rPr>
        <w:t>D</w:t>
      </w:r>
      <w:r w:rsidR="00A21C95" w:rsidRPr="0015619A">
        <w:rPr>
          <w:lang w:val="es-ES"/>
        </w:rPr>
        <w:t xml:space="preserve">SNG </w:t>
      </w:r>
      <w:r w:rsidRPr="0015619A">
        <w:rPr>
          <w:lang w:val="es-ES"/>
        </w:rPr>
        <w:t xml:space="preserve">vienen determinadas básicamente por las características del enlace ascendente. El empleo del terminal </w:t>
      </w:r>
      <w:r w:rsidR="00A21C95">
        <w:rPr>
          <w:lang w:val="es-ES"/>
        </w:rPr>
        <w:t>D</w:t>
      </w:r>
      <w:r w:rsidR="00A21C95" w:rsidRPr="0015619A">
        <w:rPr>
          <w:lang w:val="es-ES"/>
        </w:rPr>
        <w:t>SNG</w:t>
      </w:r>
      <w:r w:rsidRPr="0015619A">
        <w:rPr>
          <w:lang w:val="es-ES"/>
        </w:rPr>
        <w:t xml:space="preserve"> para el enlace ascendente supone que el extremo receptor está dimensionado adecuadamente. Para garantizar la compatibilidad del sistema y un funcionamiento eficaz, es necesario normalizar las características de los equipos y los procedimientos de explotación.</w:t>
      </w:r>
    </w:p>
    <w:p w:rsidR="00CB2890" w:rsidRPr="0015619A" w:rsidRDefault="00CB2890" w:rsidP="008F6448">
      <w:pPr>
        <w:rPr>
          <w:lang w:val="es-ES"/>
        </w:rPr>
      </w:pPr>
      <w:r w:rsidRPr="0015619A">
        <w:rPr>
          <w:lang w:val="es-ES"/>
        </w:rPr>
        <w:t xml:space="preserve">Las funciones del sistema </w:t>
      </w:r>
      <w:r w:rsidR="00A21C95">
        <w:rPr>
          <w:lang w:val="es-ES"/>
        </w:rPr>
        <w:t>D</w:t>
      </w:r>
      <w:r w:rsidR="00A21C95" w:rsidRPr="0015619A">
        <w:rPr>
          <w:lang w:val="es-ES"/>
        </w:rPr>
        <w:t xml:space="preserve">SNG </w:t>
      </w:r>
      <w:r w:rsidRPr="0015619A">
        <w:rPr>
          <w:lang w:val="es-ES"/>
        </w:rPr>
        <w:t>son:</w:t>
      </w:r>
    </w:p>
    <w:p w:rsidR="00CB2890" w:rsidRPr="0015619A" w:rsidRDefault="00CB2890" w:rsidP="008F6448">
      <w:pPr>
        <w:pStyle w:val="enumlev1"/>
        <w:rPr>
          <w:lang w:val="es-ES"/>
        </w:rPr>
      </w:pPr>
      <w:r w:rsidRPr="0015619A">
        <w:rPr>
          <w:lang w:val="es-ES"/>
        </w:rPr>
        <w:t>–</w:t>
      </w:r>
      <w:r w:rsidRPr="0015619A">
        <w:rPr>
          <w:lang w:val="es-ES"/>
        </w:rPr>
        <w:tab/>
        <w:t>transmitir, con una degradación mínima, una señal vídeo y su señal de sonido asociada o una señal de programa de sonido radiofónico;</w:t>
      </w:r>
    </w:p>
    <w:p w:rsidR="00CB2890" w:rsidRPr="0015619A" w:rsidRDefault="00CB2890" w:rsidP="008F6448">
      <w:pPr>
        <w:pStyle w:val="enumlev1"/>
        <w:rPr>
          <w:lang w:val="es-ES"/>
        </w:rPr>
      </w:pPr>
      <w:r w:rsidRPr="0015619A">
        <w:rPr>
          <w:lang w:val="es-ES"/>
        </w:rPr>
        <w:t>–</w:t>
      </w:r>
      <w:r w:rsidRPr="0015619A">
        <w:rPr>
          <w:lang w:val="es-ES"/>
        </w:rPr>
        <w:tab/>
        <w:t>suministrar una capacidad de recepción limitada para orientar la antena y efectuar la comprobación técnica de las señales transmitidas, donde sea posible</w:t>
      </w:r>
      <w:r w:rsidR="00153B2A" w:rsidRPr="0015619A">
        <w:rPr>
          <w:lang w:val="es-ES"/>
        </w:rPr>
        <w:t>.</w:t>
      </w:r>
    </w:p>
    <w:p w:rsidR="00CB2890" w:rsidRPr="0015619A" w:rsidRDefault="00CB2890" w:rsidP="008F6448">
      <w:pPr>
        <w:pStyle w:val="Heading1"/>
        <w:rPr>
          <w:lang w:val="es-ES"/>
        </w:rPr>
      </w:pPr>
      <w:r w:rsidRPr="0015619A">
        <w:rPr>
          <w:lang w:val="es-ES"/>
        </w:rPr>
        <w:t>2</w:t>
      </w:r>
      <w:r w:rsidRPr="0015619A">
        <w:rPr>
          <w:lang w:val="es-ES"/>
        </w:rPr>
        <w:tab/>
        <w:t>Características de satélite para el funcionamiento y la interconexión</w:t>
      </w:r>
    </w:p>
    <w:p w:rsidR="00CB2890" w:rsidRPr="0015619A" w:rsidRDefault="00CB2890" w:rsidP="008F6448">
      <w:pPr>
        <w:pStyle w:val="Heading2"/>
        <w:rPr>
          <w:lang w:val="es-ES"/>
        </w:rPr>
      </w:pPr>
      <w:r w:rsidRPr="0015619A">
        <w:rPr>
          <w:lang w:val="es-ES"/>
        </w:rPr>
        <w:t>2.1</w:t>
      </w:r>
      <w:r w:rsidRPr="0015619A">
        <w:rPr>
          <w:lang w:val="es-ES"/>
        </w:rPr>
        <w:tab/>
        <w:t>Enlaces ascendentes</w:t>
      </w:r>
    </w:p>
    <w:p w:rsidR="00CB2890" w:rsidRPr="0015619A" w:rsidRDefault="00CB2890" w:rsidP="008F6448">
      <w:pPr>
        <w:pStyle w:val="Heading3"/>
        <w:rPr>
          <w:lang w:val="es-ES"/>
        </w:rPr>
      </w:pPr>
      <w:r w:rsidRPr="0015619A">
        <w:rPr>
          <w:lang w:val="es-ES"/>
        </w:rPr>
        <w:t>2.1.1</w:t>
      </w:r>
      <w:r w:rsidRPr="0015619A">
        <w:rPr>
          <w:lang w:val="es-ES"/>
        </w:rPr>
        <w:tab/>
        <w:t>Separación orbital</w:t>
      </w:r>
    </w:p>
    <w:p w:rsidR="00CB2890" w:rsidRPr="0015619A" w:rsidRDefault="00CB2890" w:rsidP="008F6448">
      <w:pPr>
        <w:rPr>
          <w:lang w:val="es-ES"/>
        </w:rPr>
      </w:pPr>
      <w:r w:rsidRPr="0015619A">
        <w:rPr>
          <w:lang w:val="es-ES"/>
        </w:rPr>
        <w:t>Se han previsto separaciones orbitales hasta de sólo 2</w:t>
      </w:r>
      <w:r w:rsidRPr="0015619A">
        <w:rPr>
          <w:rFonts w:ascii="Symbol" w:hAnsi="Symbol"/>
          <w:lang w:val="es-ES"/>
        </w:rPr>
        <w:t></w:t>
      </w:r>
      <w:r w:rsidRPr="0015619A">
        <w:rPr>
          <w:lang w:val="es-ES"/>
        </w:rPr>
        <w:t>. Para la utilización</w:t>
      </w:r>
      <w:r w:rsidR="00A21C95">
        <w:rPr>
          <w:lang w:val="es-ES"/>
        </w:rPr>
        <w:t xml:space="preserve"> del</w:t>
      </w:r>
      <w:r w:rsidRPr="0015619A">
        <w:rPr>
          <w:lang w:val="es-ES"/>
        </w:rPr>
        <w:t xml:space="preserve"> </w:t>
      </w:r>
      <w:r w:rsidR="00A21C95">
        <w:rPr>
          <w:lang w:val="es-ES"/>
        </w:rPr>
        <w:t>D</w:t>
      </w:r>
      <w:r w:rsidR="00A21C95" w:rsidRPr="0015619A">
        <w:rPr>
          <w:lang w:val="es-ES"/>
        </w:rPr>
        <w:t xml:space="preserve">SNG </w:t>
      </w:r>
      <w:r w:rsidRPr="0015619A">
        <w:rPr>
          <w:lang w:val="es-ES"/>
        </w:rPr>
        <w:t>en condiciones reales, han de tenerse en cuenta las configuraciones particulares de los satélites en el arco orbital que corresponde al circuito requerido.</w:t>
      </w:r>
    </w:p>
    <w:p w:rsidR="00CB2890" w:rsidRPr="00A21C95" w:rsidRDefault="00CB2890" w:rsidP="008F6448">
      <w:pPr>
        <w:rPr>
          <w:lang w:val="es-ES"/>
        </w:rPr>
      </w:pPr>
      <w:r w:rsidRPr="0015619A">
        <w:rPr>
          <w:lang w:val="es-ES"/>
        </w:rPr>
        <w:t xml:space="preserve">Algunas administraciones exigen que el diseño de la antena de la estación terrena transmisora al satélite asegure un diagrama de radiación en el que los máximos de los lóbulos laterales no excedan </w:t>
      </w:r>
      <w:r w:rsidRPr="0015619A">
        <w:rPr>
          <w:lang w:val="es-ES"/>
        </w:rPr>
        <w:lastRenderedPageBreak/>
        <w:t xml:space="preserve">de </w:t>
      </w:r>
      <w:r w:rsidRPr="0015619A">
        <w:rPr>
          <w:lang w:val="es-ES"/>
        </w:rPr>
        <w:fldChar w:fldCharType="begin"/>
      </w:r>
      <w:r w:rsidRPr="0015619A">
        <w:rPr>
          <w:lang w:val="es-ES"/>
        </w:rPr>
        <w:instrText xml:space="preserve">eq </w:instrText>
      </w:r>
      <w:r w:rsidRPr="0015619A">
        <w:rPr>
          <w:i/>
          <w:lang w:val="es-ES"/>
        </w:rPr>
        <w:instrText>G</w:instrText>
      </w:r>
      <w:r w:rsidRPr="0015619A">
        <w:rPr>
          <w:lang w:val="es-ES"/>
        </w:rPr>
        <w:instrText> </w:instrText>
      </w:r>
      <w:r w:rsidRPr="0015619A">
        <w:rPr>
          <w:rFonts w:ascii="Symbol" w:hAnsi="Symbol"/>
          <w:lang w:val="es-ES"/>
        </w:rPr>
        <w:instrText>=</w:instrText>
      </w:r>
      <w:r w:rsidRPr="0015619A">
        <w:rPr>
          <w:lang w:val="es-ES"/>
        </w:rPr>
        <w:instrText> 29 – 25 log </w:instrText>
      </w:r>
      <w:r w:rsidRPr="0015619A">
        <w:rPr>
          <w:rFonts w:ascii="Symbol" w:hAnsi="Symbol"/>
          <w:lang w:val="es-ES"/>
        </w:rPr>
        <w:instrText>q</w:instrText>
      </w:r>
      <w:r w:rsidRPr="0015619A">
        <w:rPr>
          <w:lang w:val="es-ES"/>
        </w:rPr>
        <w:instrText xml:space="preserve"> (dBi)</w:instrText>
      </w:r>
      <w:r w:rsidRPr="0015619A">
        <w:rPr>
          <w:lang w:val="es-ES"/>
        </w:rPr>
        <w:fldChar w:fldCharType="end"/>
      </w:r>
      <w:r w:rsidRPr="0015619A">
        <w:rPr>
          <w:lang w:val="es-ES"/>
        </w:rPr>
        <w:t>, al menos en la dirección de la órbita geoestacionaria.</w:t>
      </w:r>
      <w:r w:rsidR="00153B2A" w:rsidRPr="008C35CA">
        <w:rPr>
          <w:lang w:val="es-ES"/>
        </w:rPr>
        <w:t xml:space="preserve"> </w:t>
      </w:r>
      <w:r w:rsidR="00A21C95">
        <w:rPr>
          <w:lang w:val="es-ES"/>
        </w:rPr>
        <w:t xml:space="preserve">En todo caso, el rendimiento de la antena se ajustará a las especificaciones del operador del satélite. </w:t>
      </w:r>
    </w:p>
    <w:p w:rsidR="00CB2890" w:rsidRPr="0015619A" w:rsidRDefault="00CB2890" w:rsidP="008F6448">
      <w:pPr>
        <w:pStyle w:val="Heading3"/>
        <w:rPr>
          <w:lang w:val="es-ES"/>
        </w:rPr>
      </w:pPr>
      <w:r w:rsidRPr="0015619A">
        <w:rPr>
          <w:lang w:val="es-ES"/>
        </w:rPr>
        <w:t>2.1.2</w:t>
      </w:r>
      <w:r w:rsidRPr="0015619A">
        <w:rPr>
          <w:lang w:val="es-ES"/>
        </w:rPr>
        <w:tab/>
        <w:t xml:space="preserve">Bandas de frecuencia adecuadas para el </w:t>
      </w:r>
      <w:r w:rsidR="00A21C95">
        <w:rPr>
          <w:lang w:val="es-ES"/>
        </w:rPr>
        <w:t>D</w:t>
      </w:r>
      <w:r w:rsidR="00A21C95" w:rsidRPr="0015619A">
        <w:rPr>
          <w:lang w:val="es-ES"/>
        </w:rPr>
        <w:t>SNG</w:t>
      </w:r>
    </w:p>
    <w:p w:rsidR="00CB2890" w:rsidRPr="0015619A" w:rsidRDefault="00CB2890" w:rsidP="008F6448">
      <w:pPr>
        <w:keepNext/>
        <w:keepLines/>
        <w:tabs>
          <w:tab w:val="clear" w:pos="794"/>
          <w:tab w:val="clear" w:pos="1191"/>
          <w:tab w:val="clear" w:pos="1588"/>
          <w:tab w:val="clear" w:pos="1985"/>
        </w:tabs>
        <w:rPr>
          <w:lang w:val="es-ES"/>
        </w:rPr>
      </w:pPr>
      <w:r w:rsidRPr="0015619A">
        <w:rPr>
          <w:lang w:val="es-ES"/>
        </w:rPr>
        <w:t xml:space="preserve">Los sistemas </w:t>
      </w:r>
      <w:r w:rsidR="009F6473">
        <w:rPr>
          <w:lang w:val="es-ES"/>
        </w:rPr>
        <w:t>D</w:t>
      </w:r>
      <w:r w:rsidR="009F6473" w:rsidRPr="0015619A">
        <w:rPr>
          <w:lang w:val="es-ES"/>
        </w:rPr>
        <w:t xml:space="preserve">SNG </w:t>
      </w:r>
      <w:r w:rsidRPr="0015619A">
        <w:rPr>
          <w:lang w:val="es-ES"/>
        </w:rPr>
        <w:t xml:space="preserve">pueden utilizar todas las bandas de frecuencia atribuidas a los enlaces ascendentes para el SFS. Sin embargo, puesto que un terminal </w:t>
      </w:r>
      <w:r w:rsidR="009F6473">
        <w:rPr>
          <w:lang w:val="es-ES"/>
        </w:rPr>
        <w:t>D</w:t>
      </w:r>
      <w:r w:rsidR="009F6473" w:rsidRPr="0015619A">
        <w:rPr>
          <w:lang w:val="es-ES"/>
        </w:rPr>
        <w:t xml:space="preserve">SNG </w:t>
      </w:r>
      <w:r w:rsidRPr="0015619A">
        <w:rPr>
          <w:lang w:val="es-ES"/>
        </w:rPr>
        <w:t>debe llevar una antena pequeña, de forma que pueda ser fácilmente transportable, la banda de frecuencias de explotación es extremadamente importante. En algunos casos puede ser necesaria la coordinación apropiada con otros servicios. Se prefiere la utilización de la banda de 14 GHz, para la que ya se dispone de tecnología suficiente.</w:t>
      </w:r>
    </w:p>
    <w:p w:rsidR="00CB2890" w:rsidRPr="0015619A" w:rsidRDefault="00CB2890" w:rsidP="008F6448">
      <w:pPr>
        <w:pStyle w:val="Heading3"/>
        <w:rPr>
          <w:lang w:val="es-ES"/>
        </w:rPr>
      </w:pPr>
      <w:r w:rsidRPr="0015619A">
        <w:rPr>
          <w:lang w:val="es-ES"/>
        </w:rPr>
        <w:t>2.1.3</w:t>
      </w:r>
      <w:r w:rsidRPr="0015619A">
        <w:rPr>
          <w:lang w:val="es-ES"/>
        </w:rPr>
        <w:tab/>
        <w:t>Zonas de servicio del enlace ascendente</w:t>
      </w:r>
    </w:p>
    <w:p w:rsidR="00CB2890" w:rsidRPr="0015619A" w:rsidRDefault="00CB2890" w:rsidP="008F6448">
      <w:pPr>
        <w:rPr>
          <w:lang w:val="es-ES"/>
        </w:rPr>
      </w:pPr>
      <w:r w:rsidRPr="0015619A">
        <w:rPr>
          <w:lang w:val="es-ES"/>
        </w:rPr>
        <w:t>Las zonas de servicio del enlace ascendente se agrupan en dos categorías generales:</w:t>
      </w:r>
    </w:p>
    <w:p w:rsidR="00CB2890" w:rsidRPr="0015619A" w:rsidRDefault="00CB2890" w:rsidP="008F6448">
      <w:pPr>
        <w:pStyle w:val="enumlev1"/>
        <w:rPr>
          <w:lang w:val="es-ES"/>
        </w:rPr>
      </w:pPr>
      <w:r w:rsidRPr="0015619A">
        <w:rPr>
          <w:lang w:val="es-ES"/>
        </w:rPr>
        <w:t>–</w:t>
      </w:r>
      <w:r w:rsidRPr="0015619A">
        <w:rPr>
          <w:lang w:val="es-ES"/>
        </w:rPr>
        <w:tab/>
        <w:t>nacional,</w:t>
      </w:r>
    </w:p>
    <w:p w:rsidR="00CB2890" w:rsidRPr="0015619A" w:rsidRDefault="00CB2890" w:rsidP="008F6448">
      <w:pPr>
        <w:pStyle w:val="enumlev1"/>
        <w:rPr>
          <w:lang w:val="es-ES"/>
        </w:rPr>
      </w:pPr>
      <w:r w:rsidRPr="0015619A">
        <w:rPr>
          <w:lang w:val="es-ES"/>
        </w:rPr>
        <w:t>–</w:t>
      </w:r>
      <w:r w:rsidRPr="0015619A">
        <w:rPr>
          <w:lang w:val="es-ES"/>
        </w:rPr>
        <w:tab/>
        <w:t>internacional.</w:t>
      </w:r>
    </w:p>
    <w:p w:rsidR="00CB2890" w:rsidRPr="0015619A" w:rsidRDefault="00CB2890" w:rsidP="008F6448">
      <w:pPr>
        <w:rPr>
          <w:lang w:val="es-ES"/>
        </w:rPr>
      </w:pPr>
      <w:r w:rsidRPr="0015619A">
        <w:rPr>
          <w:lang w:val="es-ES"/>
        </w:rPr>
        <w:t>Los países muy extensos utilizan a veces haces de gran anchura que sería más adecuado denominar «continentales».</w:t>
      </w:r>
    </w:p>
    <w:p w:rsidR="00CB2890" w:rsidRPr="008C35CA" w:rsidRDefault="00CB2890" w:rsidP="008F6448">
      <w:pPr>
        <w:pStyle w:val="Heading3"/>
        <w:rPr>
          <w:lang w:val="es-ES"/>
        </w:rPr>
      </w:pPr>
      <w:r w:rsidRPr="008C35CA">
        <w:rPr>
          <w:lang w:val="es-ES"/>
        </w:rPr>
        <w:t>2.1.4</w:t>
      </w:r>
      <w:r w:rsidRPr="008C35CA">
        <w:rPr>
          <w:lang w:val="es-ES"/>
        </w:rPr>
        <w:tab/>
      </w:r>
      <w:r w:rsidRPr="0020509D">
        <w:rPr>
          <w:i/>
          <w:lang w:val="es-ES"/>
        </w:rPr>
        <w:t>G</w:t>
      </w:r>
      <w:r w:rsidRPr="0020509D">
        <w:rPr>
          <w:lang w:val="es-ES"/>
        </w:rPr>
        <w:t>/</w:t>
      </w:r>
      <w:r w:rsidRPr="0020509D">
        <w:rPr>
          <w:i/>
          <w:lang w:val="es-ES"/>
        </w:rPr>
        <w:t>T</w:t>
      </w:r>
      <w:r w:rsidRPr="008C35CA">
        <w:rPr>
          <w:lang w:val="es-ES"/>
        </w:rPr>
        <w:t xml:space="preserve"> del satélite</w:t>
      </w:r>
    </w:p>
    <w:p w:rsidR="00CB2890" w:rsidRPr="0015619A" w:rsidRDefault="00CB2890" w:rsidP="008F6448">
      <w:pPr>
        <w:rPr>
          <w:lang w:val="es-ES"/>
        </w:rPr>
      </w:pPr>
      <w:r w:rsidRPr="0015619A">
        <w:rPr>
          <w:lang w:val="es-ES"/>
        </w:rPr>
        <w:t xml:space="preserve">El factor predominante en la determinación de la </w:t>
      </w:r>
      <w:r w:rsidRPr="0015619A">
        <w:rPr>
          <w:i/>
          <w:iCs/>
          <w:lang w:val="es-ES"/>
        </w:rPr>
        <w:t>G</w:t>
      </w:r>
      <w:r w:rsidRPr="0015619A">
        <w:rPr>
          <w:iCs/>
          <w:lang w:val="es-ES"/>
        </w:rPr>
        <w:t>/</w:t>
      </w:r>
      <w:r w:rsidRPr="0015619A">
        <w:rPr>
          <w:i/>
          <w:iCs/>
          <w:lang w:val="es-ES"/>
        </w:rPr>
        <w:t>T</w:t>
      </w:r>
      <w:r w:rsidRPr="0015619A">
        <w:rPr>
          <w:i/>
          <w:lang w:val="es-ES"/>
        </w:rPr>
        <w:t xml:space="preserve"> </w:t>
      </w:r>
      <w:r w:rsidRPr="0015619A">
        <w:rPr>
          <w:lang w:val="es-ES"/>
        </w:rPr>
        <w:t xml:space="preserve">es el tamaño de la zona de servicio del enlace ascendente. Los haces de cobertura nacional tienen generalmente una mayor ganancia de antena la cual resulta más adecuada para la p.i.r.e. reducida que transmiten los terminales </w:t>
      </w:r>
      <w:r w:rsidR="009F6473">
        <w:rPr>
          <w:lang w:val="es-ES"/>
        </w:rPr>
        <w:t>D</w:t>
      </w:r>
      <w:r w:rsidR="009F6473" w:rsidRPr="0015619A">
        <w:rPr>
          <w:lang w:val="es-ES"/>
        </w:rPr>
        <w:t>SNG</w:t>
      </w:r>
      <w:r w:rsidRPr="0015619A">
        <w:rPr>
          <w:lang w:val="es-ES"/>
        </w:rPr>
        <w:t>.</w:t>
      </w:r>
    </w:p>
    <w:p w:rsidR="00CB2890" w:rsidRPr="0015619A" w:rsidRDefault="00CB2890" w:rsidP="008F6448">
      <w:pPr>
        <w:rPr>
          <w:lang w:val="es-ES"/>
        </w:rPr>
      </w:pPr>
      <w:r w:rsidRPr="0015619A">
        <w:rPr>
          <w:lang w:val="es-ES"/>
        </w:rPr>
        <w:t xml:space="preserve">La configuración más normal es la correspondiente a grandes zonas de servicio del enlace ascendente –nacionales e internacionales– que se traducen en valores de </w:t>
      </w:r>
      <w:r w:rsidRPr="0015619A">
        <w:rPr>
          <w:i/>
          <w:iCs/>
          <w:lang w:val="es-ES"/>
        </w:rPr>
        <w:t>G</w:t>
      </w:r>
      <w:r w:rsidRPr="0015619A">
        <w:rPr>
          <w:iCs/>
          <w:lang w:val="es-ES"/>
        </w:rPr>
        <w:t>/</w:t>
      </w:r>
      <w:r w:rsidRPr="0015619A">
        <w:rPr>
          <w:i/>
          <w:iCs/>
          <w:lang w:val="es-ES"/>
        </w:rPr>
        <w:t>T</w:t>
      </w:r>
      <w:r w:rsidRPr="0015619A">
        <w:rPr>
          <w:lang w:val="es-ES"/>
        </w:rPr>
        <w:t xml:space="preserve"> nulos o en algunos casos negativos, en el borde del haz.</w:t>
      </w:r>
    </w:p>
    <w:p w:rsidR="00CB2890" w:rsidRPr="0015619A" w:rsidRDefault="009F6473" w:rsidP="0020509D">
      <w:pPr>
        <w:rPr>
          <w:lang w:val="es-ES"/>
        </w:rPr>
      </w:pPr>
      <w:r>
        <w:rPr>
          <w:lang w:val="es-ES"/>
        </w:rPr>
        <w:t>En algunos casos</w:t>
      </w:r>
      <w:r w:rsidR="00CB2890" w:rsidRPr="0015619A">
        <w:rPr>
          <w:lang w:val="es-ES"/>
        </w:rPr>
        <w:t xml:space="preserve">, conviene tener en cuenta valores de </w:t>
      </w:r>
      <w:r w:rsidR="00CB2890" w:rsidRPr="0015619A">
        <w:rPr>
          <w:i/>
          <w:iCs/>
          <w:lang w:val="es-ES"/>
        </w:rPr>
        <w:t>G</w:t>
      </w:r>
      <w:r w:rsidR="00CB2890" w:rsidRPr="0015619A">
        <w:rPr>
          <w:iCs/>
          <w:lang w:val="es-ES"/>
        </w:rPr>
        <w:t>/</w:t>
      </w:r>
      <w:r w:rsidR="00CB2890" w:rsidRPr="0015619A">
        <w:rPr>
          <w:i/>
          <w:iCs/>
          <w:lang w:val="es-ES"/>
        </w:rPr>
        <w:t>T</w:t>
      </w:r>
      <w:r w:rsidR="00CB2890" w:rsidRPr="0015619A">
        <w:rPr>
          <w:lang w:val="es-ES"/>
        </w:rPr>
        <w:t xml:space="preserve"> del satélite de 0 dB(K</w:t>
      </w:r>
      <w:r w:rsidR="00CB2890" w:rsidRPr="0015619A">
        <w:rPr>
          <w:position w:val="6"/>
          <w:sz w:val="20"/>
          <w:lang w:val="es-ES"/>
        </w:rPr>
        <w:t>–1</w:t>
      </w:r>
      <w:r w:rsidR="00CB2890" w:rsidRPr="0015619A">
        <w:rPr>
          <w:lang w:val="es-ES"/>
        </w:rPr>
        <w:t xml:space="preserve">). Para lograr la mayor flexibilidad posible, los terminales </w:t>
      </w:r>
      <w:r>
        <w:rPr>
          <w:lang w:val="es-ES"/>
        </w:rPr>
        <w:t>D</w:t>
      </w:r>
      <w:r w:rsidRPr="0015619A">
        <w:rPr>
          <w:lang w:val="es-ES"/>
        </w:rPr>
        <w:t xml:space="preserve">SNG </w:t>
      </w:r>
      <w:r w:rsidR="00CB2890" w:rsidRPr="0015619A">
        <w:rPr>
          <w:lang w:val="es-ES"/>
        </w:rPr>
        <w:t>deben poder funcionar con valores de </w:t>
      </w:r>
      <w:r w:rsidR="00CB2890" w:rsidRPr="0015619A">
        <w:rPr>
          <w:i/>
          <w:iCs/>
          <w:lang w:val="es-ES"/>
        </w:rPr>
        <w:t>G</w:t>
      </w:r>
      <w:r w:rsidR="00CB2890" w:rsidRPr="0015619A">
        <w:rPr>
          <w:iCs/>
          <w:lang w:val="es-ES"/>
        </w:rPr>
        <w:t>/</w:t>
      </w:r>
      <w:r w:rsidR="00CB2890" w:rsidRPr="0015619A">
        <w:rPr>
          <w:i/>
          <w:iCs/>
          <w:lang w:val="es-ES"/>
        </w:rPr>
        <w:t>T</w:t>
      </w:r>
      <w:r w:rsidR="00CB2890" w:rsidRPr="0015619A">
        <w:rPr>
          <w:lang w:val="es-ES"/>
        </w:rPr>
        <w:t xml:space="preserve"> del satélite de hasta 6 dB(K</w:t>
      </w:r>
      <w:r w:rsidR="00CB2890" w:rsidRPr="0015619A">
        <w:rPr>
          <w:position w:val="6"/>
          <w:sz w:val="20"/>
          <w:lang w:val="es-ES"/>
        </w:rPr>
        <w:t>–1</w:t>
      </w:r>
      <w:r w:rsidR="00CB2890" w:rsidRPr="0015619A">
        <w:rPr>
          <w:lang w:val="es-ES"/>
        </w:rPr>
        <w:t xml:space="preserve">), aunque tengan que disminuir su calidad. En el caso de la explotación en las bandas 6/4 GHz con un haz mundial pueden encontrarse valores de </w:t>
      </w:r>
      <w:r w:rsidR="00CB2890" w:rsidRPr="0015619A">
        <w:rPr>
          <w:i/>
          <w:iCs/>
          <w:lang w:val="es-ES"/>
        </w:rPr>
        <w:t>G</w:t>
      </w:r>
      <w:r w:rsidR="00CB2890" w:rsidRPr="0015619A">
        <w:rPr>
          <w:iCs/>
          <w:lang w:val="es-ES"/>
        </w:rPr>
        <w:t>/</w:t>
      </w:r>
      <w:r w:rsidR="00CB2890" w:rsidRPr="0015619A">
        <w:rPr>
          <w:i/>
          <w:iCs/>
          <w:lang w:val="es-ES"/>
        </w:rPr>
        <w:t>T</w:t>
      </w:r>
      <w:r w:rsidR="00CB2890" w:rsidRPr="0015619A">
        <w:rPr>
          <w:i/>
          <w:lang w:val="es-ES"/>
        </w:rPr>
        <w:t xml:space="preserve"> </w:t>
      </w:r>
      <w:r w:rsidR="00CB2890" w:rsidRPr="0015619A">
        <w:rPr>
          <w:lang w:val="es-ES"/>
        </w:rPr>
        <w:t>tan bajos como</w:t>
      </w:r>
      <w:r w:rsidR="0020509D">
        <w:rPr>
          <w:lang w:val="es-ES"/>
        </w:rPr>
        <w:br/>
      </w:r>
      <w:r w:rsidR="00CB2890" w:rsidRPr="0015619A">
        <w:rPr>
          <w:lang w:val="es-ES"/>
        </w:rPr>
        <w:t>–12</w:t>
      </w:r>
      <w:r w:rsidR="0020509D">
        <w:rPr>
          <w:lang w:val="es-ES"/>
        </w:rPr>
        <w:t> </w:t>
      </w:r>
      <w:r w:rsidR="00CB2890" w:rsidRPr="0015619A">
        <w:rPr>
          <w:lang w:val="es-ES"/>
        </w:rPr>
        <w:t>dB(K</w:t>
      </w:r>
      <w:r w:rsidR="00CB2890" w:rsidRPr="0015619A">
        <w:rPr>
          <w:position w:val="6"/>
          <w:sz w:val="20"/>
          <w:lang w:val="es-ES"/>
        </w:rPr>
        <w:t>–1</w:t>
      </w:r>
      <w:r w:rsidR="00CB2890" w:rsidRPr="0015619A">
        <w:rPr>
          <w:lang w:val="es-ES"/>
        </w:rPr>
        <w:t>).</w:t>
      </w:r>
    </w:p>
    <w:p w:rsidR="00CB2890" w:rsidRPr="0015619A" w:rsidRDefault="00CB2890" w:rsidP="008F6448">
      <w:pPr>
        <w:pStyle w:val="Heading3"/>
        <w:rPr>
          <w:lang w:val="es-ES"/>
        </w:rPr>
      </w:pPr>
      <w:r w:rsidRPr="0015619A">
        <w:rPr>
          <w:lang w:val="es-ES"/>
        </w:rPr>
        <w:t>2.1.5</w:t>
      </w:r>
      <w:r w:rsidRPr="0015619A">
        <w:rPr>
          <w:lang w:val="es-ES"/>
        </w:rPr>
        <w:tab/>
        <w:t>Ganancia del satélite</w:t>
      </w:r>
    </w:p>
    <w:p w:rsidR="00CB2890" w:rsidRPr="0015619A" w:rsidRDefault="00CB2890" w:rsidP="008F6448">
      <w:pPr>
        <w:rPr>
          <w:lang w:val="es-ES"/>
        </w:rPr>
      </w:pPr>
      <w:r w:rsidRPr="0015619A">
        <w:rPr>
          <w:lang w:val="es-ES"/>
        </w:rPr>
        <w:t>Los satélites cuentan a menudo con ajustes variables de la ganancia, para lograr una p.i.r.e. más elevada. Se ha demostrado que con valores de ganancia más bajos puede lograrse una mejor calidad general para las aplicaciones del </w:t>
      </w:r>
      <w:r w:rsidR="009F6473">
        <w:rPr>
          <w:lang w:val="es-ES"/>
        </w:rPr>
        <w:t>D</w:t>
      </w:r>
      <w:r w:rsidR="009F6473" w:rsidRPr="0015619A">
        <w:rPr>
          <w:lang w:val="es-ES"/>
        </w:rPr>
        <w:t>SNG</w:t>
      </w:r>
      <w:r w:rsidRPr="0015619A">
        <w:rPr>
          <w:lang w:val="es-ES"/>
        </w:rPr>
        <w:t>.</w:t>
      </w:r>
    </w:p>
    <w:p w:rsidR="00CB2890" w:rsidRPr="0015619A" w:rsidRDefault="00CB2890" w:rsidP="008F6448">
      <w:pPr>
        <w:rPr>
          <w:lang w:val="es-ES"/>
        </w:rPr>
      </w:pPr>
      <w:r w:rsidRPr="0015619A">
        <w:rPr>
          <w:lang w:val="es-ES"/>
        </w:rPr>
        <w:t xml:space="preserve">Puesto que no siempre es posible modificar los ajustes de la ganancia del satélite para utilización a corto plazo, los terminales </w:t>
      </w:r>
      <w:r w:rsidR="009F6473">
        <w:rPr>
          <w:lang w:val="es-ES"/>
        </w:rPr>
        <w:t>D</w:t>
      </w:r>
      <w:r w:rsidR="009F6473" w:rsidRPr="0015619A">
        <w:rPr>
          <w:lang w:val="es-ES"/>
        </w:rPr>
        <w:t xml:space="preserve">SNG </w:t>
      </w:r>
      <w:r w:rsidRPr="0015619A">
        <w:rPr>
          <w:lang w:val="es-ES"/>
        </w:rPr>
        <w:t>deben poder funcionar con valores nominales de ganancia del satélite y el receptor del enlace descendente debe dimensionarse de forma adecuada.</w:t>
      </w:r>
    </w:p>
    <w:p w:rsidR="00CB2890" w:rsidRPr="0015619A" w:rsidRDefault="00CB2890" w:rsidP="008F6448">
      <w:pPr>
        <w:pStyle w:val="Heading3"/>
        <w:rPr>
          <w:lang w:val="es-ES"/>
        </w:rPr>
      </w:pPr>
      <w:r w:rsidRPr="0015619A">
        <w:rPr>
          <w:lang w:val="es-ES"/>
        </w:rPr>
        <w:t>2.1.6</w:t>
      </w:r>
      <w:r w:rsidRPr="0015619A">
        <w:rPr>
          <w:lang w:val="es-ES"/>
        </w:rPr>
        <w:tab/>
        <w:t>Anchura de banda</w:t>
      </w:r>
    </w:p>
    <w:p w:rsidR="00CB2890" w:rsidRPr="0015619A" w:rsidRDefault="00CB2890" w:rsidP="008F6448">
      <w:pPr>
        <w:rPr>
          <w:lang w:val="es-ES"/>
        </w:rPr>
      </w:pPr>
      <w:r w:rsidRPr="0015619A">
        <w:rPr>
          <w:lang w:val="es-ES"/>
        </w:rPr>
        <w:t xml:space="preserve">Según la anchura de banda disponible del transpondedor y sus características de intermodulación, puede ser práctico cursar las señales del </w:t>
      </w:r>
      <w:r w:rsidR="009F6473">
        <w:rPr>
          <w:lang w:val="es-ES"/>
        </w:rPr>
        <w:t>D</w:t>
      </w:r>
      <w:r w:rsidR="009F6473" w:rsidRPr="0015619A">
        <w:rPr>
          <w:lang w:val="es-ES"/>
        </w:rPr>
        <w:t xml:space="preserve">SNG </w:t>
      </w:r>
      <w:r w:rsidRPr="0015619A">
        <w:rPr>
          <w:lang w:val="es-ES"/>
        </w:rPr>
        <w:t>en forma compartida con otras señales de televisión y con canales de comunicaciones.</w:t>
      </w:r>
    </w:p>
    <w:p w:rsidR="00CB2890" w:rsidRPr="0015619A" w:rsidRDefault="00CB2890" w:rsidP="008F6448">
      <w:pPr>
        <w:pStyle w:val="Heading3"/>
        <w:rPr>
          <w:lang w:val="es-ES"/>
        </w:rPr>
      </w:pPr>
      <w:r w:rsidRPr="0015619A">
        <w:rPr>
          <w:lang w:val="es-ES"/>
        </w:rPr>
        <w:t>2.1.7</w:t>
      </w:r>
      <w:r w:rsidRPr="0015619A">
        <w:rPr>
          <w:lang w:val="es-ES"/>
        </w:rPr>
        <w:tab/>
        <w:t>Planificación de canales para los satélites</w:t>
      </w:r>
    </w:p>
    <w:p w:rsidR="00CB2890" w:rsidRPr="0015619A" w:rsidRDefault="00CB2890" w:rsidP="008F6448">
      <w:pPr>
        <w:rPr>
          <w:lang w:val="es-ES"/>
        </w:rPr>
      </w:pPr>
      <w:r w:rsidRPr="0015619A">
        <w:rPr>
          <w:lang w:val="es-ES"/>
        </w:rPr>
        <w:t>Los satélites utilizan a menudo, la superposición de canales con separación de polarización ortogonal. Es necesario tener en cuenta lo referente a la interferencia en cada satélite específico y en particular los requisitos en cuanto a la discriminación de polarización.</w:t>
      </w:r>
    </w:p>
    <w:p w:rsidR="00CB2890" w:rsidRPr="0015619A" w:rsidRDefault="00CB2890" w:rsidP="008F6448">
      <w:pPr>
        <w:pStyle w:val="Heading3"/>
        <w:rPr>
          <w:lang w:val="es-ES"/>
        </w:rPr>
      </w:pPr>
      <w:r w:rsidRPr="0015619A">
        <w:rPr>
          <w:lang w:val="es-ES"/>
        </w:rPr>
        <w:lastRenderedPageBreak/>
        <w:t>2.1.8</w:t>
      </w:r>
      <w:r w:rsidRPr="0015619A">
        <w:rPr>
          <w:lang w:val="es-ES"/>
        </w:rPr>
        <w:tab/>
      </w:r>
      <w:r w:rsidR="009F6473">
        <w:rPr>
          <w:lang w:val="es-ES"/>
        </w:rPr>
        <w:t>Antenas de satélite orientables</w:t>
      </w:r>
    </w:p>
    <w:p w:rsidR="00CB2890" w:rsidRPr="0015619A" w:rsidRDefault="009F6473" w:rsidP="008F6448">
      <w:pPr>
        <w:rPr>
          <w:lang w:val="es-ES"/>
        </w:rPr>
      </w:pPr>
      <w:r>
        <w:rPr>
          <w:lang w:val="es-ES"/>
        </w:rPr>
        <w:t>Se utilizan</w:t>
      </w:r>
      <w:r w:rsidR="00CB2890" w:rsidRPr="0015619A">
        <w:rPr>
          <w:lang w:val="es-ES"/>
        </w:rPr>
        <w:t xml:space="preserve"> haces </w:t>
      </w:r>
      <w:r w:rsidRPr="0015619A">
        <w:rPr>
          <w:lang w:val="es-ES"/>
        </w:rPr>
        <w:t xml:space="preserve">de satélite </w:t>
      </w:r>
      <w:r w:rsidR="00CB2890" w:rsidRPr="0015619A">
        <w:rPr>
          <w:lang w:val="es-ES"/>
        </w:rPr>
        <w:t>orientables</w:t>
      </w:r>
      <w:r>
        <w:rPr>
          <w:lang w:val="es-ES"/>
        </w:rPr>
        <w:t xml:space="preserve"> que permiten</w:t>
      </w:r>
      <w:r w:rsidR="00CB2890" w:rsidRPr="0015619A">
        <w:rPr>
          <w:lang w:val="es-ES"/>
        </w:rPr>
        <w:t xml:space="preserve"> dirigir una antena de haz estrecho al emplazamiento de la estación terrena del </w:t>
      </w:r>
      <w:r>
        <w:rPr>
          <w:lang w:val="es-ES"/>
        </w:rPr>
        <w:t>D</w:t>
      </w:r>
      <w:r w:rsidRPr="0015619A">
        <w:rPr>
          <w:lang w:val="es-ES"/>
        </w:rPr>
        <w:t>SNG</w:t>
      </w:r>
      <w:r w:rsidR="00CB2890" w:rsidRPr="0015619A">
        <w:rPr>
          <w:lang w:val="es-ES"/>
        </w:rPr>
        <w:t>, para obtener una mejor calidad.</w:t>
      </w:r>
    </w:p>
    <w:p w:rsidR="00CB2890" w:rsidRPr="0015619A" w:rsidRDefault="00CB2890" w:rsidP="008F6448">
      <w:pPr>
        <w:pStyle w:val="Heading2"/>
        <w:rPr>
          <w:lang w:val="es-ES"/>
        </w:rPr>
      </w:pPr>
      <w:r w:rsidRPr="0015619A">
        <w:rPr>
          <w:lang w:val="es-ES"/>
        </w:rPr>
        <w:t>2.2</w:t>
      </w:r>
      <w:r w:rsidRPr="0015619A">
        <w:rPr>
          <w:lang w:val="es-ES"/>
        </w:rPr>
        <w:tab/>
        <w:t>Enlace descendente</w:t>
      </w:r>
    </w:p>
    <w:p w:rsidR="00CB2890" w:rsidRPr="0015619A" w:rsidRDefault="00CB2890" w:rsidP="008F6448">
      <w:pPr>
        <w:pStyle w:val="Heading3"/>
        <w:rPr>
          <w:lang w:val="es-ES"/>
        </w:rPr>
      </w:pPr>
      <w:r w:rsidRPr="0015619A">
        <w:rPr>
          <w:lang w:val="es-ES"/>
        </w:rPr>
        <w:t>2.2.1</w:t>
      </w:r>
      <w:r w:rsidRPr="0015619A">
        <w:rPr>
          <w:lang w:val="es-ES"/>
        </w:rPr>
        <w:tab/>
        <w:t>Zona de servicio del enlace descendente</w:t>
      </w:r>
    </w:p>
    <w:p w:rsidR="00CB2890" w:rsidRPr="0015619A" w:rsidRDefault="00CB2890" w:rsidP="008F6448">
      <w:pPr>
        <w:rPr>
          <w:lang w:val="es-ES"/>
        </w:rPr>
      </w:pPr>
      <w:r w:rsidRPr="0015619A">
        <w:rPr>
          <w:lang w:val="es-ES"/>
        </w:rPr>
        <w:t xml:space="preserve">Es necesario que la zona de servicio del enlace descendente incluya el lugar de recepción previsto. Para facilitar el establecimiento, las comunicaciones y la comprobación técnica, también es muy conveniente que en el emplazamiento del terminal </w:t>
      </w:r>
      <w:r w:rsidR="009F6473">
        <w:rPr>
          <w:lang w:val="es-ES"/>
        </w:rPr>
        <w:t>D</w:t>
      </w:r>
      <w:r w:rsidR="009F6473" w:rsidRPr="0015619A">
        <w:rPr>
          <w:lang w:val="es-ES"/>
        </w:rPr>
        <w:t xml:space="preserve">SNG </w:t>
      </w:r>
      <w:r w:rsidRPr="0015619A">
        <w:rPr>
          <w:lang w:val="es-ES"/>
        </w:rPr>
        <w:t>se esté en condiciones de recibir las señales del satélite.</w:t>
      </w:r>
    </w:p>
    <w:p w:rsidR="00CB2890" w:rsidRPr="0015619A" w:rsidRDefault="00CB2890" w:rsidP="008F6448">
      <w:pPr>
        <w:pStyle w:val="Heading2"/>
        <w:rPr>
          <w:lang w:val="es-ES"/>
        </w:rPr>
      </w:pPr>
      <w:r w:rsidRPr="0015619A">
        <w:rPr>
          <w:lang w:val="es-ES"/>
        </w:rPr>
        <w:t>2.3</w:t>
      </w:r>
      <w:r w:rsidRPr="0015619A">
        <w:rPr>
          <w:lang w:val="es-ES"/>
        </w:rPr>
        <w:tab/>
        <w:t>Conmutación a bordo</w:t>
      </w:r>
    </w:p>
    <w:p w:rsidR="00CB2890" w:rsidRPr="0015619A" w:rsidRDefault="00CB2890" w:rsidP="008F6448">
      <w:pPr>
        <w:rPr>
          <w:lang w:val="es-ES"/>
        </w:rPr>
      </w:pPr>
      <w:r w:rsidRPr="0015619A">
        <w:rPr>
          <w:lang w:val="es-ES"/>
        </w:rPr>
        <w:t>Los satélites cuentan generalmente con ciertos niveles de flexibilidad en cuanto a las posibilidades de conexión (conmutación a bordo) que van desde la conmutación de componentes de reserva a la interconexión variable de amplificadores de entrada, amplificadores de salida y haces de antena. La utilización de la conmutación a bordo depende de la entidad de explotación del satélite y puede estar en función del nivel de fiabilidad y de las relaciones entre los equipos de satélite afectados por los cambios.</w:t>
      </w:r>
    </w:p>
    <w:p w:rsidR="00CB2890" w:rsidRPr="0015619A" w:rsidRDefault="00CB2890" w:rsidP="0020509D">
      <w:pPr>
        <w:rPr>
          <w:lang w:val="es-ES"/>
        </w:rPr>
      </w:pPr>
      <w:r w:rsidRPr="0015619A">
        <w:rPr>
          <w:lang w:val="es-ES"/>
        </w:rPr>
        <w:t>La reconfiguración de las conexiones a bordo, cuando sea factible, puede ser útil para establecer el circuito deseado. Por ejemplo, en algunos satélites puede ser posible conectar la capacidad del enlace ascendente en la banda de 14 GHz con los circuitos del enlace d</w:t>
      </w:r>
      <w:r w:rsidR="009F6473">
        <w:rPr>
          <w:lang w:val="es-ES"/>
        </w:rPr>
        <w:t>escendente en la banda de</w:t>
      </w:r>
      <w:r w:rsidR="0020509D">
        <w:rPr>
          <w:lang w:val="es-ES"/>
        </w:rPr>
        <w:t> </w:t>
      </w:r>
      <w:r w:rsidR="009F6473">
        <w:rPr>
          <w:lang w:val="es-ES"/>
        </w:rPr>
        <w:t>4 GHz</w:t>
      </w:r>
      <w:r w:rsidRPr="0015619A">
        <w:rPr>
          <w:lang w:val="es-ES"/>
        </w:rPr>
        <w:t>.</w:t>
      </w:r>
    </w:p>
    <w:p w:rsidR="00CB2890" w:rsidRPr="0015619A" w:rsidRDefault="00CB2890" w:rsidP="008F6448">
      <w:pPr>
        <w:rPr>
          <w:lang w:val="es-ES"/>
        </w:rPr>
      </w:pPr>
      <w:r w:rsidRPr="0015619A">
        <w:rPr>
          <w:lang w:val="es-ES"/>
        </w:rPr>
        <w:t xml:space="preserve">La mejora de la flexibilidad en los satélites futuros puede beneficiar a las operaciones del </w:t>
      </w:r>
      <w:r w:rsidR="009F6473">
        <w:rPr>
          <w:lang w:val="es-ES"/>
        </w:rPr>
        <w:t>D</w:t>
      </w:r>
      <w:r w:rsidR="009F6473" w:rsidRPr="0015619A">
        <w:rPr>
          <w:lang w:val="es-ES"/>
        </w:rPr>
        <w:t>SNG</w:t>
      </w:r>
      <w:r w:rsidRPr="0015619A">
        <w:rPr>
          <w:lang w:val="es-ES"/>
        </w:rPr>
        <w:t>.</w:t>
      </w:r>
    </w:p>
    <w:p w:rsidR="00CB2890" w:rsidRPr="0015619A" w:rsidRDefault="00CB2890" w:rsidP="008F6448">
      <w:pPr>
        <w:pStyle w:val="Heading1"/>
        <w:rPr>
          <w:lang w:val="es-ES"/>
        </w:rPr>
      </w:pPr>
      <w:r w:rsidRPr="0015619A">
        <w:rPr>
          <w:lang w:val="es-ES"/>
        </w:rPr>
        <w:t>3</w:t>
      </w:r>
      <w:r w:rsidRPr="0015619A">
        <w:rPr>
          <w:lang w:val="es-ES"/>
        </w:rPr>
        <w:tab/>
        <w:t>Procedimientos de explotación uniformes necesarios para la autorización temporal del periodismo electrónico por satélite</w:t>
      </w:r>
    </w:p>
    <w:p w:rsidR="00CB2890" w:rsidRPr="0015619A" w:rsidRDefault="00CB2890" w:rsidP="008F6448">
      <w:pPr>
        <w:pStyle w:val="Heading2"/>
        <w:rPr>
          <w:lang w:val="es-ES"/>
        </w:rPr>
      </w:pPr>
      <w:r w:rsidRPr="0015619A">
        <w:rPr>
          <w:lang w:val="es-ES"/>
        </w:rPr>
        <w:t>3.1</w:t>
      </w:r>
      <w:r w:rsidRPr="0015619A">
        <w:rPr>
          <w:lang w:val="es-ES"/>
        </w:rPr>
        <w:tab/>
        <w:t>Introducción</w:t>
      </w:r>
      <w:bookmarkStart w:id="5" w:name="_GoBack"/>
      <w:bookmarkEnd w:id="5"/>
    </w:p>
    <w:p w:rsidR="00CB2890" w:rsidRPr="0015619A" w:rsidRDefault="00CB2890" w:rsidP="008F6448">
      <w:pPr>
        <w:rPr>
          <w:lang w:val="es-ES"/>
        </w:rPr>
      </w:pPr>
      <w:r w:rsidRPr="0015619A">
        <w:rPr>
          <w:lang w:val="es-ES"/>
        </w:rPr>
        <w:t xml:space="preserve">El </w:t>
      </w:r>
      <w:r w:rsidR="009F6473">
        <w:rPr>
          <w:lang w:val="es-ES"/>
        </w:rPr>
        <w:t>D</w:t>
      </w:r>
      <w:r w:rsidR="009F6473" w:rsidRPr="0015619A">
        <w:rPr>
          <w:lang w:val="es-ES"/>
        </w:rPr>
        <w:t xml:space="preserve">SNG </w:t>
      </w:r>
      <w:r w:rsidRPr="0015619A">
        <w:rPr>
          <w:lang w:val="es-ES"/>
        </w:rPr>
        <w:t xml:space="preserve">difiere, en varios sentidos, de la mayoría de las demás formas de transmisión por satélite. Por ejemplo, la necesidad de recurrir al </w:t>
      </w:r>
      <w:r w:rsidR="009F6473">
        <w:rPr>
          <w:lang w:val="es-ES"/>
        </w:rPr>
        <w:t>D</w:t>
      </w:r>
      <w:r w:rsidR="009F6473" w:rsidRPr="0015619A">
        <w:rPr>
          <w:lang w:val="es-ES"/>
        </w:rPr>
        <w:t xml:space="preserve">SNG </w:t>
      </w:r>
      <w:r w:rsidRPr="0015619A">
        <w:rPr>
          <w:lang w:val="es-ES"/>
        </w:rPr>
        <w:t xml:space="preserve">suele identificarse sólo días, o incluso horas, antes de la transmisión. Ésta suele durar unos pocos días o, a lo sumo, semanas. No obstante, la entidad de explotación del </w:t>
      </w:r>
      <w:r w:rsidR="009F6473">
        <w:rPr>
          <w:lang w:val="es-ES"/>
        </w:rPr>
        <w:t>D</w:t>
      </w:r>
      <w:r w:rsidR="009F6473" w:rsidRPr="0015619A">
        <w:rPr>
          <w:lang w:val="es-ES"/>
        </w:rPr>
        <w:t xml:space="preserve">SNG </w:t>
      </w:r>
      <w:r w:rsidRPr="0015619A">
        <w:rPr>
          <w:lang w:val="es-ES"/>
        </w:rPr>
        <w:t>debe acatar la reglamentación del país donde actúa, y ello a través de una serie de procedimientos cuyo propósito es garantizar la adecuada gestión y protección del segmento espacial y del espectro de radiofrecuencias.</w:t>
      </w:r>
    </w:p>
    <w:p w:rsidR="00CB2890" w:rsidRPr="0015619A" w:rsidRDefault="00CB2890" w:rsidP="008F6448">
      <w:pPr>
        <w:rPr>
          <w:lang w:val="es-ES"/>
        </w:rPr>
      </w:pPr>
      <w:r w:rsidRPr="0015619A">
        <w:rPr>
          <w:lang w:val="es-ES"/>
        </w:rPr>
        <w:t xml:space="preserve">El marco reglamentario en el que se inscribe la explotación del </w:t>
      </w:r>
      <w:r w:rsidR="009F6473">
        <w:rPr>
          <w:lang w:val="es-ES"/>
        </w:rPr>
        <w:t>D</w:t>
      </w:r>
      <w:r w:rsidR="009F6473" w:rsidRPr="0015619A">
        <w:rPr>
          <w:lang w:val="es-ES"/>
        </w:rPr>
        <w:t xml:space="preserve">SNG </w:t>
      </w:r>
      <w:r w:rsidRPr="0015619A">
        <w:rPr>
          <w:lang w:val="es-ES"/>
        </w:rPr>
        <w:t xml:space="preserve">tiene una doble repercusión sobre su eficacia operativa. Para poder cumplir su función la entidad de explotación del </w:t>
      </w:r>
      <w:r w:rsidR="009F6473">
        <w:rPr>
          <w:lang w:val="es-ES"/>
        </w:rPr>
        <w:t>D</w:t>
      </w:r>
      <w:r w:rsidR="009F6473" w:rsidRPr="0015619A">
        <w:rPr>
          <w:lang w:val="es-ES"/>
        </w:rPr>
        <w:t xml:space="preserve">SNG </w:t>
      </w:r>
      <w:r w:rsidRPr="0015619A">
        <w:rPr>
          <w:lang w:val="es-ES"/>
        </w:rPr>
        <w:t xml:space="preserve">debe poder concertar acuerdos temporales u obtener autorizaciones de manera oportuna y económica. Esa entidad necesita desde autorizaciones de frecuencias hasta la coordinación con la entidad explotadora del segmento espacial, determinar las tarifas y los costos administrativos y contar con las líneas de comunicación auxiliares necesarias. En la presente sección se describe la naturaleza de la información operacional necesaria para el empleo de los medios del </w:t>
      </w:r>
      <w:r w:rsidR="009F6473">
        <w:rPr>
          <w:lang w:val="es-ES"/>
        </w:rPr>
        <w:t>D</w:t>
      </w:r>
      <w:r w:rsidR="009F6473" w:rsidRPr="0015619A">
        <w:rPr>
          <w:lang w:val="es-ES"/>
        </w:rPr>
        <w:t>SNG</w:t>
      </w:r>
      <w:r w:rsidRPr="0015619A">
        <w:rPr>
          <w:lang w:val="es-ES"/>
        </w:rPr>
        <w:t>.</w:t>
      </w:r>
    </w:p>
    <w:p w:rsidR="00CB2890" w:rsidRPr="0015619A" w:rsidRDefault="00CB2890" w:rsidP="008F6448">
      <w:pPr>
        <w:rPr>
          <w:lang w:val="es-ES"/>
        </w:rPr>
      </w:pPr>
      <w:r w:rsidRPr="0015619A">
        <w:rPr>
          <w:lang w:val="es-ES"/>
        </w:rPr>
        <w:t xml:space="preserve">Puesto que las necesidades del </w:t>
      </w:r>
      <w:r w:rsidR="009F6473">
        <w:rPr>
          <w:lang w:val="es-ES"/>
        </w:rPr>
        <w:t>D</w:t>
      </w:r>
      <w:r w:rsidR="009F6473" w:rsidRPr="0015619A">
        <w:rPr>
          <w:lang w:val="es-ES"/>
        </w:rPr>
        <w:t xml:space="preserve">SNG </w:t>
      </w:r>
      <w:r w:rsidRPr="0015619A">
        <w:rPr>
          <w:lang w:val="es-ES"/>
        </w:rPr>
        <w:t>son ocasionales o temporales y que la rápida cobertura de acontecimientos no previstos constituye un servicio importante a nivel mundial, es fundamental una autorización sin demoras de la activación de estaciones terrenas portátiles.</w:t>
      </w:r>
    </w:p>
    <w:p w:rsidR="00CB2890" w:rsidRPr="0015619A" w:rsidRDefault="00CB2890" w:rsidP="008F6448">
      <w:pPr>
        <w:rPr>
          <w:lang w:val="es-ES"/>
        </w:rPr>
      </w:pPr>
      <w:r w:rsidRPr="0015619A">
        <w:rPr>
          <w:lang w:val="es-ES"/>
        </w:rPr>
        <w:lastRenderedPageBreak/>
        <w:t xml:space="preserve">La aplicación satisfactoria de la tecnología </w:t>
      </w:r>
      <w:r w:rsidR="009F6473">
        <w:rPr>
          <w:lang w:val="es-ES"/>
        </w:rPr>
        <w:t>D</w:t>
      </w:r>
      <w:r w:rsidR="009F6473" w:rsidRPr="0015619A">
        <w:rPr>
          <w:lang w:val="es-ES"/>
        </w:rPr>
        <w:t xml:space="preserve">SNG </w:t>
      </w:r>
      <w:r w:rsidRPr="0015619A">
        <w:rPr>
          <w:lang w:val="es-ES"/>
        </w:rPr>
        <w:t>requiere un acuerdo uniforme sobre métodos técnicos normalizados y procedimientos de explotación reconocidos. Deben adoptarse uniformemente las frecuencias y el número de los canales sonoros de los programas, así como el número de canales auxiliares, de datos y de coordinación.</w:t>
      </w:r>
    </w:p>
    <w:p w:rsidR="00CB2890" w:rsidRPr="0015619A" w:rsidRDefault="00CB2890" w:rsidP="008F6448">
      <w:pPr>
        <w:pStyle w:val="Heading2"/>
        <w:rPr>
          <w:lang w:val="es-ES"/>
        </w:rPr>
      </w:pPr>
      <w:r w:rsidRPr="0015619A">
        <w:rPr>
          <w:lang w:val="es-ES"/>
        </w:rPr>
        <w:t>3.2</w:t>
      </w:r>
      <w:r w:rsidRPr="0015619A">
        <w:rPr>
          <w:lang w:val="es-ES"/>
        </w:rPr>
        <w:tab/>
        <w:t>Aprobación de la estación terrena</w:t>
      </w:r>
    </w:p>
    <w:p w:rsidR="00CB2890" w:rsidRPr="0015619A" w:rsidRDefault="00CB2890" w:rsidP="008F6448">
      <w:pPr>
        <w:rPr>
          <w:lang w:val="es-ES"/>
        </w:rPr>
      </w:pPr>
      <w:r w:rsidRPr="0015619A">
        <w:rPr>
          <w:lang w:val="es-ES"/>
        </w:rPr>
        <w:t xml:space="preserve">Se requiere la aprobación de la estación terrena para que el órgano responsable pueda garantizar la compatibilidad del terminal </w:t>
      </w:r>
      <w:r w:rsidR="009F6473">
        <w:rPr>
          <w:lang w:val="es-ES"/>
        </w:rPr>
        <w:t>D</w:t>
      </w:r>
      <w:r w:rsidR="009F6473" w:rsidRPr="0015619A">
        <w:rPr>
          <w:lang w:val="es-ES"/>
        </w:rPr>
        <w:t xml:space="preserve">SNG </w:t>
      </w:r>
      <w:r w:rsidRPr="0015619A">
        <w:rPr>
          <w:lang w:val="es-ES"/>
        </w:rPr>
        <w:t xml:space="preserve">con el segmento espacial. Con tal fin, se pide a las administraciones que estudien procedimientos que permitan la puesta en servicio más rápida posible de los terminales </w:t>
      </w:r>
      <w:r w:rsidR="009F6473">
        <w:rPr>
          <w:lang w:val="es-ES"/>
        </w:rPr>
        <w:t>D</w:t>
      </w:r>
      <w:r w:rsidR="009F6473" w:rsidRPr="0015619A">
        <w:rPr>
          <w:lang w:val="es-ES"/>
        </w:rPr>
        <w:t>SNG</w:t>
      </w:r>
      <w:r w:rsidRPr="0015619A">
        <w:rPr>
          <w:lang w:val="es-ES"/>
        </w:rPr>
        <w:t xml:space="preserve">. Se las insta, también, a investigar la posibilidad de que se acepten, sobre una base uniforme, los terminales </w:t>
      </w:r>
      <w:r w:rsidR="009F6473">
        <w:rPr>
          <w:lang w:val="es-ES"/>
        </w:rPr>
        <w:t>D</w:t>
      </w:r>
      <w:r w:rsidR="009F6473" w:rsidRPr="0015619A">
        <w:rPr>
          <w:lang w:val="es-ES"/>
        </w:rPr>
        <w:t xml:space="preserve">SNG </w:t>
      </w:r>
      <w:r w:rsidRPr="0015619A">
        <w:rPr>
          <w:lang w:val="es-ES"/>
        </w:rPr>
        <w:t xml:space="preserve">cuya calidad técnica haya obtenido la aprobación de las entidades de explotación del segmento espacial y, también, a completar lo más rápidamente posible los trámites administrativos pertinentes, en estrecha cooperación con las entidades de explotación del </w:t>
      </w:r>
      <w:r w:rsidR="009F6473">
        <w:rPr>
          <w:lang w:val="es-ES"/>
        </w:rPr>
        <w:t>D</w:t>
      </w:r>
      <w:r w:rsidR="009F6473" w:rsidRPr="0015619A">
        <w:rPr>
          <w:lang w:val="es-ES"/>
        </w:rPr>
        <w:t>SNG</w:t>
      </w:r>
      <w:r w:rsidRPr="0015619A">
        <w:rPr>
          <w:lang w:val="es-ES"/>
        </w:rPr>
        <w:t>. Debe prepararse y entregarse a la administración un Informe técnico en el que se indiquen las características de calidad comprobadas. Deben documentarse, por lo menos, las siguientes características técnicas:</w:t>
      </w:r>
    </w:p>
    <w:p w:rsidR="00CB2890" w:rsidRPr="0015619A" w:rsidRDefault="00CB2890" w:rsidP="008F6448">
      <w:pPr>
        <w:pStyle w:val="enumlev1"/>
        <w:rPr>
          <w:lang w:val="es-ES"/>
        </w:rPr>
      </w:pPr>
      <w:r w:rsidRPr="0015619A">
        <w:rPr>
          <w:lang w:val="es-ES"/>
        </w:rPr>
        <w:t>–</w:t>
      </w:r>
      <w:r w:rsidRPr="0015619A">
        <w:rPr>
          <w:lang w:val="es-ES"/>
        </w:rPr>
        <w:tab/>
        <w:t>ganancia de transmisión, como una función de la frecuencia</w:t>
      </w:r>
      <w:r w:rsidR="006727D5" w:rsidRPr="0015619A">
        <w:rPr>
          <w:lang w:val="es-ES"/>
        </w:rPr>
        <w:t>;</w:t>
      </w:r>
    </w:p>
    <w:p w:rsidR="00CB2890" w:rsidRPr="0015619A" w:rsidRDefault="00CB2890" w:rsidP="008F6448">
      <w:pPr>
        <w:pStyle w:val="enumlev1"/>
        <w:rPr>
          <w:lang w:val="es-ES"/>
        </w:rPr>
      </w:pPr>
      <w:r w:rsidRPr="0015619A">
        <w:rPr>
          <w:lang w:val="es-ES"/>
        </w:rPr>
        <w:t>–</w:t>
      </w:r>
      <w:r w:rsidRPr="0015619A">
        <w:rPr>
          <w:lang w:val="es-ES"/>
        </w:rPr>
        <w:tab/>
        <w:t>ganancia de transmisión fuera del eje</w:t>
      </w:r>
      <w:r w:rsidR="006727D5" w:rsidRPr="0015619A">
        <w:rPr>
          <w:lang w:val="es-ES"/>
        </w:rPr>
        <w:t>;</w:t>
      </w:r>
    </w:p>
    <w:p w:rsidR="00CB2890" w:rsidRPr="0015619A" w:rsidRDefault="00CB2890" w:rsidP="008F6448">
      <w:pPr>
        <w:pStyle w:val="enumlev1"/>
        <w:rPr>
          <w:lang w:val="es-ES"/>
        </w:rPr>
      </w:pPr>
      <w:r w:rsidRPr="0015619A">
        <w:rPr>
          <w:lang w:val="es-ES"/>
        </w:rPr>
        <w:t>–</w:t>
      </w:r>
      <w:r w:rsidRPr="0015619A">
        <w:rPr>
          <w:lang w:val="es-ES"/>
        </w:rPr>
        <w:tab/>
        <w:t>p.i.r.e. del haz principal de transmisión</w:t>
      </w:r>
      <w:r w:rsidR="006727D5" w:rsidRPr="0015619A">
        <w:rPr>
          <w:lang w:val="es-ES"/>
        </w:rPr>
        <w:t>;</w:t>
      </w:r>
    </w:p>
    <w:p w:rsidR="00CB2890" w:rsidRPr="0015619A" w:rsidRDefault="00CB2890" w:rsidP="008F6448">
      <w:pPr>
        <w:pStyle w:val="enumlev1"/>
        <w:rPr>
          <w:lang w:val="es-ES"/>
        </w:rPr>
      </w:pPr>
      <w:r w:rsidRPr="0015619A">
        <w:rPr>
          <w:lang w:val="es-ES"/>
        </w:rPr>
        <w:t>–</w:t>
      </w:r>
      <w:r w:rsidRPr="0015619A">
        <w:rPr>
          <w:lang w:val="es-ES"/>
        </w:rPr>
        <w:tab/>
        <w:t>anchura de banda y polarización de transmisión</w:t>
      </w:r>
      <w:r w:rsidR="006727D5" w:rsidRPr="0015619A">
        <w:rPr>
          <w:lang w:val="es-ES"/>
        </w:rPr>
        <w:t>;</w:t>
      </w:r>
    </w:p>
    <w:p w:rsidR="00CB2890" w:rsidRPr="0015619A" w:rsidRDefault="00CB2890" w:rsidP="0020509D">
      <w:pPr>
        <w:pStyle w:val="enumlev1"/>
        <w:rPr>
          <w:lang w:val="es-ES"/>
        </w:rPr>
      </w:pPr>
      <w:r w:rsidRPr="0015619A">
        <w:rPr>
          <w:lang w:val="es-ES"/>
        </w:rPr>
        <w:t>–</w:t>
      </w:r>
      <w:r w:rsidRPr="0015619A">
        <w:rPr>
          <w:lang w:val="es-ES"/>
        </w:rPr>
        <w:tab/>
        <w:t>densidad espectral del haz principal de transmisión en los 4 kHz más desfavorables,</w:t>
      </w:r>
      <w:r w:rsidR="006727D5" w:rsidRPr="0015619A">
        <w:rPr>
          <w:lang w:val="es-ES"/>
        </w:rPr>
        <w:t xml:space="preserve"> o</w:t>
      </w:r>
      <w:r w:rsidR="0020509D">
        <w:rPr>
          <w:lang w:val="es-ES"/>
        </w:rPr>
        <w:t> </w:t>
      </w:r>
      <w:r w:rsidR="006727D5" w:rsidRPr="0015619A">
        <w:rPr>
          <w:lang w:val="es-ES"/>
        </w:rPr>
        <w:t>1</w:t>
      </w:r>
      <w:r w:rsidR="0020509D">
        <w:rPr>
          <w:lang w:val="es-ES"/>
        </w:rPr>
        <w:t> </w:t>
      </w:r>
      <w:r w:rsidR="006727D5" w:rsidRPr="0015619A">
        <w:rPr>
          <w:lang w:val="es-ES"/>
        </w:rPr>
        <w:t xml:space="preserve">MHz, </w:t>
      </w:r>
      <w:r w:rsidR="009F6473">
        <w:rPr>
          <w:lang w:val="es-ES"/>
        </w:rPr>
        <w:t>según corresponda</w:t>
      </w:r>
      <w:r w:rsidR="006727D5" w:rsidRPr="0015619A">
        <w:rPr>
          <w:lang w:val="es-ES"/>
        </w:rPr>
        <w:t xml:space="preserve"> (</w:t>
      </w:r>
      <w:r w:rsidR="009F6473">
        <w:rPr>
          <w:lang w:val="es-ES"/>
        </w:rPr>
        <w:t>véase la</w:t>
      </w:r>
      <w:r w:rsidR="006727D5" w:rsidRPr="0015619A">
        <w:rPr>
          <w:lang w:val="es-ES"/>
        </w:rPr>
        <w:t xml:space="preserve"> Recom</w:t>
      </w:r>
      <w:r w:rsidR="009F6473">
        <w:rPr>
          <w:lang w:val="es-ES"/>
        </w:rPr>
        <w:t xml:space="preserve">endación UIT-R </w:t>
      </w:r>
      <w:r w:rsidR="006727D5" w:rsidRPr="0015619A">
        <w:rPr>
          <w:lang w:val="es-ES"/>
        </w:rPr>
        <w:t>SF.675);</w:t>
      </w:r>
    </w:p>
    <w:p w:rsidR="00CB2890" w:rsidRPr="0015619A" w:rsidRDefault="00CB2890" w:rsidP="008F6448">
      <w:pPr>
        <w:pStyle w:val="enumlev1"/>
        <w:rPr>
          <w:lang w:val="es-ES"/>
        </w:rPr>
      </w:pPr>
      <w:r w:rsidRPr="0015619A">
        <w:rPr>
          <w:lang w:val="es-ES"/>
        </w:rPr>
        <w:t>–</w:t>
      </w:r>
      <w:r w:rsidRPr="0015619A">
        <w:rPr>
          <w:lang w:val="es-ES"/>
        </w:rPr>
        <w:tab/>
        <w:t>densidad espectral fuera del haz de transmisión en los 4 kHz más desfavorables,</w:t>
      </w:r>
      <w:r w:rsidR="006727D5" w:rsidRPr="0015619A">
        <w:rPr>
          <w:lang w:val="es-ES"/>
        </w:rPr>
        <w:t xml:space="preserve"> </w:t>
      </w:r>
      <w:r w:rsidR="009F6473" w:rsidRPr="0015619A">
        <w:rPr>
          <w:lang w:val="es-ES"/>
        </w:rPr>
        <w:t xml:space="preserve">o 1 MHz, </w:t>
      </w:r>
      <w:r w:rsidR="009F6473">
        <w:rPr>
          <w:lang w:val="es-ES"/>
        </w:rPr>
        <w:t>según corresponda</w:t>
      </w:r>
      <w:r w:rsidR="009F6473" w:rsidRPr="0015619A">
        <w:rPr>
          <w:lang w:val="es-ES"/>
        </w:rPr>
        <w:t xml:space="preserve"> (</w:t>
      </w:r>
      <w:r w:rsidR="009F6473">
        <w:rPr>
          <w:lang w:val="es-ES"/>
        </w:rPr>
        <w:t>véase la</w:t>
      </w:r>
      <w:r w:rsidR="009F6473" w:rsidRPr="0015619A">
        <w:rPr>
          <w:lang w:val="es-ES"/>
        </w:rPr>
        <w:t xml:space="preserve"> Recom</w:t>
      </w:r>
      <w:r w:rsidR="009F6473">
        <w:rPr>
          <w:lang w:val="es-ES"/>
        </w:rPr>
        <w:t xml:space="preserve">endación UIT-R </w:t>
      </w:r>
      <w:r w:rsidR="009F6473" w:rsidRPr="0015619A">
        <w:rPr>
          <w:lang w:val="es-ES"/>
        </w:rPr>
        <w:t>SF.675);</w:t>
      </w:r>
    </w:p>
    <w:p w:rsidR="00CB2890" w:rsidRPr="0015619A" w:rsidRDefault="00CB2890" w:rsidP="008F6448">
      <w:pPr>
        <w:pStyle w:val="enumlev1"/>
        <w:rPr>
          <w:lang w:val="es-ES"/>
        </w:rPr>
      </w:pPr>
      <w:r w:rsidRPr="0015619A">
        <w:rPr>
          <w:lang w:val="es-ES"/>
        </w:rPr>
        <w:t>–</w:t>
      </w:r>
      <w:r w:rsidRPr="0015619A">
        <w:rPr>
          <w:lang w:val="es-ES"/>
        </w:rPr>
        <w:tab/>
        <w:t>dispersión de energía máxima (cuando proceda)</w:t>
      </w:r>
      <w:r w:rsidR="006727D5" w:rsidRPr="0015619A">
        <w:rPr>
          <w:lang w:val="es-ES"/>
        </w:rPr>
        <w:t>;</w:t>
      </w:r>
    </w:p>
    <w:p w:rsidR="00CB2890" w:rsidRPr="0015619A" w:rsidRDefault="00CB2890" w:rsidP="008F6448">
      <w:pPr>
        <w:pStyle w:val="enumlev1"/>
        <w:rPr>
          <w:lang w:val="es-ES"/>
        </w:rPr>
      </w:pPr>
      <w:r w:rsidRPr="0015619A">
        <w:rPr>
          <w:lang w:val="es-ES"/>
        </w:rPr>
        <w:t>–</w:t>
      </w:r>
      <w:r w:rsidRPr="0015619A">
        <w:rPr>
          <w:lang w:val="es-ES"/>
        </w:rPr>
        <w:tab/>
      </w:r>
      <w:r w:rsidRPr="0015619A">
        <w:rPr>
          <w:i/>
          <w:iCs/>
          <w:lang w:val="es-ES"/>
        </w:rPr>
        <w:t>G</w:t>
      </w:r>
      <w:r w:rsidRPr="0015619A">
        <w:rPr>
          <w:iCs/>
          <w:lang w:val="es-ES"/>
        </w:rPr>
        <w:t>/</w:t>
      </w:r>
      <w:r w:rsidRPr="0015619A">
        <w:rPr>
          <w:i/>
          <w:iCs/>
          <w:lang w:val="es-ES"/>
        </w:rPr>
        <w:t>T</w:t>
      </w:r>
      <w:r w:rsidRPr="0015619A">
        <w:rPr>
          <w:lang w:val="es-ES"/>
        </w:rPr>
        <w:t xml:space="preserve"> de recepción, en función de la frecuencia</w:t>
      </w:r>
      <w:r w:rsidR="006727D5" w:rsidRPr="0015619A">
        <w:rPr>
          <w:lang w:val="es-ES"/>
        </w:rPr>
        <w:t>;</w:t>
      </w:r>
    </w:p>
    <w:p w:rsidR="00CB2890" w:rsidRPr="0015619A" w:rsidRDefault="00CB2890" w:rsidP="008F6448">
      <w:pPr>
        <w:pStyle w:val="enumlev1"/>
        <w:rPr>
          <w:lang w:val="es-ES"/>
        </w:rPr>
      </w:pPr>
      <w:r w:rsidRPr="0015619A">
        <w:rPr>
          <w:lang w:val="es-ES"/>
        </w:rPr>
        <w:t>–</w:t>
      </w:r>
      <w:r w:rsidRPr="0015619A">
        <w:rPr>
          <w:lang w:val="es-ES"/>
        </w:rPr>
        <w:tab/>
        <w:t>aislamiento de polarización cruzada</w:t>
      </w:r>
      <w:r w:rsidR="006727D5" w:rsidRPr="0015619A">
        <w:rPr>
          <w:lang w:val="es-ES"/>
        </w:rPr>
        <w:t>;</w:t>
      </w:r>
    </w:p>
    <w:p w:rsidR="00CB2890" w:rsidRPr="0015619A" w:rsidRDefault="00CB2890" w:rsidP="008F6448">
      <w:pPr>
        <w:pStyle w:val="enumlev1"/>
        <w:rPr>
          <w:lang w:val="es-ES"/>
        </w:rPr>
      </w:pPr>
      <w:r w:rsidRPr="0015619A">
        <w:rPr>
          <w:lang w:val="es-ES"/>
        </w:rPr>
        <w:t>–</w:t>
      </w:r>
      <w:r w:rsidRPr="0015619A">
        <w:rPr>
          <w:lang w:val="es-ES"/>
        </w:rPr>
        <w:tab/>
        <w:t>precisión de puntería</w:t>
      </w:r>
      <w:r w:rsidR="006727D5" w:rsidRPr="0015619A">
        <w:rPr>
          <w:lang w:val="es-ES"/>
        </w:rPr>
        <w:t>;</w:t>
      </w:r>
    </w:p>
    <w:p w:rsidR="00CB2890" w:rsidRPr="0015619A" w:rsidRDefault="00CB2890" w:rsidP="008F6448">
      <w:pPr>
        <w:pStyle w:val="enumlev1"/>
        <w:rPr>
          <w:lang w:val="es-ES"/>
        </w:rPr>
      </w:pPr>
      <w:r w:rsidRPr="0015619A">
        <w:rPr>
          <w:lang w:val="es-ES"/>
        </w:rPr>
        <w:t>–</w:t>
      </w:r>
      <w:r w:rsidRPr="0015619A">
        <w:rPr>
          <w:lang w:val="es-ES"/>
        </w:rPr>
        <w:tab/>
        <w:t>agilidad de frecuencia de transmisión y de recepción dentro de las bandas de explotación</w:t>
      </w:r>
      <w:r w:rsidR="006727D5" w:rsidRPr="0015619A">
        <w:rPr>
          <w:lang w:val="es-ES"/>
        </w:rPr>
        <w:t>;</w:t>
      </w:r>
    </w:p>
    <w:p w:rsidR="00CB2890" w:rsidRPr="0015619A" w:rsidRDefault="00CB2890" w:rsidP="008F6448">
      <w:pPr>
        <w:pStyle w:val="enumlev1"/>
        <w:rPr>
          <w:lang w:val="es-ES"/>
        </w:rPr>
      </w:pPr>
      <w:r w:rsidRPr="0015619A">
        <w:rPr>
          <w:lang w:val="es-ES"/>
        </w:rPr>
        <w:t>–</w:t>
      </w:r>
      <w:r w:rsidRPr="0015619A">
        <w:rPr>
          <w:lang w:val="es-ES"/>
        </w:rPr>
        <w:tab/>
        <w:t>emisiones no esenciales (en banda y fuera de banda)</w:t>
      </w:r>
      <w:r w:rsidR="006727D5" w:rsidRPr="0015619A">
        <w:rPr>
          <w:lang w:val="es-ES"/>
        </w:rPr>
        <w:t>;</w:t>
      </w:r>
    </w:p>
    <w:p w:rsidR="00CB2890" w:rsidRPr="0015619A" w:rsidRDefault="00CB2890" w:rsidP="008F6448">
      <w:pPr>
        <w:pStyle w:val="enumlev1"/>
        <w:rPr>
          <w:lang w:val="es-ES"/>
        </w:rPr>
      </w:pPr>
      <w:r w:rsidRPr="0015619A">
        <w:rPr>
          <w:lang w:val="es-ES"/>
        </w:rPr>
        <w:t>–</w:t>
      </w:r>
      <w:r w:rsidRPr="0015619A">
        <w:rPr>
          <w:lang w:val="es-ES"/>
        </w:rPr>
        <w:tab/>
        <w:t>número de modelo del fabricante, características de modulación y estabilidad de frecuencia</w:t>
      </w:r>
      <w:r w:rsidR="006727D5" w:rsidRPr="0015619A">
        <w:rPr>
          <w:lang w:val="es-ES"/>
        </w:rPr>
        <w:t>;</w:t>
      </w:r>
    </w:p>
    <w:p w:rsidR="00CB2890" w:rsidRPr="0015619A" w:rsidRDefault="00CB2890" w:rsidP="008F6448">
      <w:pPr>
        <w:pStyle w:val="enumlev1"/>
        <w:rPr>
          <w:lang w:val="es-ES"/>
        </w:rPr>
      </w:pPr>
      <w:r w:rsidRPr="0015619A">
        <w:rPr>
          <w:lang w:val="es-ES"/>
        </w:rPr>
        <w:t>–</w:t>
      </w:r>
      <w:r w:rsidRPr="0015619A">
        <w:rPr>
          <w:lang w:val="es-ES"/>
        </w:rPr>
        <w:tab/>
        <w:t>cualquier otra característica técnica que forme parte de una norma SNG utilizada en el país de que se trate.</w:t>
      </w:r>
    </w:p>
    <w:p w:rsidR="00CB2890" w:rsidRPr="0015619A" w:rsidRDefault="00CB2890" w:rsidP="008F6448">
      <w:pPr>
        <w:pStyle w:val="Heading2"/>
        <w:rPr>
          <w:lang w:val="es-ES"/>
        </w:rPr>
      </w:pPr>
      <w:r w:rsidRPr="0015619A">
        <w:rPr>
          <w:lang w:val="es-ES"/>
        </w:rPr>
        <w:t>3.3</w:t>
      </w:r>
      <w:r w:rsidRPr="0015619A">
        <w:rPr>
          <w:lang w:val="es-ES"/>
        </w:rPr>
        <w:tab/>
        <w:t>Asignación y coordinación de frecuencias</w:t>
      </w:r>
    </w:p>
    <w:p w:rsidR="00CB2890" w:rsidRPr="0015619A" w:rsidRDefault="00CB2890" w:rsidP="008F6448">
      <w:pPr>
        <w:rPr>
          <w:lang w:val="es-ES"/>
        </w:rPr>
      </w:pPr>
      <w:r w:rsidRPr="0015619A">
        <w:rPr>
          <w:lang w:val="es-ES"/>
        </w:rPr>
        <w:t xml:space="preserve">Los procedimientos de coordinación de frecuencias derivan de reglamentaciones internacionales y nacionales. Para poder evaluar la admisibilidad de un terminal </w:t>
      </w:r>
      <w:r w:rsidR="009F6473">
        <w:rPr>
          <w:lang w:val="es-ES"/>
        </w:rPr>
        <w:t>D</w:t>
      </w:r>
      <w:r w:rsidR="009F6473" w:rsidRPr="0015619A">
        <w:rPr>
          <w:lang w:val="es-ES"/>
        </w:rPr>
        <w:t xml:space="preserve">SNG </w:t>
      </w:r>
      <w:r w:rsidRPr="0015619A">
        <w:rPr>
          <w:lang w:val="es-ES"/>
        </w:rPr>
        <w:t xml:space="preserve">en este sentido, el órgano responsable puede exigir la información mencionada en el § 3.2, además de detalles sobre la ubicación geográfica del terminal </w:t>
      </w:r>
      <w:r w:rsidR="009F6473">
        <w:rPr>
          <w:lang w:val="es-ES"/>
        </w:rPr>
        <w:t>D</w:t>
      </w:r>
      <w:r w:rsidR="009F6473" w:rsidRPr="0015619A">
        <w:rPr>
          <w:lang w:val="es-ES"/>
        </w:rPr>
        <w:t xml:space="preserve">SNG </w:t>
      </w:r>
      <w:r w:rsidRPr="0015619A">
        <w:rPr>
          <w:lang w:val="es-ES"/>
        </w:rPr>
        <w:t>y las horas de transmisión previstas.</w:t>
      </w:r>
    </w:p>
    <w:p w:rsidR="00CB2890" w:rsidRPr="0015619A" w:rsidRDefault="00CB2890" w:rsidP="0020509D">
      <w:pPr>
        <w:rPr>
          <w:lang w:val="es-ES"/>
        </w:rPr>
      </w:pPr>
      <w:r w:rsidRPr="0015619A">
        <w:rPr>
          <w:lang w:val="es-ES"/>
        </w:rPr>
        <w:t xml:space="preserve">La entidad de explotación del </w:t>
      </w:r>
      <w:r w:rsidR="009F6473">
        <w:rPr>
          <w:lang w:val="es-ES"/>
        </w:rPr>
        <w:t>D</w:t>
      </w:r>
      <w:r w:rsidR="009F6473" w:rsidRPr="0015619A">
        <w:rPr>
          <w:lang w:val="es-ES"/>
        </w:rPr>
        <w:t xml:space="preserve">SNG </w:t>
      </w:r>
      <w:r w:rsidRPr="0015619A">
        <w:rPr>
          <w:lang w:val="es-ES"/>
        </w:rPr>
        <w:t xml:space="preserve">necesita recibir oportunamente la autorización reglamentaria de la administración del país en que utilizará el terminal </w:t>
      </w:r>
      <w:r w:rsidR="009F6473">
        <w:rPr>
          <w:lang w:val="es-ES"/>
        </w:rPr>
        <w:t>D</w:t>
      </w:r>
      <w:r w:rsidR="009F6473" w:rsidRPr="0015619A">
        <w:rPr>
          <w:lang w:val="es-ES"/>
        </w:rPr>
        <w:t>SNG</w:t>
      </w:r>
      <w:r w:rsidRPr="0015619A">
        <w:rPr>
          <w:lang w:val="es-ES"/>
        </w:rPr>
        <w:t xml:space="preserve">. La coordinación entre el terminal </w:t>
      </w:r>
      <w:r w:rsidR="009F6473">
        <w:rPr>
          <w:lang w:val="es-ES"/>
        </w:rPr>
        <w:t>D</w:t>
      </w:r>
      <w:r w:rsidR="009F6473" w:rsidRPr="0015619A">
        <w:rPr>
          <w:lang w:val="es-ES"/>
        </w:rPr>
        <w:t xml:space="preserve">SNG </w:t>
      </w:r>
      <w:r w:rsidRPr="0015619A">
        <w:rPr>
          <w:lang w:val="es-ES"/>
        </w:rPr>
        <w:t xml:space="preserve">propuesto y los servicios radioeléctricos terrenales existentes constituye un requisito previo para controlar las interferencias radioeléctricas y permitir la explotación de ese terminal. La coordinación de frecuencias para los terminales </w:t>
      </w:r>
      <w:r w:rsidR="009F6473">
        <w:rPr>
          <w:lang w:val="es-ES"/>
        </w:rPr>
        <w:t>D</w:t>
      </w:r>
      <w:r w:rsidR="009F6473" w:rsidRPr="0015619A">
        <w:rPr>
          <w:lang w:val="es-ES"/>
        </w:rPr>
        <w:t xml:space="preserve">SNG </w:t>
      </w:r>
      <w:r w:rsidRPr="0015619A">
        <w:rPr>
          <w:lang w:val="es-ES"/>
        </w:rPr>
        <w:t xml:space="preserve">resulta más difícil en la banda de 6 GHz, puesto que </w:t>
      </w:r>
      <w:r w:rsidR="009F6473">
        <w:rPr>
          <w:lang w:val="es-ES"/>
        </w:rPr>
        <w:t>algunas bandas pueden estar</w:t>
      </w:r>
      <w:r w:rsidRPr="0015619A">
        <w:rPr>
          <w:lang w:val="es-ES"/>
        </w:rPr>
        <w:t xml:space="preserve"> compartida</w:t>
      </w:r>
      <w:r w:rsidR="009F6473">
        <w:rPr>
          <w:lang w:val="es-ES"/>
        </w:rPr>
        <w:t>s</w:t>
      </w:r>
      <w:r w:rsidRPr="0015619A">
        <w:rPr>
          <w:lang w:val="es-ES"/>
        </w:rPr>
        <w:t xml:space="preserve"> entre los servicios fijos por satélite y terrenal y existen muchos enlaces terrenales fijos. Conviene utilizar bandas de frecuencias más altas (por </w:t>
      </w:r>
      <w:r w:rsidRPr="0015619A">
        <w:rPr>
          <w:lang w:val="es-ES"/>
        </w:rPr>
        <w:lastRenderedPageBreak/>
        <w:t xml:space="preserve">ejemplo, 14 y 30 GHz) para facilitar el transporte y la coordinación. El hecho de que una parte de </w:t>
      </w:r>
      <w:r w:rsidR="009F6473">
        <w:rPr>
          <w:lang w:val="es-ES"/>
        </w:rPr>
        <w:t>algunas</w:t>
      </w:r>
      <w:r w:rsidRPr="0015619A">
        <w:rPr>
          <w:lang w:val="es-ES"/>
        </w:rPr>
        <w:t xml:space="preserve"> banda</w:t>
      </w:r>
      <w:r w:rsidR="009F6473">
        <w:rPr>
          <w:lang w:val="es-ES"/>
        </w:rPr>
        <w:t>s, por ejemplo la banda</w:t>
      </w:r>
      <w:r w:rsidRPr="0015619A">
        <w:rPr>
          <w:lang w:val="es-ES"/>
        </w:rPr>
        <w:t xml:space="preserve"> de 14 GHz</w:t>
      </w:r>
      <w:r w:rsidR="009F6473">
        <w:rPr>
          <w:lang w:val="es-ES"/>
        </w:rPr>
        <w:t>,</w:t>
      </w:r>
      <w:r w:rsidRPr="0015619A">
        <w:rPr>
          <w:lang w:val="es-ES"/>
        </w:rPr>
        <w:t xml:space="preserve"> no se</w:t>
      </w:r>
      <w:r w:rsidR="009F6473">
        <w:rPr>
          <w:lang w:val="es-ES"/>
        </w:rPr>
        <w:t>an</w:t>
      </w:r>
      <w:r w:rsidRPr="0015619A">
        <w:rPr>
          <w:lang w:val="es-ES"/>
        </w:rPr>
        <w:t xml:space="preserve"> compart</w:t>
      </w:r>
      <w:r w:rsidR="009F6473">
        <w:rPr>
          <w:lang w:val="es-ES"/>
        </w:rPr>
        <w:t>idas</w:t>
      </w:r>
      <w:r w:rsidRPr="0015619A">
        <w:rPr>
          <w:lang w:val="es-ES"/>
        </w:rPr>
        <w:t xml:space="preserve"> con el servicio fijo que utiliza sistemas de relevadores radioeléctricos facilita considerablemente la coordinación del </w:t>
      </w:r>
      <w:r w:rsidR="009F6473">
        <w:rPr>
          <w:lang w:val="es-ES"/>
        </w:rPr>
        <w:t>D</w:t>
      </w:r>
      <w:r w:rsidR="009F6473" w:rsidRPr="0015619A">
        <w:rPr>
          <w:lang w:val="es-ES"/>
        </w:rPr>
        <w:t>SNG</w:t>
      </w:r>
      <w:r w:rsidRPr="0015619A">
        <w:rPr>
          <w:lang w:val="es-ES"/>
        </w:rPr>
        <w:t xml:space="preserve">. En algunos países, no obstante, </w:t>
      </w:r>
      <w:r w:rsidR="008C35CA">
        <w:rPr>
          <w:lang w:val="es-ES"/>
        </w:rPr>
        <w:t>otras bandas como la</w:t>
      </w:r>
      <w:r w:rsidRPr="0015619A">
        <w:rPr>
          <w:lang w:val="es-ES"/>
        </w:rPr>
        <w:t xml:space="preserve"> de 14 GHz se utiliza</w:t>
      </w:r>
      <w:r w:rsidR="008C35CA">
        <w:rPr>
          <w:lang w:val="es-ES"/>
        </w:rPr>
        <w:t>n</w:t>
      </w:r>
      <w:r w:rsidRPr="0015619A">
        <w:rPr>
          <w:lang w:val="es-ES"/>
        </w:rPr>
        <w:t xml:space="preserve"> en el servicio fijo y otros servicios terrenales, por lo que es necesaria la coordinación. </w:t>
      </w:r>
      <w:r w:rsidR="008C35CA">
        <w:rPr>
          <w:lang w:val="es-ES"/>
        </w:rPr>
        <w:t>Algunas</w:t>
      </w:r>
      <w:r w:rsidRPr="0015619A">
        <w:rPr>
          <w:lang w:val="es-ES"/>
        </w:rPr>
        <w:t xml:space="preserve"> banda</w:t>
      </w:r>
      <w:r w:rsidR="008C35CA">
        <w:rPr>
          <w:lang w:val="es-ES"/>
        </w:rPr>
        <w:t>s</w:t>
      </w:r>
      <w:r w:rsidRPr="0015619A">
        <w:rPr>
          <w:lang w:val="es-ES"/>
        </w:rPr>
        <w:t xml:space="preserve"> de frecuencias comprendida está</w:t>
      </w:r>
      <w:r w:rsidR="008C35CA">
        <w:rPr>
          <w:lang w:val="es-ES"/>
        </w:rPr>
        <w:t>n</w:t>
      </w:r>
      <w:r w:rsidRPr="0015619A">
        <w:rPr>
          <w:lang w:val="es-ES"/>
        </w:rPr>
        <w:t xml:space="preserve"> atribuida</w:t>
      </w:r>
      <w:r w:rsidR="008C35CA">
        <w:rPr>
          <w:lang w:val="es-ES"/>
        </w:rPr>
        <w:t>s</w:t>
      </w:r>
      <w:r w:rsidRPr="0015619A">
        <w:rPr>
          <w:lang w:val="es-ES"/>
        </w:rPr>
        <w:t xml:space="preserve"> con carácter mundial al servicio fijo por satélite (Tierra</w:t>
      </w:r>
      <w:r w:rsidR="0020509D">
        <w:rPr>
          <w:lang w:val="es-ES"/>
        </w:rPr>
        <w:noBreakHyphen/>
      </w:r>
      <w:r w:rsidRPr="0015619A">
        <w:rPr>
          <w:lang w:val="es-ES"/>
        </w:rPr>
        <w:t>espacio) a título primario; esta</w:t>
      </w:r>
      <w:r w:rsidR="008C35CA">
        <w:rPr>
          <w:lang w:val="es-ES"/>
        </w:rPr>
        <w:t>s</w:t>
      </w:r>
      <w:r w:rsidRPr="0015619A">
        <w:rPr>
          <w:lang w:val="es-ES"/>
        </w:rPr>
        <w:t xml:space="preserve"> banda</w:t>
      </w:r>
      <w:r w:rsidR="008C35CA">
        <w:rPr>
          <w:lang w:val="es-ES"/>
        </w:rPr>
        <w:t>s</w:t>
      </w:r>
      <w:r w:rsidRPr="0015619A">
        <w:rPr>
          <w:lang w:val="es-ES"/>
        </w:rPr>
        <w:t xml:space="preserve"> está</w:t>
      </w:r>
      <w:r w:rsidR="008C35CA">
        <w:rPr>
          <w:lang w:val="es-ES"/>
        </w:rPr>
        <w:t>n</w:t>
      </w:r>
      <w:r w:rsidRPr="0015619A">
        <w:rPr>
          <w:lang w:val="es-ES"/>
        </w:rPr>
        <w:t xml:space="preserve"> atribuida</w:t>
      </w:r>
      <w:r w:rsidR="008C35CA">
        <w:rPr>
          <w:lang w:val="es-ES"/>
        </w:rPr>
        <w:t>s</w:t>
      </w:r>
      <w:r w:rsidRPr="0015619A">
        <w:rPr>
          <w:lang w:val="es-ES"/>
        </w:rPr>
        <w:t xml:space="preserve"> igualmente con carácter primario al servicio móvil por satélite (Tierra-espacio) en la Región 2 (toda la banda) y en las Regiones 1 y 3 (los 100 MHz superiores). Habida cuenta de la naturaleza temporal del </w:t>
      </w:r>
      <w:r w:rsidR="00F358A8">
        <w:rPr>
          <w:lang w:val="es-ES"/>
        </w:rPr>
        <w:t>D</w:t>
      </w:r>
      <w:r w:rsidRPr="0015619A">
        <w:rPr>
          <w:lang w:val="es-ES"/>
        </w:rPr>
        <w:t xml:space="preserve">SNG, cuando se requiera coordinación entre la estación </w:t>
      </w:r>
      <w:r w:rsidR="009F6473">
        <w:rPr>
          <w:lang w:val="es-ES"/>
        </w:rPr>
        <w:t>D</w:t>
      </w:r>
      <w:r w:rsidR="009F6473" w:rsidRPr="0015619A">
        <w:rPr>
          <w:lang w:val="es-ES"/>
        </w:rPr>
        <w:t xml:space="preserve">SNG </w:t>
      </w:r>
      <w:r w:rsidRPr="0015619A">
        <w:rPr>
          <w:lang w:val="es-ES"/>
        </w:rPr>
        <w:t>y los enlaces terrenales del país en que haya de funcionar, ésta puede ser diferente.</w:t>
      </w:r>
    </w:p>
    <w:p w:rsidR="00CB2890" w:rsidRPr="0015619A" w:rsidRDefault="00CB2890" w:rsidP="008F6448">
      <w:pPr>
        <w:pStyle w:val="Heading2"/>
        <w:rPr>
          <w:lang w:val="es-ES"/>
        </w:rPr>
      </w:pPr>
      <w:r w:rsidRPr="0015619A">
        <w:rPr>
          <w:lang w:val="es-ES"/>
        </w:rPr>
        <w:t>3.4</w:t>
      </w:r>
      <w:r w:rsidRPr="0015619A">
        <w:rPr>
          <w:lang w:val="es-ES"/>
        </w:rPr>
        <w:tab/>
        <w:t>Reserva del segmento espacial</w:t>
      </w:r>
    </w:p>
    <w:p w:rsidR="00CB2890" w:rsidRPr="0015619A" w:rsidRDefault="00CB2890" w:rsidP="008F6448">
      <w:pPr>
        <w:rPr>
          <w:lang w:val="es-ES"/>
        </w:rPr>
      </w:pPr>
      <w:r w:rsidRPr="0015619A">
        <w:rPr>
          <w:lang w:val="es-ES"/>
        </w:rPr>
        <w:t xml:space="preserve">La entidad de explotación del </w:t>
      </w:r>
      <w:r w:rsidR="008C35CA">
        <w:rPr>
          <w:lang w:val="es-ES"/>
        </w:rPr>
        <w:t>D</w:t>
      </w:r>
      <w:r w:rsidR="008C35CA" w:rsidRPr="0015619A">
        <w:rPr>
          <w:lang w:val="es-ES"/>
        </w:rPr>
        <w:t xml:space="preserve">SNG </w:t>
      </w:r>
      <w:r w:rsidRPr="0015619A">
        <w:rPr>
          <w:lang w:val="es-ES"/>
        </w:rPr>
        <w:t>debe poder saber, rápida y claramente, qué segmento espacial estará disponible para su uso en el momento oportuno (por ejemplo, dentro de las siguientes 24 h). Esta información debe incluir:</w:t>
      </w:r>
    </w:p>
    <w:p w:rsidR="00CB2890" w:rsidRPr="0015619A" w:rsidRDefault="00CB2890" w:rsidP="008F6448">
      <w:pPr>
        <w:pStyle w:val="enumlev1"/>
        <w:rPr>
          <w:lang w:val="es-ES"/>
        </w:rPr>
      </w:pPr>
      <w:r w:rsidRPr="0015619A">
        <w:rPr>
          <w:lang w:val="es-ES"/>
        </w:rPr>
        <w:t>–</w:t>
      </w:r>
      <w:r w:rsidRPr="0015619A">
        <w:rPr>
          <w:lang w:val="es-ES"/>
        </w:rPr>
        <w:tab/>
        <w:t>las características del transpondedor (identificador del satélite)</w:t>
      </w:r>
      <w:r w:rsidR="006727D5" w:rsidRPr="0015619A">
        <w:rPr>
          <w:lang w:val="es-ES"/>
        </w:rPr>
        <w:t>;</w:t>
      </w:r>
    </w:p>
    <w:p w:rsidR="00CB2890" w:rsidRPr="0015619A" w:rsidRDefault="00CB2890" w:rsidP="008F6448">
      <w:pPr>
        <w:pStyle w:val="enumlev1"/>
        <w:rPr>
          <w:lang w:val="es-ES"/>
        </w:rPr>
      </w:pPr>
      <w:r w:rsidRPr="0015619A">
        <w:rPr>
          <w:lang w:val="es-ES"/>
        </w:rPr>
        <w:t>–</w:t>
      </w:r>
      <w:r w:rsidRPr="0015619A">
        <w:rPr>
          <w:lang w:val="es-ES"/>
        </w:rPr>
        <w:tab/>
        <w:t>la anchura de banda y la potencia disponibles</w:t>
      </w:r>
      <w:r w:rsidR="006727D5" w:rsidRPr="0015619A">
        <w:rPr>
          <w:lang w:val="es-ES"/>
        </w:rPr>
        <w:t>;</w:t>
      </w:r>
    </w:p>
    <w:p w:rsidR="00CB2890" w:rsidRPr="0015619A" w:rsidRDefault="00CB2890" w:rsidP="008F6448">
      <w:pPr>
        <w:pStyle w:val="enumlev1"/>
        <w:rPr>
          <w:lang w:val="es-ES"/>
        </w:rPr>
      </w:pPr>
      <w:r w:rsidRPr="0015619A">
        <w:rPr>
          <w:lang w:val="es-ES"/>
        </w:rPr>
        <w:t>–</w:t>
      </w:r>
      <w:r w:rsidRPr="0015619A">
        <w:rPr>
          <w:lang w:val="es-ES"/>
        </w:rPr>
        <w:tab/>
        <w:t>hora de acceso más próxima disponible.</w:t>
      </w:r>
    </w:p>
    <w:p w:rsidR="00CB2890" w:rsidRPr="0015619A" w:rsidRDefault="00CB2890" w:rsidP="008F6448">
      <w:pPr>
        <w:rPr>
          <w:lang w:val="es-ES"/>
        </w:rPr>
      </w:pPr>
      <w:r w:rsidRPr="0015619A">
        <w:rPr>
          <w:lang w:val="es-ES"/>
        </w:rPr>
        <w:t xml:space="preserve">La entidad de explotación del </w:t>
      </w:r>
      <w:r w:rsidR="008C35CA">
        <w:rPr>
          <w:lang w:val="es-ES"/>
        </w:rPr>
        <w:t>D</w:t>
      </w:r>
      <w:r w:rsidR="008C35CA" w:rsidRPr="0015619A">
        <w:rPr>
          <w:lang w:val="es-ES"/>
        </w:rPr>
        <w:t xml:space="preserve">SNG </w:t>
      </w:r>
      <w:r w:rsidRPr="0015619A">
        <w:rPr>
          <w:lang w:val="es-ES"/>
        </w:rPr>
        <w:t>puede tener que mantener un contacto directo permanente con proveedor del segmento espacial.</w:t>
      </w:r>
    </w:p>
    <w:p w:rsidR="00CB2890" w:rsidRPr="0015619A" w:rsidRDefault="00CB2890" w:rsidP="008F6448">
      <w:pPr>
        <w:pStyle w:val="Heading2"/>
        <w:rPr>
          <w:lang w:val="es-ES"/>
        </w:rPr>
      </w:pPr>
      <w:r w:rsidRPr="0015619A">
        <w:rPr>
          <w:lang w:val="es-ES"/>
        </w:rPr>
        <w:t>3.5</w:t>
      </w:r>
      <w:r w:rsidRPr="0015619A">
        <w:rPr>
          <w:lang w:val="es-ES"/>
        </w:rPr>
        <w:tab/>
        <w:t>Circuitos de coordinación auxiliares</w:t>
      </w:r>
    </w:p>
    <w:p w:rsidR="00CB2890" w:rsidRPr="0015619A" w:rsidRDefault="00CB2890" w:rsidP="008F6448">
      <w:pPr>
        <w:rPr>
          <w:lang w:val="es-ES"/>
        </w:rPr>
      </w:pPr>
      <w:r w:rsidRPr="0015619A">
        <w:rPr>
          <w:lang w:val="es-ES"/>
        </w:rPr>
        <w:t>Entre el centro de control de comunicaciones del operador del satélite y los locales del radiodifusor se requieren circuitos de coordinación auxiliares. Estos circuitos se describen en el Anexo 1 a la Recomendación UIT-R SNG.722.</w:t>
      </w:r>
    </w:p>
    <w:p w:rsidR="00CB2890" w:rsidRPr="0015619A" w:rsidRDefault="00CB2890" w:rsidP="008F6448">
      <w:pPr>
        <w:pStyle w:val="Heading2"/>
        <w:rPr>
          <w:lang w:val="es-ES"/>
        </w:rPr>
      </w:pPr>
      <w:r w:rsidRPr="0015619A">
        <w:rPr>
          <w:lang w:val="es-ES"/>
        </w:rPr>
        <w:t>3.6</w:t>
      </w:r>
      <w:r w:rsidRPr="0015619A">
        <w:rPr>
          <w:lang w:val="es-ES"/>
        </w:rPr>
        <w:tab/>
        <w:t>Comunicaciones auxiliares y servicios de transmisión adicionales</w:t>
      </w:r>
    </w:p>
    <w:p w:rsidR="00CB2890" w:rsidRPr="0015619A" w:rsidRDefault="00CB2890" w:rsidP="00F358A8">
      <w:pPr>
        <w:rPr>
          <w:lang w:val="es-ES"/>
        </w:rPr>
      </w:pPr>
      <w:r w:rsidRPr="0015619A">
        <w:rPr>
          <w:lang w:val="es-ES"/>
        </w:rPr>
        <w:t xml:space="preserve">Para facilitar la explotación eficaz del terminal </w:t>
      </w:r>
      <w:r w:rsidR="008C35CA">
        <w:rPr>
          <w:lang w:val="es-ES"/>
        </w:rPr>
        <w:t>D</w:t>
      </w:r>
      <w:r w:rsidR="008C35CA" w:rsidRPr="0015619A">
        <w:rPr>
          <w:lang w:val="es-ES"/>
        </w:rPr>
        <w:t xml:space="preserve">SNG </w:t>
      </w:r>
      <w:r w:rsidRPr="0015619A">
        <w:rPr>
          <w:lang w:val="es-ES"/>
        </w:rPr>
        <w:t>pueden necesitarse servicios de comunicación auxiliares, que pueden comprender canales de microondas punto a punto, sistemas telefónicos, micrófonos inalámbricos y terminales móviles por satélite, para la transmisión vocal y de datos.</w:t>
      </w:r>
    </w:p>
    <w:p w:rsidR="00CB2890" w:rsidRPr="0015619A" w:rsidRDefault="00CB2890" w:rsidP="008F6448">
      <w:pPr>
        <w:rPr>
          <w:lang w:val="es-ES"/>
        </w:rPr>
      </w:pPr>
      <w:r w:rsidRPr="0015619A">
        <w:rPr>
          <w:lang w:val="es-ES"/>
        </w:rPr>
        <w:t>En cuanto a los servicios vinculados a las radiocomunicaciones, puede requerirse una autorización temporal para utilizar las frecuencias en el emplazamiento deseado. Esa autorización debe obtenerse oportunamente y, en lo posible, antes de instalar los equipos. También es necesario obtener información sobre la admisibilidad técnica del equipo que podría utilizarse.</w:t>
      </w:r>
    </w:p>
    <w:p w:rsidR="00CB2890" w:rsidRPr="0015619A" w:rsidRDefault="00CB2890" w:rsidP="008F6448">
      <w:pPr>
        <w:rPr>
          <w:lang w:val="es-ES"/>
        </w:rPr>
      </w:pPr>
      <w:r w:rsidRPr="0015619A">
        <w:rPr>
          <w:lang w:val="es-ES"/>
        </w:rPr>
        <w:t>Además, tal vez sea preciso disponer de</w:t>
      </w:r>
      <w:r w:rsidR="008C35CA">
        <w:rPr>
          <w:lang w:val="es-ES"/>
        </w:rPr>
        <w:t xml:space="preserve"> acceso telefónico fijo y/o móvil</w:t>
      </w:r>
      <w:r w:rsidRPr="0015619A">
        <w:rPr>
          <w:lang w:val="es-ES"/>
        </w:rPr>
        <w:t>. Esto</w:t>
      </w:r>
      <w:r w:rsidR="008C35CA">
        <w:rPr>
          <w:lang w:val="es-ES"/>
        </w:rPr>
        <w:t xml:space="preserve"> resulta</w:t>
      </w:r>
      <w:r w:rsidRPr="0015619A">
        <w:rPr>
          <w:lang w:val="es-ES"/>
        </w:rPr>
        <w:t xml:space="preserve"> esencial para el funcionamiento adecuado del </w:t>
      </w:r>
      <w:r w:rsidR="008C35CA">
        <w:rPr>
          <w:lang w:val="es-ES"/>
        </w:rPr>
        <w:t>D</w:t>
      </w:r>
      <w:r w:rsidR="008C35CA" w:rsidRPr="0015619A">
        <w:rPr>
          <w:lang w:val="es-ES"/>
        </w:rPr>
        <w:t>SNG</w:t>
      </w:r>
      <w:r w:rsidRPr="0015619A">
        <w:rPr>
          <w:lang w:val="es-ES"/>
        </w:rPr>
        <w:t xml:space="preserve">. El operador del </w:t>
      </w:r>
      <w:r w:rsidR="008C35CA">
        <w:rPr>
          <w:lang w:val="es-ES"/>
        </w:rPr>
        <w:t>D</w:t>
      </w:r>
      <w:r w:rsidR="008C35CA" w:rsidRPr="0015619A">
        <w:rPr>
          <w:lang w:val="es-ES"/>
        </w:rPr>
        <w:t xml:space="preserve">SNG </w:t>
      </w:r>
      <w:r w:rsidRPr="0015619A">
        <w:rPr>
          <w:lang w:val="es-ES"/>
        </w:rPr>
        <w:t xml:space="preserve">necesitará </w:t>
      </w:r>
      <w:r w:rsidR="008C35CA">
        <w:rPr>
          <w:lang w:val="es-ES"/>
        </w:rPr>
        <w:t>ese</w:t>
      </w:r>
      <w:r w:rsidRPr="0015619A">
        <w:rPr>
          <w:lang w:val="es-ES"/>
        </w:rPr>
        <w:t xml:space="preserve"> acceso </w:t>
      </w:r>
      <w:r w:rsidR="008C35CA">
        <w:rPr>
          <w:lang w:val="es-ES"/>
        </w:rPr>
        <w:t>telefónico</w:t>
      </w:r>
      <w:r w:rsidRPr="0015619A">
        <w:rPr>
          <w:lang w:val="es-ES"/>
        </w:rPr>
        <w:t>, con una relación costo-eficacia satisfactoria (y una clara definición de tarifas y servicios) y habrá de conocer, además, la disponibilidad real de circuitos.</w:t>
      </w:r>
    </w:p>
    <w:p w:rsidR="00CB2890" w:rsidRPr="0015619A" w:rsidRDefault="00CB2890" w:rsidP="008F6448">
      <w:pPr>
        <w:pStyle w:val="Heading2"/>
        <w:rPr>
          <w:lang w:val="es-ES"/>
        </w:rPr>
      </w:pPr>
      <w:r w:rsidRPr="0015619A">
        <w:rPr>
          <w:lang w:val="es-ES"/>
        </w:rPr>
        <w:t>3.7</w:t>
      </w:r>
      <w:r w:rsidRPr="0015619A">
        <w:rPr>
          <w:lang w:val="es-ES"/>
        </w:rPr>
        <w:tab/>
        <w:t>Riesgos de radiación</w:t>
      </w:r>
    </w:p>
    <w:p w:rsidR="00CB2890" w:rsidRPr="0015619A" w:rsidRDefault="00CB2890" w:rsidP="008F6448">
      <w:pPr>
        <w:rPr>
          <w:lang w:val="es-ES"/>
        </w:rPr>
      </w:pPr>
      <w:r w:rsidRPr="0015619A">
        <w:rPr>
          <w:lang w:val="es-ES"/>
        </w:rPr>
        <w:t>Es necesario adoptar medidas para proteger al público y al personal de los riesgos de radiación. Muchas administraciones han definido normas para la exposición sin riesgos a la radiación radioeléctrica (no ionizante), que son función de la frecuencia, el nivel de potencia y la duración de la exposición.</w:t>
      </w:r>
    </w:p>
    <w:p w:rsidR="00CB2890" w:rsidRPr="0015619A" w:rsidRDefault="00CB2890" w:rsidP="008F6448">
      <w:pPr>
        <w:rPr>
          <w:lang w:val="es-ES"/>
        </w:rPr>
      </w:pPr>
      <w:r w:rsidRPr="0015619A">
        <w:rPr>
          <w:lang w:val="es-ES"/>
        </w:rPr>
        <w:lastRenderedPageBreak/>
        <w:t xml:space="preserve">Las entidades de explotación del </w:t>
      </w:r>
      <w:r w:rsidR="008C35CA">
        <w:rPr>
          <w:lang w:val="es-ES"/>
        </w:rPr>
        <w:t>D</w:t>
      </w:r>
      <w:r w:rsidR="008C35CA" w:rsidRPr="0015619A">
        <w:rPr>
          <w:lang w:val="es-ES"/>
        </w:rPr>
        <w:t xml:space="preserve">SNG </w:t>
      </w:r>
      <w:r w:rsidRPr="0015619A">
        <w:rPr>
          <w:lang w:val="es-ES"/>
        </w:rPr>
        <w:t>deben cumplir con las normas (de salubridad y de seguridad) sobre la radiación admisible establecidas por el país en que utilicen el sistema. Si este país no tuviese establecidas normas propias, deben observarse las adoptadas por la Organización Mundial de la Salud (OMS) (la OMS establece criterios sanitarios junto con el Comité Internacional de Radiaciones no Ionizantes de la Asociación Internacional de Protección contra las Radiaciones).</w:t>
      </w:r>
    </w:p>
    <w:p w:rsidR="00CB2890" w:rsidRPr="0015619A" w:rsidRDefault="00CB2890" w:rsidP="008F6448">
      <w:pPr>
        <w:keepNext/>
        <w:keepLines/>
        <w:tabs>
          <w:tab w:val="clear" w:pos="794"/>
          <w:tab w:val="clear" w:pos="1191"/>
          <w:tab w:val="clear" w:pos="1588"/>
          <w:tab w:val="clear" w:pos="1985"/>
        </w:tabs>
        <w:spacing w:after="113"/>
        <w:rPr>
          <w:lang w:val="es-ES"/>
        </w:rPr>
      </w:pPr>
      <w:r w:rsidRPr="0015619A">
        <w:rPr>
          <w:lang w:val="es-ES"/>
        </w:rPr>
        <w:t>Al aplicar los criterios de exposición máxima admisible, las entidades de explotación deben tener debidamente en cuenta el emplazamiento y la configuración de las instalaciones, así como el acceso tanto del personal como del público.</w:t>
      </w:r>
    </w:p>
    <w:p w:rsidR="00CB2890" w:rsidRPr="0015619A" w:rsidRDefault="00CB2890" w:rsidP="008F6448">
      <w:pPr>
        <w:rPr>
          <w:lang w:val="es-ES"/>
        </w:rPr>
      </w:pPr>
      <w:r w:rsidRPr="0015619A">
        <w:rPr>
          <w:lang w:val="es-ES"/>
        </w:rPr>
        <w:t xml:space="preserve">Se identificará, controlará y delimitará una zona de riesgo en torno al terminal </w:t>
      </w:r>
      <w:r w:rsidR="008C35CA">
        <w:rPr>
          <w:lang w:val="es-ES"/>
        </w:rPr>
        <w:t>D</w:t>
      </w:r>
      <w:r w:rsidR="008C35CA" w:rsidRPr="0015619A">
        <w:rPr>
          <w:lang w:val="es-ES"/>
        </w:rPr>
        <w:t xml:space="preserve">SNG </w:t>
      </w:r>
      <w:r w:rsidRPr="0015619A">
        <w:rPr>
          <w:lang w:val="es-ES"/>
        </w:rPr>
        <w:t>clara y visiblemente.</w:t>
      </w:r>
    </w:p>
    <w:p w:rsidR="00CB2890" w:rsidRPr="0015619A" w:rsidRDefault="00CB2890" w:rsidP="008F6448">
      <w:pPr>
        <w:pStyle w:val="Heading2"/>
        <w:rPr>
          <w:lang w:val="es-ES"/>
        </w:rPr>
      </w:pPr>
      <w:r w:rsidRPr="0015619A">
        <w:rPr>
          <w:lang w:val="es-ES"/>
        </w:rPr>
        <w:t>3.8</w:t>
      </w:r>
      <w:r w:rsidRPr="0015619A">
        <w:rPr>
          <w:lang w:val="es-ES"/>
        </w:rPr>
        <w:tab/>
        <w:t>Importación y aduanas</w:t>
      </w:r>
    </w:p>
    <w:p w:rsidR="00CB2890" w:rsidRPr="0015619A" w:rsidRDefault="00CB2890" w:rsidP="008F6448">
      <w:pPr>
        <w:rPr>
          <w:lang w:val="es-ES"/>
        </w:rPr>
      </w:pPr>
      <w:r w:rsidRPr="0015619A">
        <w:rPr>
          <w:lang w:val="es-ES"/>
        </w:rPr>
        <w:t xml:space="preserve">La entidad de explotación del </w:t>
      </w:r>
      <w:r w:rsidR="008C35CA">
        <w:rPr>
          <w:lang w:val="es-ES"/>
        </w:rPr>
        <w:t>D</w:t>
      </w:r>
      <w:r w:rsidR="008C35CA" w:rsidRPr="0015619A">
        <w:rPr>
          <w:lang w:val="es-ES"/>
        </w:rPr>
        <w:t xml:space="preserve">SNG </w:t>
      </w:r>
      <w:r w:rsidRPr="0015619A">
        <w:rPr>
          <w:lang w:val="es-ES"/>
        </w:rPr>
        <w:t>ha de conocer debidamente los reglamentos de importación y aduanas del país en que haya de emplearlo. Esto es particularmente importante cuando en ese país los reportajes son frecuentes y no pueden utilizarse para ellos instalaciones ya existentes en el mismo.</w:t>
      </w:r>
    </w:p>
    <w:p w:rsidR="00CB2890" w:rsidRPr="0015619A" w:rsidRDefault="00CB2890" w:rsidP="008F6448">
      <w:pPr>
        <w:pStyle w:val="Heading1"/>
        <w:rPr>
          <w:lang w:val="es-ES"/>
        </w:rPr>
      </w:pPr>
      <w:r w:rsidRPr="0015619A">
        <w:rPr>
          <w:lang w:val="es-ES"/>
        </w:rPr>
        <w:t>4</w:t>
      </w:r>
      <w:r w:rsidRPr="0015619A">
        <w:rPr>
          <w:lang w:val="es-ES"/>
        </w:rPr>
        <w:tab/>
        <w:t>Punto de contacto para la información, orientación y aprobación</w:t>
      </w:r>
    </w:p>
    <w:p w:rsidR="00CB2890" w:rsidRPr="0015619A" w:rsidRDefault="00CB2890" w:rsidP="008F6448">
      <w:pPr>
        <w:rPr>
          <w:lang w:val="es-ES"/>
        </w:rPr>
      </w:pPr>
      <w:r w:rsidRPr="0015619A">
        <w:rPr>
          <w:lang w:val="es-ES"/>
        </w:rPr>
        <w:t xml:space="preserve">Cada administración u organización competente debe estudiar, si es posible, la posibilidad de establecer un punto de contacto designado para el </w:t>
      </w:r>
      <w:r w:rsidR="008C35CA">
        <w:rPr>
          <w:lang w:val="es-ES"/>
        </w:rPr>
        <w:t>D</w:t>
      </w:r>
      <w:r w:rsidR="008C35CA" w:rsidRPr="0015619A">
        <w:rPr>
          <w:lang w:val="es-ES"/>
        </w:rPr>
        <w:t>SNG</w:t>
      </w:r>
      <w:r w:rsidRPr="0015619A">
        <w:rPr>
          <w:lang w:val="es-ES"/>
        </w:rPr>
        <w:t>, accesible durante las 24 h del día, y los siete días de la semana.</w:t>
      </w:r>
    </w:p>
    <w:p w:rsidR="00CB2890" w:rsidRPr="0015619A" w:rsidRDefault="00CB2890" w:rsidP="008F6448">
      <w:pPr>
        <w:rPr>
          <w:lang w:val="es-ES"/>
        </w:rPr>
      </w:pPr>
      <w:r w:rsidRPr="0015619A">
        <w:rPr>
          <w:lang w:val="es-ES"/>
        </w:rPr>
        <w:t xml:space="preserve">Este punto de contacto debe ayudar a obtener las autorizaciones temporales de funcionamiento de las estaciones terrenas </w:t>
      </w:r>
      <w:r w:rsidR="008C35CA">
        <w:rPr>
          <w:lang w:val="es-ES"/>
        </w:rPr>
        <w:t>D</w:t>
      </w:r>
      <w:r w:rsidR="008C35CA" w:rsidRPr="0015619A">
        <w:rPr>
          <w:lang w:val="es-ES"/>
        </w:rPr>
        <w:t xml:space="preserve">SNG </w:t>
      </w:r>
      <w:r w:rsidRPr="0015619A">
        <w:rPr>
          <w:lang w:val="es-ES"/>
        </w:rPr>
        <w:t>pertenecientes a entidades de explotación extranjeras, actuando como intermediario en el intercambio de la información necesaria para los procedimientos de autorización y la coordinación de frecuencias y suministrando orientación sobre las formalidades administrativas del país.</w:t>
      </w:r>
    </w:p>
    <w:p w:rsidR="00CB2890" w:rsidRPr="0015619A" w:rsidRDefault="00CB2890" w:rsidP="008F6448">
      <w:pPr>
        <w:rPr>
          <w:lang w:val="es-ES"/>
        </w:rPr>
      </w:pPr>
      <w:r w:rsidRPr="0015619A">
        <w:rPr>
          <w:lang w:val="es-ES"/>
        </w:rPr>
        <w:t>Se considera necesario intercambiar la información indicada en el Cuadro 1.</w:t>
      </w:r>
    </w:p>
    <w:p w:rsidR="00CB2890" w:rsidRPr="0015619A" w:rsidRDefault="00CB2890" w:rsidP="00FE22F9">
      <w:pPr>
        <w:pStyle w:val="TableNo"/>
        <w:keepLines/>
        <w:rPr>
          <w:lang w:val="es-ES"/>
        </w:rPr>
      </w:pPr>
      <w:r w:rsidRPr="0015619A">
        <w:rPr>
          <w:lang w:val="es-ES"/>
        </w:rPr>
        <w:lastRenderedPageBreak/>
        <w:t>CUADRO  1</w:t>
      </w:r>
    </w:p>
    <w:p w:rsidR="00CB2890" w:rsidRPr="0015619A" w:rsidRDefault="00CB2890" w:rsidP="00FE22F9">
      <w:pPr>
        <w:pStyle w:val="Blanc"/>
        <w:rPr>
          <w:lang w:val="es-ES"/>
        </w:rPr>
      </w:pPr>
    </w:p>
    <w:tbl>
      <w:tblPr>
        <w:tblW w:w="9639" w:type="dxa"/>
        <w:jc w:val="center"/>
        <w:tblLayout w:type="fixed"/>
        <w:tblCellMar>
          <w:left w:w="0" w:type="dxa"/>
          <w:right w:w="0" w:type="dxa"/>
        </w:tblCellMar>
        <w:tblLook w:val="0000" w:firstRow="0" w:lastRow="0" w:firstColumn="0" w:lastColumn="0" w:noHBand="0" w:noVBand="0"/>
      </w:tblPr>
      <w:tblGrid>
        <w:gridCol w:w="5617"/>
        <w:gridCol w:w="4022"/>
      </w:tblGrid>
      <w:tr w:rsidR="00CB2890" w:rsidRPr="00FE22F9" w:rsidTr="00CB2890">
        <w:trPr>
          <w:cantSplit/>
          <w:jc w:val="center"/>
        </w:trPr>
        <w:tc>
          <w:tcPr>
            <w:tcW w:w="5670" w:type="dxa"/>
            <w:tcBorders>
              <w:top w:val="single" w:sz="6" w:space="0" w:color="auto"/>
              <w:left w:val="single" w:sz="6" w:space="0" w:color="auto"/>
              <w:bottom w:val="single" w:sz="6" w:space="0" w:color="auto"/>
              <w:right w:val="single" w:sz="6" w:space="0" w:color="auto"/>
            </w:tcBorders>
          </w:tcPr>
          <w:p w:rsidR="00CB2890" w:rsidRPr="0015619A" w:rsidRDefault="00CB2890" w:rsidP="00FE22F9">
            <w:pPr>
              <w:pStyle w:val="Tablehead"/>
              <w:keepLines/>
              <w:rPr>
                <w:lang w:val="es-ES"/>
              </w:rPr>
            </w:pPr>
            <w:r w:rsidRPr="0015619A">
              <w:rPr>
                <w:lang w:val="es-ES"/>
              </w:rPr>
              <w:t>Información que debe suministrarse a la Administración</w:t>
            </w:r>
          </w:p>
        </w:tc>
        <w:tc>
          <w:tcPr>
            <w:tcW w:w="4060" w:type="dxa"/>
            <w:tcBorders>
              <w:top w:val="single" w:sz="6" w:space="0" w:color="auto"/>
              <w:left w:val="single" w:sz="6" w:space="0" w:color="auto"/>
              <w:bottom w:val="single" w:sz="6" w:space="0" w:color="auto"/>
              <w:right w:val="single" w:sz="6" w:space="0" w:color="auto"/>
            </w:tcBorders>
          </w:tcPr>
          <w:p w:rsidR="00CB2890" w:rsidRPr="0015619A" w:rsidRDefault="00CB2890" w:rsidP="00FE22F9">
            <w:pPr>
              <w:pStyle w:val="Tablehead"/>
              <w:keepLines/>
              <w:rPr>
                <w:lang w:val="es-ES"/>
              </w:rPr>
            </w:pPr>
            <w:r w:rsidRPr="0015619A">
              <w:rPr>
                <w:lang w:val="es-ES"/>
              </w:rPr>
              <w:t>Información que debe recibirse de la Administración</w:t>
            </w:r>
          </w:p>
        </w:tc>
      </w:tr>
      <w:tr w:rsidR="00CB2890" w:rsidRPr="0015619A" w:rsidTr="00CB2890">
        <w:trPr>
          <w:cantSplit/>
          <w:jc w:val="center"/>
        </w:trPr>
        <w:tc>
          <w:tcPr>
            <w:tcW w:w="5670" w:type="dxa"/>
            <w:tcBorders>
              <w:top w:val="single" w:sz="6" w:space="0" w:color="auto"/>
              <w:left w:val="single" w:sz="6" w:space="0" w:color="auto"/>
              <w:bottom w:val="single" w:sz="6" w:space="0" w:color="auto"/>
              <w:right w:val="single" w:sz="6" w:space="0" w:color="auto"/>
            </w:tcBorders>
          </w:tcPr>
          <w:p w:rsidR="00CB2890" w:rsidRPr="00FE22F9" w:rsidRDefault="00CB2890" w:rsidP="00FE22F9">
            <w:pPr>
              <w:pStyle w:val="Tabletext"/>
              <w:keepNext/>
              <w:keepLines/>
              <w:tabs>
                <w:tab w:val="clear" w:pos="284"/>
                <w:tab w:val="clear" w:pos="567"/>
                <w:tab w:val="left" w:pos="426"/>
              </w:tabs>
              <w:spacing w:before="100" w:after="100"/>
              <w:ind w:left="426" w:right="113" w:hanging="313"/>
              <w:jc w:val="left"/>
              <w:rPr>
                <w:szCs w:val="22"/>
                <w:lang w:val="es-ES"/>
              </w:rPr>
            </w:pPr>
            <w:r w:rsidRPr="00FE22F9">
              <w:rPr>
                <w:szCs w:val="22"/>
                <w:lang w:val="es-ES"/>
              </w:rPr>
              <w:t>1.</w:t>
            </w:r>
            <w:r w:rsidRPr="00FE22F9">
              <w:rPr>
                <w:szCs w:val="22"/>
                <w:lang w:val="es-ES"/>
              </w:rPr>
              <w:tab/>
              <w:t>Características del servicio (por ejemplo, norma de televisión, número y tipo de canales audio)</w:t>
            </w:r>
          </w:p>
        </w:tc>
        <w:tc>
          <w:tcPr>
            <w:tcW w:w="4060" w:type="dxa"/>
            <w:tcBorders>
              <w:top w:val="single" w:sz="6" w:space="0" w:color="auto"/>
              <w:left w:val="single" w:sz="6" w:space="0" w:color="auto"/>
              <w:bottom w:val="single" w:sz="6" w:space="0" w:color="auto"/>
              <w:right w:val="single" w:sz="6" w:space="0" w:color="auto"/>
            </w:tcBorders>
          </w:tcPr>
          <w:p w:rsidR="00CB2890" w:rsidRPr="00FE22F9" w:rsidRDefault="00CB2890" w:rsidP="00FE22F9">
            <w:pPr>
              <w:pStyle w:val="Tabletext"/>
              <w:keepNext/>
              <w:keepLines/>
              <w:tabs>
                <w:tab w:val="clear" w:pos="284"/>
                <w:tab w:val="clear" w:pos="567"/>
                <w:tab w:val="left" w:pos="425"/>
                <w:tab w:val="left" w:pos="479"/>
              </w:tabs>
              <w:spacing w:before="100" w:after="100"/>
              <w:ind w:left="113" w:right="113"/>
              <w:rPr>
                <w:szCs w:val="22"/>
                <w:lang w:val="es-ES"/>
              </w:rPr>
            </w:pPr>
            <w:r w:rsidRPr="00FE22F9">
              <w:rPr>
                <w:szCs w:val="22"/>
                <w:lang w:val="es-ES"/>
              </w:rPr>
              <w:t>1.</w:t>
            </w:r>
            <w:r w:rsidRPr="00FE22F9">
              <w:rPr>
                <w:szCs w:val="22"/>
                <w:lang w:val="es-ES"/>
              </w:rPr>
              <w:tab/>
              <w:t>Referencia de la solicitud</w:t>
            </w:r>
          </w:p>
        </w:tc>
      </w:tr>
      <w:tr w:rsidR="00CB2890" w:rsidRPr="0015619A" w:rsidTr="00CB2890">
        <w:trPr>
          <w:cantSplit/>
          <w:jc w:val="center"/>
        </w:trPr>
        <w:tc>
          <w:tcPr>
            <w:tcW w:w="5670" w:type="dxa"/>
            <w:tcBorders>
              <w:top w:val="single" w:sz="6" w:space="0" w:color="auto"/>
              <w:left w:val="single" w:sz="6" w:space="0" w:color="auto"/>
              <w:bottom w:val="single" w:sz="6" w:space="0" w:color="auto"/>
              <w:right w:val="single" w:sz="6" w:space="0" w:color="auto"/>
            </w:tcBorders>
          </w:tcPr>
          <w:p w:rsidR="00CB2890" w:rsidRPr="00FE22F9" w:rsidRDefault="00CB2890" w:rsidP="00FE22F9">
            <w:pPr>
              <w:pStyle w:val="Tabletext"/>
              <w:keepNext/>
              <w:keepLines/>
              <w:tabs>
                <w:tab w:val="clear" w:pos="284"/>
                <w:tab w:val="clear" w:pos="567"/>
                <w:tab w:val="left" w:pos="426"/>
              </w:tabs>
              <w:spacing w:before="100" w:after="100"/>
              <w:ind w:left="113" w:right="113"/>
              <w:jc w:val="left"/>
              <w:rPr>
                <w:szCs w:val="22"/>
                <w:lang w:val="es-ES"/>
              </w:rPr>
            </w:pPr>
            <w:r w:rsidRPr="00FE22F9">
              <w:rPr>
                <w:szCs w:val="22"/>
                <w:lang w:val="es-ES"/>
              </w:rPr>
              <w:t>2.</w:t>
            </w:r>
            <w:r w:rsidRPr="00FE22F9">
              <w:rPr>
                <w:szCs w:val="22"/>
                <w:lang w:val="es-ES"/>
              </w:rPr>
              <w:tab/>
              <w:t>Tiempo y duración del servicio</w:t>
            </w:r>
          </w:p>
        </w:tc>
        <w:tc>
          <w:tcPr>
            <w:tcW w:w="4060" w:type="dxa"/>
            <w:tcBorders>
              <w:top w:val="single" w:sz="6" w:space="0" w:color="auto"/>
              <w:left w:val="single" w:sz="6" w:space="0" w:color="auto"/>
              <w:bottom w:val="single" w:sz="6" w:space="0" w:color="auto"/>
              <w:right w:val="single" w:sz="6" w:space="0" w:color="auto"/>
            </w:tcBorders>
          </w:tcPr>
          <w:p w:rsidR="00CB2890" w:rsidRPr="00FE22F9" w:rsidRDefault="00CB2890" w:rsidP="00FE22F9">
            <w:pPr>
              <w:pStyle w:val="Tabletext"/>
              <w:keepNext/>
              <w:keepLines/>
              <w:tabs>
                <w:tab w:val="clear" w:pos="284"/>
                <w:tab w:val="clear" w:pos="567"/>
                <w:tab w:val="left" w:pos="425"/>
                <w:tab w:val="left" w:pos="479"/>
              </w:tabs>
              <w:spacing w:before="100" w:after="100"/>
              <w:ind w:left="113" w:right="113"/>
              <w:rPr>
                <w:szCs w:val="22"/>
                <w:lang w:val="es-ES"/>
              </w:rPr>
            </w:pPr>
            <w:r w:rsidRPr="00FE22F9">
              <w:rPr>
                <w:szCs w:val="22"/>
                <w:lang w:val="es-ES"/>
              </w:rPr>
              <w:t>2.</w:t>
            </w:r>
            <w:r w:rsidRPr="00FE22F9">
              <w:rPr>
                <w:szCs w:val="22"/>
                <w:lang w:val="es-ES"/>
              </w:rPr>
              <w:tab/>
              <w:t>Entidad autorizante</w:t>
            </w:r>
          </w:p>
        </w:tc>
      </w:tr>
      <w:tr w:rsidR="00CB2890" w:rsidRPr="00FE22F9" w:rsidTr="00CB2890">
        <w:trPr>
          <w:cantSplit/>
          <w:jc w:val="center"/>
        </w:trPr>
        <w:tc>
          <w:tcPr>
            <w:tcW w:w="5670" w:type="dxa"/>
            <w:tcBorders>
              <w:top w:val="single" w:sz="6" w:space="0" w:color="auto"/>
              <w:left w:val="single" w:sz="6" w:space="0" w:color="auto"/>
              <w:bottom w:val="single" w:sz="6" w:space="0" w:color="auto"/>
              <w:right w:val="single" w:sz="6" w:space="0" w:color="auto"/>
            </w:tcBorders>
          </w:tcPr>
          <w:p w:rsidR="00CB2890" w:rsidRPr="00FE22F9" w:rsidRDefault="00CB2890" w:rsidP="00FE22F9">
            <w:pPr>
              <w:pStyle w:val="Tabletext"/>
              <w:keepNext/>
              <w:keepLines/>
              <w:tabs>
                <w:tab w:val="clear" w:pos="284"/>
                <w:tab w:val="clear" w:pos="567"/>
                <w:tab w:val="left" w:pos="426"/>
              </w:tabs>
              <w:spacing w:before="100" w:after="100"/>
              <w:ind w:left="426" w:right="113" w:hanging="313"/>
              <w:jc w:val="left"/>
              <w:rPr>
                <w:szCs w:val="22"/>
                <w:lang w:val="es-ES"/>
              </w:rPr>
            </w:pPr>
            <w:r w:rsidRPr="00FE22F9">
              <w:rPr>
                <w:szCs w:val="22"/>
                <w:lang w:val="es-ES"/>
              </w:rPr>
              <w:t>3.</w:t>
            </w:r>
            <w:r w:rsidRPr="00FE22F9">
              <w:rPr>
                <w:szCs w:val="22"/>
                <w:lang w:val="es-ES"/>
              </w:rPr>
              <w:tab/>
              <w:t>Emplazamiento del enlace ascendente y del enlace descendente</w:t>
            </w:r>
          </w:p>
        </w:tc>
        <w:tc>
          <w:tcPr>
            <w:tcW w:w="4060" w:type="dxa"/>
            <w:tcBorders>
              <w:top w:val="single" w:sz="6" w:space="0" w:color="auto"/>
              <w:left w:val="single" w:sz="6" w:space="0" w:color="auto"/>
              <w:bottom w:val="single" w:sz="6" w:space="0" w:color="auto"/>
              <w:right w:val="single" w:sz="6" w:space="0" w:color="auto"/>
            </w:tcBorders>
          </w:tcPr>
          <w:p w:rsidR="00CB2890" w:rsidRPr="00FE22F9" w:rsidRDefault="00CB2890" w:rsidP="00FE22F9">
            <w:pPr>
              <w:pStyle w:val="Tabletext"/>
              <w:keepNext/>
              <w:keepLines/>
              <w:tabs>
                <w:tab w:val="clear" w:pos="284"/>
                <w:tab w:val="clear" w:pos="567"/>
                <w:tab w:val="left" w:pos="425"/>
                <w:tab w:val="left" w:pos="479"/>
              </w:tabs>
              <w:spacing w:before="100" w:after="100"/>
              <w:ind w:left="425" w:right="113" w:hanging="312"/>
              <w:rPr>
                <w:szCs w:val="22"/>
                <w:lang w:val="es-ES"/>
              </w:rPr>
            </w:pPr>
            <w:r w:rsidRPr="00FE22F9">
              <w:rPr>
                <w:szCs w:val="22"/>
                <w:lang w:val="es-ES"/>
              </w:rPr>
              <w:t>3.</w:t>
            </w:r>
            <w:r w:rsidRPr="00FE22F9">
              <w:rPr>
                <w:szCs w:val="22"/>
                <w:lang w:val="es-ES"/>
              </w:rPr>
              <w:tab/>
              <w:t>Otras dependencia en las que deben tramitarse las solicitudes de autorización</w:t>
            </w:r>
          </w:p>
        </w:tc>
      </w:tr>
      <w:tr w:rsidR="00CB2890" w:rsidRPr="00FE22F9" w:rsidTr="00CB2890">
        <w:trPr>
          <w:cantSplit/>
          <w:jc w:val="center"/>
        </w:trPr>
        <w:tc>
          <w:tcPr>
            <w:tcW w:w="5670" w:type="dxa"/>
            <w:tcBorders>
              <w:top w:val="single" w:sz="6" w:space="0" w:color="auto"/>
              <w:left w:val="single" w:sz="6" w:space="0" w:color="auto"/>
              <w:bottom w:val="single" w:sz="6" w:space="0" w:color="auto"/>
              <w:right w:val="single" w:sz="6" w:space="0" w:color="auto"/>
            </w:tcBorders>
          </w:tcPr>
          <w:p w:rsidR="00CB2890" w:rsidRPr="00FE22F9" w:rsidRDefault="00CB2890" w:rsidP="00FE22F9">
            <w:pPr>
              <w:pStyle w:val="Tabletext"/>
              <w:keepNext/>
              <w:keepLines/>
              <w:tabs>
                <w:tab w:val="clear" w:pos="284"/>
                <w:tab w:val="clear" w:pos="567"/>
                <w:tab w:val="left" w:pos="426"/>
              </w:tabs>
              <w:spacing w:before="100" w:after="100"/>
              <w:ind w:left="113" w:right="113"/>
              <w:jc w:val="left"/>
              <w:rPr>
                <w:szCs w:val="22"/>
                <w:lang w:val="es-ES"/>
              </w:rPr>
            </w:pPr>
            <w:r w:rsidRPr="00FE22F9">
              <w:rPr>
                <w:szCs w:val="22"/>
                <w:lang w:val="es-ES"/>
              </w:rPr>
              <w:t>4.</w:t>
            </w:r>
            <w:r w:rsidRPr="00FE22F9">
              <w:rPr>
                <w:szCs w:val="22"/>
                <w:lang w:val="es-ES"/>
              </w:rPr>
              <w:tab/>
              <w:t>Segmento espacial deseado</w:t>
            </w:r>
          </w:p>
        </w:tc>
        <w:tc>
          <w:tcPr>
            <w:tcW w:w="4060" w:type="dxa"/>
            <w:tcBorders>
              <w:top w:val="single" w:sz="6" w:space="0" w:color="auto"/>
              <w:left w:val="single" w:sz="6" w:space="0" w:color="auto"/>
              <w:bottom w:val="single" w:sz="6" w:space="0" w:color="auto"/>
              <w:right w:val="single" w:sz="6" w:space="0" w:color="auto"/>
            </w:tcBorders>
          </w:tcPr>
          <w:p w:rsidR="00CB2890" w:rsidRPr="00FE22F9" w:rsidRDefault="00CB2890" w:rsidP="00FE22F9">
            <w:pPr>
              <w:pStyle w:val="Tabletext"/>
              <w:keepNext/>
              <w:keepLines/>
              <w:tabs>
                <w:tab w:val="clear" w:pos="284"/>
                <w:tab w:val="clear" w:pos="567"/>
                <w:tab w:val="left" w:pos="425"/>
                <w:tab w:val="left" w:pos="479"/>
              </w:tabs>
              <w:spacing w:before="100" w:after="100"/>
              <w:ind w:left="425" w:right="113" w:hanging="312"/>
              <w:rPr>
                <w:szCs w:val="22"/>
                <w:lang w:val="es-ES"/>
              </w:rPr>
            </w:pPr>
            <w:r w:rsidRPr="00FE22F9">
              <w:rPr>
                <w:szCs w:val="22"/>
                <w:lang w:val="es-ES"/>
              </w:rPr>
              <w:t>4.</w:t>
            </w:r>
            <w:r w:rsidRPr="00FE22F9">
              <w:rPr>
                <w:szCs w:val="22"/>
                <w:lang w:val="es-ES"/>
              </w:rPr>
              <w:tab/>
              <w:t>Puntos de contacto para trámites aduaneros</w:t>
            </w:r>
          </w:p>
        </w:tc>
      </w:tr>
      <w:tr w:rsidR="00CB2890" w:rsidRPr="0020509D" w:rsidTr="00CB2890">
        <w:trPr>
          <w:cantSplit/>
          <w:jc w:val="center"/>
        </w:trPr>
        <w:tc>
          <w:tcPr>
            <w:tcW w:w="5670" w:type="dxa"/>
            <w:tcBorders>
              <w:top w:val="single" w:sz="6" w:space="0" w:color="auto"/>
              <w:left w:val="single" w:sz="6" w:space="0" w:color="auto"/>
              <w:bottom w:val="single" w:sz="6" w:space="0" w:color="auto"/>
              <w:right w:val="single" w:sz="6" w:space="0" w:color="auto"/>
            </w:tcBorders>
          </w:tcPr>
          <w:p w:rsidR="00CB2890" w:rsidRPr="00FE22F9" w:rsidRDefault="00CB2890" w:rsidP="00FE22F9">
            <w:pPr>
              <w:pStyle w:val="Tabletext"/>
              <w:keepNext/>
              <w:keepLines/>
              <w:tabs>
                <w:tab w:val="clear" w:pos="284"/>
                <w:tab w:val="clear" w:pos="567"/>
                <w:tab w:val="left" w:pos="426"/>
              </w:tabs>
              <w:spacing w:before="100" w:after="100"/>
              <w:ind w:left="426" w:right="113" w:hanging="313"/>
              <w:jc w:val="left"/>
              <w:rPr>
                <w:szCs w:val="22"/>
                <w:lang w:val="es-ES"/>
              </w:rPr>
            </w:pPr>
            <w:r w:rsidRPr="00FE22F9">
              <w:rPr>
                <w:szCs w:val="22"/>
                <w:lang w:val="es-ES"/>
              </w:rPr>
              <w:t>5.</w:t>
            </w:r>
            <w:r w:rsidRPr="00FE22F9">
              <w:rPr>
                <w:szCs w:val="22"/>
                <w:lang w:val="es-ES"/>
              </w:rPr>
              <w:tab/>
              <w:t>Características del terminal terreno</w:t>
            </w:r>
            <w:r w:rsidR="008C35CA" w:rsidRPr="00FE22F9">
              <w:rPr>
                <w:szCs w:val="22"/>
                <w:lang w:val="es-ES"/>
              </w:rPr>
              <w:t xml:space="preserve"> DSNG </w:t>
            </w:r>
            <w:r w:rsidRPr="00FE22F9">
              <w:rPr>
                <w:szCs w:val="22"/>
                <w:lang w:val="es-ES"/>
              </w:rPr>
              <w:t>(por ejemplo, utilización actual, código de identificación, banda de frecuencia, p.i.r.e</w:t>
            </w:r>
            <w:r w:rsidR="0020509D" w:rsidRPr="00FE22F9">
              <w:rPr>
                <w:szCs w:val="22"/>
                <w:lang w:val="es-ES"/>
              </w:rPr>
              <w:t>.</w:t>
            </w:r>
            <w:r w:rsidRPr="00FE22F9">
              <w:rPr>
                <w:szCs w:val="22"/>
                <w:lang w:val="es-ES"/>
              </w:rPr>
              <w:t xml:space="preserve"> máxima, diagrama de transmisión de la antena, métodos de modulación)</w:t>
            </w:r>
          </w:p>
        </w:tc>
        <w:tc>
          <w:tcPr>
            <w:tcW w:w="4060" w:type="dxa"/>
            <w:tcBorders>
              <w:top w:val="single" w:sz="6" w:space="0" w:color="auto"/>
              <w:left w:val="single" w:sz="6" w:space="0" w:color="auto"/>
              <w:bottom w:val="single" w:sz="6" w:space="0" w:color="auto"/>
              <w:right w:val="single" w:sz="6" w:space="0" w:color="auto"/>
            </w:tcBorders>
          </w:tcPr>
          <w:p w:rsidR="00CB2890" w:rsidRPr="00FE22F9" w:rsidRDefault="00CB2890" w:rsidP="00FE22F9">
            <w:pPr>
              <w:pStyle w:val="Tabletext"/>
              <w:keepNext/>
              <w:keepLines/>
              <w:tabs>
                <w:tab w:val="clear" w:pos="284"/>
                <w:tab w:val="clear" w:pos="567"/>
                <w:tab w:val="left" w:pos="425"/>
                <w:tab w:val="left" w:pos="479"/>
              </w:tabs>
              <w:spacing w:before="100" w:after="100"/>
              <w:ind w:left="113" w:right="113"/>
              <w:rPr>
                <w:szCs w:val="22"/>
                <w:lang w:val="es-ES"/>
              </w:rPr>
            </w:pPr>
            <w:r w:rsidRPr="00FE22F9">
              <w:rPr>
                <w:szCs w:val="22"/>
                <w:lang w:val="es-ES"/>
              </w:rPr>
              <w:t>5.</w:t>
            </w:r>
            <w:r w:rsidRPr="00FE22F9">
              <w:rPr>
                <w:szCs w:val="22"/>
                <w:lang w:val="es-ES"/>
              </w:rPr>
              <w:tab/>
              <w:t>Información sobre tarifas</w:t>
            </w:r>
          </w:p>
        </w:tc>
      </w:tr>
      <w:tr w:rsidR="00CB2890" w:rsidRPr="0015619A" w:rsidTr="00CB2890">
        <w:trPr>
          <w:cantSplit/>
          <w:jc w:val="center"/>
        </w:trPr>
        <w:tc>
          <w:tcPr>
            <w:tcW w:w="5670" w:type="dxa"/>
            <w:tcBorders>
              <w:top w:val="single" w:sz="6" w:space="0" w:color="auto"/>
              <w:left w:val="single" w:sz="6" w:space="0" w:color="auto"/>
              <w:bottom w:val="single" w:sz="6" w:space="0" w:color="auto"/>
              <w:right w:val="single" w:sz="6" w:space="0" w:color="auto"/>
            </w:tcBorders>
          </w:tcPr>
          <w:p w:rsidR="00CB2890" w:rsidRPr="00FE22F9" w:rsidRDefault="00CB2890" w:rsidP="00FE22F9">
            <w:pPr>
              <w:pStyle w:val="Tabletext"/>
              <w:keepNext/>
              <w:keepLines/>
              <w:tabs>
                <w:tab w:val="clear" w:pos="284"/>
                <w:tab w:val="clear" w:pos="567"/>
                <w:tab w:val="left" w:pos="426"/>
              </w:tabs>
              <w:spacing w:before="100" w:after="100"/>
              <w:ind w:left="426" w:right="113" w:hanging="313"/>
              <w:jc w:val="left"/>
              <w:rPr>
                <w:szCs w:val="22"/>
                <w:lang w:val="es-ES"/>
              </w:rPr>
            </w:pPr>
            <w:r w:rsidRPr="00FE22F9">
              <w:rPr>
                <w:szCs w:val="22"/>
                <w:lang w:val="es-ES"/>
              </w:rPr>
              <w:t>6.</w:t>
            </w:r>
            <w:r w:rsidRPr="00FE22F9">
              <w:rPr>
                <w:szCs w:val="22"/>
                <w:lang w:val="es-ES"/>
              </w:rPr>
              <w:tab/>
              <w:t>Servicios adicionales de transmisión auxiliares (por ejemplo, microondas, número de circuitos telefónicos auxiliares)</w:t>
            </w:r>
          </w:p>
        </w:tc>
        <w:tc>
          <w:tcPr>
            <w:tcW w:w="4060" w:type="dxa"/>
            <w:tcBorders>
              <w:top w:val="single" w:sz="6" w:space="0" w:color="auto"/>
              <w:left w:val="single" w:sz="6" w:space="0" w:color="auto"/>
              <w:bottom w:val="single" w:sz="6" w:space="0" w:color="auto"/>
              <w:right w:val="single" w:sz="6" w:space="0" w:color="auto"/>
            </w:tcBorders>
          </w:tcPr>
          <w:p w:rsidR="00CB2890" w:rsidRPr="00FE22F9" w:rsidRDefault="00CB2890" w:rsidP="00FE22F9">
            <w:pPr>
              <w:pStyle w:val="Tabletext"/>
              <w:keepNext/>
              <w:keepLines/>
              <w:tabs>
                <w:tab w:val="clear" w:pos="284"/>
                <w:tab w:val="clear" w:pos="567"/>
                <w:tab w:val="left" w:pos="425"/>
                <w:tab w:val="left" w:pos="479"/>
              </w:tabs>
              <w:spacing w:before="100" w:after="100"/>
              <w:ind w:left="113" w:right="113"/>
              <w:rPr>
                <w:szCs w:val="22"/>
                <w:lang w:val="es-ES"/>
              </w:rPr>
            </w:pPr>
            <w:r w:rsidRPr="00FE22F9">
              <w:rPr>
                <w:szCs w:val="22"/>
                <w:lang w:val="es-ES"/>
              </w:rPr>
              <w:t>6.</w:t>
            </w:r>
            <w:r w:rsidRPr="00FE22F9">
              <w:rPr>
                <w:szCs w:val="22"/>
                <w:lang w:val="es-ES"/>
              </w:rPr>
              <w:tab/>
              <w:t>Normas de seguridad</w:t>
            </w:r>
          </w:p>
        </w:tc>
      </w:tr>
    </w:tbl>
    <w:p w:rsidR="00CB2890" w:rsidRPr="0015619A" w:rsidRDefault="00CB2890" w:rsidP="00FE22F9">
      <w:pPr>
        <w:pStyle w:val="Tablefin"/>
        <w:keepNext/>
        <w:keepLines/>
        <w:rPr>
          <w:lang w:val="es-ES"/>
        </w:rPr>
      </w:pPr>
    </w:p>
    <w:p w:rsidR="00855F45" w:rsidRPr="0015619A" w:rsidRDefault="00855F45" w:rsidP="008F6448">
      <w:pPr>
        <w:jc w:val="center"/>
        <w:rPr>
          <w:lang w:val="es-ES"/>
        </w:rPr>
      </w:pPr>
      <w:r w:rsidRPr="0015619A">
        <w:rPr>
          <w:lang w:val="es-ES"/>
        </w:rPr>
        <w:t>______________</w:t>
      </w:r>
    </w:p>
    <w:sectPr w:rsidR="00855F45" w:rsidRPr="0015619A" w:rsidSect="00E465AE">
      <w:headerReference w:type="even" r:id="rId14"/>
      <w:headerReference w:type="default" r:id="rId15"/>
      <w:footerReference w:type="even" r:id="rId16"/>
      <w:foot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509D" w:rsidRDefault="0020509D">
      <w:r>
        <w:separator/>
      </w:r>
    </w:p>
  </w:endnote>
  <w:endnote w:type="continuationSeparator" w:id="0">
    <w:p w:rsidR="0020509D" w:rsidRDefault="00205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09D" w:rsidRPr="009146E8" w:rsidRDefault="0020509D" w:rsidP="009146E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09D" w:rsidRPr="009146E8" w:rsidRDefault="0020509D" w:rsidP="009146E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09D" w:rsidRPr="009146E8" w:rsidRDefault="0020509D" w:rsidP="009146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509D" w:rsidRDefault="0020509D">
      <w:r>
        <w:separator/>
      </w:r>
    </w:p>
  </w:footnote>
  <w:footnote w:type="continuationSeparator" w:id="0">
    <w:p w:rsidR="0020509D" w:rsidRDefault="002050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09D" w:rsidRDefault="0020509D">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09D" w:rsidRDefault="0020509D" w:rsidP="00957191">
    <w:pPr>
      <w:pStyle w:val="Header"/>
      <w:ind w:right="360" w:firstLine="360"/>
    </w:pPr>
    <w:r>
      <w:rPr>
        <w:noProof/>
        <w:lang w:val="en-US" w:eastAsia="zh-CN"/>
      </w:rPr>
      <w:drawing>
        <wp:anchor distT="0" distB="0" distL="114300" distR="114300" simplePos="0" relativeHeight="251659264" behindDoc="1" locked="0" layoutInCell="1" allowOverlap="1" wp14:anchorId="58C005CA" wp14:editId="59AAEBA6">
          <wp:simplePos x="0" y="0"/>
          <wp:positionH relativeFrom="page">
            <wp:posOffset>0</wp:posOffset>
          </wp:positionH>
          <wp:positionV relativeFrom="page">
            <wp:posOffset>0</wp:posOffset>
          </wp:positionV>
          <wp:extent cx="7592060" cy="10760075"/>
          <wp:effectExtent l="19050" t="0" r="8890" b="0"/>
          <wp:wrapNone/>
          <wp:docPr id="4" name="Picture 4"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09D" w:rsidRDefault="0020509D" w:rsidP="00957191">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6C6411">
      <w:rPr>
        <w:rStyle w:val="PageNumber"/>
        <w:b/>
        <w:bCs/>
        <w:noProof/>
      </w:rPr>
      <w:t>ii</w:t>
    </w:r>
    <w:r>
      <w:rPr>
        <w:rStyle w:val="PageNumber"/>
        <w:b/>
        <w:bCs/>
      </w:rPr>
      <w:fldChar w:fldCharType="end"/>
    </w:r>
    <w:r>
      <w:tab/>
    </w:r>
    <w:fldSimple w:instr=" DOCPROPERTY &quot;Header&quot; \* MERGEFORMAT ">
      <w:r w:rsidR="009146E8" w:rsidRPr="009146E8">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6C6411">
      <w:rPr>
        <w:b/>
        <w:bCs/>
        <w:noProof/>
      </w:rPr>
      <w:t>UIT-R  SNG.770-2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09D" w:rsidRDefault="0020509D">
    <w:pPr>
      <w:pStyle w:val="Header"/>
    </w:pPr>
    <w:r>
      <w:tab/>
    </w:r>
    <w:fldSimple w:instr=" DOCPROPERTY &quot;Header&quot; \* MERGEFORMAT ">
      <w:r w:rsidR="009146E8" w:rsidRPr="009146E8">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9146E8">
      <w:rPr>
        <w:b/>
        <w:bCs/>
        <w:noProof/>
      </w:rPr>
      <w:t>UIT-R  SNG.770-2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E0198">
      <w:rPr>
        <w:rStyle w:val="PageNumber"/>
        <w:b/>
        <w:bCs/>
        <w:noProof/>
      </w:rPr>
      <w:t>iv</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09D" w:rsidRDefault="0020509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C6411">
      <w:rPr>
        <w:rStyle w:val="PageNumber"/>
        <w:b/>
        <w:bCs/>
        <w:noProof/>
        <w:lang w:val="en-US"/>
      </w:rPr>
      <w:t>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9146E8" w:rsidRPr="009146E8">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C6411">
      <w:rPr>
        <w:b/>
        <w:bCs/>
        <w:noProof/>
      </w:rPr>
      <w:t>UIT-R  SNG.770-2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09D" w:rsidRPr="00E465AE" w:rsidRDefault="0020509D">
    <w:pPr>
      <w:pStyle w:val="Header"/>
      <w:rPr>
        <w:b/>
        <w:bCs/>
      </w:rPr>
    </w:pPr>
    <w:r>
      <w:tab/>
    </w:r>
    <w:fldSimple w:instr=" DOCPROPERTY &quot;Header&quot; \* MERGEFORMAT ">
      <w:r w:rsidR="009146E8" w:rsidRPr="009146E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C6411">
      <w:rPr>
        <w:b/>
        <w:bCs/>
        <w:noProof/>
      </w:rPr>
      <w:t>UIT-R  SNG.770-2</w:t>
    </w:r>
    <w:r>
      <w:rPr>
        <w:b/>
        <w:bCs/>
      </w:rPr>
      <w:fldChar w:fldCharType="end"/>
    </w:r>
    <w:r>
      <w:tab/>
    </w:r>
    <w:r w:rsidRPr="00E465AE">
      <w:rPr>
        <w:b/>
        <w:bCs/>
      </w:rPr>
      <w:fldChar w:fldCharType="begin"/>
    </w:r>
    <w:r w:rsidRPr="00E465AE">
      <w:rPr>
        <w:b/>
        <w:bCs/>
      </w:rPr>
      <w:instrText xml:space="preserve"> PAGE   \* MERGEFORMAT </w:instrText>
    </w:r>
    <w:r w:rsidRPr="00E465AE">
      <w:rPr>
        <w:b/>
        <w:bCs/>
      </w:rPr>
      <w:fldChar w:fldCharType="separate"/>
    </w:r>
    <w:r w:rsidR="006C6411">
      <w:rPr>
        <w:b/>
        <w:bCs/>
        <w:noProof/>
      </w:rPr>
      <w:t>9</w:t>
    </w:r>
    <w:r w:rsidRPr="00E465AE">
      <w:rPr>
        <w:b/>
        <w:bCs/>
        <w:noProof/>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837"/>
    <w:rsid w:val="00014658"/>
    <w:rsid w:val="00093097"/>
    <w:rsid w:val="000D6FF8"/>
    <w:rsid w:val="001135CF"/>
    <w:rsid w:val="001451C6"/>
    <w:rsid w:val="00153B2A"/>
    <w:rsid w:val="0015619A"/>
    <w:rsid w:val="001A0E9F"/>
    <w:rsid w:val="0020509D"/>
    <w:rsid w:val="00217EBF"/>
    <w:rsid w:val="00242AEE"/>
    <w:rsid w:val="0026364D"/>
    <w:rsid w:val="00287963"/>
    <w:rsid w:val="002D76C4"/>
    <w:rsid w:val="002E0198"/>
    <w:rsid w:val="003348E4"/>
    <w:rsid w:val="00356837"/>
    <w:rsid w:val="00413C70"/>
    <w:rsid w:val="00415E26"/>
    <w:rsid w:val="0052529D"/>
    <w:rsid w:val="00583E88"/>
    <w:rsid w:val="005D7BCC"/>
    <w:rsid w:val="00607D68"/>
    <w:rsid w:val="006727D5"/>
    <w:rsid w:val="006C6411"/>
    <w:rsid w:val="00741CC2"/>
    <w:rsid w:val="007468DA"/>
    <w:rsid w:val="00852FEF"/>
    <w:rsid w:val="00855F45"/>
    <w:rsid w:val="0088493C"/>
    <w:rsid w:val="008C35CA"/>
    <w:rsid w:val="008E6058"/>
    <w:rsid w:val="008F6448"/>
    <w:rsid w:val="009146E8"/>
    <w:rsid w:val="00957191"/>
    <w:rsid w:val="009E00A8"/>
    <w:rsid w:val="009F6473"/>
    <w:rsid w:val="00A00E78"/>
    <w:rsid w:val="00A21C95"/>
    <w:rsid w:val="00A4224A"/>
    <w:rsid w:val="00A6617B"/>
    <w:rsid w:val="00AB0DC8"/>
    <w:rsid w:val="00AB750E"/>
    <w:rsid w:val="00AC2B94"/>
    <w:rsid w:val="00B17E7E"/>
    <w:rsid w:val="00B44E24"/>
    <w:rsid w:val="00C21FF7"/>
    <w:rsid w:val="00CB2890"/>
    <w:rsid w:val="00DF4176"/>
    <w:rsid w:val="00E174DF"/>
    <w:rsid w:val="00E465AE"/>
    <w:rsid w:val="00F358A8"/>
    <w:rsid w:val="00FE22F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E6F2479F-C4DF-4720-9848-B770C0B89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Style 12,(NECG) Footnote Reference,Style 124"/>
    <w:basedOn w:val="DefaultParagraphFont"/>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356837"/>
    <w:rPr>
      <w:color w:val="0000FF"/>
      <w:u w:val="single"/>
    </w:rPr>
  </w:style>
  <w:style w:type="table" w:styleId="TableGrid">
    <w:name w:val="Table Grid"/>
    <w:basedOn w:val="TableNormal"/>
    <w:rsid w:val="00356837"/>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
    <w:basedOn w:val="DefaultParagraphFont"/>
    <w:link w:val="FootnoteText"/>
    <w:rsid w:val="00356837"/>
    <w:rPr>
      <w:sz w:val="22"/>
      <w:lang w:val="fr-FR" w:eastAsia="en-US"/>
    </w:rPr>
  </w:style>
  <w:style w:type="paragraph" w:customStyle="1" w:styleId="Normalaftertitle0">
    <w:name w:val="Normal after title"/>
    <w:basedOn w:val="Normal"/>
    <w:next w:val="Normal"/>
    <w:rsid w:val="00356837"/>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enumlev1Char">
    <w:name w:val="enumlev1 Char"/>
    <w:link w:val="enumlev1"/>
    <w:locked/>
    <w:rsid w:val="00356837"/>
    <w:rPr>
      <w:sz w:val="24"/>
      <w:lang w:val="fr-FR" w:eastAsia="en-US"/>
    </w:rPr>
  </w:style>
  <w:style w:type="character" w:customStyle="1" w:styleId="NormalaftertitleChar">
    <w:name w:val="Normal_after_title Char"/>
    <w:link w:val="Normalaftertitle"/>
    <w:locked/>
    <w:rsid w:val="00356837"/>
    <w:rPr>
      <w:sz w:val="24"/>
      <w:lang w:val="fr-FR" w:eastAsia="en-US"/>
    </w:rPr>
  </w:style>
  <w:style w:type="character" w:customStyle="1" w:styleId="CallChar">
    <w:name w:val="Call Char"/>
    <w:link w:val="Call"/>
    <w:locked/>
    <w:rsid w:val="00356837"/>
    <w:rPr>
      <w:i/>
      <w:sz w:val="24"/>
      <w:lang w:val="fr-FR" w:eastAsia="en-US"/>
    </w:rPr>
  </w:style>
  <w:style w:type="character" w:customStyle="1" w:styleId="TabletextChar">
    <w:name w:val="Table_text Char"/>
    <w:link w:val="Tabletext"/>
    <w:locked/>
    <w:rsid w:val="00356837"/>
    <w:rPr>
      <w:sz w:val="22"/>
      <w:lang w:val="fr-FR" w:eastAsia="en-US"/>
    </w:rPr>
  </w:style>
  <w:style w:type="character" w:customStyle="1" w:styleId="HeadingbChar">
    <w:name w:val="Heading_b Char"/>
    <w:link w:val="Headingb"/>
    <w:locked/>
    <w:rsid w:val="00356837"/>
    <w:rPr>
      <w:b/>
      <w:sz w:val="24"/>
      <w:lang w:val="fr-FR" w:eastAsia="en-US"/>
    </w:rPr>
  </w:style>
  <w:style w:type="paragraph" w:styleId="BalloonText">
    <w:name w:val="Balloon Text"/>
    <w:basedOn w:val="Normal"/>
    <w:link w:val="BalloonTextChar"/>
    <w:rsid w:val="00356837"/>
    <w:pPr>
      <w:spacing w:before="0"/>
    </w:pPr>
    <w:rPr>
      <w:rFonts w:ascii="Tahoma" w:hAnsi="Tahoma" w:cs="Tahoma"/>
      <w:sz w:val="16"/>
      <w:szCs w:val="16"/>
    </w:rPr>
  </w:style>
  <w:style w:type="character" w:customStyle="1" w:styleId="BalloonTextChar">
    <w:name w:val="Balloon Text Char"/>
    <w:basedOn w:val="DefaultParagraphFont"/>
    <w:link w:val="BalloonText"/>
    <w:rsid w:val="00356837"/>
    <w:rPr>
      <w:rFonts w:ascii="Tahoma" w:hAnsi="Tahoma" w:cs="Tahoma"/>
      <w:sz w:val="16"/>
      <w:szCs w:val="16"/>
      <w:lang w:val="fr-FR" w:eastAsia="en-US"/>
    </w:rPr>
  </w:style>
  <w:style w:type="paragraph" w:customStyle="1" w:styleId="AnnexNo">
    <w:name w:val="Annex_No"/>
    <w:basedOn w:val="Normal"/>
    <w:next w:val="Annextitle"/>
    <w:rsid w:val="00CB2890"/>
    <w:pPr>
      <w:keepNext/>
      <w:keepLines/>
      <w:spacing w:before="480" w:after="80"/>
      <w:jc w:val="center"/>
    </w:pPr>
    <w:rPr>
      <w:sz w:val="28"/>
    </w:rPr>
  </w:style>
  <w:style w:type="paragraph" w:customStyle="1" w:styleId="Annextitle">
    <w:name w:val="Annex_title"/>
    <w:basedOn w:val="Normal"/>
    <w:next w:val="Normalaftertitle"/>
    <w:rsid w:val="00CB2890"/>
    <w:pPr>
      <w:keepNext/>
      <w:keepLines/>
      <w:tabs>
        <w:tab w:val="clear" w:pos="794"/>
        <w:tab w:val="clear" w:pos="1191"/>
        <w:tab w:val="clear" w:pos="1588"/>
        <w:tab w:val="clear" w:pos="1985"/>
      </w:tabs>
      <w:spacing w:before="280" w:after="40"/>
      <w:jc w:val="center"/>
    </w:pPr>
    <w:rPr>
      <w:b/>
      <w:sz w:val="28"/>
    </w:rPr>
  </w:style>
  <w:style w:type="paragraph" w:customStyle="1" w:styleId="Reasons">
    <w:name w:val="Reasons"/>
    <w:basedOn w:val="Normal"/>
    <w:qFormat/>
    <w:rsid w:val="00855F45"/>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FooterChar">
    <w:name w:val="Footer Char"/>
    <w:basedOn w:val="DefaultParagraphFont"/>
    <w:link w:val="Footer"/>
    <w:rsid w:val="00B17E7E"/>
    <w:rPr>
      <w:noProof/>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6.xml"/><Relationship Id="rId10" Type="http://schemas.openxmlformats.org/officeDocument/2006/relationships/hyperlink" Target="http://www.itu.int/publ/R-REC/e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9ED6CB-5815-4FC2-99FC-0FF39B3E9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TotalTime>
  <Pages>11</Pages>
  <Words>4311</Words>
  <Characters>22030</Characters>
  <Application>Microsoft Office Word</Application>
  <DocSecurity>0</DocSecurity>
  <Lines>1468</Lines>
  <Paragraphs>1097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25244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Gachet, Christelle</cp:lastModifiedBy>
  <cp:revision>6</cp:revision>
  <cp:lastPrinted>2012-04-13T08:25:00Z</cp:lastPrinted>
  <dcterms:created xsi:type="dcterms:W3CDTF">2014-09-23T14:04:00Z</dcterms:created>
  <dcterms:modified xsi:type="dcterms:W3CDTF">2014-09-23T14:11:00Z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