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E94015" w:rsidRDefault="00FE79FE">
      <w:pPr>
        <w:rPr>
          <w:lang w:val="fr-CH"/>
        </w:rPr>
      </w:pPr>
    </w:p>
    <w:p w:rsidR="00FE79FE" w:rsidRPr="00E94015" w:rsidRDefault="00FE79FE">
      <w:pPr>
        <w:rPr>
          <w:lang w:val="fr-CH"/>
        </w:rPr>
      </w:pPr>
    </w:p>
    <w:p w:rsidR="00FE79FE" w:rsidRPr="00E94015" w:rsidRDefault="00FE79FE">
      <w:pPr>
        <w:rPr>
          <w:lang w:val="fr-CH"/>
        </w:rPr>
      </w:pPr>
    </w:p>
    <w:p w:rsidR="00FE79FE" w:rsidRPr="00E94015" w:rsidRDefault="00FE79FE">
      <w:pPr>
        <w:rPr>
          <w:lang w:val="fr-CH"/>
        </w:rPr>
      </w:pPr>
    </w:p>
    <w:p w:rsidR="00FE79FE" w:rsidRPr="00E94015" w:rsidRDefault="00FE79FE">
      <w:pPr>
        <w:rPr>
          <w:lang w:val="fr-CH"/>
        </w:rPr>
      </w:pPr>
    </w:p>
    <w:p w:rsidR="00013002" w:rsidRPr="00E94015" w:rsidRDefault="00013002">
      <w:pPr>
        <w:rPr>
          <w:lang w:val="fr-CH"/>
        </w:rPr>
      </w:pPr>
    </w:p>
    <w:p w:rsidR="00013002" w:rsidRPr="00E94015" w:rsidRDefault="00013002">
      <w:pPr>
        <w:rPr>
          <w:lang w:val="fr-CH"/>
        </w:rPr>
      </w:pPr>
    </w:p>
    <w:p w:rsidR="00013002" w:rsidRPr="00E94015" w:rsidRDefault="00013002">
      <w:pPr>
        <w:rPr>
          <w:lang w:val="fr-CH"/>
        </w:rPr>
      </w:pPr>
    </w:p>
    <w:p w:rsidR="00FE79FE" w:rsidRPr="00E94015" w:rsidRDefault="00FE79FE">
      <w:pPr>
        <w:rPr>
          <w:lang w:val="fr-CH"/>
        </w:rPr>
      </w:pPr>
    </w:p>
    <w:p w:rsidR="00FE79FE" w:rsidRPr="00E94015" w:rsidRDefault="00FE79FE">
      <w:pPr>
        <w:rPr>
          <w:lang w:val="fr-CH"/>
        </w:rPr>
      </w:pPr>
    </w:p>
    <w:p w:rsidR="00FE79FE" w:rsidRPr="00E94015" w:rsidRDefault="00FE79FE">
      <w:pPr>
        <w:rPr>
          <w:lang w:val="fr-CH"/>
        </w:rPr>
      </w:pPr>
    </w:p>
    <w:p w:rsidR="00FE79FE" w:rsidRPr="00E94015" w:rsidRDefault="00FE79FE">
      <w:pPr>
        <w:rPr>
          <w:lang w:val="fr-CH"/>
        </w:rPr>
      </w:pPr>
    </w:p>
    <w:tbl>
      <w:tblPr>
        <w:tblW w:w="10089" w:type="dxa"/>
        <w:tblLook w:val="01E0" w:firstRow="1" w:lastRow="1" w:firstColumn="1" w:lastColumn="1" w:noHBand="0" w:noVBand="0"/>
      </w:tblPr>
      <w:tblGrid>
        <w:gridCol w:w="10089"/>
      </w:tblGrid>
      <w:tr w:rsidR="00FE79FE" w:rsidRPr="00E94015">
        <w:tc>
          <w:tcPr>
            <w:tcW w:w="10089" w:type="dxa"/>
          </w:tcPr>
          <w:p w:rsidR="00276D21" w:rsidRPr="00E94015" w:rsidRDefault="00276D21" w:rsidP="00013002">
            <w:pPr>
              <w:spacing w:before="380" w:line="280" w:lineRule="exact"/>
              <w:jc w:val="right"/>
              <w:rPr>
                <w:rFonts w:ascii="Tahoma" w:hAnsi="Tahoma" w:cs="Tahoma"/>
                <w:b/>
                <w:bCs/>
                <w:iCs/>
                <w:color w:val="243285"/>
                <w:sz w:val="32"/>
                <w:szCs w:val="32"/>
                <w:lang w:val="fr-CH"/>
              </w:rPr>
            </w:pPr>
          </w:p>
          <w:p w:rsidR="00FE79FE" w:rsidRPr="00E94015" w:rsidRDefault="00FE79FE" w:rsidP="007D4B96">
            <w:pPr>
              <w:spacing w:before="380" w:line="280" w:lineRule="exact"/>
              <w:jc w:val="right"/>
              <w:rPr>
                <w:rFonts w:ascii="Tahoma" w:hAnsi="Tahoma" w:cs="Tahoma"/>
                <w:b/>
                <w:bCs/>
                <w:iCs/>
                <w:color w:val="243285"/>
                <w:sz w:val="36"/>
                <w:szCs w:val="36"/>
                <w:lang w:val="fr-CH"/>
              </w:rPr>
            </w:pPr>
            <w:r w:rsidRPr="00E94015">
              <w:rPr>
                <w:rFonts w:ascii="Tahoma" w:hAnsi="Tahoma" w:cs="Tahoma"/>
                <w:b/>
                <w:bCs/>
                <w:iCs/>
                <w:color w:val="243285"/>
                <w:sz w:val="36"/>
                <w:szCs w:val="36"/>
                <w:lang w:val="fr-CH"/>
              </w:rPr>
              <w:t>Recomm</w:t>
            </w:r>
            <w:r w:rsidR="00D31EB8" w:rsidRPr="00E94015">
              <w:rPr>
                <w:rFonts w:ascii="Tahoma" w:hAnsi="Tahoma" w:cs="Tahoma"/>
                <w:b/>
                <w:bCs/>
                <w:iCs/>
                <w:color w:val="243285"/>
                <w:sz w:val="36"/>
                <w:szCs w:val="36"/>
                <w:lang w:val="fr-CH"/>
              </w:rPr>
              <w:t>a</w:t>
            </w:r>
            <w:r w:rsidRPr="00E94015">
              <w:rPr>
                <w:rFonts w:ascii="Tahoma" w:hAnsi="Tahoma" w:cs="Tahoma"/>
                <w:b/>
                <w:bCs/>
                <w:iCs/>
                <w:color w:val="243285"/>
                <w:sz w:val="36"/>
                <w:szCs w:val="36"/>
                <w:lang w:val="fr-CH"/>
              </w:rPr>
              <w:t xml:space="preserve">ndation  </w:t>
            </w:r>
            <w:r w:rsidR="00D31EB8" w:rsidRPr="00E94015">
              <w:rPr>
                <w:rFonts w:ascii="Tahoma" w:hAnsi="Tahoma" w:cs="Tahoma"/>
                <w:b/>
                <w:bCs/>
                <w:iCs/>
                <w:color w:val="243285"/>
                <w:sz w:val="36"/>
                <w:szCs w:val="36"/>
                <w:lang w:val="fr-CH"/>
              </w:rPr>
              <w:t>UIT</w:t>
            </w:r>
            <w:r w:rsidRPr="00E94015">
              <w:rPr>
                <w:rFonts w:ascii="Tahoma" w:hAnsi="Tahoma" w:cs="Tahoma"/>
                <w:b/>
                <w:bCs/>
                <w:iCs/>
                <w:color w:val="243285"/>
                <w:sz w:val="36"/>
                <w:szCs w:val="36"/>
                <w:lang w:val="fr-CH"/>
              </w:rPr>
              <w:t xml:space="preserve">-R  </w:t>
            </w:r>
            <w:r w:rsidR="004822EF" w:rsidRPr="00E94015">
              <w:rPr>
                <w:rFonts w:ascii="Tahoma" w:hAnsi="Tahoma" w:cs="Tahoma"/>
                <w:b/>
                <w:bCs/>
                <w:iCs/>
                <w:color w:val="243285"/>
                <w:sz w:val="36"/>
                <w:szCs w:val="36"/>
                <w:lang w:val="fr-CH"/>
              </w:rPr>
              <w:t>S</w:t>
            </w:r>
            <w:r w:rsidR="001B1BA9" w:rsidRPr="00E94015">
              <w:rPr>
                <w:rFonts w:ascii="Tahoma" w:hAnsi="Tahoma" w:cs="Tahoma"/>
                <w:b/>
                <w:bCs/>
                <w:iCs/>
                <w:color w:val="243285"/>
                <w:sz w:val="36"/>
                <w:szCs w:val="36"/>
                <w:lang w:val="fr-CH"/>
              </w:rPr>
              <w:t>NG</w:t>
            </w:r>
            <w:r w:rsidRPr="00E94015">
              <w:rPr>
                <w:rFonts w:ascii="Tahoma" w:hAnsi="Tahoma" w:cs="Tahoma"/>
                <w:b/>
                <w:bCs/>
                <w:iCs/>
                <w:color w:val="243285"/>
                <w:sz w:val="36"/>
                <w:szCs w:val="36"/>
                <w:lang w:val="fr-CH"/>
              </w:rPr>
              <w:t>.</w:t>
            </w:r>
            <w:r w:rsidR="007D4B96" w:rsidRPr="00E94015">
              <w:rPr>
                <w:rFonts w:ascii="Tahoma" w:hAnsi="Tahoma" w:cs="Tahoma"/>
                <w:b/>
                <w:bCs/>
                <w:iCs/>
                <w:color w:val="243285"/>
                <w:sz w:val="36"/>
                <w:szCs w:val="36"/>
                <w:lang w:val="fr-CH"/>
              </w:rPr>
              <w:t>770-2</w:t>
            </w:r>
          </w:p>
          <w:p w:rsidR="00FE79FE" w:rsidRPr="00E94015" w:rsidRDefault="00FE79FE" w:rsidP="007D4B96">
            <w:pPr>
              <w:spacing w:before="80" w:line="280" w:lineRule="exact"/>
              <w:jc w:val="right"/>
              <w:rPr>
                <w:rFonts w:ascii="Tahoma" w:hAnsi="Tahoma" w:cs="Tahoma"/>
                <w:b/>
                <w:bCs/>
                <w:iCs/>
                <w:color w:val="243285"/>
                <w:szCs w:val="24"/>
                <w:lang w:val="fr-CH"/>
              </w:rPr>
            </w:pPr>
            <w:r w:rsidRPr="00E94015">
              <w:rPr>
                <w:rFonts w:ascii="Tahoma" w:hAnsi="Tahoma" w:cs="Tahoma"/>
                <w:b/>
                <w:bCs/>
                <w:iCs/>
                <w:color w:val="243285"/>
                <w:szCs w:val="24"/>
                <w:lang w:val="fr-CH"/>
              </w:rPr>
              <w:t>(</w:t>
            </w:r>
            <w:r w:rsidR="00A443C2" w:rsidRPr="00E94015">
              <w:rPr>
                <w:rFonts w:ascii="Tahoma" w:hAnsi="Tahoma" w:cs="Tahoma"/>
                <w:b/>
                <w:bCs/>
                <w:iCs/>
                <w:color w:val="243285"/>
                <w:szCs w:val="24"/>
                <w:lang w:val="fr-CH"/>
              </w:rPr>
              <w:t>0</w:t>
            </w:r>
            <w:r w:rsidR="007D4B96" w:rsidRPr="00E94015">
              <w:rPr>
                <w:rFonts w:ascii="Tahoma" w:hAnsi="Tahoma" w:cs="Tahoma"/>
                <w:b/>
                <w:bCs/>
                <w:iCs/>
                <w:color w:val="243285"/>
                <w:szCs w:val="24"/>
                <w:lang w:val="fr-CH"/>
              </w:rPr>
              <w:t>1</w:t>
            </w:r>
            <w:r w:rsidRPr="00E94015">
              <w:rPr>
                <w:rFonts w:ascii="Tahoma" w:hAnsi="Tahoma" w:cs="Tahoma"/>
                <w:b/>
                <w:bCs/>
                <w:iCs/>
                <w:color w:val="243285"/>
                <w:szCs w:val="24"/>
                <w:lang w:val="fr-CH"/>
              </w:rPr>
              <w:t>/</w:t>
            </w:r>
            <w:r w:rsidR="007D4B96" w:rsidRPr="00E94015">
              <w:rPr>
                <w:rFonts w:ascii="Tahoma" w:hAnsi="Tahoma" w:cs="Tahoma"/>
                <w:b/>
                <w:bCs/>
                <w:iCs/>
                <w:color w:val="243285"/>
                <w:szCs w:val="24"/>
                <w:lang w:val="fr-CH"/>
              </w:rPr>
              <w:t>2012</w:t>
            </w:r>
            <w:r w:rsidRPr="00E94015">
              <w:rPr>
                <w:rFonts w:ascii="Tahoma" w:hAnsi="Tahoma" w:cs="Tahoma"/>
                <w:b/>
                <w:bCs/>
                <w:iCs/>
                <w:color w:val="243285"/>
                <w:szCs w:val="24"/>
                <w:lang w:val="fr-CH"/>
              </w:rPr>
              <w:t>)</w:t>
            </w:r>
          </w:p>
        </w:tc>
      </w:tr>
      <w:tr w:rsidR="00FE79FE" w:rsidRPr="00E94015">
        <w:tc>
          <w:tcPr>
            <w:tcW w:w="10089" w:type="dxa"/>
          </w:tcPr>
          <w:p w:rsidR="00A443C2" w:rsidRPr="00E94015" w:rsidRDefault="00A443C2" w:rsidP="00123FD5">
            <w:pPr>
              <w:spacing w:before="80" w:line="500" w:lineRule="exact"/>
              <w:jc w:val="right"/>
              <w:rPr>
                <w:rFonts w:ascii="Tahoma" w:hAnsi="Tahoma" w:cs="Tahoma"/>
                <w:b/>
                <w:bCs/>
                <w:iCs/>
                <w:color w:val="243285"/>
                <w:sz w:val="44"/>
                <w:szCs w:val="44"/>
                <w:lang w:val="fr-CH"/>
              </w:rPr>
            </w:pPr>
          </w:p>
          <w:p w:rsidR="00FE79FE" w:rsidRPr="00E94015" w:rsidRDefault="0079254A" w:rsidP="0079254A">
            <w:pPr>
              <w:spacing w:before="80" w:line="500" w:lineRule="exact"/>
              <w:jc w:val="right"/>
              <w:rPr>
                <w:rFonts w:ascii="Tahoma" w:hAnsi="Tahoma" w:cs="Tahoma"/>
                <w:b/>
                <w:bCs/>
                <w:iCs/>
                <w:color w:val="243285"/>
                <w:sz w:val="44"/>
                <w:szCs w:val="44"/>
                <w:lang w:val="fr-CH"/>
              </w:rPr>
            </w:pPr>
            <w:r w:rsidRPr="00E94015">
              <w:rPr>
                <w:rFonts w:ascii="Tahoma" w:hAnsi="Tahoma" w:cs="Tahoma"/>
                <w:b/>
                <w:bCs/>
                <w:iCs/>
                <w:color w:val="243285"/>
                <w:sz w:val="44"/>
                <w:szCs w:val="44"/>
                <w:lang w:val="fr-CH"/>
              </w:rPr>
              <w:t xml:space="preserve">Procédures d'exploitation unifiées applicables au reportage d'actualités </w:t>
            </w:r>
            <w:r w:rsidRPr="00E94015">
              <w:rPr>
                <w:rFonts w:ascii="Tahoma" w:hAnsi="Tahoma" w:cs="Tahoma"/>
                <w:b/>
                <w:bCs/>
                <w:iCs/>
                <w:color w:val="243285"/>
                <w:sz w:val="44"/>
                <w:szCs w:val="44"/>
                <w:lang w:val="fr-CH"/>
              </w:rPr>
              <w:br/>
              <w:t>par satellite numérique (DSNG)</w:t>
            </w:r>
          </w:p>
          <w:p w:rsidR="00E02402" w:rsidRPr="00E94015" w:rsidRDefault="00E02402" w:rsidP="00FE79FE">
            <w:pPr>
              <w:spacing w:before="80" w:line="500" w:lineRule="exact"/>
              <w:jc w:val="right"/>
              <w:rPr>
                <w:rFonts w:ascii="Tahoma" w:hAnsi="Tahoma" w:cs="Tahoma"/>
                <w:b/>
                <w:bCs/>
                <w:iCs/>
                <w:color w:val="243285"/>
                <w:sz w:val="44"/>
                <w:szCs w:val="44"/>
                <w:lang w:val="fr-CH"/>
              </w:rPr>
            </w:pPr>
          </w:p>
        </w:tc>
      </w:tr>
      <w:tr w:rsidR="00FE79FE" w:rsidRPr="00E94015">
        <w:tc>
          <w:tcPr>
            <w:tcW w:w="10089" w:type="dxa"/>
          </w:tcPr>
          <w:p w:rsidR="00AD267B" w:rsidRPr="00E94015" w:rsidRDefault="00AD267B" w:rsidP="00AD267B">
            <w:pPr>
              <w:spacing w:before="80" w:line="280" w:lineRule="exact"/>
              <w:ind w:right="640"/>
              <w:rPr>
                <w:rFonts w:ascii="Tahoma" w:hAnsi="Tahoma" w:cs="Tahoma"/>
                <w:b/>
                <w:bCs/>
                <w:iCs/>
                <w:color w:val="243285"/>
                <w:sz w:val="32"/>
                <w:szCs w:val="32"/>
                <w:lang w:val="fr-CH"/>
              </w:rPr>
            </w:pPr>
          </w:p>
          <w:p w:rsidR="00AD267B" w:rsidRPr="00E94015" w:rsidRDefault="00AD267B" w:rsidP="00AD267B">
            <w:pPr>
              <w:spacing w:before="80" w:line="280" w:lineRule="exact"/>
              <w:ind w:right="640"/>
              <w:rPr>
                <w:rFonts w:ascii="Tahoma" w:hAnsi="Tahoma" w:cs="Tahoma"/>
                <w:b/>
                <w:bCs/>
                <w:iCs/>
                <w:color w:val="243285"/>
                <w:sz w:val="32"/>
                <w:szCs w:val="32"/>
                <w:lang w:val="fr-CH"/>
              </w:rPr>
            </w:pPr>
          </w:p>
          <w:p w:rsidR="00AD267B" w:rsidRPr="00E94015" w:rsidRDefault="00AD267B" w:rsidP="004A4D65">
            <w:pPr>
              <w:spacing w:before="80" w:after="180" w:line="360" w:lineRule="exact"/>
              <w:ind w:right="720"/>
              <w:rPr>
                <w:rFonts w:ascii="Tahoma" w:hAnsi="Tahoma" w:cs="Tahoma"/>
                <w:b/>
                <w:bCs/>
                <w:iCs/>
                <w:color w:val="243285"/>
                <w:sz w:val="36"/>
                <w:szCs w:val="36"/>
                <w:lang w:val="fr-CH"/>
              </w:rPr>
            </w:pPr>
          </w:p>
          <w:p w:rsidR="00013002" w:rsidRPr="00E94015" w:rsidRDefault="00FE79FE" w:rsidP="001B1BA9">
            <w:pPr>
              <w:spacing w:before="80" w:after="180" w:line="360" w:lineRule="exact"/>
              <w:jc w:val="right"/>
              <w:rPr>
                <w:rFonts w:ascii="Tahoma" w:hAnsi="Tahoma" w:cs="Tahoma"/>
                <w:b/>
                <w:bCs/>
                <w:iCs/>
                <w:color w:val="243285"/>
                <w:sz w:val="36"/>
                <w:szCs w:val="36"/>
                <w:lang w:val="fr-CH"/>
              </w:rPr>
            </w:pPr>
            <w:r w:rsidRPr="00E94015">
              <w:rPr>
                <w:rFonts w:ascii="Tahoma" w:hAnsi="Tahoma" w:cs="Tahoma"/>
                <w:b/>
                <w:bCs/>
                <w:iCs/>
                <w:color w:val="243285"/>
                <w:sz w:val="36"/>
                <w:szCs w:val="36"/>
                <w:lang w:val="fr-CH"/>
              </w:rPr>
              <w:t>S</w:t>
            </w:r>
            <w:r w:rsidR="00D31EB8" w:rsidRPr="00E94015">
              <w:rPr>
                <w:rFonts w:ascii="Tahoma" w:hAnsi="Tahoma" w:cs="Tahoma"/>
                <w:b/>
                <w:bCs/>
                <w:iCs/>
                <w:color w:val="243285"/>
                <w:sz w:val="36"/>
                <w:szCs w:val="36"/>
                <w:lang w:val="fr-CH"/>
              </w:rPr>
              <w:t>é</w:t>
            </w:r>
            <w:r w:rsidRPr="00E94015">
              <w:rPr>
                <w:rFonts w:ascii="Tahoma" w:hAnsi="Tahoma" w:cs="Tahoma"/>
                <w:b/>
                <w:bCs/>
                <w:iCs/>
                <w:color w:val="243285"/>
                <w:sz w:val="36"/>
                <w:szCs w:val="36"/>
                <w:lang w:val="fr-CH"/>
              </w:rPr>
              <w:t>rie</w:t>
            </w:r>
            <w:r w:rsidR="00D31EB8" w:rsidRPr="00E94015">
              <w:rPr>
                <w:rFonts w:ascii="Tahoma" w:hAnsi="Tahoma" w:cs="Tahoma"/>
                <w:b/>
                <w:bCs/>
                <w:iCs/>
                <w:color w:val="243285"/>
                <w:sz w:val="36"/>
                <w:szCs w:val="36"/>
                <w:lang w:val="fr-CH"/>
              </w:rPr>
              <w:t xml:space="preserve"> </w:t>
            </w:r>
            <w:r w:rsidR="004822EF" w:rsidRPr="00E94015">
              <w:rPr>
                <w:rFonts w:ascii="Tahoma" w:hAnsi="Tahoma" w:cs="Tahoma"/>
                <w:b/>
                <w:bCs/>
                <w:iCs/>
                <w:color w:val="243285"/>
                <w:sz w:val="36"/>
                <w:szCs w:val="36"/>
                <w:lang w:val="fr-CH"/>
              </w:rPr>
              <w:t>S</w:t>
            </w:r>
            <w:r w:rsidR="001B1BA9" w:rsidRPr="00E94015">
              <w:rPr>
                <w:rFonts w:ascii="Tahoma" w:hAnsi="Tahoma" w:cs="Tahoma"/>
                <w:b/>
                <w:bCs/>
                <w:iCs/>
                <w:color w:val="243285"/>
                <w:sz w:val="36"/>
                <w:szCs w:val="36"/>
                <w:lang w:val="fr-CH"/>
              </w:rPr>
              <w:t>NG</w:t>
            </w:r>
          </w:p>
          <w:p w:rsidR="00FE79FE" w:rsidRPr="00E94015" w:rsidRDefault="001B1BA9" w:rsidP="00AD267B">
            <w:pPr>
              <w:spacing w:before="80" w:line="420" w:lineRule="exact"/>
              <w:jc w:val="right"/>
              <w:rPr>
                <w:rFonts w:ascii="Tahoma" w:hAnsi="Tahoma" w:cs="Tahoma"/>
                <w:b/>
                <w:bCs/>
                <w:iCs/>
                <w:color w:val="243285"/>
                <w:sz w:val="36"/>
                <w:szCs w:val="36"/>
                <w:lang w:val="fr-CH"/>
              </w:rPr>
            </w:pPr>
            <w:r w:rsidRPr="00E94015">
              <w:rPr>
                <w:rFonts w:ascii="Tahoma" w:hAnsi="Tahoma" w:cs="Tahoma"/>
                <w:b/>
                <w:bCs/>
                <w:iCs/>
                <w:color w:val="243285"/>
                <w:sz w:val="36"/>
                <w:szCs w:val="36"/>
                <w:lang w:val="fr-CH"/>
              </w:rPr>
              <w:t>Reportage d'actualités par satellite</w:t>
            </w:r>
          </w:p>
        </w:tc>
      </w:tr>
    </w:tbl>
    <w:p w:rsidR="00A71FE5" w:rsidRPr="00E94015" w:rsidRDefault="00A71FE5" w:rsidP="00CD659B">
      <w:pPr>
        <w:spacing w:before="80"/>
        <w:rPr>
          <w:i/>
          <w:sz w:val="22"/>
          <w:lang w:val="fr-CH"/>
        </w:rPr>
      </w:pPr>
    </w:p>
    <w:p w:rsidR="00FE79FE" w:rsidRPr="00E94015" w:rsidRDefault="00FE79FE" w:rsidP="00CD659B">
      <w:pPr>
        <w:spacing w:before="80"/>
        <w:rPr>
          <w:i/>
          <w:sz w:val="22"/>
          <w:lang w:val="fr-CH"/>
        </w:rPr>
      </w:pPr>
    </w:p>
    <w:p w:rsidR="00FE79FE" w:rsidRPr="00E94015" w:rsidRDefault="00FE79FE" w:rsidP="00CD659B">
      <w:pPr>
        <w:spacing w:before="80"/>
        <w:rPr>
          <w:i/>
          <w:sz w:val="22"/>
          <w:lang w:val="fr-CH"/>
        </w:rPr>
      </w:pPr>
    </w:p>
    <w:p w:rsidR="00FE79FE" w:rsidRPr="00E94015" w:rsidRDefault="00FE79FE" w:rsidP="00CD659B">
      <w:pPr>
        <w:spacing w:before="80"/>
        <w:rPr>
          <w:i/>
          <w:sz w:val="22"/>
          <w:lang w:val="fr-CH"/>
        </w:rPr>
      </w:pPr>
    </w:p>
    <w:p w:rsidR="00FE79FE" w:rsidRPr="00E94015" w:rsidRDefault="00FE79FE" w:rsidP="00CD659B">
      <w:pPr>
        <w:spacing w:before="80"/>
        <w:rPr>
          <w:i/>
          <w:sz w:val="22"/>
          <w:lang w:val="fr-CH"/>
        </w:rPr>
      </w:pPr>
    </w:p>
    <w:p w:rsidR="00A71FE5" w:rsidRPr="00E94015" w:rsidRDefault="00A71FE5" w:rsidP="00CD659B">
      <w:pPr>
        <w:spacing w:before="80"/>
        <w:rPr>
          <w:i/>
          <w:sz w:val="22"/>
          <w:lang w:val="fr-CH"/>
        </w:rPr>
      </w:pPr>
    </w:p>
    <w:p w:rsidR="00CD659B" w:rsidRPr="00E94015" w:rsidRDefault="00CD659B" w:rsidP="00CD659B">
      <w:pPr>
        <w:pStyle w:val="Equation"/>
        <w:tabs>
          <w:tab w:val="clear" w:pos="4820"/>
          <w:tab w:val="clear" w:pos="9639"/>
          <w:tab w:val="left" w:pos="1191"/>
          <w:tab w:val="left" w:pos="1588"/>
          <w:tab w:val="left" w:pos="1985"/>
        </w:tabs>
        <w:rPr>
          <w:rFonts w:ascii="Palatino Linotype" w:hAnsi="Palatino Linotype"/>
          <w:lang w:val="fr-CH"/>
        </w:rPr>
        <w:sectPr w:rsidR="00CD659B" w:rsidRPr="00E94015">
          <w:headerReference w:type="even" r:id="rId8"/>
          <w:headerReference w:type="default" r:id="rId9"/>
          <w:pgSz w:w="11907" w:h="16840" w:code="9"/>
          <w:pgMar w:top="1089" w:right="1089" w:bottom="284" w:left="1089" w:header="567" w:footer="284" w:gutter="0"/>
          <w:pgNumType w:start="1"/>
          <w:cols w:space="720"/>
        </w:sectPr>
      </w:pPr>
    </w:p>
    <w:p w:rsidR="00F54FBD" w:rsidRPr="00E94015"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E94015">
        <w:rPr>
          <w:bCs/>
          <w:sz w:val="24"/>
          <w:szCs w:val="24"/>
          <w:lang w:val="fr-CH"/>
        </w:rPr>
        <w:lastRenderedPageBreak/>
        <w:t>Avant-propos</w:t>
      </w:r>
    </w:p>
    <w:p w:rsidR="00F54FBD" w:rsidRPr="00E94015" w:rsidRDefault="00F54FBD" w:rsidP="00F54FBD">
      <w:pPr>
        <w:spacing w:before="240"/>
        <w:rPr>
          <w:sz w:val="20"/>
          <w:lang w:val="fr-CH"/>
        </w:rPr>
      </w:pPr>
      <w:r w:rsidRPr="00E94015">
        <w:rPr>
          <w:sz w:val="20"/>
          <w:lang w:val="fr-CH"/>
        </w:rPr>
        <w:t xml:space="preserve">Le </w:t>
      </w:r>
      <w:r w:rsidR="00614CC6" w:rsidRPr="00E94015">
        <w:rPr>
          <w:sz w:val="20"/>
          <w:lang w:val="fr-CH"/>
        </w:rPr>
        <w:t>rôle</w:t>
      </w:r>
      <w:r w:rsidRPr="00E94015">
        <w:rPr>
          <w:sz w:val="20"/>
          <w:lang w:val="fr-CH"/>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E94015">
        <w:rPr>
          <w:sz w:val="20"/>
          <w:lang w:val="fr-CH"/>
        </w:rPr>
        <w:t>procéder</w:t>
      </w:r>
      <w:r w:rsidRPr="00E94015">
        <w:rPr>
          <w:sz w:val="20"/>
          <w:lang w:val="fr-CH"/>
        </w:rPr>
        <w:t xml:space="preserve"> à des études pour toutes les gammes de </w:t>
      </w:r>
      <w:r w:rsidR="00614CC6" w:rsidRPr="00E94015">
        <w:rPr>
          <w:sz w:val="20"/>
          <w:lang w:val="fr-CH"/>
        </w:rPr>
        <w:t>fréquences</w:t>
      </w:r>
      <w:r w:rsidRPr="00E94015">
        <w:rPr>
          <w:sz w:val="20"/>
          <w:lang w:val="fr-CH"/>
        </w:rPr>
        <w:t>, à partir desquelles les Recommandations seront élaborées et adoptées.</w:t>
      </w:r>
    </w:p>
    <w:p w:rsidR="00F54FBD" w:rsidRPr="00E94015" w:rsidRDefault="00F54FBD" w:rsidP="00F54FBD">
      <w:pPr>
        <w:rPr>
          <w:sz w:val="20"/>
          <w:lang w:val="fr-CH"/>
        </w:rPr>
      </w:pPr>
      <w:r w:rsidRPr="00E94015">
        <w:rPr>
          <w:sz w:val="20"/>
          <w:lang w:val="fr-CH"/>
        </w:rPr>
        <w:t xml:space="preserve">Les </w:t>
      </w:r>
      <w:r w:rsidR="00614CC6" w:rsidRPr="00E94015">
        <w:rPr>
          <w:sz w:val="20"/>
          <w:lang w:val="fr-CH"/>
        </w:rPr>
        <w:t>fo</w:t>
      </w:r>
      <w:r w:rsidRPr="00E94015">
        <w:rPr>
          <w:sz w:val="20"/>
          <w:lang w:val="fr-CH"/>
        </w:rPr>
        <w:t xml:space="preserve">nctions </w:t>
      </w:r>
      <w:r w:rsidR="00614CC6" w:rsidRPr="00E94015">
        <w:rPr>
          <w:sz w:val="20"/>
          <w:lang w:val="fr-CH"/>
        </w:rPr>
        <w:t>réglementaires</w:t>
      </w:r>
      <w:r w:rsidRPr="00E94015">
        <w:rPr>
          <w:sz w:val="20"/>
          <w:lang w:val="fr-CH"/>
        </w:rPr>
        <w:t xml:space="preserve"> et politiques du Secteur des radiocommunications sont remplies par les Conférences mondiales et </w:t>
      </w:r>
      <w:r w:rsidR="00614CC6" w:rsidRPr="00E94015">
        <w:rPr>
          <w:sz w:val="20"/>
          <w:lang w:val="fr-CH"/>
        </w:rPr>
        <w:t>régionales</w:t>
      </w:r>
      <w:r w:rsidRPr="00E94015">
        <w:rPr>
          <w:sz w:val="20"/>
          <w:lang w:val="fr-CH"/>
        </w:rPr>
        <w:t xml:space="preserve"> des radiocommunications et par les Assemblées des radiocommunications assistées par les Commissions d’études.</w:t>
      </w:r>
    </w:p>
    <w:p w:rsidR="00F54FBD" w:rsidRPr="00E94015" w:rsidRDefault="00E44CBB" w:rsidP="00614CC6">
      <w:pPr>
        <w:pStyle w:val="Heading1"/>
        <w:spacing w:before="360"/>
        <w:jc w:val="center"/>
        <w:rPr>
          <w:szCs w:val="24"/>
          <w:lang w:val="fr-CH"/>
        </w:rPr>
      </w:pPr>
      <w:r w:rsidRPr="00E94015">
        <w:rPr>
          <w:szCs w:val="24"/>
          <w:lang w:val="fr-CH"/>
        </w:rPr>
        <w:t>Politique en matière de droits de propriété intellectuelle</w:t>
      </w:r>
      <w:r w:rsidR="00F54FBD" w:rsidRPr="00E94015">
        <w:rPr>
          <w:szCs w:val="24"/>
          <w:lang w:val="fr-CH"/>
        </w:rPr>
        <w:t xml:space="preserve"> (IPR)</w:t>
      </w:r>
    </w:p>
    <w:p w:rsidR="00E44CBB" w:rsidRPr="00E94015" w:rsidRDefault="00E44CBB" w:rsidP="00E44CBB">
      <w:pPr>
        <w:spacing w:before="240"/>
        <w:rPr>
          <w:sz w:val="20"/>
          <w:lang w:val="fr-CH"/>
        </w:rPr>
      </w:pPr>
      <w:r w:rsidRPr="00E94015">
        <w:rPr>
          <w:sz w:val="20"/>
          <w:lang w:val="fr-CH"/>
        </w:rPr>
        <w:t>La politique de l'UIT</w:t>
      </w:r>
      <w:r w:rsidRPr="00E94015">
        <w:rPr>
          <w:sz w:val="20"/>
          <w:lang w:val="fr-CH"/>
        </w:rPr>
        <w:noBreakHyphen/>
        <w:t>R en matière de droits de propriété intellectuelle est décrite dans la «Politique commune de l'UIT</w:t>
      </w:r>
      <w:r w:rsidRPr="00E94015">
        <w:rPr>
          <w:sz w:val="20"/>
          <w:lang w:val="fr-CH"/>
        </w:rPr>
        <w:noBreakHyphen/>
        <w:t>T, l'UIT</w:t>
      </w:r>
      <w:r w:rsidRPr="00E9401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E94015">
          <w:rPr>
            <w:rStyle w:val="Hyperlink"/>
            <w:sz w:val="20"/>
            <w:lang w:val="fr-CH"/>
          </w:rPr>
          <w:t>http://www.itu.int/ITU-R/go/patents/fr</w:t>
        </w:r>
      </w:hyperlink>
      <w:r w:rsidRPr="00E94015">
        <w:rPr>
          <w:sz w:val="20"/>
          <w:lang w:val="fr-CH"/>
        </w:rPr>
        <w:t>, où l'on trouvera également les Lignes directrices pour la mise en oeuvre de la politique commune en matière de brevets de l'UIT</w:t>
      </w:r>
      <w:r w:rsidRPr="00E94015">
        <w:rPr>
          <w:sz w:val="20"/>
          <w:lang w:val="fr-CH"/>
        </w:rPr>
        <w:noBreakHyphen/>
        <w:t>T, l'UIT</w:t>
      </w:r>
      <w:r w:rsidRPr="00E94015">
        <w:rPr>
          <w:sz w:val="20"/>
          <w:lang w:val="fr-CH"/>
        </w:rPr>
        <w:noBreakHyphen/>
        <w:t>R, l'ISO et la CEI</w:t>
      </w:r>
      <w:r w:rsidRPr="00E94015" w:rsidDel="0061025C">
        <w:rPr>
          <w:sz w:val="20"/>
          <w:lang w:val="fr-CH"/>
        </w:rPr>
        <w:t xml:space="preserve"> </w:t>
      </w:r>
      <w:r w:rsidRPr="00E94015">
        <w:rPr>
          <w:sz w:val="20"/>
          <w:lang w:val="fr-CH"/>
        </w:rPr>
        <w:t>et la base de données en matière de brevets de l'UIT-R.</w:t>
      </w:r>
    </w:p>
    <w:p w:rsidR="00F54FBD" w:rsidRPr="00E94015"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E94015">
        <w:tc>
          <w:tcPr>
            <w:tcW w:w="9360" w:type="dxa"/>
            <w:gridSpan w:val="2"/>
          </w:tcPr>
          <w:p w:rsidR="00F54FBD" w:rsidRPr="00E94015" w:rsidRDefault="009454F8"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E94015">
              <w:rPr>
                <w:sz w:val="22"/>
                <w:szCs w:val="22"/>
                <w:lang w:val="fr-CH"/>
              </w:rPr>
              <w:t xml:space="preserve">Séries des Recommandations UIT-R </w:t>
            </w:r>
          </w:p>
          <w:p w:rsidR="00F54FBD" w:rsidRPr="00E94015"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E94015">
              <w:rPr>
                <w:b w:val="0"/>
                <w:sz w:val="18"/>
                <w:szCs w:val="18"/>
                <w:lang w:val="fr-CH"/>
              </w:rPr>
              <w:t>(</w:t>
            </w:r>
            <w:r w:rsidR="009454F8" w:rsidRPr="00E94015">
              <w:rPr>
                <w:b w:val="0"/>
                <w:sz w:val="18"/>
                <w:szCs w:val="18"/>
                <w:lang w:val="fr-CH"/>
              </w:rPr>
              <w:t>Egalement disponible en ligne:</w:t>
            </w:r>
            <w:r w:rsidRPr="00E94015">
              <w:rPr>
                <w:b w:val="0"/>
                <w:sz w:val="18"/>
                <w:szCs w:val="18"/>
                <w:lang w:val="fr-CH"/>
              </w:rPr>
              <w:t xml:space="preserve"> </w:t>
            </w:r>
            <w:hyperlink r:id="rId11" w:history="1">
              <w:r w:rsidR="00837CB5" w:rsidRPr="00E94015">
                <w:rPr>
                  <w:rStyle w:val="Hyperlink"/>
                  <w:b w:val="0"/>
                  <w:bCs/>
                  <w:sz w:val="18"/>
                  <w:szCs w:val="18"/>
                  <w:lang w:val="fr-CH"/>
                </w:rPr>
                <w:t>http://www.itu.int/publ/R-REC/fr</w:t>
              </w:r>
            </w:hyperlink>
            <w:r w:rsidR="00BC0651" w:rsidRPr="00E94015">
              <w:rPr>
                <w:b w:val="0"/>
                <w:bCs/>
                <w:sz w:val="18"/>
                <w:szCs w:val="18"/>
                <w:lang w:val="fr-CH"/>
              </w:rPr>
              <w:t>)</w:t>
            </w:r>
          </w:p>
        </w:tc>
      </w:tr>
      <w:tr w:rsidR="00F54FBD" w:rsidRPr="00E94015" w:rsidTr="005E427C">
        <w:tc>
          <w:tcPr>
            <w:tcW w:w="1140" w:type="dxa"/>
            <w:tcBorders>
              <w:bottom w:val="nil"/>
            </w:tcBorders>
          </w:tcPr>
          <w:p w:rsidR="00F54FBD" w:rsidRPr="00E94015" w:rsidRDefault="00F54FBD" w:rsidP="00614CC6">
            <w:pPr>
              <w:spacing w:before="90" w:after="100"/>
              <w:ind w:left="57"/>
              <w:rPr>
                <w:b/>
                <w:bCs/>
                <w:sz w:val="20"/>
                <w:lang w:val="fr-CH"/>
              </w:rPr>
            </w:pPr>
            <w:r w:rsidRPr="00E94015">
              <w:rPr>
                <w:b/>
                <w:bCs/>
                <w:sz w:val="20"/>
                <w:lang w:val="fr-CH"/>
              </w:rPr>
              <w:t>S</w:t>
            </w:r>
            <w:r w:rsidR="009454F8" w:rsidRPr="00E94015">
              <w:rPr>
                <w:b/>
                <w:bCs/>
                <w:sz w:val="20"/>
                <w:lang w:val="fr-CH"/>
              </w:rPr>
              <w:t>é</w:t>
            </w:r>
            <w:r w:rsidRPr="00E94015">
              <w:rPr>
                <w:b/>
                <w:bCs/>
                <w:sz w:val="20"/>
                <w:lang w:val="fr-CH"/>
              </w:rPr>
              <w:t>ries</w:t>
            </w:r>
          </w:p>
        </w:tc>
        <w:tc>
          <w:tcPr>
            <w:tcW w:w="8220" w:type="dxa"/>
            <w:tcBorders>
              <w:bottom w:val="nil"/>
            </w:tcBorders>
          </w:tcPr>
          <w:p w:rsidR="00F54FBD" w:rsidRPr="00E94015"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E94015">
              <w:rPr>
                <w:bCs/>
                <w:sz w:val="20"/>
                <w:lang w:val="fr-CH"/>
              </w:rPr>
              <w:t>Titre</w:t>
            </w:r>
          </w:p>
        </w:tc>
      </w:tr>
      <w:tr w:rsidR="00F54FBD" w:rsidRPr="00E94015" w:rsidTr="005E427C">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BO</w:t>
            </w:r>
          </w:p>
        </w:tc>
        <w:tc>
          <w:tcPr>
            <w:tcW w:w="8220" w:type="dxa"/>
            <w:tcBorders>
              <w:top w:val="nil"/>
              <w:bottom w:val="nil"/>
            </w:tcBorders>
            <w:shd w:val="clear" w:color="auto" w:fill="auto"/>
          </w:tcPr>
          <w:p w:rsidR="00F54FBD" w:rsidRPr="00E94015"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94015">
              <w:rPr>
                <w:b w:val="0"/>
                <w:sz w:val="20"/>
                <w:lang w:val="fr-CH"/>
              </w:rPr>
              <w:t>Diffusion par satellite</w:t>
            </w:r>
          </w:p>
        </w:tc>
      </w:tr>
      <w:tr w:rsidR="00F54FBD" w:rsidRPr="00E94015" w:rsidTr="00E80F1D">
        <w:tc>
          <w:tcPr>
            <w:tcW w:w="1140" w:type="dxa"/>
            <w:tcBorders>
              <w:top w:val="nil"/>
              <w:bottom w:val="nil"/>
            </w:tcBorders>
          </w:tcPr>
          <w:p w:rsidR="00F54FBD" w:rsidRPr="00E94015" w:rsidRDefault="00F54FBD" w:rsidP="00F336CC">
            <w:pPr>
              <w:spacing w:before="30" w:after="30"/>
              <w:ind w:left="57"/>
              <w:jc w:val="left"/>
              <w:rPr>
                <w:b/>
                <w:bCs/>
                <w:sz w:val="20"/>
                <w:lang w:val="fr-CH"/>
              </w:rPr>
            </w:pPr>
            <w:r w:rsidRPr="00E94015">
              <w:rPr>
                <w:b/>
                <w:bCs/>
                <w:sz w:val="20"/>
                <w:lang w:val="fr-CH"/>
              </w:rPr>
              <w:t>BR</w:t>
            </w:r>
          </w:p>
        </w:tc>
        <w:tc>
          <w:tcPr>
            <w:tcW w:w="8220" w:type="dxa"/>
            <w:tcBorders>
              <w:top w:val="nil"/>
              <w:bottom w:val="nil"/>
            </w:tcBorders>
          </w:tcPr>
          <w:p w:rsidR="00F54FBD" w:rsidRPr="00E94015"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94015">
              <w:rPr>
                <w:b w:val="0"/>
                <w:bCs/>
                <w:sz w:val="20"/>
                <w:lang w:val="fr-CH"/>
              </w:rPr>
              <w:t>Enregistrement pour la production, l'archivage et la diffusion; films pour la télévision</w:t>
            </w:r>
          </w:p>
        </w:tc>
      </w:tr>
      <w:tr w:rsidR="00F54FBD" w:rsidRPr="00E94015" w:rsidTr="00E80F1D">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BS</w:t>
            </w:r>
          </w:p>
        </w:tc>
        <w:tc>
          <w:tcPr>
            <w:tcW w:w="8220" w:type="dxa"/>
            <w:tcBorders>
              <w:top w:val="nil"/>
              <w:bottom w:val="nil"/>
            </w:tcBorders>
            <w:shd w:val="clear" w:color="auto" w:fill="auto"/>
          </w:tcPr>
          <w:p w:rsidR="00F54FBD" w:rsidRPr="00E94015"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94015">
              <w:rPr>
                <w:b w:val="0"/>
                <w:sz w:val="20"/>
                <w:lang w:val="fr-CH"/>
              </w:rPr>
              <w:t>Service de radiodiffusion sonore</w:t>
            </w:r>
          </w:p>
        </w:tc>
      </w:tr>
      <w:tr w:rsidR="00F54FBD" w:rsidRPr="00E94015" w:rsidTr="00DE5EA2">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BT</w:t>
            </w:r>
          </w:p>
        </w:tc>
        <w:tc>
          <w:tcPr>
            <w:tcW w:w="8220" w:type="dxa"/>
            <w:tcBorders>
              <w:top w:val="nil"/>
              <w:bottom w:val="nil"/>
            </w:tcBorders>
            <w:shd w:val="clear" w:color="auto" w:fill="auto"/>
          </w:tcPr>
          <w:p w:rsidR="00F54FBD" w:rsidRPr="00E94015"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94015">
              <w:rPr>
                <w:b w:val="0"/>
                <w:bCs/>
                <w:sz w:val="20"/>
                <w:lang w:val="fr-CH"/>
              </w:rPr>
              <w:t>Service de radiodiffusion télévisuelle</w:t>
            </w:r>
          </w:p>
        </w:tc>
      </w:tr>
      <w:tr w:rsidR="00F54FBD" w:rsidRPr="00E94015" w:rsidTr="00DE5EA2">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F</w:t>
            </w:r>
          </w:p>
        </w:tc>
        <w:tc>
          <w:tcPr>
            <w:tcW w:w="8220" w:type="dxa"/>
            <w:tcBorders>
              <w:top w:val="nil"/>
              <w:bottom w:val="nil"/>
            </w:tcBorders>
            <w:shd w:val="clear" w:color="auto" w:fill="auto"/>
          </w:tcPr>
          <w:p w:rsidR="00F54FBD" w:rsidRPr="00E94015"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94015">
              <w:rPr>
                <w:sz w:val="20"/>
                <w:lang w:val="fr-CH"/>
              </w:rPr>
              <w:t>Service fixe</w:t>
            </w:r>
          </w:p>
        </w:tc>
      </w:tr>
      <w:tr w:rsidR="00F54FBD" w:rsidRPr="00E94015" w:rsidTr="00EC361D">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M</w:t>
            </w:r>
          </w:p>
        </w:tc>
        <w:tc>
          <w:tcPr>
            <w:tcW w:w="8220" w:type="dxa"/>
            <w:tcBorders>
              <w:top w:val="nil"/>
              <w:bottom w:val="nil"/>
            </w:tcBorders>
            <w:shd w:val="clear" w:color="auto" w:fill="auto"/>
          </w:tcPr>
          <w:p w:rsidR="00F54FBD" w:rsidRPr="00E94015"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94015">
              <w:rPr>
                <w:b w:val="0"/>
                <w:sz w:val="20"/>
                <w:lang w:val="fr-CH"/>
              </w:rPr>
              <w:t>Services mobile, de radiorepérage et d'amateur y compris les services par satellite associés</w:t>
            </w:r>
          </w:p>
        </w:tc>
      </w:tr>
      <w:tr w:rsidR="00F54FBD" w:rsidRPr="00E94015" w:rsidTr="004822EF">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P</w:t>
            </w:r>
          </w:p>
        </w:tc>
        <w:tc>
          <w:tcPr>
            <w:tcW w:w="8220" w:type="dxa"/>
            <w:tcBorders>
              <w:top w:val="nil"/>
              <w:bottom w:val="nil"/>
            </w:tcBorders>
            <w:shd w:val="clear" w:color="auto" w:fill="auto"/>
          </w:tcPr>
          <w:p w:rsidR="00F54FBD" w:rsidRPr="00E94015" w:rsidRDefault="00614CC6" w:rsidP="00F336CC">
            <w:pPr>
              <w:spacing w:before="30" w:after="30"/>
              <w:jc w:val="left"/>
              <w:rPr>
                <w:sz w:val="20"/>
                <w:lang w:val="fr-CH"/>
              </w:rPr>
            </w:pPr>
            <w:r w:rsidRPr="00E94015">
              <w:rPr>
                <w:sz w:val="20"/>
                <w:lang w:val="fr-CH"/>
              </w:rPr>
              <w:t>Propagation des ondes radioélectriques</w:t>
            </w:r>
          </w:p>
        </w:tc>
      </w:tr>
      <w:tr w:rsidR="00F54FBD" w:rsidRPr="00E94015" w:rsidTr="00326525">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RA</w:t>
            </w:r>
          </w:p>
        </w:tc>
        <w:tc>
          <w:tcPr>
            <w:tcW w:w="8220" w:type="dxa"/>
            <w:tcBorders>
              <w:top w:val="nil"/>
              <w:bottom w:val="nil"/>
            </w:tcBorders>
            <w:shd w:val="clear" w:color="auto" w:fill="auto"/>
          </w:tcPr>
          <w:p w:rsidR="00F54FBD" w:rsidRPr="00E9401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94015">
              <w:rPr>
                <w:sz w:val="20"/>
                <w:lang w:val="fr-CH"/>
              </w:rPr>
              <w:t>Radio astronomie</w:t>
            </w:r>
          </w:p>
        </w:tc>
      </w:tr>
      <w:tr w:rsidR="00F54FBD" w:rsidRPr="00E94015" w:rsidTr="00C40D3E">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RS</w:t>
            </w:r>
          </w:p>
        </w:tc>
        <w:tc>
          <w:tcPr>
            <w:tcW w:w="8220" w:type="dxa"/>
            <w:tcBorders>
              <w:top w:val="nil"/>
              <w:bottom w:val="nil"/>
            </w:tcBorders>
            <w:shd w:val="clear" w:color="auto" w:fill="auto"/>
          </w:tcPr>
          <w:p w:rsidR="00F54FBD" w:rsidRPr="00E9401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94015">
              <w:rPr>
                <w:sz w:val="20"/>
                <w:lang w:val="fr-CH"/>
              </w:rPr>
              <w:t>Systèmes de télédétection</w:t>
            </w:r>
          </w:p>
        </w:tc>
      </w:tr>
      <w:tr w:rsidR="00F54FBD" w:rsidRPr="00E94015" w:rsidTr="00595D3D">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S</w:t>
            </w:r>
          </w:p>
        </w:tc>
        <w:tc>
          <w:tcPr>
            <w:tcW w:w="8220" w:type="dxa"/>
            <w:tcBorders>
              <w:top w:val="nil"/>
              <w:bottom w:val="nil"/>
            </w:tcBorders>
            <w:shd w:val="clear" w:color="auto" w:fill="auto"/>
          </w:tcPr>
          <w:p w:rsidR="00F54FBD" w:rsidRPr="00E94015" w:rsidRDefault="00614CC6" w:rsidP="00F336CC">
            <w:pPr>
              <w:spacing w:before="30" w:after="30"/>
              <w:jc w:val="left"/>
              <w:rPr>
                <w:sz w:val="20"/>
                <w:lang w:val="fr-CH"/>
              </w:rPr>
            </w:pPr>
            <w:r w:rsidRPr="00E94015">
              <w:rPr>
                <w:sz w:val="20"/>
                <w:lang w:val="fr-CH"/>
              </w:rPr>
              <w:t>Service fixe par satellite</w:t>
            </w:r>
          </w:p>
        </w:tc>
      </w:tr>
      <w:tr w:rsidR="00F54FBD" w:rsidRPr="00E94015" w:rsidTr="009B5564">
        <w:tc>
          <w:tcPr>
            <w:tcW w:w="1140" w:type="dxa"/>
            <w:tcBorders>
              <w:top w:val="nil"/>
              <w:bottom w:val="nil"/>
            </w:tcBorders>
            <w:shd w:val="clear" w:color="auto" w:fill="auto"/>
          </w:tcPr>
          <w:p w:rsidR="00F54FBD" w:rsidRPr="00E94015" w:rsidRDefault="00F54FBD" w:rsidP="00F336CC">
            <w:pPr>
              <w:spacing w:before="30" w:after="30"/>
              <w:ind w:left="57"/>
              <w:jc w:val="left"/>
              <w:rPr>
                <w:b/>
                <w:bCs/>
                <w:sz w:val="20"/>
                <w:lang w:val="fr-CH"/>
              </w:rPr>
            </w:pPr>
            <w:r w:rsidRPr="00E94015">
              <w:rPr>
                <w:b/>
                <w:bCs/>
                <w:sz w:val="20"/>
                <w:lang w:val="fr-CH"/>
              </w:rPr>
              <w:t>SA</w:t>
            </w:r>
          </w:p>
        </w:tc>
        <w:tc>
          <w:tcPr>
            <w:tcW w:w="8220" w:type="dxa"/>
            <w:tcBorders>
              <w:top w:val="nil"/>
              <w:bottom w:val="nil"/>
            </w:tcBorders>
            <w:shd w:val="clear" w:color="auto" w:fill="auto"/>
          </w:tcPr>
          <w:p w:rsidR="00F54FBD" w:rsidRPr="00E94015" w:rsidRDefault="00614CC6" w:rsidP="00F336CC">
            <w:pPr>
              <w:spacing w:before="30" w:after="30"/>
              <w:jc w:val="left"/>
              <w:rPr>
                <w:sz w:val="20"/>
                <w:lang w:val="fr-CH"/>
              </w:rPr>
            </w:pPr>
            <w:r w:rsidRPr="00E94015">
              <w:rPr>
                <w:sz w:val="20"/>
                <w:lang w:val="fr-CH"/>
              </w:rPr>
              <w:t>Applications spatiales et météorologie</w:t>
            </w:r>
          </w:p>
        </w:tc>
      </w:tr>
      <w:tr w:rsidR="00F54FBD" w:rsidRPr="00E94015" w:rsidTr="001B1BA9">
        <w:tc>
          <w:tcPr>
            <w:tcW w:w="1140" w:type="dxa"/>
            <w:tcBorders>
              <w:top w:val="nil"/>
              <w:bottom w:val="nil"/>
            </w:tcBorders>
            <w:shd w:val="clear" w:color="auto" w:fill="auto"/>
          </w:tcPr>
          <w:p w:rsidR="00F54FBD" w:rsidRPr="00E94015" w:rsidRDefault="00F54FBD" w:rsidP="00F336CC">
            <w:pPr>
              <w:spacing w:before="30" w:after="30"/>
              <w:ind w:left="57"/>
              <w:jc w:val="left"/>
              <w:rPr>
                <w:b/>
                <w:sz w:val="20"/>
                <w:lang w:val="fr-CH"/>
              </w:rPr>
            </w:pPr>
            <w:r w:rsidRPr="00E94015">
              <w:rPr>
                <w:b/>
                <w:sz w:val="20"/>
                <w:lang w:val="fr-CH"/>
              </w:rPr>
              <w:t>SF</w:t>
            </w:r>
          </w:p>
        </w:tc>
        <w:tc>
          <w:tcPr>
            <w:tcW w:w="8220" w:type="dxa"/>
            <w:tcBorders>
              <w:top w:val="nil"/>
              <w:bottom w:val="nil"/>
            </w:tcBorders>
            <w:shd w:val="clear" w:color="auto" w:fill="auto"/>
          </w:tcPr>
          <w:p w:rsidR="00F54FBD" w:rsidRPr="00E94015" w:rsidRDefault="00614CC6" w:rsidP="00F336CC">
            <w:pPr>
              <w:spacing w:before="30" w:after="30"/>
              <w:jc w:val="left"/>
              <w:rPr>
                <w:bCs/>
                <w:sz w:val="20"/>
                <w:lang w:val="fr-CH"/>
              </w:rPr>
            </w:pPr>
            <w:r w:rsidRPr="00E94015">
              <w:rPr>
                <w:bCs/>
                <w:sz w:val="20"/>
                <w:lang w:val="fr-CH"/>
              </w:rPr>
              <w:t>Partage des fréquences et coordination entre les systèmes du service fixe par satellite et du service fixe</w:t>
            </w:r>
          </w:p>
        </w:tc>
      </w:tr>
      <w:tr w:rsidR="00F54FBD" w:rsidRPr="00E94015" w:rsidTr="001B1BA9">
        <w:tc>
          <w:tcPr>
            <w:tcW w:w="1140" w:type="dxa"/>
            <w:tcBorders>
              <w:top w:val="nil"/>
              <w:bottom w:val="nil"/>
            </w:tcBorders>
            <w:shd w:val="clear" w:color="auto" w:fill="auto"/>
          </w:tcPr>
          <w:p w:rsidR="00F54FBD" w:rsidRPr="00E94015" w:rsidRDefault="00F54FBD" w:rsidP="00F336CC">
            <w:pPr>
              <w:spacing w:before="30" w:after="30"/>
              <w:ind w:left="57"/>
              <w:jc w:val="left"/>
              <w:rPr>
                <w:b/>
                <w:sz w:val="20"/>
                <w:lang w:val="fr-CH"/>
              </w:rPr>
            </w:pPr>
            <w:r w:rsidRPr="00E94015">
              <w:rPr>
                <w:b/>
                <w:sz w:val="20"/>
                <w:lang w:val="fr-CH"/>
              </w:rPr>
              <w:t>SM</w:t>
            </w:r>
          </w:p>
        </w:tc>
        <w:tc>
          <w:tcPr>
            <w:tcW w:w="8220" w:type="dxa"/>
            <w:tcBorders>
              <w:top w:val="nil"/>
              <w:bottom w:val="nil"/>
            </w:tcBorders>
            <w:shd w:val="clear" w:color="auto" w:fill="auto"/>
          </w:tcPr>
          <w:p w:rsidR="00F54FBD" w:rsidRPr="00E94015" w:rsidRDefault="00614CC6" w:rsidP="00F336CC">
            <w:pPr>
              <w:spacing w:before="30" w:after="30"/>
              <w:jc w:val="left"/>
              <w:rPr>
                <w:bCs/>
                <w:sz w:val="20"/>
                <w:lang w:val="fr-CH"/>
              </w:rPr>
            </w:pPr>
            <w:r w:rsidRPr="00E94015">
              <w:rPr>
                <w:bCs/>
                <w:sz w:val="20"/>
                <w:lang w:val="fr-CH"/>
              </w:rPr>
              <w:t>Gestion du spectre</w:t>
            </w:r>
          </w:p>
        </w:tc>
      </w:tr>
      <w:tr w:rsidR="00F54FBD" w:rsidRPr="00E94015" w:rsidTr="001B1BA9">
        <w:tc>
          <w:tcPr>
            <w:tcW w:w="1140" w:type="dxa"/>
            <w:tcBorders>
              <w:top w:val="nil"/>
              <w:bottom w:val="nil"/>
            </w:tcBorders>
            <w:shd w:val="clear" w:color="auto" w:fill="F3F3F3"/>
          </w:tcPr>
          <w:p w:rsidR="00F54FBD" w:rsidRPr="00E94015" w:rsidRDefault="00F54FBD" w:rsidP="00F336CC">
            <w:pPr>
              <w:spacing w:before="30" w:after="30"/>
              <w:ind w:left="57"/>
              <w:jc w:val="left"/>
              <w:rPr>
                <w:b/>
                <w:bCs/>
                <w:color w:val="000080"/>
                <w:sz w:val="20"/>
                <w:lang w:val="fr-CH"/>
              </w:rPr>
            </w:pPr>
            <w:r w:rsidRPr="00E94015">
              <w:rPr>
                <w:b/>
                <w:bCs/>
                <w:color w:val="000080"/>
                <w:sz w:val="20"/>
                <w:lang w:val="fr-CH"/>
              </w:rPr>
              <w:t>SNG</w:t>
            </w:r>
          </w:p>
        </w:tc>
        <w:tc>
          <w:tcPr>
            <w:tcW w:w="8220" w:type="dxa"/>
            <w:tcBorders>
              <w:top w:val="nil"/>
              <w:bottom w:val="nil"/>
            </w:tcBorders>
            <w:shd w:val="clear" w:color="auto" w:fill="F3F3F3"/>
          </w:tcPr>
          <w:p w:rsidR="00F54FBD" w:rsidRPr="00E94015" w:rsidRDefault="00614CC6" w:rsidP="00F336CC">
            <w:pPr>
              <w:spacing w:before="30" w:after="30"/>
              <w:jc w:val="left"/>
              <w:rPr>
                <w:b/>
                <w:bCs/>
                <w:color w:val="000080"/>
                <w:sz w:val="20"/>
                <w:lang w:val="fr-CH"/>
              </w:rPr>
            </w:pPr>
            <w:r w:rsidRPr="00E94015">
              <w:rPr>
                <w:b/>
                <w:bCs/>
                <w:color w:val="000080"/>
                <w:sz w:val="20"/>
                <w:lang w:val="fr-CH"/>
              </w:rPr>
              <w:t>Reportage d'actualités par satellite</w:t>
            </w:r>
          </w:p>
        </w:tc>
      </w:tr>
      <w:tr w:rsidR="00F54FBD" w:rsidRPr="00E94015" w:rsidTr="001B1BA9">
        <w:tc>
          <w:tcPr>
            <w:tcW w:w="1140" w:type="dxa"/>
            <w:tcBorders>
              <w:top w:val="nil"/>
            </w:tcBorders>
          </w:tcPr>
          <w:p w:rsidR="00F54FBD" w:rsidRPr="00E94015" w:rsidRDefault="00F54FBD" w:rsidP="00F336CC">
            <w:pPr>
              <w:spacing w:before="30" w:after="30"/>
              <w:ind w:left="57"/>
              <w:jc w:val="left"/>
              <w:rPr>
                <w:b/>
                <w:bCs/>
                <w:sz w:val="20"/>
                <w:lang w:val="fr-CH"/>
              </w:rPr>
            </w:pPr>
            <w:r w:rsidRPr="00E94015">
              <w:rPr>
                <w:b/>
                <w:bCs/>
                <w:sz w:val="20"/>
                <w:lang w:val="fr-CH"/>
              </w:rPr>
              <w:t>TF</w:t>
            </w:r>
          </w:p>
        </w:tc>
        <w:tc>
          <w:tcPr>
            <w:tcW w:w="8220" w:type="dxa"/>
            <w:tcBorders>
              <w:top w:val="nil"/>
            </w:tcBorders>
          </w:tcPr>
          <w:p w:rsidR="00F54FBD" w:rsidRPr="00E94015" w:rsidRDefault="00614CC6" w:rsidP="00F336CC">
            <w:pPr>
              <w:spacing w:before="30" w:after="30"/>
              <w:jc w:val="left"/>
              <w:rPr>
                <w:sz w:val="20"/>
                <w:lang w:val="fr-CH"/>
              </w:rPr>
            </w:pPr>
            <w:r w:rsidRPr="00E94015">
              <w:rPr>
                <w:sz w:val="20"/>
                <w:lang w:val="fr-CH"/>
              </w:rPr>
              <w:t>Emissions de fréquences étalon et de signaux horaires</w:t>
            </w:r>
          </w:p>
        </w:tc>
      </w:tr>
      <w:tr w:rsidR="00F54FBD" w:rsidRPr="00E94015">
        <w:tc>
          <w:tcPr>
            <w:tcW w:w="1140" w:type="dxa"/>
          </w:tcPr>
          <w:p w:rsidR="00F54FBD" w:rsidRPr="00E94015" w:rsidRDefault="00F54FBD" w:rsidP="00F336CC">
            <w:pPr>
              <w:spacing w:before="30" w:after="30"/>
              <w:ind w:left="57"/>
              <w:jc w:val="left"/>
              <w:rPr>
                <w:b/>
                <w:bCs/>
                <w:sz w:val="20"/>
                <w:lang w:val="fr-CH"/>
              </w:rPr>
            </w:pPr>
            <w:r w:rsidRPr="00E94015">
              <w:rPr>
                <w:b/>
                <w:bCs/>
                <w:sz w:val="20"/>
                <w:lang w:val="fr-CH"/>
              </w:rPr>
              <w:t>V</w:t>
            </w:r>
          </w:p>
        </w:tc>
        <w:tc>
          <w:tcPr>
            <w:tcW w:w="8220" w:type="dxa"/>
          </w:tcPr>
          <w:p w:rsidR="00F54FBD" w:rsidRPr="00E94015" w:rsidRDefault="00614CC6" w:rsidP="00614CC6">
            <w:pPr>
              <w:spacing w:before="30" w:after="140"/>
              <w:jc w:val="left"/>
              <w:rPr>
                <w:sz w:val="20"/>
                <w:lang w:val="fr-CH"/>
              </w:rPr>
            </w:pPr>
            <w:r w:rsidRPr="00E94015">
              <w:rPr>
                <w:sz w:val="20"/>
                <w:lang w:val="fr-CH"/>
              </w:rPr>
              <w:t>Vocabulaire et sujets associés</w:t>
            </w:r>
          </w:p>
        </w:tc>
      </w:tr>
    </w:tbl>
    <w:p w:rsidR="00F54FBD" w:rsidRPr="00E94015" w:rsidRDefault="00F54FBD" w:rsidP="00614CC6">
      <w:pPr>
        <w:spacing w:before="0"/>
        <w:jc w:val="center"/>
        <w:rPr>
          <w:sz w:val="20"/>
          <w:lang w:val="fr-CH"/>
        </w:rPr>
      </w:pPr>
    </w:p>
    <w:p w:rsidR="00F54FBD" w:rsidRPr="00E94015" w:rsidRDefault="00F54FBD"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E94015">
        <w:tc>
          <w:tcPr>
            <w:tcW w:w="9360" w:type="dxa"/>
          </w:tcPr>
          <w:p w:rsidR="00F54FBD" w:rsidRPr="00E94015" w:rsidRDefault="00F54FBD" w:rsidP="00A73409">
            <w:pPr>
              <w:spacing w:before="80" w:after="80"/>
              <w:jc w:val="left"/>
              <w:rPr>
                <w:i/>
                <w:iCs/>
                <w:sz w:val="20"/>
                <w:lang w:val="fr-CH"/>
              </w:rPr>
            </w:pPr>
            <w:r w:rsidRPr="00E94015">
              <w:rPr>
                <w:b/>
                <w:bCs/>
                <w:i/>
                <w:iCs/>
                <w:sz w:val="20"/>
                <w:lang w:val="fr-CH"/>
              </w:rPr>
              <w:t>Note</w:t>
            </w:r>
            <w:r w:rsidRPr="00E94015">
              <w:rPr>
                <w:i/>
                <w:iCs/>
                <w:sz w:val="20"/>
                <w:lang w:val="fr-CH"/>
              </w:rPr>
              <w:t xml:space="preserve">: </w:t>
            </w:r>
            <w:r w:rsidR="00756B4D" w:rsidRPr="00E94015">
              <w:rPr>
                <w:i/>
                <w:iCs/>
                <w:sz w:val="20"/>
                <w:lang w:val="fr-CH"/>
              </w:rPr>
              <w:t>Cette Recommandation UIT-R a été approuvée en anglais aux termes de la procédure détaillée dans la</w:t>
            </w:r>
            <w:r w:rsidR="00756B4D" w:rsidRPr="00E94015">
              <w:rPr>
                <w:i/>
                <w:iCs/>
                <w:sz w:val="20"/>
                <w:lang w:val="fr-CH"/>
              </w:rPr>
              <w:br/>
              <w:t xml:space="preserve">Résolution UIT-R 1. </w:t>
            </w:r>
          </w:p>
        </w:tc>
      </w:tr>
    </w:tbl>
    <w:p w:rsidR="00F54FBD" w:rsidRPr="00E94015" w:rsidRDefault="00F54FBD" w:rsidP="00F54FBD">
      <w:pPr>
        <w:spacing w:before="0"/>
        <w:jc w:val="center"/>
        <w:rPr>
          <w:sz w:val="22"/>
          <w:lang w:val="fr-CH"/>
        </w:rPr>
      </w:pPr>
    </w:p>
    <w:p w:rsidR="00F54FBD" w:rsidRPr="00E94015" w:rsidRDefault="00614CC6" w:rsidP="00756B4D">
      <w:pPr>
        <w:spacing w:before="100"/>
        <w:jc w:val="right"/>
        <w:rPr>
          <w:i/>
          <w:iCs/>
          <w:sz w:val="20"/>
          <w:lang w:val="fr-CH"/>
        </w:rPr>
      </w:pPr>
      <w:r w:rsidRPr="00E94015">
        <w:rPr>
          <w:i/>
          <w:iCs/>
          <w:sz w:val="20"/>
          <w:lang w:val="fr-CH"/>
        </w:rPr>
        <w:t xml:space="preserve">Publication </w:t>
      </w:r>
      <w:r w:rsidR="00756B4D" w:rsidRPr="00E94015">
        <w:rPr>
          <w:i/>
          <w:iCs/>
          <w:sz w:val="20"/>
          <w:lang w:val="fr-CH"/>
        </w:rPr>
        <w:t>électronique</w:t>
      </w:r>
    </w:p>
    <w:p w:rsidR="00F54FBD" w:rsidRPr="00E94015" w:rsidRDefault="00F54FBD" w:rsidP="00DF086D">
      <w:pPr>
        <w:spacing w:before="0"/>
        <w:jc w:val="right"/>
        <w:rPr>
          <w:sz w:val="20"/>
          <w:lang w:val="fr-CH"/>
        </w:rPr>
      </w:pPr>
      <w:r w:rsidRPr="00E94015">
        <w:rPr>
          <w:sz w:val="20"/>
          <w:lang w:val="fr-CH"/>
        </w:rPr>
        <w:t>G</w:t>
      </w:r>
      <w:r w:rsidR="00614CC6" w:rsidRPr="00E94015">
        <w:rPr>
          <w:sz w:val="20"/>
          <w:lang w:val="fr-CH"/>
        </w:rPr>
        <w:t>enève</w:t>
      </w:r>
      <w:r w:rsidRPr="00E94015">
        <w:rPr>
          <w:sz w:val="20"/>
          <w:lang w:val="fr-CH"/>
        </w:rPr>
        <w:t>, 20</w:t>
      </w:r>
      <w:r w:rsidR="00866C19" w:rsidRPr="00E94015">
        <w:rPr>
          <w:sz w:val="20"/>
          <w:lang w:val="fr-CH"/>
        </w:rPr>
        <w:t>1</w:t>
      </w:r>
      <w:r w:rsidR="00DF086D" w:rsidRPr="00E94015">
        <w:rPr>
          <w:sz w:val="20"/>
          <w:lang w:val="fr-CH"/>
        </w:rPr>
        <w:t>2</w:t>
      </w:r>
    </w:p>
    <w:p w:rsidR="00F54FBD" w:rsidRPr="00E94015" w:rsidRDefault="00F54FBD" w:rsidP="00DF086D">
      <w:pPr>
        <w:spacing w:before="200"/>
        <w:jc w:val="center"/>
        <w:rPr>
          <w:sz w:val="20"/>
          <w:lang w:val="fr-CH"/>
        </w:rPr>
      </w:pPr>
      <w:r w:rsidRPr="00E94015">
        <w:rPr>
          <w:sz w:val="20"/>
          <w:lang w:val="fr-CH"/>
        </w:rPr>
        <w:sym w:font="Symbol" w:char="F0E3"/>
      </w:r>
      <w:r w:rsidRPr="00E94015">
        <w:rPr>
          <w:sz w:val="20"/>
          <w:lang w:val="fr-CH"/>
        </w:rPr>
        <w:t xml:space="preserve"> </w:t>
      </w:r>
      <w:r w:rsidR="00614CC6" w:rsidRPr="00E94015">
        <w:rPr>
          <w:sz w:val="20"/>
          <w:lang w:val="fr-CH"/>
        </w:rPr>
        <w:t>UIT</w:t>
      </w:r>
      <w:r w:rsidRPr="00E94015">
        <w:rPr>
          <w:sz w:val="20"/>
          <w:lang w:val="fr-CH"/>
        </w:rPr>
        <w:t xml:space="preserve"> </w:t>
      </w:r>
      <w:bookmarkStart w:id="1" w:name="iiannee"/>
      <w:bookmarkEnd w:id="1"/>
      <w:r w:rsidRPr="00E94015">
        <w:rPr>
          <w:sz w:val="20"/>
          <w:lang w:val="fr-CH"/>
        </w:rPr>
        <w:t>20</w:t>
      </w:r>
      <w:r w:rsidR="00866C19" w:rsidRPr="00E94015">
        <w:rPr>
          <w:sz w:val="20"/>
          <w:lang w:val="fr-CH"/>
        </w:rPr>
        <w:t>1</w:t>
      </w:r>
      <w:r w:rsidR="00DF086D" w:rsidRPr="00E94015">
        <w:rPr>
          <w:sz w:val="20"/>
          <w:lang w:val="fr-CH"/>
        </w:rPr>
        <w:t>2</w:t>
      </w:r>
    </w:p>
    <w:p w:rsidR="007565CC" w:rsidRPr="00E94015" w:rsidRDefault="00614CC6" w:rsidP="00614CC6">
      <w:pPr>
        <w:rPr>
          <w:sz w:val="18"/>
          <w:szCs w:val="18"/>
          <w:lang w:val="fr-CH"/>
        </w:rPr>
      </w:pPr>
      <w:r w:rsidRPr="00E94015">
        <w:rPr>
          <w:sz w:val="18"/>
          <w:szCs w:val="18"/>
          <w:lang w:val="fr-CH"/>
        </w:rPr>
        <w:t xml:space="preserve">Tous droits </w:t>
      </w:r>
      <w:r w:rsidR="00756B4D" w:rsidRPr="00E94015">
        <w:rPr>
          <w:sz w:val="18"/>
          <w:szCs w:val="18"/>
          <w:lang w:val="fr-CH"/>
        </w:rPr>
        <w:t>réservés</w:t>
      </w:r>
      <w:r w:rsidRPr="00E94015">
        <w:rPr>
          <w:sz w:val="18"/>
          <w:szCs w:val="18"/>
          <w:lang w:val="fr-CH"/>
        </w:rPr>
        <w:t>. Aucune partie de cette publication ne peut être reproduite, par quelque procédé que ce soit, sans l’accord écrit préalable de l’</w:t>
      </w:r>
      <w:r w:rsidR="00756B4D" w:rsidRPr="00E94015">
        <w:rPr>
          <w:sz w:val="18"/>
          <w:szCs w:val="18"/>
          <w:lang w:val="fr-CH"/>
        </w:rPr>
        <w:t>UIT</w:t>
      </w:r>
      <w:r w:rsidR="00F54FBD" w:rsidRPr="00E94015">
        <w:rPr>
          <w:sz w:val="18"/>
          <w:szCs w:val="18"/>
          <w:lang w:val="fr-CH"/>
        </w:rPr>
        <w:t>.</w:t>
      </w:r>
    </w:p>
    <w:p w:rsidR="007565CC" w:rsidRPr="00E94015" w:rsidRDefault="007565CC" w:rsidP="00CD659B">
      <w:pPr>
        <w:spacing w:before="160"/>
        <w:rPr>
          <w:i/>
          <w:sz w:val="20"/>
          <w:highlight w:val="yellow"/>
          <w:lang w:val="fr-CH"/>
        </w:rPr>
        <w:sectPr w:rsidR="007565CC" w:rsidRPr="00E94015"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7D4B96" w:rsidRPr="00E94015" w:rsidRDefault="00756B4D" w:rsidP="007D4B96">
      <w:pPr>
        <w:pStyle w:val="RecNo"/>
        <w:rPr>
          <w:lang w:val="fr-CH"/>
        </w:rPr>
      </w:pPr>
      <w:bookmarkStart w:id="2" w:name="irecnoe"/>
      <w:bookmarkEnd w:id="2"/>
      <w:r w:rsidRPr="00E94015">
        <w:rPr>
          <w:lang w:val="fr-CH"/>
        </w:rPr>
        <w:lastRenderedPageBreak/>
        <w:t>RECOMMA</w:t>
      </w:r>
      <w:r w:rsidR="00934ED7" w:rsidRPr="00E94015">
        <w:rPr>
          <w:lang w:val="fr-CH"/>
        </w:rPr>
        <w:t xml:space="preserve">NDATION  </w:t>
      </w:r>
      <w:r w:rsidR="00E83789" w:rsidRPr="00E94015">
        <w:rPr>
          <w:rStyle w:val="href"/>
          <w:lang w:val="fr-CH"/>
        </w:rPr>
        <w:t>UIT</w:t>
      </w:r>
      <w:r w:rsidR="00934ED7" w:rsidRPr="00E94015">
        <w:rPr>
          <w:rStyle w:val="href"/>
          <w:lang w:val="fr-CH"/>
        </w:rPr>
        <w:t xml:space="preserve">-R  </w:t>
      </w:r>
      <w:r w:rsidR="004822EF" w:rsidRPr="00E94015">
        <w:rPr>
          <w:rStyle w:val="href"/>
          <w:lang w:val="fr-CH"/>
        </w:rPr>
        <w:t>S</w:t>
      </w:r>
      <w:r w:rsidR="001B1BA9" w:rsidRPr="00E94015">
        <w:rPr>
          <w:rStyle w:val="href"/>
          <w:lang w:val="fr-CH"/>
        </w:rPr>
        <w:t>NG</w:t>
      </w:r>
      <w:r w:rsidR="00934ED7" w:rsidRPr="00E94015">
        <w:rPr>
          <w:rStyle w:val="href"/>
          <w:lang w:val="fr-CH"/>
        </w:rPr>
        <w:t>.</w:t>
      </w:r>
      <w:r w:rsidR="007D4B96" w:rsidRPr="00E94015">
        <w:rPr>
          <w:rStyle w:val="href"/>
          <w:lang w:val="fr-CH"/>
        </w:rPr>
        <w:t>770-2</w:t>
      </w:r>
      <w:bookmarkStart w:id="3" w:name="Pre_title"/>
      <w:r w:rsidR="007D4B96" w:rsidRPr="00E94015">
        <w:rPr>
          <w:lang w:val="fr-CH"/>
        </w:rPr>
        <w:t xml:space="preserve"> </w:t>
      </w:r>
    </w:p>
    <w:p w:rsidR="007D4B96" w:rsidRPr="00E94015" w:rsidRDefault="007D4B96" w:rsidP="007D4B96">
      <w:pPr>
        <w:rPr>
          <w:lang w:val="fr-CH"/>
        </w:rPr>
      </w:pPr>
    </w:p>
    <w:p w:rsidR="007D4B96" w:rsidRPr="00E94015" w:rsidRDefault="007D4B96" w:rsidP="007D4B96">
      <w:pPr>
        <w:pStyle w:val="Rectitle"/>
        <w:rPr>
          <w:lang w:val="fr-CH"/>
        </w:rPr>
      </w:pPr>
      <w:r w:rsidRPr="00E94015">
        <w:rPr>
          <w:lang w:val="fr-CH"/>
        </w:rPr>
        <w:t xml:space="preserve">Procédures d'exploitation unifiées applicables </w:t>
      </w:r>
      <w:r w:rsidRPr="00E94015">
        <w:rPr>
          <w:lang w:val="fr-CH"/>
        </w:rPr>
        <w:br/>
        <w:t>au reportage d'actualités par satellite numérique</w:t>
      </w:r>
      <w:r w:rsidR="0079254A" w:rsidRPr="00E94015">
        <w:rPr>
          <w:lang w:val="fr-CH"/>
        </w:rPr>
        <w:t xml:space="preserve"> </w:t>
      </w:r>
      <w:r w:rsidRPr="00E94015">
        <w:rPr>
          <w:lang w:val="fr-CH"/>
        </w:rPr>
        <w:t>(DSNG)</w:t>
      </w:r>
      <w:bookmarkEnd w:id="3"/>
    </w:p>
    <w:p w:rsidR="007D4B96" w:rsidRPr="00E94015" w:rsidRDefault="007D4B96" w:rsidP="007D4B96">
      <w:pPr>
        <w:pStyle w:val="Recdate"/>
        <w:rPr>
          <w:lang w:val="fr-CH"/>
        </w:rPr>
      </w:pPr>
      <w:bookmarkStart w:id="4" w:name="Revision_history"/>
      <w:r w:rsidRPr="00E94015">
        <w:rPr>
          <w:lang w:val="fr-CH"/>
        </w:rPr>
        <w:t>(1992-1994-2012)</w:t>
      </w:r>
      <w:bookmarkEnd w:id="4"/>
    </w:p>
    <w:p w:rsidR="007D4B96" w:rsidRPr="00E94015" w:rsidRDefault="007D4B96" w:rsidP="007D4B96">
      <w:pPr>
        <w:pStyle w:val="Headingb"/>
        <w:rPr>
          <w:lang w:val="fr-CH"/>
        </w:rPr>
      </w:pPr>
      <w:r w:rsidRPr="00E94015">
        <w:rPr>
          <w:lang w:val="fr-CH"/>
        </w:rPr>
        <w:t>Domaine d'application</w:t>
      </w:r>
    </w:p>
    <w:p w:rsidR="007D4B96" w:rsidRPr="00E94015" w:rsidRDefault="007D4B96" w:rsidP="0079254A">
      <w:pPr>
        <w:pStyle w:val="Summary"/>
        <w:rPr>
          <w:lang w:val="fr-CH"/>
        </w:rPr>
      </w:pPr>
      <w:r w:rsidRPr="00E94015">
        <w:rPr>
          <w:lang w:val="fr-CH"/>
        </w:rPr>
        <w:t xml:space="preserve">Cette Recommandation spécifie les caractéristiques et les procédures d'exploitation applicables aux </w:t>
      </w:r>
      <w:r w:rsidR="0079254A" w:rsidRPr="00E94015">
        <w:rPr>
          <w:lang w:val="fr-CH"/>
        </w:rPr>
        <w:t>transmissions</w:t>
      </w:r>
      <w:r w:rsidRPr="00E94015">
        <w:rPr>
          <w:lang w:val="fr-CH"/>
        </w:rPr>
        <w:t xml:space="preserve"> de reportage d'actualités par satellite utilisant des techniques de codage et de modulation numériques. L'Annexe 1 présente les caractéristiques et les procédures d'exploitation en vue d'éviter les brouillages entre </w:t>
      </w:r>
      <w:r w:rsidR="0079254A" w:rsidRPr="00E94015">
        <w:rPr>
          <w:lang w:val="fr-CH"/>
        </w:rPr>
        <w:t>transmissions</w:t>
      </w:r>
      <w:r w:rsidRPr="00E94015">
        <w:rPr>
          <w:lang w:val="fr-CH"/>
        </w:rPr>
        <w:t xml:space="preserve"> par satellite.</w:t>
      </w:r>
    </w:p>
    <w:p w:rsidR="007D4B96" w:rsidRPr="00E94015" w:rsidRDefault="007D4B96" w:rsidP="007D4B96">
      <w:pPr>
        <w:rPr>
          <w:lang w:val="fr-CH"/>
        </w:rPr>
      </w:pPr>
      <w:r w:rsidRPr="00E94015">
        <w:rPr>
          <w:lang w:val="fr-CH"/>
        </w:rPr>
        <w:t>L'Assemblée des radiocommunications de l'UIT,</w:t>
      </w:r>
    </w:p>
    <w:p w:rsidR="007D4B96" w:rsidRPr="00E94015" w:rsidRDefault="007D4B96" w:rsidP="007D4B96">
      <w:pPr>
        <w:pStyle w:val="Call"/>
        <w:rPr>
          <w:lang w:val="fr-CH"/>
        </w:rPr>
      </w:pPr>
      <w:r w:rsidRPr="00E94015">
        <w:rPr>
          <w:lang w:val="fr-CH"/>
        </w:rPr>
        <w:t>considérant</w:t>
      </w:r>
    </w:p>
    <w:p w:rsidR="007D4B96" w:rsidRPr="00E94015" w:rsidRDefault="007D4B96" w:rsidP="007D4B96">
      <w:pPr>
        <w:rPr>
          <w:lang w:val="fr-CH"/>
        </w:rPr>
      </w:pPr>
      <w:r w:rsidRPr="009F32BB">
        <w:rPr>
          <w:iCs/>
          <w:lang w:val="fr-CH"/>
        </w:rPr>
        <w:t>a)</w:t>
      </w:r>
      <w:r w:rsidRPr="00E94015">
        <w:rPr>
          <w:lang w:val="fr-CH"/>
        </w:rPr>
        <w:tab/>
        <w:t xml:space="preserve">que le reportage d'actualités par satellite (SNG, </w:t>
      </w:r>
      <w:r w:rsidRPr="00E94015">
        <w:rPr>
          <w:i/>
          <w:iCs/>
          <w:lang w:val="fr-CH"/>
        </w:rPr>
        <w:t>satellite news gathering</w:t>
      </w:r>
      <w:r w:rsidRPr="00E94015">
        <w:rPr>
          <w:lang w:val="fr-CH"/>
        </w:rPr>
        <w:t>) au moyen de stations terriennes d'émission transportables est indispensable pour la radiodiffusion et qu'il permet de couvrir rapidement des événements d'actualité;</w:t>
      </w:r>
    </w:p>
    <w:p w:rsidR="007D4B96" w:rsidRPr="00E94015" w:rsidRDefault="007D4B96" w:rsidP="0079254A">
      <w:pPr>
        <w:rPr>
          <w:lang w:val="fr-CH"/>
        </w:rPr>
      </w:pPr>
      <w:r w:rsidRPr="009F32BB">
        <w:rPr>
          <w:iCs/>
          <w:lang w:val="fr-CH"/>
        </w:rPr>
        <w:t>b)</w:t>
      </w:r>
      <w:r w:rsidRPr="00E94015">
        <w:rPr>
          <w:lang w:val="fr-CH"/>
        </w:rPr>
        <w:tab/>
        <w:t>que, pour faciliter la couverture internationale des événements d'actualité et optimiser la conception de</w:t>
      </w:r>
      <w:r w:rsidR="0079254A" w:rsidRPr="00E94015">
        <w:rPr>
          <w:lang w:val="fr-CH"/>
        </w:rPr>
        <w:t>s</w:t>
      </w:r>
      <w:r w:rsidRPr="00E94015">
        <w:rPr>
          <w:lang w:val="fr-CH"/>
        </w:rPr>
        <w:t xml:space="preserve"> équipement</w:t>
      </w:r>
      <w:r w:rsidR="0079254A" w:rsidRPr="00E94015">
        <w:rPr>
          <w:lang w:val="fr-CH"/>
        </w:rPr>
        <w:t>s</w:t>
      </w:r>
      <w:r w:rsidRPr="00E94015">
        <w:rPr>
          <w:lang w:val="fr-CH"/>
        </w:rPr>
        <w:t>, il a été souhaitable d'adopter pour le SNG des procédures d'exploitation unifiées en tenant compte des brouillages qu'il pourrait causer à d'autres satellites et systèmes;</w:t>
      </w:r>
    </w:p>
    <w:p w:rsidR="007D4B96" w:rsidRPr="00E94015" w:rsidRDefault="007D4B96" w:rsidP="007D4B96">
      <w:pPr>
        <w:rPr>
          <w:lang w:val="fr-CH"/>
        </w:rPr>
      </w:pPr>
      <w:r w:rsidRPr="009F32BB">
        <w:rPr>
          <w:iCs/>
          <w:lang w:val="fr-CH"/>
        </w:rPr>
        <w:t>c)</w:t>
      </w:r>
      <w:r w:rsidRPr="00E94015">
        <w:rPr>
          <w:lang w:val="fr-CH"/>
        </w:rPr>
        <w:tab/>
        <w:t>que le SNG est temporaire et occasionnel et que souvent son exploitation ne peut pas être déterminée longtemps à l'avance;</w:t>
      </w:r>
    </w:p>
    <w:p w:rsidR="007D4B96" w:rsidRPr="00E94015" w:rsidRDefault="007D4B96" w:rsidP="007D4B96">
      <w:pPr>
        <w:rPr>
          <w:lang w:val="fr-CH"/>
        </w:rPr>
      </w:pPr>
      <w:r w:rsidRPr="009F32BB">
        <w:rPr>
          <w:iCs/>
          <w:lang w:val="fr-CH"/>
        </w:rPr>
        <w:t>d)</w:t>
      </w:r>
      <w:r w:rsidRPr="00E94015">
        <w:rPr>
          <w:lang w:val="fr-CH"/>
        </w:rPr>
        <w:tab/>
        <w:t>que le préambule de la Constitution de l'UIT stipule: «en reconnaissant pleinement à chaque Etat le droit souverain de réglementer ses télécommunications...»;</w:t>
      </w:r>
    </w:p>
    <w:p w:rsidR="007D4B96" w:rsidRPr="00E94015" w:rsidRDefault="007D4B96" w:rsidP="007D4B96">
      <w:pPr>
        <w:rPr>
          <w:lang w:val="fr-CH"/>
        </w:rPr>
      </w:pPr>
      <w:r w:rsidRPr="009F32BB">
        <w:rPr>
          <w:iCs/>
          <w:lang w:val="fr-CH"/>
        </w:rPr>
        <w:t>e)</w:t>
      </w:r>
      <w:r w:rsidRPr="00E94015">
        <w:rPr>
          <w:lang w:val="fr-CH"/>
        </w:rPr>
        <w:tab/>
        <w:t>que le bon fonctionnement du SNG exige que l'on obtienne rapidement l'autorisation d'exploiter les stations terriennes SNG et de transmettre vers un satellite de télécommunication, conformément aux procédures administratives du pays d'accueil et aux critères d'exploitation applicables;</w:t>
      </w:r>
    </w:p>
    <w:p w:rsidR="007D4B96" w:rsidRPr="00E94015" w:rsidRDefault="007D4B96" w:rsidP="007D4B96">
      <w:pPr>
        <w:rPr>
          <w:lang w:val="fr-CH"/>
        </w:rPr>
      </w:pPr>
      <w:r w:rsidRPr="009F32BB">
        <w:rPr>
          <w:iCs/>
          <w:lang w:val="fr-CH"/>
        </w:rPr>
        <w:t>f)</w:t>
      </w:r>
      <w:r w:rsidRPr="00E94015">
        <w:rPr>
          <w:lang w:val="fr-CH"/>
        </w:rPr>
        <w:tab/>
        <w:t>que le SNG serait facilité si les exploitants de satellites (fournisseurs du secteur spatial) et les pays d'accueil fournissaient un guide pour les utilisateurs de SNG;</w:t>
      </w:r>
    </w:p>
    <w:p w:rsidR="007D4B96" w:rsidRPr="00E94015" w:rsidRDefault="007D4B96" w:rsidP="007D4B96">
      <w:pPr>
        <w:rPr>
          <w:lang w:val="fr-CH"/>
        </w:rPr>
      </w:pPr>
      <w:r w:rsidRPr="009F32BB">
        <w:rPr>
          <w:iCs/>
          <w:lang w:val="fr-CH"/>
        </w:rPr>
        <w:t>g)</w:t>
      </w:r>
      <w:r w:rsidRPr="00E94015">
        <w:rPr>
          <w:lang w:val="fr-CH"/>
        </w:rPr>
        <w:tab/>
        <w:t>que les opérateurs SNG peuvent avoir besoin d'autres moyens de communication, par exemple – faisceaux hertziens point à point, systèmes de communication téléphonique, microphones sans fil bidirectionnels simplex/duplex, stations mobiles pour les communications vocales et de données par satellite;</w:t>
      </w:r>
    </w:p>
    <w:p w:rsidR="007D4B96" w:rsidRPr="00E94015" w:rsidRDefault="007D4B96" w:rsidP="007D4B96">
      <w:pPr>
        <w:rPr>
          <w:lang w:val="fr-CH"/>
        </w:rPr>
      </w:pPr>
      <w:r w:rsidRPr="009F32BB">
        <w:rPr>
          <w:iCs/>
          <w:lang w:val="fr-CH"/>
        </w:rPr>
        <w:t>h)</w:t>
      </w:r>
      <w:r w:rsidRPr="00E94015">
        <w:rPr>
          <w:lang w:val="fr-CH"/>
        </w:rPr>
        <w:tab/>
        <w:t xml:space="preserve">que diverses organisations régionales ou nationales ont déjà élaboré des normes auxquelles les stations </w:t>
      </w:r>
      <w:r w:rsidR="0079254A" w:rsidRPr="00E94015">
        <w:rPr>
          <w:lang w:val="fr-CH"/>
        </w:rPr>
        <w:t xml:space="preserve">terriennes </w:t>
      </w:r>
      <w:r w:rsidRPr="00E94015">
        <w:rPr>
          <w:lang w:val="fr-CH"/>
        </w:rPr>
        <w:t>d'émission SNG devraient satisfaire;</w:t>
      </w:r>
    </w:p>
    <w:p w:rsidR="007D4B96" w:rsidRPr="00E94015" w:rsidRDefault="007D4B96" w:rsidP="0079254A">
      <w:pPr>
        <w:rPr>
          <w:lang w:val="fr-CH"/>
        </w:rPr>
      </w:pPr>
      <w:r w:rsidRPr="009F32BB">
        <w:rPr>
          <w:iCs/>
          <w:lang w:val="fr-CH"/>
        </w:rPr>
        <w:t>j)</w:t>
      </w:r>
      <w:r w:rsidRPr="00E94015">
        <w:rPr>
          <w:lang w:val="fr-CH"/>
        </w:rPr>
        <w:tab/>
        <w:t>que les systèmes, applications et échange</w:t>
      </w:r>
      <w:r w:rsidR="0079254A" w:rsidRPr="00E94015">
        <w:rPr>
          <w:lang w:val="fr-CH"/>
        </w:rPr>
        <w:t>s</w:t>
      </w:r>
      <w:r w:rsidRPr="00E94015">
        <w:rPr>
          <w:lang w:val="fr-CH"/>
        </w:rPr>
        <w:t xml:space="preserve"> internationa</w:t>
      </w:r>
      <w:r w:rsidR="0079254A" w:rsidRPr="00E94015">
        <w:rPr>
          <w:lang w:val="fr-CH"/>
        </w:rPr>
        <w:t>ux</w:t>
      </w:r>
      <w:r w:rsidRPr="00E94015">
        <w:rPr>
          <w:lang w:val="fr-CH"/>
        </w:rPr>
        <w:t xml:space="preserve"> de SNG emploient désormais des techniques de codage et de modulation numériques,</w:t>
      </w:r>
    </w:p>
    <w:p w:rsidR="007D4B96" w:rsidRPr="00E94015" w:rsidRDefault="007D4B96" w:rsidP="007D4B96">
      <w:pPr>
        <w:pStyle w:val="Call"/>
        <w:rPr>
          <w:lang w:val="fr-CH"/>
        </w:rPr>
      </w:pPr>
      <w:r w:rsidRPr="00E94015">
        <w:rPr>
          <w:lang w:val="fr-CH"/>
        </w:rPr>
        <w:lastRenderedPageBreak/>
        <w:t>notant</w:t>
      </w:r>
    </w:p>
    <w:p w:rsidR="007D4B96" w:rsidRPr="00E94015" w:rsidRDefault="007D4B96" w:rsidP="007D4B96">
      <w:pPr>
        <w:rPr>
          <w:lang w:val="fr-CH"/>
        </w:rPr>
      </w:pPr>
      <w:r w:rsidRPr="009F32BB">
        <w:rPr>
          <w:iCs/>
          <w:lang w:val="fr-CH"/>
        </w:rPr>
        <w:t>a)</w:t>
      </w:r>
      <w:r w:rsidRPr="00E94015">
        <w:rPr>
          <w:lang w:val="fr-CH"/>
        </w:rPr>
        <w:tab/>
        <w:t>que l'UIT</w:t>
      </w:r>
      <w:r w:rsidRPr="00E94015">
        <w:rPr>
          <w:lang w:val="fr-CH"/>
        </w:rPr>
        <w:noBreakHyphen/>
        <w:t xml:space="preserve">R a élaboré la Recommandation UIT-R BO.1516 </w:t>
      </w:r>
      <w:r w:rsidRPr="00E94015">
        <w:rPr>
          <w:i/>
          <w:lang w:val="fr-CH"/>
        </w:rPr>
        <w:t>Systèmes de télévision numérique multiprogramme utilisés par des satellites dans la gamme de fréquences 11/12 GHz</w:t>
      </w:r>
      <w:r w:rsidRPr="00E94015">
        <w:rPr>
          <w:lang w:val="fr-CH"/>
        </w:rPr>
        <w:t>;</w:t>
      </w:r>
    </w:p>
    <w:p w:rsidR="007D4B96" w:rsidRPr="00E94015" w:rsidRDefault="007D4B96" w:rsidP="0079254A">
      <w:pPr>
        <w:rPr>
          <w:lang w:val="fr-CH" w:eastAsia="ja-JP"/>
        </w:rPr>
      </w:pPr>
      <w:r w:rsidRPr="009F32BB">
        <w:rPr>
          <w:iCs/>
          <w:lang w:val="fr-CH"/>
        </w:rPr>
        <w:t>b)</w:t>
      </w:r>
      <w:r w:rsidRPr="00E94015">
        <w:rPr>
          <w:i/>
          <w:lang w:val="fr-CH"/>
        </w:rPr>
        <w:tab/>
      </w:r>
      <w:r w:rsidRPr="00E94015">
        <w:rPr>
          <w:lang w:val="fr-CH"/>
        </w:rPr>
        <w:t xml:space="preserve">que l'UIT-R a élaboré la Recommandation UIT-R BO.1784 </w:t>
      </w:r>
      <w:r w:rsidRPr="00E94015">
        <w:rPr>
          <w:i/>
          <w:lang w:val="fr-CH"/>
        </w:rPr>
        <w:t>Système numérique de radiodiffusion par satellite avec configuration souple (télévision, son et données)</w:t>
      </w:r>
      <w:r w:rsidRPr="00E94015">
        <w:rPr>
          <w:iCs/>
          <w:lang w:val="fr-CH"/>
        </w:rPr>
        <w:t xml:space="preserve">, </w:t>
      </w:r>
      <w:r w:rsidRPr="00E94015">
        <w:rPr>
          <w:lang w:val="fr-CH"/>
        </w:rPr>
        <w:t>également appelée DVB-S2,</w:t>
      </w:r>
    </w:p>
    <w:p w:rsidR="007D4B96" w:rsidRPr="00E94015" w:rsidRDefault="007D4B96" w:rsidP="007D4B96">
      <w:pPr>
        <w:pStyle w:val="Call"/>
        <w:rPr>
          <w:highlight w:val="yellow"/>
          <w:lang w:val="fr-CH" w:eastAsia="ja-JP"/>
        </w:rPr>
      </w:pPr>
      <w:r w:rsidRPr="00E94015">
        <w:rPr>
          <w:lang w:val="fr-CH" w:eastAsia="ja-JP"/>
        </w:rPr>
        <w:t>reconnaissant</w:t>
      </w:r>
    </w:p>
    <w:p w:rsidR="007D4B96" w:rsidRPr="00E94015" w:rsidRDefault="007D4B96" w:rsidP="007D4B96">
      <w:pPr>
        <w:rPr>
          <w:i/>
          <w:lang w:val="fr-CH"/>
        </w:rPr>
      </w:pPr>
      <w:r w:rsidRPr="00E94015">
        <w:rPr>
          <w:iCs/>
          <w:lang w:val="fr-CH" w:eastAsia="ja-JP"/>
        </w:rPr>
        <w:t xml:space="preserve">que le reportage d'actualités par satellite numérique </w:t>
      </w:r>
      <w:r w:rsidRPr="00E94015">
        <w:rPr>
          <w:lang w:val="fr-CH"/>
        </w:rPr>
        <w:t xml:space="preserve">(DSNG, </w:t>
      </w:r>
      <w:r w:rsidRPr="00E94015">
        <w:rPr>
          <w:i/>
          <w:lang w:val="fr-CH" w:eastAsia="ja-JP"/>
        </w:rPr>
        <w:t xml:space="preserve">digital </w:t>
      </w:r>
      <w:r w:rsidRPr="00E94015">
        <w:rPr>
          <w:i/>
          <w:lang w:val="fr-CH"/>
        </w:rPr>
        <w:t>satellite news gathering</w:t>
      </w:r>
      <w:r w:rsidRPr="00E94015">
        <w:rPr>
          <w:lang w:val="fr-CH"/>
        </w:rPr>
        <w:t xml:space="preserve">) est un service point à point qui est généralement offert dans le cadre du service fixe par satellite et que, dans le Règlement des radiocommunications, </w:t>
      </w:r>
      <w:r w:rsidRPr="00E94015">
        <w:rPr>
          <w:szCs w:val="24"/>
          <w:lang w:val="fr-CH" w:eastAsia="ja-JP"/>
        </w:rPr>
        <w:t xml:space="preserve">le service de radiodiffusion par satellite est défini comme étant un service de </w:t>
      </w:r>
      <w:r w:rsidRPr="00E94015">
        <w:rPr>
          <w:lang w:val="fr-CH"/>
        </w:rPr>
        <w:t>radiocommunication</w:t>
      </w:r>
      <w:r w:rsidRPr="00E94015">
        <w:rPr>
          <w:szCs w:val="24"/>
          <w:lang w:val="fr-CH" w:eastAsia="ja-JP"/>
        </w:rPr>
        <w:t xml:space="preserve"> dans lequel des signaux émis ou retransmis par des stations spatiales sont destinés à être reçus directement par le public en général,</w:t>
      </w:r>
    </w:p>
    <w:p w:rsidR="007D4B96" w:rsidRPr="00E94015" w:rsidRDefault="007D4B96" w:rsidP="007D4B96">
      <w:pPr>
        <w:pStyle w:val="Call"/>
        <w:rPr>
          <w:lang w:val="fr-CH"/>
        </w:rPr>
      </w:pPr>
      <w:r w:rsidRPr="00E94015">
        <w:rPr>
          <w:lang w:val="fr-CH"/>
        </w:rPr>
        <w:t>recommande</w:t>
      </w:r>
    </w:p>
    <w:p w:rsidR="007D4B96" w:rsidRPr="00E94015" w:rsidRDefault="007D4B96" w:rsidP="007D4B96">
      <w:pPr>
        <w:rPr>
          <w:lang w:val="fr-CH"/>
        </w:rPr>
      </w:pPr>
      <w:r w:rsidRPr="00E94015">
        <w:rPr>
          <w:b/>
          <w:lang w:val="fr-CH"/>
        </w:rPr>
        <w:t>1</w:t>
      </w:r>
      <w:r w:rsidRPr="00E94015">
        <w:rPr>
          <w:lang w:val="fr-CH"/>
        </w:rPr>
        <w:tab/>
        <w:t>que l'on se conforme pour l'exploitation du DSNG aux procédures d'exploitation unifiées décrites dans l'Annexe 1;</w:t>
      </w:r>
    </w:p>
    <w:p w:rsidR="007D4B96" w:rsidRPr="00E94015" w:rsidRDefault="007D4B96" w:rsidP="0079254A">
      <w:pPr>
        <w:rPr>
          <w:lang w:val="fr-CH"/>
        </w:rPr>
      </w:pPr>
      <w:r w:rsidRPr="009F32BB">
        <w:rPr>
          <w:b/>
          <w:bCs/>
          <w:lang w:val="fr-CH"/>
        </w:rPr>
        <w:t>2</w:t>
      </w:r>
      <w:r w:rsidRPr="00E94015">
        <w:rPr>
          <w:lang w:val="fr-CH"/>
        </w:rPr>
        <w:tab/>
        <w:t xml:space="preserve">que les administrations et organisations compétentes, pour faciliter l'obtention d'une autorisation temporaire d'exploitation du DSNG, </w:t>
      </w:r>
      <w:r w:rsidR="0079254A" w:rsidRPr="00E94015">
        <w:rPr>
          <w:lang w:val="fr-CH"/>
        </w:rPr>
        <w:t>oe</w:t>
      </w:r>
      <w:r w:rsidRPr="00E94015">
        <w:rPr>
          <w:lang w:val="fr-CH"/>
        </w:rPr>
        <w:t>uvrent à l'harmonisation des normes qui peuvent exister dans le domaine et à l'harmonisation de procédures accélérées et simplifiées (par exemple homologation de station terrienne, réservation du satellite, coordination des fréquences, autorisation coordonnée d'utiliser des services radioélectriques connexes qui viendront s'ajouter aux autres moyens de communication DSNG);</w:t>
      </w:r>
    </w:p>
    <w:p w:rsidR="007D4B96" w:rsidRPr="00E94015" w:rsidRDefault="007D4B96" w:rsidP="007D4B96">
      <w:pPr>
        <w:rPr>
          <w:lang w:val="fr-CH"/>
        </w:rPr>
      </w:pPr>
      <w:r w:rsidRPr="00E94015">
        <w:rPr>
          <w:b/>
          <w:lang w:val="fr-CH"/>
        </w:rPr>
        <w:t>3</w:t>
      </w:r>
      <w:r w:rsidRPr="00E94015">
        <w:rPr>
          <w:lang w:val="fr-CH"/>
        </w:rPr>
        <w:tab/>
        <w:t>que chaque administration désigne un point de contact permanent qui assurera l'échange d'informations et donnera des directives sur la coordination des fréquences et les procédures administratives du pays d'accueil (par exemple sur une page web Internet);</w:t>
      </w:r>
    </w:p>
    <w:p w:rsidR="007D4B96" w:rsidRPr="00E94015" w:rsidRDefault="007D4B96" w:rsidP="007D4B96">
      <w:pPr>
        <w:rPr>
          <w:lang w:val="fr-CH"/>
        </w:rPr>
      </w:pPr>
      <w:r w:rsidRPr="00E94015">
        <w:rPr>
          <w:b/>
          <w:lang w:val="fr-CH"/>
        </w:rPr>
        <w:t>4</w:t>
      </w:r>
      <w:r w:rsidRPr="00E94015">
        <w:rPr>
          <w:lang w:val="fr-CH"/>
        </w:rPr>
        <w:tab/>
        <w:t>que les fournisseurs du secteur spatial, pour simplifier les opérations et minimiser les délais, élaborent pour les utilisateurs des guides sur les procédures d'exploitation DSNG applicables à leurs différents systèmes et prennent des mesures pour harmoniser ces procédures;</w:t>
      </w:r>
    </w:p>
    <w:p w:rsidR="007D4B96" w:rsidRPr="00E94015" w:rsidRDefault="007D4B96" w:rsidP="007D4B96">
      <w:pPr>
        <w:rPr>
          <w:lang w:val="fr-CH"/>
        </w:rPr>
      </w:pPr>
      <w:r w:rsidRPr="00E94015">
        <w:rPr>
          <w:b/>
          <w:lang w:val="fr-CH"/>
        </w:rPr>
        <w:t>5</w:t>
      </w:r>
      <w:r w:rsidRPr="00E94015">
        <w:rPr>
          <w:lang w:val="fr-CH"/>
        </w:rPr>
        <w:tab/>
        <w:t>que les pays d'accueil élaborent des guides pour les utilisateurs de DSNG ou d'autres documents qui peuvent prendre la forme de réglementations nationales destinées à faciliter les opérations;</w:t>
      </w:r>
    </w:p>
    <w:p w:rsidR="007D4B96" w:rsidRPr="00E94015" w:rsidRDefault="007D4B96" w:rsidP="007D4B96">
      <w:pPr>
        <w:rPr>
          <w:lang w:val="fr-CH"/>
        </w:rPr>
      </w:pPr>
      <w:r w:rsidRPr="00E94015">
        <w:rPr>
          <w:b/>
          <w:lang w:val="fr-CH"/>
        </w:rPr>
        <w:t>6</w:t>
      </w:r>
      <w:r w:rsidRPr="00E94015">
        <w:rPr>
          <w:lang w:val="fr-CH"/>
        </w:rPr>
        <w:tab/>
        <w:t>que les organismes de télécommunication par satellite mettent à disposition sur demande une porteuse facilement identifiable pour faciliter l'exploitation des stations terriennes DSNG;</w:t>
      </w:r>
    </w:p>
    <w:p w:rsidR="007D4B96" w:rsidRPr="00E94015" w:rsidRDefault="007D4B96" w:rsidP="007D4B96">
      <w:pPr>
        <w:rPr>
          <w:lang w:val="fr-CH"/>
        </w:rPr>
      </w:pPr>
      <w:r w:rsidRPr="00E94015">
        <w:rPr>
          <w:b/>
          <w:lang w:val="fr-CH"/>
        </w:rPr>
        <w:t>7</w:t>
      </w:r>
      <w:r w:rsidRPr="00E94015">
        <w:rPr>
          <w:lang w:val="fr-CH"/>
        </w:rPr>
        <w:tab/>
        <w:t>que l'on attribue aux transmissions DSNG un signal d'identification approprié notifié au pays d'accueil afin de faciliter la réduction des brouillages;</w:t>
      </w:r>
    </w:p>
    <w:p w:rsidR="007D4B96" w:rsidRPr="00E94015" w:rsidRDefault="007D4B96" w:rsidP="007D4B96">
      <w:pPr>
        <w:rPr>
          <w:lang w:val="fr-CH"/>
        </w:rPr>
      </w:pPr>
      <w:r w:rsidRPr="00E94015">
        <w:rPr>
          <w:b/>
          <w:lang w:val="fr-CH"/>
        </w:rPr>
        <w:t>8</w:t>
      </w:r>
      <w:r w:rsidRPr="00E94015">
        <w:rPr>
          <w:lang w:val="fr-CH"/>
        </w:rPr>
        <w:tab/>
        <w:t>que l'on mette à disposition des circuits de communication bidirectionnels avant et pendant la transmission DSNG;</w:t>
      </w:r>
    </w:p>
    <w:p w:rsidR="007D4B96" w:rsidRPr="00E94015" w:rsidRDefault="007D4B96" w:rsidP="007D4B96">
      <w:pPr>
        <w:rPr>
          <w:lang w:val="fr-CH"/>
        </w:rPr>
      </w:pPr>
      <w:r w:rsidRPr="00E94015">
        <w:rPr>
          <w:b/>
          <w:lang w:val="fr-CH"/>
        </w:rPr>
        <w:t>9</w:t>
      </w:r>
      <w:r w:rsidRPr="00E94015">
        <w:rPr>
          <w:lang w:val="fr-CH"/>
        </w:rPr>
        <w:tab/>
        <w:t>que, pour les répéteurs de satellites à couverture régionale, seule l'autorisation du pays de la liaison montante soit requise.</w:t>
      </w:r>
    </w:p>
    <w:p w:rsidR="007D4B96" w:rsidRPr="00E94015" w:rsidRDefault="007D4B96" w:rsidP="007D4B96">
      <w:pPr>
        <w:rPr>
          <w:lang w:val="fr-CH"/>
        </w:rPr>
      </w:pPr>
    </w:p>
    <w:p w:rsidR="007D4B96" w:rsidRPr="00E94015" w:rsidRDefault="007D4B96" w:rsidP="00670466">
      <w:pPr>
        <w:pStyle w:val="AnnexNoTitle"/>
        <w:rPr>
          <w:lang w:val="fr-CH"/>
        </w:rPr>
      </w:pPr>
      <w:r w:rsidRPr="00E94015">
        <w:rPr>
          <w:lang w:val="fr-CH"/>
        </w:rPr>
        <w:lastRenderedPageBreak/>
        <w:t>Annexe 1</w:t>
      </w:r>
    </w:p>
    <w:p w:rsidR="007D4B96" w:rsidRPr="00E94015" w:rsidRDefault="007D4B96" w:rsidP="00670466">
      <w:pPr>
        <w:pStyle w:val="AnnexNoTitle"/>
        <w:rPr>
          <w:lang w:val="fr-CH"/>
        </w:rPr>
      </w:pPr>
      <w:r w:rsidRPr="00E94015">
        <w:rPr>
          <w:lang w:val="fr-CH"/>
        </w:rPr>
        <w:t>Procédures d'exploitation unifiées applicables</w:t>
      </w:r>
      <w:r w:rsidRPr="00E94015">
        <w:rPr>
          <w:lang w:val="fr-CH"/>
        </w:rPr>
        <w:br/>
        <w:t>au reportage d'actualités par satellite numérique</w:t>
      </w:r>
    </w:p>
    <w:p w:rsidR="007D4B96" w:rsidRPr="00E94015" w:rsidRDefault="007D4B96" w:rsidP="007D4B96">
      <w:pPr>
        <w:pStyle w:val="Heading1"/>
        <w:rPr>
          <w:lang w:val="fr-CH"/>
        </w:rPr>
      </w:pPr>
      <w:r w:rsidRPr="00E94015">
        <w:rPr>
          <w:lang w:val="fr-CH"/>
        </w:rPr>
        <w:t>1</w:t>
      </w:r>
      <w:r w:rsidRPr="00E94015">
        <w:rPr>
          <w:lang w:val="fr-CH"/>
        </w:rPr>
        <w:tab/>
        <w:t>Caractéristiques d'exploitation</w:t>
      </w:r>
    </w:p>
    <w:p w:rsidR="007D4B96" w:rsidRPr="00E94015" w:rsidRDefault="007D4B96" w:rsidP="007D4B96">
      <w:pPr>
        <w:rPr>
          <w:lang w:val="fr-CH"/>
        </w:rPr>
      </w:pPr>
      <w:r w:rsidRPr="00E94015">
        <w:rPr>
          <w:lang w:val="fr-CH"/>
        </w:rPr>
        <w:t>Les caractéristiques d'exploitation du DSNG sont décrites ci</w:t>
      </w:r>
      <w:r w:rsidRPr="00E94015">
        <w:rPr>
          <w:lang w:val="fr-CH"/>
        </w:rPr>
        <w:noBreakHyphen/>
        <w:t>après du point de vue de l'utilisation des fréquences et des différentes contraintes.</w:t>
      </w:r>
    </w:p>
    <w:p w:rsidR="007D4B96" w:rsidRPr="00E94015" w:rsidRDefault="007D4B96" w:rsidP="007D4B96">
      <w:pPr>
        <w:pStyle w:val="Heading2"/>
        <w:rPr>
          <w:lang w:val="fr-CH"/>
        </w:rPr>
      </w:pPr>
      <w:r w:rsidRPr="00E94015">
        <w:rPr>
          <w:lang w:val="fr-CH"/>
        </w:rPr>
        <w:t>1.1</w:t>
      </w:r>
      <w:r w:rsidRPr="00E94015">
        <w:rPr>
          <w:lang w:val="fr-CH"/>
        </w:rPr>
        <w:tab/>
        <w:t>Définition du DSNG</w:t>
      </w:r>
    </w:p>
    <w:p w:rsidR="007D4B96" w:rsidRPr="00E94015" w:rsidRDefault="007D4B96" w:rsidP="007D4B96">
      <w:pPr>
        <w:rPr>
          <w:lang w:val="fr-CH"/>
        </w:rPr>
      </w:pPr>
      <w:r w:rsidRPr="00E94015">
        <w:rPr>
          <w:lang w:val="fr-CH"/>
        </w:rPr>
        <w:t>Transmission temporaire et occasionnelle avec un court préavis de signaux télévisuels ou de signaux sonores pour la radiodiffusion; ce service utilise des stations terriennes très facilement portables ou transportables et est exploité dans le cadre du service fixe par satellite.</w:t>
      </w:r>
    </w:p>
    <w:p w:rsidR="007D4B96" w:rsidRPr="00E94015" w:rsidRDefault="007D4B96" w:rsidP="007D4B96">
      <w:pPr>
        <w:rPr>
          <w:lang w:val="fr-CH"/>
        </w:rPr>
      </w:pPr>
      <w:r w:rsidRPr="00E94015">
        <w:rPr>
          <w:lang w:val="fr-CH"/>
        </w:rPr>
        <w:t>L'équipement doit pouvoir transmettre sur une liaison montante les éléments vidéo du programme d'actualités et le son associé ou des signaux radiophoniques. Il doit pouvoir éventuellement assurer la transmission de données. Par ailleurs, l'équipement doit pouvoir être mis en place et utilisé par une équipe de deux (2) personnes au maximum dans un délai relativement court (par exemple, 1 h).</w:t>
      </w:r>
    </w:p>
    <w:p w:rsidR="007D4B96" w:rsidRPr="00E94015" w:rsidRDefault="007D4B96" w:rsidP="007D4B96">
      <w:pPr>
        <w:rPr>
          <w:lang w:val="fr-CH"/>
        </w:rPr>
      </w:pPr>
      <w:r w:rsidRPr="00E94015">
        <w:rPr>
          <w:lang w:val="fr-CH"/>
        </w:rPr>
        <w:t xml:space="preserve">Les stations terriennes transportables peuvent aussi convenir au DSNG lorsque des considérations logistiques imposent l'utilisation de tels systèmes et que les caractéristiques fonctionnelles de ces systèmes sont conformes à celles </w:t>
      </w:r>
      <w:r w:rsidR="0079254A" w:rsidRPr="00E94015">
        <w:rPr>
          <w:lang w:val="fr-CH"/>
        </w:rPr>
        <w:t xml:space="preserve">des systèmes </w:t>
      </w:r>
      <w:r w:rsidRPr="00E94015">
        <w:rPr>
          <w:lang w:val="fr-CH"/>
        </w:rPr>
        <w:t xml:space="preserve">DSNG. Le reportage sonore d'actualités par satellite </w:t>
      </w:r>
      <w:r w:rsidR="00A96FCA" w:rsidRPr="00E94015">
        <w:rPr>
          <w:lang w:val="fr-CH"/>
        </w:rPr>
        <w:t xml:space="preserve">numérique </w:t>
      </w:r>
      <w:r w:rsidRPr="00E94015">
        <w:rPr>
          <w:lang w:val="fr-CH"/>
        </w:rPr>
        <w:t>peut également utiliser le service mobile par satellite.</w:t>
      </w:r>
    </w:p>
    <w:p w:rsidR="007D4B96" w:rsidRPr="00E94015" w:rsidRDefault="007D4B96" w:rsidP="0079254A">
      <w:pPr>
        <w:pStyle w:val="Heading2"/>
        <w:rPr>
          <w:lang w:val="fr-CH"/>
        </w:rPr>
      </w:pPr>
      <w:r w:rsidRPr="00E94015">
        <w:rPr>
          <w:lang w:val="fr-CH"/>
        </w:rPr>
        <w:t>1.2</w:t>
      </w:r>
      <w:r w:rsidRPr="00E94015">
        <w:rPr>
          <w:lang w:val="fr-CH"/>
        </w:rPr>
        <w:tab/>
        <w:t>Description fonctionnelle</w:t>
      </w:r>
    </w:p>
    <w:p w:rsidR="007D4B96" w:rsidRPr="00E94015" w:rsidRDefault="007D4B96" w:rsidP="007D4B96">
      <w:pPr>
        <w:rPr>
          <w:lang w:val="fr-CH"/>
        </w:rPr>
      </w:pPr>
      <w:r w:rsidRPr="00E94015">
        <w:rPr>
          <w:lang w:val="fr-CH"/>
        </w:rPr>
        <w:t>Les principales caractéristiques des systèmes DSNG sont définies par les caractéristiques de la liaison montante. L'exploitation d'une station DSNG sur la liaison montante repose sur l'hypothèse d'un équipement de réception parfaitement dimensionné. Pour assurer la compatibilité et le bon fonctionnement du système, il est nécessaire de normaliser les caractéristiques de l'équipement et les procédures d'exploitation.</w:t>
      </w:r>
    </w:p>
    <w:p w:rsidR="007D4B96" w:rsidRPr="00E94015" w:rsidRDefault="007D4B96" w:rsidP="007D4B96">
      <w:pPr>
        <w:rPr>
          <w:lang w:val="fr-CH"/>
        </w:rPr>
      </w:pPr>
      <w:r w:rsidRPr="00E94015">
        <w:rPr>
          <w:lang w:val="fr-CH"/>
        </w:rPr>
        <w:t>Les fonctions du système DSNG sont les suivantes:</w:t>
      </w:r>
    </w:p>
    <w:p w:rsidR="007D4B96" w:rsidRPr="00E94015" w:rsidRDefault="007D4B96" w:rsidP="007D4B96">
      <w:pPr>
        <w:pStyle w:val="enumlev1"/>
        <w:rPr>
          <w:lang w:val="fr-CH"/>
        </w:rPr>
      </w:pPr>
      <w:r w:rsidRPr="00E94015">
        <w:rPr>
          <w:lang w:val="fr-CH"/>
        </w:rPr>
        <w:t>–</w:t>
      </w:r>
      <w:r w:rsidRPr="00E94015">
        <w:rPr>
          <w:lang w:val="fr-CH"/>
        </w:rPr>
        <w:tab/>
        <w:t>transmettre avec un minimum de dégradation le programme vidéo et le son associé ou des signaux radiophoniques;</w:t>
      </w:r>
    </w:p>
    <w:p w:rsidR="007D4B96" w:rsidRPr="00E94015" w:rsidRDefault="007D4B96" w:rsidP="00A96FCA">
      <w:pPr>
        <w:pStyle w:val="enumlev1"/>
        <w:rPr>
          <w:lang w:val="fr-CH"/>
        </w:rPr>
      </w:pPr>
      <w:r w:rsidRPr="00E94015">
        <w:rPr>
          <w:lang w:val="fr-CH"/>
        </w:rPr>
        <w:t>–</w:t>
      </w:r>
      <w:r w:rsidRPr="00E94015">
        <w:rPr>
          <w:lang w:val="fr-CH"/>
        </w:rPr>
        <w:tab/>
        <w:t xml:space="preserve">assurer une capacité de réception minimale pour </w:t>
      </w:r>
      <w:r w:rsidR="00A96FCA" w:rsidRPr="00E94015">
        <w:rPr>
          <w:lang w:val="fr-CH"/>
        </w:rPr>
        <w:t xml:space="preserve">faciliter le </w:t>
      </w:r>
      <w:r w:rsidRPr="00E94015">
        <w:rPr>
          <w:lang w:val="fr-CH"/>
        </w:rPr>
        <w:t>pointage de l'antenne et contrôle</w:t>
      </w:r>
      <w:r w:rsidR="00A96FCA" w:rsidRPr="00E94015">
        <w:rPr>
          <w:lang w:val="fr-CH"/>
        </w:rPr>
        <w:t>r</w:t>
      </w:r>
      <w:r w:rsidRPr="00E94015">
        <w:rPr>
          <w:lang w:val="fr-CH"/>
        </w:rPr>
        <w:t xml:space="preserve"> </w:t>
      </w:r>
      <w:r w:rsidR="00A96FCA" w:rsidRPr="00E94015">
        <w:rPr>
          <w:lang w:val="fr-CH"/>
        </w:rPr>
        <w:t>l</w:t>
      </w:r>
      <w:r w:rsidRPr="00E94015">
        <w:rPr>
          <w:lang w:val="fr-CH"/>
        </w:rPr>
        <w:t>es signaux émis, si possible.</w:t>
      </w:r>
    </w:p>
    <w:p w:rsidR="007D4B96" w:rsidRPr="00E94015" w:rsidRDefault="007D4B96" w:rsidP="009F32BB">
      <w:pPr>
        <w:pStyle w:val="Heading1"/>
        <w:rPr>
          <w:lang w:val="fr-CH"/>
        </w:rPr>
      </w:pPr>
      <w:r w:rsidRPr="00E94015">
        <w:rPr>
          <w:lang w:val="fr-CH"/>
        </w:rPr>
        <w:lastRenderedPageBreak/>
        <w:t>2</w:t>
      </w:r>
      <w:r w:rsidRPr="00E94015">
        <w:rPr>
          <w:lang w:val="fr-CH"/>
        </w:rPr>
        <w:tab/>
        <w:t>Caractéristiques du satellite requises pour l'évaluation des performances et l'interconnexion</w:t>
      </w:r>
    </w:p>
    <w:p w:rsidR="007D4B96" w:rsidRPr="00E94015" w:rsidRDefault="007D4B96" w:rsidP="009F32BB">
      <w:pPr>
        <w:pStyle w:val="Heading2"/>
        <w:rPr>
          <w:lang w:val="fr-CH"/>
        </w:rPr>
      </w:pPr>
      <w:r w:rsidRPr="00E94015">
        <w:rPr>
          <w:lang w:val="fr-CH"/>
        </w:rPr>
        <w:t>2.1</w:t>
      </w:r>
      <w:r w:rsidRPr="00E94015">
        <w:rPr>
          <w:lang w:val="fr-CH"/>
        </w:rPr>
        <w:tab/>
        <w:t>Liaisons montantes</w:t>
      </w:r>
    </w:p>
    <w:p w:rsidR="007D4B96" w:rsidRPr="00E94015" w:rsidRDefault="007D4B96" w:rsidP="009F32BB">
      <w:pPr>
        <w:pStyle w:val="Heading3"/>
        <w:rPr>
          <w:lang w:val="fr-CH"/>
        </w:rPr>
      </w:pPr>
      <w:r w:rsidRPr="00E94015">
        <w:rPr>
          <w:lang w:val="fr-CH"/>
        </w:rPr>
        <w:t>2.1.1</w:t>
      </w:r>
      <w:r w:rsidRPr="00E94015">
        <w:rPr>
          <w:lang w:val="fr-CH"/>
        </w:rPr>
        <w:tab/>
        <w:t>Espacement orbital</w:t>
      </w:r>
    </w:p>
    <w:p w:rsidR="007D4B96" w:rsidRPr="00E94015" w:rsidRDefault="007D4B96" w:rsidP="009F32BB">
      <w:pPr>
        <w:keepNext/>
        <w:keepLines/>
        <w:rPr>
          <w:lang w:val="fr-CH"/>
        </w:rPr>
      </w:pPr>
      <w:r w:rsidRPr="00E94015">
        <w:rPr>
          <w:lang w:val="fr-CH"/>
        </w:rPr>
        <w:t>L'espacement orbital minimal entre systèmes à satellite</w:t>
      </w:r>
      <w:r w:rsidR="000637D8">
        <w:rPr>
          <w:lang w:val="fr-CH"/>
        </w:rPr>
        <w:t>s</w:t>
      </w:r>
      <w:r w:rsidRPr="00E94015">
        <w:rPr>
          <w:lang w:val="fr-CH"/>
        </w:rPr>
        <w:t xml:space="preserve"> est de 2°. Dans le cas du DSNG, il faut tenir compte de la présence d'autres satellites sur l'arc orbital considéré.</w:t>
      </w:r>
    </w:p>
    <w:p w:rsidR="007D4B96" w:rsidRPr="00E94015" w:rsidRDefault="007D4B96" w:rsidP="009F32BB">
      <w:pPr>
        <w:keepNext/>
        <w:keepLines/>
        <w:rPr>
          <w:lang w:val="fr-CH"/>
        </w:rPr>
      </w:pPr>
      <w:r w:rsidRPr="00E94015">
        <w:rPr>
          <w:lang w:val="fr-CH"/>
        </w:rPr>
        <w:t xml:space="preserve">Certaines administrations exigent que toute station terrienne d'émission ait un diagramme de rayonnement d'antenne avec des lobes latéraux ne dépassant pas </w:t>
      </w:r>
      <w:r w:rsidRPr="00E94015">
        <w:rPr>
          <w:i/>
          <w:lang w:val="fr-CH"/>
        </w:rPr>
        <w:t>G</w:t>
      </w:r>
      <w:r w:rsidRPr="00E94015">
        <w:rPr>
          <w:lang w:val="fr-CH"/>
        </w:rPr>
        <w:t> </w:t>
      </w:r>
      <w:r w:rsidR="009F32BB">
        <w:rPr>
          <w:lang w:val="fr-CH"/>
        </w:rPr>
        <w:t>=</w:t>
      </w:r>
      <w:r w:rsidRPr="00E94015">
        <w:rPr>
          <w:lang w:val="fr-CH"/>
        </w:rPr>
        <w:t> 29 – 25 log </w:t>
      </w:r>
      <w:r w:rsidR="0085630B" w:rsidRPr="00E94015">
        <w:rPr>
          <w:rFonts w:asciiTheme="majorBidi" w:hAnsiTheme="majorBidi" w:cstheme="majorBidi"/>
          <w:lang w:val="fr-CH"/>
        </w:rPr>
        <w:t>θ</w:t>
      </w:r>
      <w:r w:rsidRPr="00E94015">
        <w:rPr>
          <w:lang w:val="fr-CH"/>
        </w:rPr>
        <w:t xml:space="preserve"> (dBi), au moins dans la direction de l'orbite des satellites géostationnaires. En tout état de cause, </w:t>
      </w:r>
      <w:r w:rsidR="00A96FCA" w:rsidRPr="00E94015">
        <w:rPr>
          <w:lang w:val="fr-CH"/>
        </w:rPr>
        <w:t>les performances</w:t>
      </w:r>
      <w:r w:rsidRPr="00E94015">
        <w:rPr>
          <w:lang w:val="fr-CH"/>
        </w:rPr>
        <w:t xml:space="preserve"> de l'antenne ser</w:t>
      </w:r>
      <w:r w:rsidR="00A96FCA" w:rsidRPr="00E94015">
        <w:rPr>
          <w:lang w:val="fr-CH"/>
        </w:rPr>
        <w:t>ont</w:t>
      </w:r>
      <w:r w:rsidRPr="00E94015">
        <w:rPr>
          <w:lang w:val="fr-CH"/>
        </w:rPr>
        <w:t xml:space="preserve"> conforme</w:t>
      </w:r>
      <w:r w:rsidR="00A96FCA" w:rsidRPr="00E94015">
        <w:rPr>
          <w:lang w:val="fr-CH"/>
        </w:rPr>
        <w:t>s</w:t>
      </w:r>
      <w:r w:rsidRPr="00E94015">
        <w:rPr>
          <w:lang w:val="fr-CH"/>
        </w:rPr>
        <w:t xml:space="preserve"> aux spécifications </w:t>
      </w:r>
      <w:r w:rsidR="00A96FCA" w:rsidRPr="00E94015">
        <w:rPr>
          <w:lang w:val="fr-CH"/>
        </w:rPr>
        <w:t xml:space="preserve">de l'exploitant </w:t>
      </w:r>
      <w:r w:rsidRPr="00E94015">
        <w:rPr>
          <w:lang w:val="fr-CH"/>
        </w:rPr>
        <w:t>de satellite.</w:t>
      </w:r>
    </w:p>
    <w:p w:rsidR="007D4B96" w:rsidRPr="00E94015" w:rsidRDefault="007D4B96" w:rsidP="007D4B96">
      <w:pPr>
        <w:pStyle w:val="Heading3"/>
        <w:rPr>
          <w:lang w:val="fr-CH"/>
        </w:rPr>
      </w:pPr>
      <w:r w:rsidRPr="00E94015">
        <w:rPr>
          <w:lang w:val="fr-CH"/>
        </w:rPr>
        <w:t>2.1.2</w:t>
      </w:r>
      <w:r w:rsidRPr="00E94015">
        <w:rPr>
          <w:lang w:val="fr-CH"/>
        </w:rPr>
        <w:tab/>
        <w:t>Bandes de fréquences appropriées pour le DSNG</w:t>
      </w:r>
    </w:p>
    <w:p w:rsidR="007D4B96" w:rsidRPr="00E94015" w:rsidRDefault="007D4B96" w:rsidP="007D4B96">
      <w:pPr>
        <w:rPr>
          <w:lang w:val="fr-CH"/>
        </w:rPr>
      </w:pPr>
      <w:r w:rsidRPr="00E94015">
        <w:rPr>
          <w:lang w:val="fr-CH"/>
        </w:rPr>
        <w:t>Toutes les bandes de fréquences attribuées aux liaisons montantes du SFS peuvent être utilisées par les systèmes DSNG. Toutefois, étant donné qu'une station DSNG doit avoir une petite antenne pour être facilement transportable, le choix de la bande de fréquences utilisée est extrêmement important. Dans certaines bandes</w:t>
      </w:r>
      <w:r w:rsidR="000637D8">
        <w:rPr>
          <w:lang w:val="fr-CH"/>
        </w:rPr>
        <w:t>,</w:t>
      </w:r>
      <w:r w:rsidRPr="00E94015">
        <w:rPr>
          <w:lang w:val="fr-CH"/>
        </w:rPr>
        <w:t xml:space="preserve"> une coordination avec d'autres services peut s'avérer nécessaire. On préfère utiliser la bande des 14 GHz pour laquelle les technologies existantes sont au point.</w:t>
      </w:r>
    </w:p>
    <w:p w:rsidR="007D4B96" w:rsidRPr="00E94015" w:rsidRDefault="007D4B96" w:rsidP="007D4B96">
      <w:pPr>
        <w:pStyle w:val="Heading3"/>
        <w:rPr>
          <w:lang w:val="fr-CH"/>
        </w:rPr>
      </w:pPr>
      <w:r w:rsidRPr="00E94015">
        <w:rPr>
          <w:lang w:val="fr-CH"/>
        </w:rPr>
        <w:t>2.1.3</w:t>
      </w:r>
      <w:r w:rsidRPr="00E94015">
        <w:rPr>
          <w:lang w:val="fr-CH"/>
        </w:rPr>
        <w:tab/>
        <w:t>Zone de service des liaisons montantes</w:t>
      </w:r>
    </w:p>
    <w:p w:rsidR="007D4B96" w:rsidRPr="00E94015" w:rsidRDefault="007D4B96" w:rsidP="007D4B96">
      <w:pPr>
        <w:rPr>
          <w:lang w:val="fr-CH"/>
        </w:rPr>
      </w:pPr>
      <w:r w:rsidRPr="00E94015">
        <w:rPr>
          <w:lang w:val="fr-CH"/>
        </w:rPr>
        <w:t>Les zones de service des liaisons montantes se rangent dans deux grandes catégories:</w:t>
      </w:r>
    </w:p>
    <w:p w:rsidR="007D4B96" w:rsidRPr="00E94015" w:rsidRDefault="007D4B96" w:rsidP="007D4B96">
      <w:pPr>
        <w:pStyle w:val="enumlev1"/>
        <w:rPr>
          <w:lang w:val="fr-CH"/>
        </w:rPr>
      </w:pPr>
      <w:r w:rsidRPr="00E94015">
        <w:rPr>
          <w:lang w:val="fr-CH"/>
        </w:rPr>
        <w:t>–</w:t>
      </w:r>
      <w:r w:rsidRPr="00E94015">
        <w:rPr>
          <w:lang w:val="fr-CH"/>
        </w:rPr>
        <w:tab/>
        <w:t>nationales,</w:t>
      </w:r>
    </w:p>
    <w:p w:rsidR="007D4B96" w:rsidRPr="00E94015" w:rsidRDefault="007D4B96" w:rsidP="007D4B96">
      <w:pPr>
        <w:pStyle w:val="enumlev1"/>
        <w:rPr>
          <w:lang w:val="fr-CH"/>
        </w:rPr>
      </w:pPr>
      <w:r w:rsidRPr="00E94015">
        <w:rPr>
          <w:lang w:val="fr-CH"/>
        </w:rPr>
        <w:t>–</w:t>
      </w:r>
      <w:r w:rsidRPr="00E94015">
        <w:rPr>
          <w:lang w:val="fr-CH"/>
        </w:rPr>
        <w:tab/>
        <w:t>internationales.</w:t>
      </w:r>
    </w:p>
    <w:p w:rsidR="007D4B96" w:rsidRPr="00E94015" w:rsidRDefault="007D4B96" w:rsidP="007D4B96">
      <w:pPr>
        <w:rPr>
          <w:lang w:val="fr-CH"/>
        </w:rPr>
      </w:pPr>
      <w:r w:rsidRPr="00E94015">
        <w:rPr>
          <w:lang w:val="fr-CH"/>
        </w:rPr>
        <w:t>Dans certains pays très vastes, on utilise parfois des antennes de satellite à grande zone de couverture; on pourrait, à juste titre, parler de faisceaux «continentaux».</w:t>
      </w:r>
    </w:p>
    <w:p w:rsidR="007D4B96" w:rsidRPr="00E94015" w:rsidRDefault="007D4B96" w:rsidP="007D4B96">
      <w:pPr>
        <w:pStyle w:val="Heading3"/>
        <w:rPr>
          <w:lang w:val="fr-CH"/>
        </w:rPr>
      </w:pPr>
      <w:r w:rsidRPr="00E94015">
        <w:rPr>
          <w:lang w:val="fr-CH"/>
        </w:rPr>
        <w:t>2.1.4</w:t>
      </w:r>
      <w:r w:rsidRPr="00E94015">
        <w:rPr>
          <w:lang w:val="fr-CH"/>
        </w:rPr>
        <w:tab/>
        <w:t xml:space="preserve">Rapport </w:t>
      </w:r>
      <w:r w:rsidRPr="00E94015">
        <w:rPr>
          <w:i/>
          <w:iCs/>
          <w:lang w:val="fr-CH"/>
        </w:rPr>
        <w:t>G</w:t>
      </w:r>
      <w:r w:rsidRPr="00E94015">
        <w:rPr>
          <w:lang w:val="fr-CH"/>
        </w:rPr>
        <w:t>/</w:t>
      </w:r>
      <w:r w:rsidRPr="00E94015">
        <w:rPr>
          <w:i/>
          <w:iCs/>
          <w:lang w:val="fr-CH"/>
        </w:rPr>
        <w:t>T</w:t>
      </w:r>
      <w:r w:rsidRPr="00E94015">
        <w:rPr>
          <w:lang w:val="fr-CH"/>
        </w:rPr>
        <w:t xml:space="preserve"> des satellites</w:t>
      </w:r>
    </w:p>
    <w:p w:rsidR="007D4B96" w:rsidRPr="00E94015" w:rsidRDefault="007D4B96" w:rsidP="007D4B96">
      <w:pPr>
        <w:rPr>
          <w:lang w:val="fr-CH"/>
        </w:rPr>
      </w:pPr>
      <w:r w:rsidRPr="00E94015">
        <w:rPr>
          <w:lang w:val="fr-CH"/>
        </w:rPr>
        <w:t xml:space="preserve">Le facteur qui influence le plus la valeur du rapport </w:t>
      </w:r>
      <w:r w:rsidRPr="00E94015">
        <w:rPr>
          <w:i/>
          <w:lang w:val="fr-CH"/>
        </w:rPr>
        <w:t>G</w:t>
      </w:r>
      <w:r w:rsidRPr="00E94015">
        <w:rPr>
          <w:iCs/>
          <w:lang w:val="fr-CH"/>
        </w:rPr>
        <w:t>/</w:t>
      </w:r>
      <w:r w:rsidRPr="00E94015">
        <w:rPr>
          <w:i/>
          <w:lang w:val="fr-CH"/>
        </w:rPr>
        <w:t>T</w:t>
      </w:r>
      <w:r w:rsidRPr="00E94015">
        <w:rPr>
          <w:lang w:val="fr-CH"/>
        </w:rPr>
        <w:t xml:space="preserve"> est l'étendue de la zone de service de la liaison montante. En général</w:t>
      </w:r>
      <w:r w:rsidR="000637D8">
        <w:rPr>
          <w:lang w:val="fr-CH"/>
        </w:rPr>
        <w:t>,</w:t>
      </w:r>
      <w:r w:rsidRPr="00E94015">
        <w:rPr>
          <w:lang w:val="fr-CH"/>
        </w:rPr>
        <w:t xml:space="preserve"> les faisceaux nationaux ont des gains d'antenne plus élevés, mieux adaptés aux faibles p.i.r.e. produites par les stations DSNG.</w:t>
      </w:r>
    </w:p>
    <w:p w:rsidR="007D4B96" w:rsidRPr="00E94015" w:rsidRDefault="007D4B96" w:rsidP="007D4B96">
      <w:pPr>
        <w:rPr>
          <w:lang w:val="fr-CH"/>
        </w:rPr>
      </w:pPr>
      <w:r w:rsidRPr="00E94015">
        <w:rPr>
          <w:lang w:val="fr-CH"/>
        </w:rPr>
        <w:t>La configuration la plus répandue est une configuration avec de vastes zones de service pour les liaisons montantes (nationales et internationales), ce qui correspond à des rapports </w:t>
      </w:r>
      <w:r w:rsidRPr="00E94015">
        <w:rPr>
          <w:i/>
          <w:lang w:val="fr-CH"/>
        </w:rPr>
        <w:t>G</w:t>
      </w:r>
      <w:r w:rsidRPr="00E94015">
        <w:rPr>
          <w:iCs/>
          <w:lang w:val="fr-CH"/>
        </w:rPr>
        <w:t>/</w:t>
      </w:r>
      <w:r w:rsidRPr="00E94015">
        <w:rPr>
          <w:i/>
          <w:lang w:val="fr-CH"/>
        </w:rPr>
        <w:t>T</w:t>
      </w:r>
      <w:r w:rsidRPr="00E94015">
        <w:rPr>
          <w:lang w:val="fr-CH"/>
        </w:rPr>
        <w:t xml:space="preserve"> nuls ou dans certains cas négatifs en bordure du faisceau.</w:t>
      </w:r>
    </w:p>
    <w:p w:rsidR="007D4B96" w:rsidRPr="00E94015" w:rsidRDefault="007D4B96" w:rsidP="007D4B96">
      <w:pPr>
        <w:rPr>
          <w:lang w:val="fr-CH"/>
        </w:rPr>
      </w:pPr>
      <w:r w:rsidRPr="00E94015">
        <w:rPr>
          <w:lang w:val="fr-CH"/>
        </w:rPr>
        <w:t>Dans certains cas, il est souhaitable de prendre en compte des valeurs de 0 dB(K</w:t>
      </w:r>
      <w:r w:rsidRPr="009F32BB">
        <w:rPr>
          <w:vertAlign w:val="superscript"/>
        </w:rPr>
        <w:t>–1</w:t>
      </w:r>
      <w:r w:rsidRPr="00E94015">
        <w:rPr>
          <w:lang w:val="fr-CH"/>
        </w:rPr>
        <w:t>) pour le rapport </w:t>
      </w:r>
      <w:r w:rsidRPr="00E94015">
        <w:rPr>
          <w:i/>
          <w:lang w:val="fr-CH"/>
        </w:rPr>
        <w:t>G</w:t>
      </w:r>
      <w:r w:rsidRPr="00E94015">
        <w:rPr>
          <w:iCs/>
          <w:lang w:val="fr-CH"/>
        </w:rPr>
        <w:t>/</w:t>
      </w:r>
      <w:r w:rsidRPr="00E94015">
        <w:rPr>
          <w:i/>
          <w:lang w:val="fr-CH"/>
        </w:rPr>
        <w:t>T</w:t>
      </w:r>
      <w:r w:rsidRPr="00E94015">
        <w:rPr>
          <w:lang w:val="fr-CH"/>
        </w:rPr>
        <w:t xml:space="preserve"> du satellite. Pour avoir une souplesse d'exploitation maximale, les stations DSNG devraient pouvoir fonctionner avec des rapports </w:t>
      </w:r>
      <w:r w:rsidRPr="00E94015">
        <w:rPr>
          <w:i/>
          <w:lang w:val="fr-CH"/>
        </w:rPr>
        <w:t>G</w:t>
      </w:r>
      <w:r w:rsidRPr="00E94015">
        <w:rPr>
          <w:iCs/>
          <w:lang w:val="fr-CH"/>
        </w:rPr>
        <w:t>/</w:t>
      </w:r>
      <w:r w:rsidRPr="00E94015">
        <w:rPr>
          <w:i/>
          <w:lang w:val="fr-CH"/>
        </w:rPr>
        <w:t>T</w:t>
      </w:r>
      <w:r w:rsidRPr="00E94015">
        <w:rPr>
          <w:lang w:val="fr-CH"/>
        </w:rPr>
        <w:t xml:space="preserve"> aussi faibles que –6 dB(K</w:t>
      </w:r>
      <w:r w:rsidRPr="009F32BB">
        <w:rPr>
          <w:vertAlign w:val="superscript"/>
        </w:rPr>
        <w:t>–1</w:t>
      </w:r>
      <w:r w:rsidRPr="00E94015">
        <w:rPr>
          <w:lang w:val="fr-CH"/>
        </w:rPr>
        <w:t>), même si cela doit entraîner une diminution des performances. Dans le cas de l'utilisation de faisceaux globaux en bande 6/4 GHz, il est possible que les valeurs du rapport </w:t>
      </w:r>
      <w:r w:rsidRPr="00E94015">
        <w:rPr>
          <w:i/>
          <w:lang w:val="fr-CH"/>
        </w:rPr>
        <w:t>G</w:t>
      </w:r>
      <w:r w:rsidRPr="00E94015">
        <w:rPr>
          <w:iCs/>
          <w:lang w:val="fr-CH"/>
        </w:rPr>
        <w:t>/</w:t>
      </w:r>
      <w:r w:rsidRPr="00E94015">
        <w:rPr>
          <w:i/>
          <w:lang w:val="fr-CH"/>
        </w:rPr>
        <w:t>T</w:t>
      </w:r>
      <w:r w:rsidRPr="00E94015">
        <w:rPr>
          <w:lang w:val="fr-CH"/>
        </w:rPr>
        <w:t xml:space="preserve"> soient aussi faibles que –12 dB(K</w:t>
      </w:r>
      <w:r w:rsidRPr="009F32BB">
        <w:rPr>
          <w:vertAlign w:val="superscript"/>
        </w:rPr>
        <w:t>–1</w:t>
      </w:r>
      <w:r w:rsidRPr="00E94015">
        <w:rPr>
          <w:lang w:val="fr-CH"/>
        </w:rPr>
        <w:t>).</w:t>
      </w:r>
    </w:p>
    <w:p w:rsidR="007D4B96" w:rsidRPr="00E94015" w:rsidRDefault="007D4B96" w:rsidP="007D4B96">
      <w:pPr>
        <w:pStyle w:val="Heading3"/>
        <w:rPr>
          <w:lang w:val="fr-CH"/>
        </w:rPr>
      </w:pPr>
      <w:r w:rsidRPr="00E94015">
        <w:rPr>
          <w:lang w:val="fr-CH"/>
        </w:rPr>
        <w:t>2.1.5</w:t>
      </w:r>
      <w:r w:rsidRPr="00E94015">
        <w:rPr>
          <w:lang w:val="fr-CH"/>
        </w:rPr>
        <w:tab/>
        <w:t>Gain du satellite</w:t>
      </w:r>
    </w:p>
    <w:p w:rsidR="007D4B96" w:rsidRPr="00E94015" w:rsidRDefault="007D4B96" w:rsidP="007D4B96">
      <w:pPr>
        <w:rPr>
          <w:lang w:val="fr-CH"/>
        </w:rPr>
      </w:pPr>
      <w:r w:rsidRPr="00E94015">
        <w:rPr>
          <w:lang w:val="fr-CH"/>
        </w:rPr>
        <w:t>Beaucoup de satellites sont dotés d'équipements à gain variable, ce qui permet d'augmenter la p.i.r.e. Il a été démontré que des gains peu élevés améliorent la qualité de fonctionnement globale dans les applications DSNG.</w:t>
      </w:r>
    </w:p>
    <w:p w:rsidR="007D4B96" w:rsidRPr="00E94015" w:rsidRDefault="007D4B96" w:rsidP="00A96FCA">
      <w:pPr>
        <w:rPr>
          <w:lang w:val="fr-CH"/>
        </w:rPr>
      </w:pPr>
      <w:r w:rsidRPr="00E94015">
        <w:rPr>
          <w:lang w:val="fr-CH"/>
        </w:rPr>
        <w:t>Comme il n'est pas toujours possible de modifier le réglage du gain du satellite pour de courtes périodes, les stations DSNG doivent pouvoir fonctionner dans des conditions correspondant à un réglage de gain nominal et le récepteur de la liaison descendante doit être correctement dimensionné.</w:t>
      </w:r>
    </w:p>
    <w:p w:rsidR="007D4B96" w:rsidRPr="00E94015" w:rsidRDefault="007D4B96" w:rsidP="007D4B96">
      <w:pPr>
        <w:pStyle w:val="Heading3"/>
        <w:rPr>
          <w:lang w:val="fr-CH"/>
        </w:rPr>
      </w:pPr>
      <w:r w:rsidRPr="00E94015">
        <w:rPr>
          <w:lang w:val="fr-CH"/>
        </w:rPr>
        <w:lastRenderedPageBreak/>
        <w:t>2.1.6</w:t>
      </w:r>
      <w:r w:rsidRPr="00E94015">
        <w:rPr>
          <w:lang w:val="fr-CH"/>
        </w:rPr>
        <w:tab/>
        <w:t>Largeur de bande</w:t>
      </w:r>
    </w:p>
    <w:p w:rsidR="007D4B96" w:rsidRPr="00E94015" w:rsidRDefault="007D4B96" w:rsidP="007D4B96">
      <w:pPr>
        <w:rPr>
          <w:lang w:val="fr-CH"/>
        </w:rPr>
      </w:pPr>
      <w:r w:rsidRPr="00E94015">
        <w:rPr>
          <w:lang w:val="fr-CH"/>
        </w:rPr>
        <w:t>Selon la largeur de bande disponible du répéteur et ses caractéristiques d'intermodulation, il sera parfois possible d'acheminer des signaux DSNG en partage avec des signaux de télévision et de télécommunication.</w:t>
      </w:r>
    </w:p>
    <w:p w:rsidR="007D4B96" w:rsidRPr="00E94015" w:rsidRDefault="007D4B96" w:rsidP="007D4B96">
      <w:pPr>
        <w:pStyle w:val="Heading3"/>
        <w:rPr>
          <w:lang w:val="fr-CH"/>
        </w:rPr>
      </w:pPr>
      <w:r w:rsidRPr="00E94015">
        <w:rPr>
          <w:lang w:val="fr-CH"/>
        </w:rPr>
        <w:t>2.1.7</w:t>
      </w:r>
      <w:r w:rsidRPr="00E94015">
        <w:rPr>
          <w:lang w:val="fr-CH"/>
        </w:rPr>
        <w:tab/>
        <w:t>Plan de répartition des canaux des satellites</w:t>
      </w:r>
    </w:p>
    <w:p w:rsidR="007D4B96" w:rsidRPr="00E94015" w:rsidRDefault="007D4B96" w:rsidP="007D4B96">
      <w:pPr>
        <w:rPr>
          <w:lang w:val="fr-CH"/>
        </w:rPr>
      </w:pPr>
      <w:r w:rsidRPr="00E94015">
        <w:rPr>
          <w:lang w:val="fr-CH"/>
        </w:rPr>
        <w:t>Les satellites utilisent souvent des canaux qui se chevauchent avec discrimination par utilisation de polarisations orthogonales. Il faut tenir compte des brouillages pour chaque type de satellite et en particulier des contraintes de discrimination de polarisation.</w:t>
      </w:r>
    </w:p>
    <w:p w:rsidR="007D4B96" w:rsidRPr="00E94015" w:rsidRDefault="007D4B96" w:rsidP="007D4B96">
      <w:pPr>
        <w:pStyle w:val="Heading3"/>
        <w:rPr>
          <w:lang w:val="fr-CH"/>
        </w:rPr>
      </w:pPr>
      <w:r w:rsidRPr="00E94015">
        <w:rPr>
          <w:lang w:val="fr-CH"/>
        </w:rPr>
        <w:t>2.1.8</w:t>
      </w:r>
      <w:r w:rsidRPr="00E94015">
        <w:rPr>
          <w:lang w:val="fr-CH"/>
        </w:rPr>
        <w:tab/>
        <w:t>Antenne de satellite orientable</w:t>
      </w:r>
    </w:p>
    <w:p w:rsidR="007D4B96" w:rsidRPr="00E94015" w:rsidRDefault="007D4B96" w:rsidP="007D4B96">
      <w:pPr>
        <w:rPr>
          <w:lang w:val="fr-CH"/>
        </w:rPr>
      </w:pPr>
      <w:r w:rsidRPr="00E94015">
        <w:rPr>
          <w:lang w:val="fr-CH"/>
        </w:rPr>
        <w:t>Des faisceaux de satellite orientables ont été déployés et permettent de pointer une antenne à faisceau étroit sur le site de la station terrienne DSNG pour améliorer les performances.</w:t>
      </w:r>
    </w:p>
    <w:p w:rsidR="007D4B96" w:rsidRPr="00E94015" w:rsidRDefault="007D4B96" w:rsidP="007D4B96">
      <w:pPr>
        <w:pStyle w:val="Heading2"/>
        <w:rPr>
          <w:lang w:val="fr-CH"/>
        </w:rPr>
      </w:pPr>
      <w:r w:rsidRPr="00E94015">
        <w:rPr>
          <w:lang w:val="fr-CH"/>
        </w:rPr>
        <w:t>2.2</w:t>
      </w:r>
      <w:r w:rsidRPr="00E94015">
        <w:rPr>
          <w:lang w:val="fr-CH"/>
        </w:rPr>
        <w:tab/>
        <w:t>Liaison descendante</w:t>
      </w:r>
    </w:p>
    <w:p w:rsidR="007D4B96" w:rsidRPr="00E94015" w:rsidRDefault="007D4B96" w:rsidP="007D4B96">
      <w:pPr>
        <w:pStyle w:val="Heading3"/>
        <w:rPr>
          <w:lang w:val="fr-CH"/>
        </w:rPr>
      </w:pPr>
      <w:r w:rsidRPr="00E94015">
        <w:rPr>
          <w:lang w:val="fr-CH"/>
        </w:rPr>
        <w:t>2.2.1</w:t>
      </w:r>
      <w:r w:rsidRPr="00E94015">
        <w:rPr>
          <w:lang w:val="fr-CH"/>
        </w:rPr>
        <w:tab/>
        <w:t>Zone de service</w:t>
      </w:r>
    </w:p>
    <w:p w:rsidR="007D4B96" w:rsidRPr="00E94015" w:rsidRDefault="007D4B96" w:rsidP="007D4B96">
      <w:pPr>
        <w:rPr>
          <w:lang w:val="fr-CH"/>
        </w:rPr>
      </w:pPr>
      <w:r w:rsidRPr="00E94015">
        <w:rPr>
          <w:lang w:val="fr-CH"/>
        </w:rPr>
        <w:t>La zone de service de la liaison descendante doit englober le site de réception visé. Pour faciliter la mise en place de la station, les communications et la surveillance, il est également hautement souhaitable que la station DSNG puisse recevoir des signaux provenant du satellite.</w:t>
      </w:r>
    </w:p>
    <w:p w:rsidR="007D4B96" w:rsidRPr="00E94015" w:rsidRDefault="007D4B96" w:rsidP="007D4B96">
      <w:pPr>
        <w:pStyle w:val="Heading2"/>
        <w:rPr>
          <w:lang w:val="fr-CH"/>
        </w:rPr>
      </w:pPr>
      <w:r w:rsidRPr="00E94015">
        <w:rPr>
          <w:lang w:val="fr-CH"/>
        </w:rPr>
        <w:t>2.3</w:t>
      </w:r>
      <w:r w:rsidRPr="00E94015">
        <w:rPr>
          <w:lang w:val="fr-CH"/>
        </w:rPr>
        <w:tab/>
        <w:t>Commutation à bord des satellites</w:t>
      </w:r>
    </w:p>
    <w:p w:rsidR="007D4B96" w:rsidRPr="00E94015" w:rsidRDefault="007D4B96" w:rsidP="007D4B96">
      <w:pPr>
        <w:rPr>
          <w:lang w:val="fr-CH"/>
        </w:rPr>
      </w:pPr>
      <w:r w:rsidRPr="00E94015">
        <w:rPr>
          <w:lang w:val="fr-CH"/>
        </w:rPr>
        <w:t>En règle générale, les satellites disposent d'une certaine souplesse de commutation à bord: commutation sur des équipements en réserve, interconnexion variable des amplificateurs d'entrée, des amplificateurs de sortie et des antennes. Les modalités d'interconnexion variable relèvent de l'exploitant du satellite; elles peuvent dépendre du niveau de fiabilité recherché et de l'interdépendance qui existe entre les équipements du satellite affectés par toute modification éventuelle.</w:t>
      </w:r>
    </w:p>
    <w:p w:rsidR="007D4B96" w:rsidRPr="00E94015" w:rsidRDefault="007D4B96" w:rsidP="007D4B96">
      <w:pPr>
        <w:rPr>
          <w:lang w:val="fr-CH"/>
        </w:rPr>
      </w:pPr>
      <w:r w:rsidRPr="00E94015">
        <w:rPr>
          <w:lang w:val="fr-CH"/>
        </w:rPr>
        <w:t>Lorsqu'elle est réalisable, la reconfiguration des connexions à bord du satellite peut être utile pour l'établissement du circuit souhaité. Dans certains satellites, il est possible de connecter des circuits de la liaison montante dans la bande des 14 GHz à des circuits de la liaison descendante dans la bande des 4 GHz par exemple.</w:t>
      </w:r>
    </w:p>
    <w:p w:rsidR="007D4B96" w:rsidRPr="00E94015" w:rsidRDefault="007D4B96" w:rsidP="007D4B96">
      <w:pPr>
        <w:rPr>
          <w:lang w:val="fr-CH"/>
        </w:rPr>
      </w:pPr>
      <w:r w:rsidRPr="00E94015">
        <w:rPr>
          <w:lang w:val="fr-CH"/>
        </w:rPr>
        <w:t>La plus grande souplesse de fonctionnement des futurs satellites pourrait être précieuse pour l'exploitation du DSNG.</w:t>
      </w:r>
    </w:p>
    <w:p w:rsidR="007D4B96" w:rsidRPr="00E94015" w:rsidRDefault="007D4B96" w:rsidP="00A96FCA">
      <w:pPr>
        <w:pStyle w:val="Heading1"/>
        <w:rPr>
          <w:lang w:val="fr-CH"/>
        </w:rPr>
      </w:pPr>
      <w:r w:rsidRPr="00E94015">
        <w:rPr>
          <w:lang w:val="fr-CH"/>
        </w:rPr>
        <w:t>3</w:t>
      </w:r>
      <w:r w:rsidRPr="00E94015">
        <w:rPr>
          <w:lang w:val="fr-CH"/>
        </w:rPr>
        <w:tab/>
        <w:t>Procédures d'exploitation unif</w:t>
      </w:r>
      <w:r w:rsidR="00A96FCA" w:rsidRPr="00E94015">
        <w:rPr>
          <w:lang w:val="fr-CH"/>
        </w:rPr>
        <w:t>ié</w:t>
      </w:r>
      <w:r w:rsidRPr="00E94015">
        <w:rPr>
          <w:lang w:val="fr-CH"/>
        </w:rPr>
        <w:t xml:space="preserve">es nécessaires pour </w:t>
      </w:r>
      <w:r w:rsidR="00A96FCA" w:rsidRPr="00E94015">
        <w:rPr>
          <w:lang w:val="fr-CH"/>
        </w:rPr>
        <w:t>l'obtention d'</w:t>
      </w:r>
      <w:r w:rsidRPr="00E94015">
        <w:rPr>
          <w:lang w:val="fr-CH"/>
        </w:rPr>
        <w:t>une autorisation temporaire d</w:t>
      </w:r>
      <w:r w:rsidR="00A96FCA" w:rsidRPr="00E94015">
        <w:rPr>
          <w:lang w:val="fr-CH"/>
        </w:rPr>
        <w:t xml:space="preserve">'exploitation du </w:t>
      </w:r>
      <w:r w:rsidRPr="00E94015">
        <w:rPr>
          <w:lang w:val="fr-CH"/>
        </w:rPr>
        <w:t>DSNG</w:t>
      </w:r>
    </w:p>
    <w:p w:rsidR="007D4B96" w:rsidRPr="00E94015" w:rsidRDefault="007D4B96" w:rsidP="007D4B96">
      <w:pPr>
        <w:pStyle w:val="Heading2"/>
        <w:rPr>
          <w:lang w:val="fr-CH"/>
        </w:rPr>
      </w:pPr>
      <w:r w:rsidRPr="00E94015">
        <w:rPr>
          <w:lang w:val="fr-CH"/>
        </w:rPr>
        <w:t>3.1</w:t>
      </w:r>
      <w:r w:rsidRPr="00E94015">
        <w:rPr>
          <w:lang w:val="fr-CH"/>
        </w:rPr>
        <w:tab/>
        <w:t>Introduction</w:t>
      </w:r>
    </w:p>
    <w:p w:rsidR="007D4B96" w:rsidRPr="00E94015" w:rsidRDefault="007D4B96" w:rsidP="007D4B96">
      <w:pPr>
        <w:rPr>
          <w:lang w:val="fr-CH"/>
        </w:rPr>
      </w:pPr>
      <w:r w:rsidRPr="00E94015">
        <w:rPr>
          <w:lang w:val="fr-CH"/>
        </w:rPr>
        <w:t>Le DSNG diffère de la plupart des autres formes de transmission par satellite sur plusieurs points. Par exemple, le besoin d'un DSNG apparaît souvent seulement quelques jours, parfois même quelques heures avant la transmission proprement dite. Le reportage ne dure généralement pas plus de quelques jours, ou au maximum quelques semaines. Néanmoins, l'opérateur DSNG doit respecter les réglementations du pays hôte et un certain nombre de procédures qui sont conçues pour assurer la bonne gestion et la protection du secteur spatial et du spectre des fréquences.</w:t>
      </w:r>
    </w:p>
    <w:p w:rsidR="007D4B96" w:rsidRPr="00E94015" w:rsidRDefault="007D4B96" w:rsidP="009F32BB">
      <w:pPr>
        <w:keepNext/>
        <w:keepLines/>
        <w:rPr>
          <w:lang w:val="fr-CH"/>
        </w:rPr>
      </w:pPr>
      <w:r w:rsidRPr="00E94015">
        <w:rPr>
          <w:lang w:val="fr-CH"/>
        </w:rPr>
        <w:lastRenderedPageBreak/>
        <w:t>Le cadre réglementaire qui régit l'exploitation du DSNG a un double effet sur son efficacité opérationnelle. Pour s'acquitter de sa mission, l'opérateur DSNG doit pouvoir obtenir des accords et/ou des autorisations temporaires en temps voulu et à un prix raisonnable. Il est essentiel qu'on précise à l'opérateur les fréquences à utiliser, la procédure de coordination avec le secteur spatial, les tarifs, les coûts administratifs et les circuits de communication supports nécessaires. Le présent paragraphe indique le type de données d'exploitation propre à faciliter l'exploitation du DSNG.</w:t>
      </w:r>
    </w:p>
    <w:p w:rsidR="007D4B96" w:rsidRPr="00E94015" w:rsidRDefault="007D4B96" w:rsidP="007D4B96">
      <w:pPr>
        <w:rPr>
          <w:lang w:val="fr-CH"/>
        </w:rPr>
      </w:pPr>
      <w:r w:rsidRPr="00E94015">
        <w:rPr>
          <w:lang w:val="fr-CH"/>
        </w:rPr>
        <w:t xml:space="preserve">Etant donné que le reportage DSNG est occasionnel et/ou temporaire et que la couverture d'un événement d'actualité imprévu présente un intérêt mondial, il est indispensable de prévoir une procédure d'autorisation rapide pour la mise en </w:t>
      </w:r>
      <w:r w:rsidRPr="00E94015">
        <w:rPr>
          <w:spacing w:val="-35"/>
          <w:lang w:val="fr-CH"/>
        </w:rPr>
        <w:t>o</w:t>
      </w:r>
      <w:r w:rsidRPr="00E94015">
        <w:rPr>
          <w:lang w:val="fr-CH"/>
        </w:rPr>
        <w:t>euvre des stations terriennes transportables.</w:t>
      </w:r>
    </w:p>
    <w:p w:rsidR="007D4B96" w:rsidRPr="00E94015" w:rsidRDefault="007D4B96" w:rsidP="007D4B96">
      <w:pPr>
        <w:rPr>
          <w:lang w:val="fr-CH"/>
        </w:rPr>
      </w:pPr>
      <w:r w:rsidRPr="00E94015">
        <w:rPr>
          <w:lang w:val="fr-CH"/>
        </w:rPr>
        <w:t>Le succès des techniques DSNG suppose aussi un accord uniforme sur des paramètres techniques normalisés et des procédures d'exploitation bien établies. La fréquence et le nombre des voi</w:t>
      </w:r>
      <w:r w:rsidR="00A96FCA" w:rsidRPr="00E94015">
        <w:rPr>
          <w:lang w:val="fr-CH"/>
        </w:rPr>
        <w:t>es son et des voies auxiliaires</w:t>
      </w:r>
      <w:r w:rsidRPr="00E94015">
        <w:rPr>
          <w:lang w:val="fr-CH"/>
        </w:rPr>
        <w:t xml:space="preserve"> de données et de coordination devraient être partout identiques.</w:t>
      </w:r>
    </w:p>
    <w:p w:rsidR="007D4B96" w:rsidRPr="00E94015" w:rsidRDefault="007D4B96" w:rsidP="007D4B96">
      <w:pPr>
        <w:pStyle w:val="Heading2"/>
        <w:rPr>
          <w:lang w:val="fr-CH"/>
        </w:rPr>
      </w:pPr>
      <w:r w:rsidRPr="00E94015">
        <w:rPr>
          <w:lang w:val="fr-CH"/>
        </w:rPr>
        <w:t>3.2</w:t>
      </w:r>
      <w:r w:rsidRPr="00E94015">
        <w:rPr>
          <w:lang w:val="fr-CH"/>
        </w:rPr>
        <w:tab/>
        <w:t>Homologation des stations terriennes</w:t>
      </w:r>
    </w:p>
    <w:p w:rsidR="007D4B96" w:rsidRPr="00E94015" w:rsidRDefault="007D4B96" w:rsidP="007D4B96">
      <w:pPr>
        <w:rPr>
          <w:lang w:val="fr-CH"/>
        </w:rPr>
      </w:pPr>
      <w:r w:rsidRPr="00E94015">
        <w:rPr>
          <w:lang w:val="fr-CH"/>
        </w:rPr>
        <w:t>L'homologation des stations terriennes est nécessaire pour que l'organisme responsable puisse garantir la compatibilité de la station DSNG avec le secteur spatial. A cette fin, les administrations sont priées d'étudier les procédures qui permettraient de mettre la station DSNG en service aussi rapidement que possible. Elles sont aussi instamment priées d'envisager l'homologation sur une base uniforme d'une station DSNG dont les caractéristiques sont agréées par les fournisseurs de secteur spatial et sont invitées à régler les formalités administratives aussi vite que possible, en étroite collaboration avec les opérateurs DSNG. Un rapport technique indiquant les résultats des mesures devrait être établi et mis à la disposition de l'administration. Les caractéristiques techniques suivantes devraient au minimum être précisées:</w:t>
      </w:r>
    </w:p>
    <w:p w:rsidR="007D4B96" w:rsidRPr="00E94015" w:rsidRDefault="007D4B96" w:rsidP="007D4B96">
      <w:pPr>
        <w:pStyle w:val="enumlev1"/>
        <w:rPr>
          <w:lang w:val="fr-CH"/>
        </w:rPr>
      </w:pPr>
      <w:r w:rsidRPr="00E94015">
        <w:rPr>
          <w:lang w:val="fr-CH"/>
        </w:rPr>
        <w:t>–</w:t>
      </w:r>
      <w:r w:rsidRPr="00E94015">
        <w:rPr>
          <w:lang w:val="fr-CH"/>
        </w:rPr>
        <w:tab/>
        <w:t>gain d'émission en fonction de la fréquence;</w:t>
      </w:r>
    </w:p>
    <w:p w:rsidR="007D4B96" w:rsidRPr="00E94015" w:rsidRDefault="007D4B96" w:rsidP="007D4B96">
      <w:pPr>
        <w:pStyle w:val="enumlev1"/>
        <w:rPr>
          <w:lang w:val="fr-CH"/>
        </w:rPr>
      </w:pPr>
      <w:r w:rsidRPr="00E94015">
        <w:rPr>
          <w:lang w:val="fr-CH"/>
        </w:rPr>
        <w:t>–</w:t>
      </w:r>
      <w:r w:rsidRPr="00E94015">
        <w:rPr>
          <w:lang w:val="fr-CH"/>
        </w:rPr>
        <w:tab/>
        <w:t>gain d'émission en dehors de l'axe;</w:t>
      </w:r>
    </w:p>
    <w:p w:rsidR="007D4B96" w:rsidRPr="00E94015" w:rsidRDefault="007D4B96" w:rsidP="007D4B96">
      <w:pPr>
        <w:pStyle w:val="enumlev1"/>
        <w:rPr>
          <w:lang w:val="fr-CH"/>
        </w:rPr>
      </w:pPr>
      <w:r w:rsidRPr="00E94015">
        <w:rPr>
          <w:lang w:val="fr-CH"/>
        </w:rPr>
        <w:t>–</w:t>
      </w:r>
      <w:r w:rsidRPr="00E94015">
        <w:rPr>
          <w:lang w:val="fr-CH"/>
        </w:rPr>
        <w:tab/>
        <w:t>p.i.r.e. du faisceau principal d'émission;</w:t>
      </w:r>
    </w:p>
    <w:p w:rsidR="007D4B96" w:rsidRPr="00E94015" w:rsidRDefault="007D4B96" w:rsidP="007D4B96">
      <w:pPr>
        <w:pStyle w:val="enumlev1"/>
        <w:rPr>
          <w:lang w:val="fr-CH"/>
        </w:rPr>
      </w:pPr>
      <w:r w:rsidRPr="00E94015">
        <w:rPr>
          <w:lang w:val="fr-CH"/>
        </w:rPr>
        <w:t>–</w:t>
      </w:r>
      <w:r w:rsidRPr="00E94015">
        <w:rPr>
          <w:lang w:val="fr-CH"/>
        </w:rPr>
        <w:tab/>
        <w:t>ouverture du faisceau d'émission et polarisation;</w:t>
      </w:r>
    </w:p>
    <w:p w:rsidR="007D4B96" w:rsidRPr="00E94015" w:rsidRDefault="007D4B96" w:rsidP="007D4B96">
      <w:pPr>
        <w:pStyle w:val="enumlev1"/>
        <w:rPr>
          <w:lang w:val="fr-CH"/>
        </w:rPr>
      </w:pPr>
      <w:r w:rsidRPr="00E94015">
        <w:rPr>
          <w:lang w:val="fr-CH"/>
        </w:rPr>
        <w:t>–</w:t>
      </w:r>
      <w:r w:rsidRPr="00E94015">
        <w:rPr>
          <w:lang w:val="fr-CH"/>
        </w:rPr>
        <w:tab/>
        <w:t>densité spectrale du faisceau principal d'émissio</w:t>
      </w:r>
      <w:r w:rsidR="00A96FCA" w:rsidRPr="00E94015">
        <w:rPr>
          <w:lang w:val="fr-CH"/>
        </w:rPr>
        <w:t>n pour la bande de</w:t>
      </w:r>
      <w:r w:rsidRPr="00E94015">
        <w:rPr>
          <w:lang w:val="fr-CH"/>
        </w:rPr>
        <w:t xml:space="preserve"> 4 kHz, ou 1 MHz, selon le cas, correspondant au cas le plus défavorable (voir la Recommandation UIT-R SF.675);</w:t>
      </w:r>
    </w:p>
    <w:p w:rsidR="007D4B96" w:rsidRPr="00E94015" w:rsidRDefault="007D4B96" w:rsidP="00A96FCA">
      <w:pPr>
        <w:pStyle w:val="enumlev1"/>
        <w:rPr>
          <w:lang w:val="fr-CH"/>
        </w:rPr>
      </w:pPr>
      <w:r w:rsidRPr="00E94015">
        <w:rPr>
          <w:lang w:val="fr-CH"/>
        </w:rPr>
        <w:t>–</w:t>
      </w:r>
      <w:r w:rsidRPr="00E94015">
        <w:rPr>
          <w:lang w:val="fr-CH"/>
        </w:rPr>
        <w:tab/>
        <w:t>densité spectrale hors du faisceau d'émission pour la bande de 4 kHz, ou 1 MHz, selon le cas, correspondant au cas le plus défavorable (voir la Recommandation UIT-R SF.675);</w:t>
      </w:r>
    </w:p>
    <w:p w:rsidR="007D4B96" w:rsidRPr="00E94015" w:rsidRDefault="007D4B96" w:rsidP="007D4B96">
      <w:pPr>
        <w:pStyle w:val="enumlev1"/>
        <w:rPr>
          <w:lang w:val="fr-CH"/>
        </w:rPr>
      </w:pPr>
      <w:r w:rsidRPr="00E94015">
        <w:rPr>
          <w:lang w:val="fr-CH"/>
        </w:rPr>
        <w:t>–</w:t>
      </w:r>
      <w:r w:rsidRPr="00E94015">
        <w:rPr>
          <w:lang w:val="fr-CH"/>
        </w:rPr>
        <w:tab/>
        <w:t>dispersion d'énergie maximale (si nécessaire);</w:t>
      </w:r>
    </w:p>
    <w:p w:rsidR="007D4B96" w:rsidRPr="00E94015" w:rsidRDefault="007D4B96" w:rsidP="007D4B96">
      <w:pPr>
        <w:pStyle w:val="enumlev1"/>
        <w:rPr>
          <w:lang w:val="fr-CH"/>
        </w:rPr>
      </w:pPr>
      <w:r w:rsidRPr="00E94015">
        <w:rPr>
          <w:lang w:val="fr-CH"/>
        </w:rPr>
        <w:t>–</w:t>
      </w:r>
      <w:r w:rsidRPr="00E94015">
        <w:rPr>
          <w:lang w:val="fr-CH"/>
        </w:rPr>
        <w:tab/>
        <w:t xml:space="preserve">rapport </w:t>
      </w:r>
      <w:r w:rsidRPr="00E94015">
        <w:rPr>
          <w:i/>
          <w:lang w:val="fr-CH"/>
        </w:rPr>
        <w:t>G</w:t>
      </w:r>
      <w:r w:rsidRPr="00E94015">
        <w:rPr>
          <w:iCs/>
          <w:lang w:val="fr-CH"/>
        </w:rPr>
        <w:t>/</w:t>
      </w:r>
      <w:r w:rsidRPr="00E94015">
        <w:rPr>
          <w:i/>
          <w:lang w:val="fr-CH"/>
        </w:rPr>
        <w:t>T</w:t>
      </w:r>
      <w:r w:rsidRPr="00E94015">
        <w:rPr>
          <w:lang w:val="fr-CH"/>
        </w:rPr>
        <w:t xml:space="preserve"> à la réception en fonction de la fréquence;</w:t>
      </w:r>
    </w:p>
    <w:p w:rsidR="007D4B96" w:rsidRPr="00E94015" w:rsidRDefault="007D4B96" w:rsidP="007D4B96">
      <w:pPr>
        <w:pStyle w:val="enumlev1"/>
        <w:rPr>
          <w:lang w:val="fr-CH"/>
        </w:rPr>
      </w:pPr>
      <w:r w:rsidRPr="00E94015">
        <w:rPr>
          <w:lang w:val="fr-CH"/>
        </w:rPr>
        <w:t>–</w:t>
      </w:r>
      <w:r w:rsidRPr="00E94015">
        <w:rPr>
          <w:lang w:val="fr-CH"/>
        </w:rPr>
        <w:tab/>
        <w:t>découplage de polarisation croisée;</w:t>
      </w:r>
    </w:p>
    <w:p w:rsidR="007D4B96" w:rsidRPr="00E94015" w:rsidRDefault="007D4B96" w:rsidP="007D4B96">
      <w:pPr>
        <w:pStyle w:val="enumlev1"/>
        <w:rPr>
          <w:lang w:val="fr-CH"/>
        </w:rPr>
      </w:pPr>
      <w:r w:rsidRPr="00E94015">
        <w:rPr>
          <w:lang w:val="fr-CH"/>
        </w:rPr>
        <w:t>–</w:t>
      </w:r>
      <w:r w:rsidRPr="00E94015">
        <w:rPr>
          <w:lang w:val="fr-CH"/>
        </w:rPr>
        <w:tab/>
        <w:t>précision de pointage;</w:t>
      </w:r>
    </w:p>
    <w:p w:rsidR="007D4B96" w:rsidRPr="00E94015" w:rsidRDefault="007D4B96" w:rsidP="007D4B96">
      <w:pPr>
        <w:pStyle w:val="enumlev1"/>
        <w:rPr>
          <w:lang w:val="fr-CH"/>
        </w:rPr>
      </w:pPr>
      <w:r w:rsidRPr="00E94015">
        <w:rPr>
          <w:lang w:val="fr-CH"/>
        </w:rPr>
        <w:t>–</w:t>
      </w:r>
      <w:r w:rsidRPr="00E94015">
        <w:rPr>
          <w:lang w:val="fr-CH"/>
        </w:rPr>
        <w:tab/>
        <w:t>agilité en fréquence à l'émission et à la réception dans les bandes exploitées;</w:t>
      </w:r>
    </w:p>
    <w:p w:rsidR="007D4B96" w:rsidRPr="00E94015" w:rsidRDefault="007D4B96" w:rsidP="007D4B96">
      <w:pPr>
        <w:pStyle w:val="enumlev1"/>
        <w:rPr>
          <w:lang w:val="fr-CH"/>
        </w:rPr>
      </w:pPr>
      <w:r w:rsidRPr="00E94015">
        <w:rPr>
          <w:lang w:val="fr-CH"/>
        </w:rPr>
        <w:t>–</w:t>
      </w:r>
      <w:r w:rsidRPr="00E94015">
        <w:rPr>
          <w:lang w:val="fr-CH"/>
        </w:rPr>
        <w:tab/>
        <w:t>rayonnement non essentiel (dans la bande et hors bande);</w:t>
      </w:r>
    </w:p>
    <w:p w:rsidR="007D4B96" w:rsidRPr="00E94015" w:rsidRDefault="007D4B96" w:rsidP="007D4B96">
      <w:pPr>
        <w:pStyle w:val="enumlev1"/>
        <w:rPr>
          <w:lang w:val="fr-CH"/>
        </w:rPr>
      </w:pPr>
      <w:r w:rsidRPr="00E94015">
        <w:rPr>
          <w:lang w:val="fr-CH"/>
        </w:rPr>
        <w:t>–</w:t>
      </w:r>
      <w:r w:rsidRPr="00E94015">
        <w:rPr>
          <w:lang w:val="fr-CH"/>
        </w:rPr>
        <w:tab/>
        <w:t>spécifications du fabricant (numéro, caractéristiques de modulation, stabilité en fréquence);</w:t>
      </w:r>
    </w:p>
    <w:p w:rsidR="007D4B96" w:rsidRPr="00E94015" w:rsidRDefault="007D4B96" w:rsidP="007D4B96">
      <w:pPr>
        <w:pStyle w:val="enumlev1"/>
        <w:rPr>
          <w:lang w:val="fr-CH"/>
        </w:rPr>
      </w:pPr>
      <w:r w:rsidRPr="00E94015">
        <w:rPr>
          <w:lang w:val="fr-CH"/>
        </w:rPr>
        <w:t>–</w:t>
      </w:r>
      <w:r w:rsidRPr="00E94015">
        <w:rPr>
          <w:lang w:val="fr-CH"/>
        </w:rPr>
        <w:tab/>
        <w:t>d'autres caractéristiques techniques qui font partie de la norme DSNG du pays concerné.</w:t>
      </w:r>
    </w:p>
    <w:p w:rsidR="007D4B96" w:rsidRPr="00E94015" w:rsidRDefault="007D4B96" w:rsidP="007D4B96">
      <w:pPr>
        <w:pStyle w:val="Heading2"/>
        <w:rPr>
          <w:lang w:val="fr-CH"/>
        </w:rPr>
      </w:pPr>
      <w:r w:rsidRPr="00E94015">
        <w:rPr>
          <w:lang w:val="fr-CH"/>
        </w:rPr>
        <w:t>3.3</w:t>
      </w:r>
      <w:r w:rsidRPr="00E94015">
        <w:rPr>
          <w:lang w:val="fr-CH"/>
        </w:rPr>
        <w:tab/>
        <w:t>Assignation et coordination des fréquences</w:t>
      </w:r>
    </w:p>
    <w:p w:rsidR="007D4B96" w:rsidRPr="00E94015" w:rsidRDefault="007D4B96" w:rsidP="007D4B96">
      <w:pPr>
        <w:rPr>
          <w:lang w:val="fr-CH"/>
        </w:rPr>
      </w:pPr>
      <w:r w:rsidRPr="00E94015">
        <w:rPr>
          <w:lang w:val="fr-CH"/>
        </w:rPr>
        <w:t>Les procédures de coordination des fréquences découlent des réglementations internationales et nationales. Dans le cas d'une station DSNG, l'organisme responsable peut exiger en plus des renseignements donnés dans le § 3.2 des précisions sur l'emplacement géographique de la station et le calendrier des transmissions prévu.</w:t>
      </w:r>
    </w:p>
    <w:p w:rsidR="007D4B96" w:rsidRPr="00E94015" w:rsidRDefault="00A96FCA" w:rsidP="00A96FCA">
      <w:pPr>
        <w:rPr>
          <w:lang w:val="fr-CH"/>
        </w:rPr>
      </w:pPr>
      <w:r w:rsidRPr="00E94015">
        <w:rPr>
          <w:lang w:val="fr-CH"/>
        </w:rPr>
        <w:lastRenderedPageBreak/>
        <w:t xml:space="preserve">L'opérateur </w:t>
      </w:r>
      <w:r w:rsidR="007D4B96" w:rsidRPr="00E94015">
        <w:rPr>
          <w:lang w:val="fr-CH"/>
        </w:rPr>
        <w:t>DSNG demande en temps opportun à l'administration du pays hôte les autorisations réglementaires pour exploiter la station DSNG. La coordination entre la station DSNG proposée et les services de radiocommunication de Terre existants est une nécessité pour éviter les brouillages radioélectriques et obtenir l'autorisation d'exploitation de la station DSNG. La coordination des fréquences pour les stations DSNG est plus difficile dans la bande des 6 GHz car il se peut que certaines bandes soient utilisées en partage entre le service fixe par satellite et le service fixe de Terre et il existe beaucoup de liaisons de Terre fixes. Pour des raisons de portabilité et de facilité de coordination, les bandes de fréquences plus élevées (14 et 30 GHz) présentent un avantage. Une partie de certaines bandes, par exemple la bande des 14 GHz</w:t>
      </w:r>
      <w:r w:rsidRPr="00E94015">
        <w:rPr>
          <w:lang w:val="fr-CH"/>
        </w:rPr>
        <w:t>,</w:t>
      </w:r>
      <w:r w:rsidR="007D4B96" w:rsidRPr="00E94015">
        <w:rPr>
          <w:lang w:val="fr-CH"/>
        </w:rPr>
        <w:t xml:space="preserve"> n'est pas utilisée en partage avec les faisceaux hertziens du service fixe, ce qui facilite la coordination du DSNG. Dans certains pays toutefois, d'autres bandes, par exemple la bande des 14 GHz, sont utilisées par le service fixe et d'autres services de Terre, d'où la nécessité d'une coordination. Certaines bandes de fréquences sont attribuée</w:t>
      </w:r>
      <w:r w:rsidR="000637D8">
        <w:rPr>
          <w:lang w:val="fr-CH"/>
        </w:rPr>
        <w:t>s</w:t>
      </w:r>
      <w:r w:rsidR="007D4B96" w:rsidRPr="00E94015">
        <w:rPr>
          <w:lang w:val="fr-CH"/>
        </w:rPr>
        <w:t xml:space="preserve"> au SFS (Terre vers espace) à titre primaire dans le monde entier. Ces bandes sont aussi attribuées au SMS (Terre vers espace) à titre primaire avec égalité des droits en Région 2 (bande entière) et dans les Régions 1 et 3 (les 100 MHz supérieurs). Lorsqu'une coordination est nécessaire entre la station DSNG et les liaisons de Terre du pays hôte, elle peut être difficile en raison de la nature temporaire du DSNG.</w:t>
      </w:r>
    </w:p>
    <w:p w:rsidR="007D4B96" w:rsidRPr="00E94015" w:rsidRDefault="007D4B96" w:rsidP="007D4B96">
      <w:pPr>
        <w:pStyle w:val="Heading2"/>
        <w:rPr>
          <w:lang w:val="fr-CH"/>
        </w:rPr>
      </w:pPr>
      <w:r w:rsidRPr="00E94015">
        <w:rPr>
          <w:lang w:val="fr-CH"/>
        </w:rPr>
        <w:t>3.4</w:t>
      </w:r>
      <w:r w:rsidRPr="00E94015">
        <w:rPr>
          <w:lang w:val="fr-CH"/>
        </w:rPr>
        <w:tab/>
        <w:t>Réservation du secteur spatial</w:t>
      </w:r>
    </w:p>
    <w:p w:rsidR="007D4B96" w:rsidRPr="00E94015" w:rsidRDefault="007D4B96" w:rsidP="007D4B96">
      <w:pPr>
        <w:rPr>
          <w:lang w:val="fr-CH"/>
        </w:rPr>
      </w:pPr>
      <w:r w:rsidRPr="00E94015">
        <w:rPr>
          <w:lang w:val="fr-CH"/>
        </w:rPr>
        <w:t>L'opérateur DSNG doit être informé rapidement (par exemple, dans un délai de moins de 24 h) et clairement du secteur spatial qui sera mis à sa disposition. Les précisions suivantes devront être fournies:</w:t>
      </w:r>
    </w:p>
    <w:p w:rsidR="007D4B96" w:rsidRPr="00E94015" w:rsidRDefault="007D4B96" w:rsidP="007D4B96">
      <w:pPr>
        <w:pStyle w:val="enumlev1"/>
        <w:rPr>
          <w:lang w:val="fr-CH"/>
        </w:rPr>
      </w:pPr>
      <w:r w:rsidRPr="00E94015">
        <w:rPr>
          <w:lang w:val="fr-CH"/>
        </w:rPr>
        <w:t>–</w:t>
      </w:r>
      <w:r w:rsidRPr="00E94015">
        <w:rPr>
          <w:lang w:val="fr-CH"/>
        </w:rPr>
        <w:tab/>
        <w:t>les caractéristiques du répéteur (identificateur de satellite);</w:t>
      </w:r>
    </w:p>
    <w:p w:rsidR="007D4B96" w:rsidRPr="00E94015" w:rsidRDefault="007D4B96" w:rsidP="007D4B96">
      <w:pPr>
        <w:pStyle w:val="enumlev1"/>
        <w:rPr>
          <w:lang w:val="fr-CH"/>
        </w:rPr>
      </w:pPr>
      <w:r w:rsidRPr="00E94015">
        <w:rPr>
          <w:lang w:val="fr-CH"/>
        </w:rPr>
        <w:t>–</w:t>
      </w:r>
      <w:r w:rsidRPr="00E94015">
        <w:rPr>
          <w:lang w:val="fr-CH"/>
        </w:rPr>
        <w:tab/>
        <w:t>la largeur de bande et la puissance;</w:t>
      </w:r>
    </w:p>
    <w:p w:rsidR="007D4B96" w:rsidRPr="00E94015" w:rsidRDefault="007D4B96" w:rsidP="007D4B96">
      <w:pPr>
        <w:pStyle w:val="enumlev1"/>
        <w:rPr>
          <w:lang w:val="fr-CH"/>
        </w:rPr>
      </w:pPr>
      <w:r w:rsidRPr="00E94015">
        <w:rPr>
          <w:lang w:val="fr-CH"/>
        </w:rPr>
        <w:t>–</w:t>
      </w:r>
      <w:r w:rsidRPr="00E94015">
        <w:rPr>
          <w:lang w:val="fr-CH"/>
        </w:rPr>
        <w:tab/>
        <w:t>la première période d'accès disponible.</w:t>
      </w:r>
    </w:p>
    <w:p w:rsidR="007D4B96" w:rsidRPr="00E94015" w:rsidRDefault="007D4B96" w:rsidP="007D4B96">
      <w:pPr>
        <w:rPr>
          <w:lang w:val="fr-CH"/>
        </w:rPr>
      </w:pPr>
      <w:r w:rsidRPr="00E94015">
        <w:rPr>
          <w:lang w:val="fr-CH"/>
        </w:rPr>
        <w:t xml:space="preserve">L'opérateur DSNG peut avoir besoin d'établir un contact direct et continu avec le fournisseur du secteur spatial. </w:t>
      </w:r>
    </w:p>
    <w:p w:rsidR="007D4B96" w:rsidRPr="00E94015" w:rsidRDefault="007D4B96" w:rsidP="007D4B96">
      <w:pPr>
        <w:pStyle w:val="Heading2"/>
        <w:rPr>
          <w:lang w:val="fr-CH"/>
        </w:rPr>
      </w:pPr>
      <w:r w:rsidRPr="00E94015">
        <w:rPr>
          <w:lang w:val="fr-CH"/>
        </w:rPr>
        <w:t>3.5</w:t>
      </w:r>
      <w:r w:rsidRPr="00E94015">
        <w:rPr>
          <w:lang w:val="fr-CH"/>
        </w:rPr>
        <w:tab/>
        <w:t>Circuits de coordination auxiliaires</w:t>
      </w:r>
    </w:p>
    <w:p w:rsidR="007D4B96" w:rsidRPr="00E94015" w:rsidRDefault="007D4B96" w:rsidP="007D4B96">
      <w:pPr>
        <w:rPr>
          <w:lang w:val="fr-CH"/>
        </w:rPr>
      </w:pPr>
      <w:r w:rsidRPr="00E94015">
        <w:rPr>
          <w:lang w:val="fr-CH"/>
        </w:rPr>
        <w:t>Des circuits de coordination auxiliaires sont nécessaires entre le centre de contrôle des communications de l'exploitant du satellite et les studios du radiodiffuseur. Ces circuits sont décrits dans l'Annexe 1 à la Recommandation UIT-R SNG.722.</w:t>
      </w:r>
    </w:p>
    <w:p w:rsidR="007D4B96" w:rsidRPr="00E94015" w:rsidRDefault="007D4B96" w:rsidP="007D4B96">
      <w:pPr>
        <w:pStyle w:val="Heading2"/>
        <w:rPr>
          <w:lang w:val="fr-CH"/>
        </w:rPr>
      </w:pPr>
      <w:r w:rsidRPr="00E94015">
        <w:rPr>
          <w:lang w:val="fr-CH"/>
        </w:rPr>
        <w:t>3.6</w:t>
      </w:r>
      <w:r w:rsidRPr="00E94015">
        <w:rPr>
          <w:lang w:val="fr-CH"/>
        </w:rPr>
        <w:tab/>
        <w:t>Autres moyens de communication/de transmission supports</w:t>
      </w:r>
    </w:p>
    <w:p w:rsidR="007D4B96" w:rsidRPr="00E94015" w:rsidRDefault="007D4B96" w:rsidP="000637D8">
      <w:pPr>
        <w:rPr>
          <w:lang w:val="fr-CH"/>
        </w:rPr>
      </w:pPr>
      <w:r w:rsidRPr="00E94015">
        <w:rPr>
          <w:lang w:val="fr-CH"/>
        </w:rPr>
        <w:t>Des moyens de communication supports peuvent être nécessaires pour faciliter le bon fonctionnement de la station DSNG. Parmi ces moyens figurent les faisceaux hertziens point à point, les systèmes de communication par téléphone, les microphones sans fil et les stations mobiles</w:t>
      </w:r>
      <w:r w:rsidR="00A96FCA" w:rsidRPr="00E94015">
        <w:rPr>
          <w:lang w:val="fr-CH"/>
        </w:rPr>
        <w:t xml:space="preserve"> pour les </w:t>
      </w:r>
      <w:r w:rsidRPr="00E94015">
        <w:rPr>
          <w:lang w:val="fr-CH"/>
        </w:rPr>
        <w:t>communication</w:t>
      </w:r>
      <w:r w:rsidR="00A96FCA" w:rsidRPr="00E94015">
        <w:rPr>
          <w:lang w:val="fr-CH"/>
        </w:rPr>
        <w:t xml:space="preserve">s vocales </w:t>
      </w:r>
      <w:r w:rsidR="000637D8">
        <w:rPr>
          <w:lang w:val="fr-CH"/>
        </w:rPr>
        <w:t xml:space="preserve">et </w:t>
      </w:r>
      <w:r w:rsidR="000637D8" w:rsidRPr="00E94015">
        <w:rPr>
          <w:lang w:val="fr-CH"/>
        </w:rPr>
        <w:t xml:space="preserve">de données </w:t>
      </w:r>
      <w:r w:rsidRPr="00E94015">
        <w:rPr>
          <w:lang w:val="fr-CH"/>
        </w:rPr>
        <w:t xml:space="preserve">par satellite. </w:t>
      </w:r>
    </w:p>
    <w:p w:rsidR="007D4B96" w:rsidRPr="00E94015" w:rsidRDefault="007D4B96" w:rsidP="007D4B96">
      <w:pPr>
        <w:rPr>
          <w:lang w:val="fr-CH"/>
        </w:rPr>
      </w:pPr>
      <w:r w:rsidRPr="00E94015">
        <w:rPr>
          <w:lang w:val="fr-CH"/>
        </w:rPr>
        <w:t xml:space="preserve">Pour des services touchant aux radiocommunications, une autorisation temporaire peut être nécessaire pour utiliser des fréquences à l'endroit souhaité. L'autorisation doit être obtenue en temps voulu et, dans la mesure du possible, avant l'installation proprement dite de l'équipement. Il faut aussi chercher à savoir si les équipements susceptibles d'être utilisés sont acceptables sur le plan technique. </w:t>
      </w:r>
    </w:p>
    <w:p w:rsidR="007D4B96" w:rsidRPr="00E94015" w:rsidRDefault="007D4B96" w:rsidP="00A96FCA">
      <w:pPr>
        <w:rPr>
          <w:lang w:val="fr-CH"/>
        </w:rPr>
      </w:pPr>
      <w:r w:rsidRPr="00E94015">
        <w:rPr>
          <w:lang w:val="fr-CH"/>
        </w:rPr>
        <w:t xml:space="preserve">En outre, il peut être nécessaire de disposer d'un accès à la téléphonie fixe et/ou mobile, essentiel au bon fonctionnement du DSNG. L'opérateur DSNG a besoin d'un accès peu onéreux (avec une définition claire des tarifs et des services) et sûr à la téléphonie et devra connaître la disponibilité réelle des circuits. </w:t>
      </w:r>
    </w:p>
    <w:p w:rsidR="007D4B96" w:rsidRPr="00E94015" w:rsidRDefault="007D4B96" w:rsidP="007D4B96">
      <w:pPr>
        <w:pStyle w:val="Heading2"/>
        <w:rPr>
          <w:lang w:val="fr-CH"/>
        </w:rPr>
      </w:pPr>
      <w:r w:rsidRPr="00E94015">
        <w:rPr>
          <w:lang w:val="fr-CH"/>
        </w:rPr>
        <w:lastRenderedPageBreak/>
        <w:t>3.7</w:t>
      </w:r>
      <w:r w:rsidRPr="00E94015">
        <w:rPr>
          <w:lang w:val="fr-CH"/>
        </w:rPr>
        <w:tab/>
        <w:t>Dangers liés aux rayonnements</w:t>
      </w:r>
    </w:p>
    <w:p w:rsidR="007D4B96" w:rsidRPr="00E94015" w:rsidRDefault="007D4B96" w:rsidP="007D4B96">
      <w:pPr>
        <w:rPr>
          <w:lang w:val="fr-CH"/>
        </w:rPr>
      </w:pPr>
      <w:r w:rsidRPr="00E94015">
        <w:rPr>
          <w:lang w:val="fr-CH"/>
        </w:rPr>
        <w:t xml:space="preserve">Il est indispensable de protéger le public et le personnel contre les rayonnements dangereux. De nombreuses administrations ont établi des normes de sécurité concernant l'exposition aux rayonnements radioélectriques (non ionisants) qui dépendent de la fréquence, du niveau de puissance et de la durée d'exposition. </w:t>
      </w:r>
    </w:p>
    <w:p w:rsidR="007D4B96" w:rsidRPr="00E94015" w:rsidRDefault="007D4B96" w:rsidP="00A96FCA">
      <w:pPr>
        <w:rPr>
          <w:lang w:val="fr-CH"/>
        </w:rPr>
      </w:pPr>
      <w:r w:rsidRPr="00E94015">
        <w:rPr>
          <w:lang w:val="fr-CH"/>
        </w:rPr>
        <w:t xml:space="preserve">Les opérateurs DSNG devraient respecter les normes (santé et sécurité) relatives aux rayonnements autorisés qu'a établies le pays hôte. </w:t>
      </w:r>
      <w:r w:rsidR="00E94015" w:rsidRPr="00E94015">
        <w:rPr>
          <w:lang w:val="fr-CH"/>
        </w:rPr>
        <w:t>Lorsque celui-ci n'a pas fixé ses propres normes, il convient d'appliquer celles de l'Organisation mondiale de la santé (OMS) (l'OMS élabore des normes relatives à la santé en collaboration avec la Commission internationale de protection contre les rayonnements non ionisants de l'Association internationale de radioprotection).</w:t>
      </w:r>
    </w:p>
    <w:p w:rsidR="007D4B96" w:rsidRPr="00E94015" w:rsidRDefault="007D4B96" w:rsidP="007D4B96">
      <w:pPr>
        <w:rPr>
          <w:lang w:val="fr-CH"/>
        </w:rPr>
      </w:pPr>
      <w:r w:rsidRPr="00E94015">
        <w:rPr>
          <w:lang w:val="fr-CH"/>
        </w:rPr>
        <w:t xml:space="preserve">Les opérateurs doivent dûment tenir compte de l'emplacement et de la configuration des différentes installations ainsi que de l'accès du personnel et du grand public lorsqu'ils appliquent ces critères d'exposition maximale. </w:t>
      </w:r>
    </w:p>
    <w:p w:rsidR="007D4B96" w:rsidRPr="00E94015" w:rsidRDefault="007D4B96" w:rsidP="007D4B96">
      <w:pPr>
        <w:rPr>
          <w:lang w:val="fr-CH"/>
        </w:rPr>
      </w:pPr>
      <w:r w:rsidRPr="00E94015">
        <w:rPr>
          <w:lang w:val="fr-CH"/>
        </w:rPr>
        <w:t xml:space="preserve">Toute zone dangereuse autour d'une station DSNG doit être identifiée, vérifiée et clairement signalée. </w:t>
      </w:r>
    </w:p>
    <w:p w:rsidR="007D4B96" w:rsidRPr="00E94015" w:rsidRDefault="007D4B96" w:rsidP="007D4B96">
      <w:pPr>
        <w:pStyle w:val="Heading2"/>
        <w:rPr>
          <w:lang w:val="fr-CH"/>
        </w:rPr>
      </w:pPr>
      <w:r w:rsidRPr="00E94015">
        <w:rPr>
          <w:lang w:val="fr-CH"/>
        </w:rPr>
        <w:t>3.8</w:t>
      </w:r>
      <w:r w:rsidRPr="00E94015">
        <w:rPr>
          <w:lang w:val="fr-CH"/>
        </w:rPr>
        <w:tab/>
        <w:t>Importation et douane</w:t>
      </w:r>
    </w:p>
    <w:p w:rsidR="007D4B96" w:rsidRPr="00E94015" w:rsidRDefault="007D4B96" w:rsidP="00A96FCA">
      <w:pPr>
        <w:rPr>
          <w:lang w:val="fr-CH"/>
        </w:rPr>
      </w:pPr>
      <w:r w:rsidRPr="00E94015">
        <w:rPr>
          <w:lang w:val="fr-CH"/>
        </w:rPr>
        <w:t xml:space="preserve">L'opérateur DSNG devrait avoir une connaissance suffisante du régime d'importation et du régime douanier du pays hôte. Cela est particulièrement important lorsque les reportages d'actualités sont fréquents et que les installations du pays ne peuvent être utilisées. </w:t>
      </w:r>
    </w:p>
    <w:p w:rsidR="007D4B96" w:rsidRPr="00E94015" w:rsidRDefault="007D4B96" w:rsidP="007D4B96">
      <w:pPr>
        <w:pStyle w:val="Heading1"/>
        <w:rPr>
          <w:lang w:val="fr-CH"/>
        </w:rPr>
      </w:pPr>
      <w:r w:rsidRPr="00E94015">
        <w:rPr>
          <w:lang w:val="fr-CH"/>
        </w:rPr>
        <w:t>4</w:t>
      </w:r>
      <w:r w:rsidRPr="00E94015">
        <w:rPr>
          <w:lang w:val="fr-CH"/>
        </w:rPr>
        <w:tab/>
        <w:t>Point de contact pour information, directives et agrément</w:t>
      </w:r>
    </w:p>
    <w:p w:rsidR="007D4B96" w:rsidRPr="00E94015" w:rsidRDefault="007D4B96" w:rsidP="007D4B96">
      <w:pPr>
        <w:rPr>
          <w:lang w:val="fr-CH"/>
        </w:rPr>
      </w:pPr>
      <w:r w:rsidRPr="00E94015">
        <w:rPr>
          <w:lang w:val="fr-CH"/>
        </w:rPr>
        <w:t>Chaque administration ou organisation compétente devrait si possible désigner un point de contact (DPC) pour le DSNG, qui devrait être accessible 24 h sur 24 et 7 jours sur 7.</w:t>
      </w:r>
    </w:p>
    <w:p w:rsidR="007D4B96" w:rsidRPr="00E94015" w:rsidRDefault="007D4B96" w:rsidP="007D4B96">
      <w:pPr>
        <w:rPr>
          <w:lang w:val="fr-CH"/>
        </w:rPr>
      </w:pPr>
      <w:r w:rsidRPr="00E94015">
        <w:rPr>
          <w:lang w:val="fr-CH"/>
        </w:rPr>
        <w:t xml:space="preserve">Ce point de contact devrait faciliter l'obtention d'une autorisation temporaire d'exploitation d'une station terrienne DSNG appartenant à des opérateurs étrangers; il fera office d'intermédiaire pour l'échange des informations nécessaires aux procédures d'autorisation et à la coordination des fréquences et indiquera la marche à suivre pour les procédures administratives du pays hôte. </w:t>
      </w:r>
    </w:p>
    <w:p w:rsidR="007D4B96" w:rsidRPr="00E94015" w:rsidRDefault="007D4B96" w:rsidP="007D4B96">
      <w:pPr>
        <w:rPr>
          <w:lang w:val="fr-CH"/>
        </w:rPr>
      </w:pPr>
      <w:r w:rsidRPr="00E94015">
        <w:rPr>
          <w:lang w:val="fr-CH"/>
        </w:rPr>
        <w:t>Il apparaît nécessaire d'échanger les informations indiquées dans le Tableau 1.</w:t>
      </w:r>
    </w:p>
    <w:p w:rsidR="007D4B96" w:rsidRPr="00E94015" w:rsidRDefault="007D4B96" w:rsidP="009F32BB">
      <w:pPr>
        <w:pStyle w:val="TableNo"/>
        <w:keepLines/>
        <w:rPr>
          <w:lang w:val="fr-CH"/>
        </w:rPr>
      </w:pPr>
      <w:r w:rsidRPr="00E94015">
        <w:rPr>
          <w:lang w:val="fr-CH"/>
        </w:rPr>
        <w:lastRenderedPageBreak/>
        <w:t>TABLEAU  1</w:t>
      </w:r>
    </w:p>
    <w:tbl>
      <w:tblPr>
        <w:tblW w:w="9639" w:type="dxa"/>
        <w:jc w:val="center"/>
        <w:tblLayout w:type="fixed"/>
        <w:tblLook w:val="0000" w:firstRow="0" w:lastRow="0" w:firstColumn="0" w:lastColumn="0" w:noHBand="0" w:noVBand="0"/>
      </w:tblPr>
      <w:tblGrid>
        <w:gridCol w:w="4820"/>
        <w:gridCol w:w="4819"/>
      </w:tblGrid>
      <w:tr w:rsidR="007D4B96" w:rsidRPr="00E94015" w:rsidTr="00A96FCA">
        <w:trPr>
          <w:cantSplit/>
          <w:jc w:val="center"/>
        </w:trPr>
        <w:tc>
          <w:tcPr>
            <w:tcW w:w="4866" w:type="dxa"/>
            <w:tcBorders>
              <w:top w:val="single" w:sz="6" w:space="0" w:color="auto"/>
              <w:left w:val="single" w:sz="6" w:space="0" w:color="auto"/>
              <w:bottom w:val="single" w:sz="6" w:space="0" w:color="auto"/>
              <w:right w:val="single" w:sz="6" w:space="0" w:color="auto"/>
            </w:tcBorders>
            <w:vAlign w:val="center"/>
          </w:tcPr>
          <w:p w:rsidR="007D4B96" w:rsidRPr="00E94015" w:rsidRDefault="007D4B96" w:rsidP="009F32BB">
            <w:pPr>
              <w:pStyle w:val="Tablehead"/>
              <w:keepLines/>
              <w:rPr>
                <w:lang w:val="fr-CH"/>
              </w:rPr>
            </w:pPr>
            <w:r w:rsidRPr="00E94015">
              <w:rPr>
                <w:lang w:val="fr-CH"/>
              </w:rPr>
              <w:t xml:space="preserve">Renseignements à fournir </w:t>
            </w:r>
            <w:r w:rsidR="00A96FCA" w:rsidRPr="00E94015">
              <w:rPr>
                <w:lang w:val="fr-CH"/>
              </w:rPr>
              <w:br/>
            </w:r>
            <w:r w:rsidRPr="00E94015">
              <w:rPr>
                <w:lang w:val="fr-CH"/>
              </w:rPr>
              <w:t>à l'administration</w:t>
            </w:r>
          </w:p>
        </w:tc>
        <w:tc>
          <w:tcPr>
            <w:tcW w:w="4866" w:type="dxa"/>
            <w:tcBorders>
              <w:top w:val="single" w:sz="6" w:space="0" w:color="auto"/>
              <w:left w:val="single" w:sz="6" w:space="0" w:color="auto"/>
              <w:bottom w:val="single" w:sz="6" w:space="0" w:color="auto"/>
              <w:right w:val="single" w:sz="6" w:space="0" w:color="auto"/>
            </w:tcBorders>
            <w:vAlign w:val="center"/>
          </w:tcPr>
          <w:p w:rsidR="007D4B96" w:rsidRPr="00E94015" w:rsidRDefault="007D4B96" w:rsidP="009F32BB">
            <w:pPr>
              <w:pStyle w:val="Tablehead"/>
              <w:keepLines/>
              <w:rPr>
                <w:lang w:val="fr-CH"/>
              </w:rPr>
            </w:pPr>
            <w:r w:rsidRPr="00E94015">
              <w:rPr>
                <w:lang w:val="fr-CH"/>
              </w:rPr>
              <w:t>Renseignements que devra communiquer l'administration</w:t>
            </w:r>
          </w:p>
        </w:tc>
      </w:tr>
      <w:tr w:rsidR="007D4B96" w:rsidRPr="00E94015" w:rsidTr="0079254A">
        <w:trPr>
          <w:cantSplit/>
          <w:jc w:val="center"/>
        </w:trPr>
        <w:tc>
          <w:tcPr>
            <w:tcW w:w="4820"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ind w:left="284" w:hanging="284"/>
              <w:jc w:val="left"/>
              <w:rPr>
                <w:szCs w:val="22"/>
                <w:lang w:val="fr-CH"/>
              </w:rPr>
            </w:pPr>
            <w:r w:rsidRPr="00E94015">
              <w:rPr>
                <w:szCs w:val="22"/>
                <w:lang w:val="fr-CH"/>
              </w:rPr>
              <w:t>1.</w:t>
            </w:r>
            <w:r w:rsidRPr="00E94015">
              <w:rPr>
                <w:szCs w:val="22"/>
                <w:lang w:val="fr-CH"/>
              </w:rPr>
              <w:tab/>
              <w:t>Caractéristiques du service (par exemple, norme de télévision, nombre et type de voies audio)</w:t>
            </w:r>
          </w:p>
        </w:tc>
        <w:tc>
          <w:tcPr>
            <w:tcW w:w="4819"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jc w:val="left"/>
              <w:rPr>
                <w:szCs w:val="22"/>
                <w:lang w:val="fr-CH"/>
              </w:rPr>
            </w:pPr>
            <w:r w:rsidRPr="00E94015">
              <w:rPr>
                <w:szCs w:val="22"/>
                <w:lang w:val="fr-CH"/>
              </w:rPr>
              <w:t>1.</w:t>
            </w:r>
            <w:r w:rsidRPr="00E94015">
              <w:rPr>
                <w:szCs w:val="22"/>
                <w:lang w:val="fr-CH"/>
              </w:rPr>
              <w:tab/>
              <w:t>Référence de la demande</w:t>
            </w:r>
          </w:p>
        </w:tc>
      </w:tr>
      <w:tr w:rsidR="007D4B96" w:rsidRPr="00E94015" w:rsidTr="0079254A">
        <w:trPr>
          <w:cantSplit/>
          <w:jc w:val="center"/>
        </w:trPr>
        <w:tc>
          <w:tcPr>
            <w:tcW w:w="4820"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jc w:val="left"/>
              <w:rPr>
                <w:szCs w:val="22"/>
                <w:lang w:val="fr-CH"/>
              </w:rPr>
            </w:pPr>
            <w:r w:rsidRPr="00E94015">
              <w:rPr>
                <w:szCs w:val="22"/>
                <w:lang w:val="fr-CH"/>
              </w:rPr>
              <w:t>2.</w:t>
            </w:r>
            <w:r w:rsidRPr="00E94015">
              <w:rPr>
                <w:szCs w:val="22"/>
                <w:lang w:val="fr-CH"/>
              </w:rPr>
              <w:tab/>
              <w:t>Heure et durée du service</w:t>
            </w:r>
          </w:p>
        </w:tc>
        <w:tc>
          <w:tcPr>
            <w:tcW w:w="4819"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jc w:val="left"/>
              <w:rPr>
                <w:szCs w:val="22"/>
                <w:lang w:val="fr-CH"/>
              </w:rPr>
            </w:pPr>
            <w:r w:rsidRPr="00E94015">
              <w:rPr>
                <w:szCs w:val="22"/>
                <w:lang w:val="fr-CH"/>
              </w:rPr>
              <w:t>2.</w:t>
            </w:r>
            <w:r w:rsidRPr="00E94015">
              <w:rPr>
                <w:szCs w:val="22"/>
                <w:lang w:val="fr-CH"/>
              </w:rPr>
              <w:tab/>
              <w:t>Service qui demande l'autorisation</w:t>
            </w:r>
          </w:p>
        </w:tc>
      </w:tr>
      <w:tr w:rsidR="007D4B96" w:rsidRPr="00E94015" w:rsidTr="0079254A">
        <w:trPr>
          <w:cantSplit/>
          <w:jc w:val="center"/>
        </w:trPr>
        <w:tc>
          <w:tcPr>
            <w:tcW w:w="4820"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ind w:left="284" w:hanging="284"/>
              <w:jc w:val="left"/>
              <w:rPr>
                <w:szCs w:val="22"/>
                <w:lang w:val="fr-CH"/>
              </w:rPr>
            </w:pPr>
            <w:r w:rsidRPr="00E94015">
              <w:rPr>
                <w:szCs w:val="22"/>
                <w:lang w:val="fr-CH"/>
              </w:rPr>
              <w:t>3.</w:t>
            </w:r>
            <w:r w:rsidRPr="00E94015">
              <w:rPr>
                <w:szCs w:val="22"/>
                <w:lang w:val="fr-CH"/>
              </w:rPr>
              <w:tab/>
              <w:t>Emplacement de la liaison montante et de la liaison descendante</w:t>
            </w:r>
          </w:p>
        </w:tc>
        <w:tc>
          <w:tcPr>
            <w:tcW w:w="4819"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ind w:left="284" w:hanging="284"/>
              <w:jc w:val="left"/>
              <w:rPr>
                <w:szCs w:val="22"/>
                <w:lang w:val="fr-CH"/>
              </w:rPr>
            </w:pPr>
            <w:r w:rsidRPr="00E94015">
              <w:rPr>
                <w:szCs w:val="22"/>
                <w:lang w:val="fr-CH"/>
              </w:rPr>
              <w:t>3.</w:t>
            </w:r>
            <w:r w:rsidRPr="00E94015">
              <w:rPr>
                <w:szCs w:val="22"/>
                <w:lang w:val="fr-CH"/>
              </w:rPr>
              <w:tab/>
              <w:t>Aut</w:t>
            </w:r>
            <w:bookmarkStart w:id="5" w:name="_GoBack"/>
            <w:bookmarkEnd w:id="5"/>
            <w:r w:rsidRPr="00E94015">
              <w:rPr>
                <w:szCs w:val="22"/>
                <w:lang w:val="fr-CH"/>
              </w:rPr>
              <w:t>res services qui délivrent les autorisations et vers lesquels doivent être acheminés les renseignements</w:t>
            </w:r>
          </w:p>
        </w:tc>
      </w:tr>
      <w:tr w:rsidR="007D4B96" w:rsidRPr="00E94015" w:rsidTr="0079254A">
        <w:trPr>
          <w:cantSplit/>
          <w:jc w:val="center"/>
        </w:trPr>
        <w:tc>
          <w:tcPr>
            <w:tcW w:w="4820"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jc w:val="left"/>
              <w:rPr>
                <w:szCs w:val="22"/>
                <w:lang w:val="fr-CH"/>
              </w:rPr>
            </w:pPr>
            <w:r w:rsidRPr="00E94015">
              <w:rPr>
                <w:szCs w:val="22"/>
                <w:lang w:val="fr-CH"/>
              </w:rPr>
              <w:t>4.</w:t>
            </w:r>
            <w:r w:rsidRPr="00E94015">
              <w:rPr>
                <w:szCs w:val="22"/>
                <w:lang w:val="fr-CH"/>
              </w:rPr>
              <w:tab/>
              <w:t>Secteur spatial prévu</w:t>
            </w:r>
          </w:p>
        </w:tc>
        <w:tc>
          <w:tcPr>
            <w:tcW w:w="4819"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jc w:val="left"/>
              <w:rPr>
                <w:szCs w:val="22"/>
                <w:lang w:val="fr-CH"/>
              </w:rPr>
            </w:pPr>
            <w:r w:rsidRPr="00E94015">
              <w:rPr>
                <w:szCs w:val="22"/>
                <w:lang w:val="fr-CH"/>
              </w:rPr>
              <w:t>4.</w:t>
            </w:r>
            <w:r w:rsidRPr="00E94015">
              <w:rPr>
                <w:szCs w:val="22"/>
                <w:lang w:val="fr-CH"/>
              </w:rPr>
              <w:tab/>
              <w:t>Points de contact pour la douane</w:t>
            </w:r>
          </w:p>
        </w:tc>
      </w:tr>
      <w:tr w:rsidR="007D4B96" w:rsidRPr="00E94015" w:rsidTr="0079254A">
        <w:trPr>
          <w:cantSplit/>
          <w:jc w:val="center"/>
        </w:trPr>
        <w:tc>
          <w:tcPr>
            <w:tcW w:w="4820"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ind w:left="284" w:hanging="284"/>
              <w:jc w:val="left"/>
              <w:rPr>
                <w:szCs w:val="22"/>
                <w:lang w:val="fr-CH"/>
              </w:rPr>
            </w:pPr>
            <w:r w:rsidRPr="00E94015">
              <w:rPr>
                <w:szCs w:val="22"/>
                <w:lang w:val="fr-CH"/>
              </w:rPr>
              <w:t>5.</w:t>
            </w:r>
            <w:r w:rsidRPr="00E94015">
              <w:rPr>
                <w:szCs w:val="22"/>
                <w:lang w:val="fr-CH"/>
              </w:rPr>
              <w:tab/>
              <w:t>Caractéristiques de la station terrienne DSNG (par exemple, applications existantes, code d'identification, bande de fréquences, p.i.r.e. maximale, diagramme d'émission de l'antenne, méthodes de modulation)</w:t>
            </w:r>
          </w:p>
        </w:tc>
        <w:tc>
          <w:tcPr>
            <w:tcW w:w="4819"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jc w:val="left"/>
              <w:rPr>
                <w:szCs w:val="22"/>
                <w:lang w:val="fr-CH"/>
              </w:rPr>
            </w:pPr>
            <w:r w:rsidRPr="00E94015">
              <w:rPr>
                <w:szCs w:val="22"/>
                <w:lang w:val="fr-CH"/>
              </w:rPr>
              <w:t>5.</w:t>
            </w:r>
            <w:r w:rsidRPr="00E94015">
              <w:rPr>
                <w:szCs w:val="22"/>
                <w:lang w:val="fr-CH"/>
              </w:rPr>
              <w:tab/>
              <w:t>Renseignements sur les tarifs</w:t>
            </w:r>
          </w:p>
        </w:tc>
      </w:tr>
      <w:tr w:rsidR="007D4B96" w:rsidRPr="00E94015" w:rsidTr="0079254A">
        <w:trPr>
          <w:cantSplit/>
          <w:jc w:val="center"/>
        </w:trPr>
        <w:tc>
          <w:tcPr>
            <w:tcW w:w="4820"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ind w:left="284" w:hanging="284"/>
              <w:jc w:val="left"/>
              <w:rPr>
                <w:szCs w:val="22"/>
                <w:lang w:val="fr-CH"/>
              </w:rPr>
            </w:pPr>
            <w:r w:rsidRPr="00E94015">
              <w:rPr>
                <w:szCs w:val="22"/>
                <w:lang w:val="fr-CH"/>
              </w:rPr>
              <w:t>6.</w:t>
            </w:r>
            <w:r w:rsidRPr="00E94015">
              <w:rPr>
                <w:szCs w:val="22"/>
                <w:lang w:val="fr-CH"/>
              </w:rPr>
              <w:tab/>
              <w:t>Moyens venant s'ajouter aux moyens de transmission supports (faisceaux hertziens, nombre de circuits téléphoniques supports)</w:t>
            </w:r>
          </w:p>
        </w:tc>
        <w:tc>
          <w:tcPr>
            <w:tcW w:w="4819" w:type="dxa"/>
            <w:tcBorders>
              <w:top w:val="single" w:sz="6" w:space="0" w:color="auto"/>
              <w:left w:val="single" w:sz="6" w:space="0" w:color="auto"/>
              <w:bottom w:val="single" w:sz="6" w:space="0" w:color="auto"/>
              <w:right w:val="single" w:sz="6" w:space="0" w:color="auto"/>
            </w:tcBorders>
          </w:tcPr>
          <w:p w:rsidR="007D4B96" w:rsidRPr="00E94015" w:rsidRDefault="007D4B96" w:rsidP="000637D8">
            <w:pPr>
              <w:pStyle w:val="Tabletext"/>
              <w:keepNext/>
              <w:keepLines/>
              <w:jc w:val="left"/>
              <w:rPr>
                <w:szCs w:val="22"/>
                <w:lang w:val="fr-CH"/>
              </w:rPr>
            </w:pPr>
            <w:r w:rsidRPr="00E94015">
              <w:rPr>
                <w:szCs w:val="22"/>
                <w:lang w:val="fr-CH"/>
              </w:rPr>
              <w:t>6.</w:t>
            </w:r>
            <w:r w:rsidRPr="00E94015">
              <w:rPr>
                <w:szCs w:val="22"/>
                <w:lang w:val="fr-CH"/>
              </w:rPr>
              <w:tab/>
              <w:t>Normes de sécurité</w:t>
            </w:r>
          </w:p>
        </w:tc>
      </w:tr>
    </w:tbl>
    <w:p w:rsidR="00A96FCA" w:rsidRPr="00E94015" w:rsidRDefault="00A96FCA" w:rsidP="00A96FCA">
      <w:pPr>
        <w:pStyle w:val="Tablefin"/>
        <w:rPr>
          <w:lang w:val="fr-CH"/>
        </w:rPr>
      </w:pPr>
    </w:p>
    <w:p w:rsidR="00A96FCA" w:rsidRPr="00E94015" w:rsidRDefault="00A96FCA">
      <w:pPr>
        <w:jc w:val="center"/>
        <w:rPr>
          <w:lang w:val="fr-CH"/>
        </w:rPr>
      </w:pPr>
      <w:r w:rsidRPr="00E94015">
        <w:rPr>
          <w:lang w:val="fr-CH"/>
        </w:rPr>
        <w:t>______________</w:t>
      </w:r>
    </w:p>
    <w:sectPr w:rsidR="00A96FCA" w:rsidRPr="00E9401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015" w:rsidRDefault="00E94015">
      <w:r>
        <w:separator/>
      </w:r>
    </w:p>
  </w:endnote>
  <w:endnote w:type="continuationSeparator" w:id="0">
    <w:p w:rsidR="00E94015" w:rsidRDefault="00E94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015" w:rsidRDefault="00E94015">
      <w:r>
        <w:separator/>
      </w:r>
    </w:p>
  </w:footnote>
  <w:footnote w:type="continuationSeparator" w:id="0">
    <w:p w:rsidR="00E94015" w:rsidRDefault="00E940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15" w:rsidRDefault="00E9401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15" w:rsidRDefault="00E94015" w:rsidP="00C668C8">
    <w:pPr>
      <w:pStyle w:val="Header"/>
      <w:ind w:right="360" w:firstLine="360"/>
    </w:pPr>
    <w:r>
      <w:rPr>
        <w:noProof/>
        <w:lang w:val="en-US" w:eastAsia="zh-CN"/>
      </w:rPr>
      <w:drawing>
        <wp:anchor distT="0" distB="0" distL="114300" distR="114300" simplePos="0" relativeHeight="251657728" behindDoc="1" locked="0" layoutInCell="1" allowOverlap="1" wp14:anchorId="71AE702B" wp14:editId="4C12237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15" w:rsidRPr="00837CB5" w:rsidRDefault="00E9401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637D8">
      <w:rPr>
        <w:rStyle w:val="PageNumber"/>
        <w:b/>
        <w:bCs/>
        <w:noProof/>
      </w:rPr>
      <w:t>8</w:t>
    </w:r>
    <w:r>
      <w:rPr>
        <w:rStyle w:val="PageNumber"/>
        <w:b/>
        <w:bCs/>
      </w:rPr>
      <w:fldChar w:fldCharType="end"/>
    </w:r>
    <w:r w:rsidRPr="00837CB5">
      <w:tab/>
    </w:r>
    <w:r w:rsidR="000637D8">
      <w:fldChar w:fldCharType="begin"/>
    </w:r>
    <w:r w:rsidR="000637D8">
      <w:instrText xml:space="preserve"> DOCPROPERTY "Header" \* MERGEFORMAT </w:instrText>
    </w:r>
    <w:r w:rsidR="000637D8">
      <w:fldChar w:fldCharType="separate"/>
    </w:r>
    <w:r>
      <w:rPr>
        <w:b/>
        <w:bCs/>
      </w:rPr>
      <w:t xml:space="preserve">Rec. </w:t>
    </w:r>
    <w:r w:rsidR="000637D8">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637D8">
      <w:rPr>
        <w:b/>
        <w:bCs/>
        <w:noProof/>
      </w:rPr>
      <w:t>UIT-R  SNG.770-2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15" w:rsidRDefault="00E94015">
    <w:pPr>
      <w:pStyle w:val="Header"/>
    </w:pPr>
    <w:r>
      <w:tab/>
    </w:r>
    <w:r w:rsidR="000637D8">
      <w:fldChar w:fldCharType="begin"/>
    </w:r>
    <w:r w:rsidR="000637D8">
      <w:instrText xml:space="preserve"> DOCPROPERTY "Header" \* MERGEFORMAT </w:instrText>
    </w:r>
    <w:r w:rsidR="000637D8">
      <w:fldChar w:fldCharType="separate"/>
    </w:r>
    <w:r>
      <w:rPr>
        <w:b/>
        <w:bCs/>
      </w:rPr>
      <w:t xml:space="preserve">Rec. </w:t>
    </w:r>
    <w:r w:rsidR="000637D8">
      <w:rPr>
        <w:b/>
        <w:bCs/>
      </w:rPr>
      <w:fldChar w:fldCharType="end"/>
    </w:r>
    <w:r>
      <w:rPr>
        <w:b/>
        <w:bCs/>
      </w:rPr>
      <w:t xml:space="preserve"> </w:t>
    </w:r>
    <w:r>
      <w:rPr>
        <w:b/>
        <w:bCs/>
      </w:rPr>
      <w:fldChar w:fldCharType="begin"/>
    </w:r>
    <w:r>
      <w:rPr>
        <w:b/>
        <w:bCs/>
      </w:rPr>
      <w:instrText>styleref href</w:instrText>
    </w:r>
    <w:r>
      <w:rPr>
        <w:b/>
        <w:bCs/>
      </w:rPr>
      <w:fldChar w:fldCharType="separate"/>
    </w:r>
    <w:r w:rsidR="000637D8">
      <w:rPr>
        <w:b/>
        <w:bCs/>
        <w:noProof/>
      </w:rPr>
      <w:t>UIT-R  SNG.770-2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637D8">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637D8"/>
    <w:rsid w:val="00072484"/>
    <w:rsid w:val="00076BD8"/>
    <w:rsid w:val="00086C50"/>
    <w:rsid w:val="00096612"/>
    <w:rsid w:val="000A0A78"/>
    <w:rsid w:val="000B7683"/>
    <w:rsid w:val="00102934"/>
    <w:rsid w:val="00123FD5"/>
    <w:rsid w:val="00125B6D"/>
    <w:rsid w:val="00126AF2"/>
    <w:rsid w:val="00147110"/>
    <w:rsid w:val="001A27FE"/>
    <w:rsid w:val="001B1BA9"/>
    <w:rsid w:val="00202D10"/>
    <w:rsid w:val="002058CE"/>
    <w:rsid w:val="002165F1"/>
    <w:rsid w:val="00227626"/>
    <w:rsid w:val="00276D21"/>
    <w:rsid w:val="00296D7F"/>
    <w:rsid w:val="002B3CF6"/>
    <w:rsid w:val="002C768A"/>
    <w:rsid w:val="002D76C4"/>
    <w:rsid w:val="002E73BB"/>
    <w:rsid w:val="00326525"/>
    <w:rsid w:val="003424E2"/>
    <w:rsid w:val="00354F85"/>
    <w:rsid w:val="00363367"/>
    <w:rsid w:val="003E6469"/>
    <w:rsid w:val="003F5D0E"/>
    <w:rsid w:val="00420DFD"/>
    <w:rsid w:val="00470E28"/>
    <w:rsid w:val="004822EF"/>
    <w:rsid w:val="004934C5"/>
    <w:rsid w:val="004A4D65"/>
    <w:rsid w:val="00556548"/>
    <w:rsid w:val="00567DC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47E80"/>
    <w:rsid w:val="00670466"/>
    <w:rsid w:val="00680D2B"/>
    <w:rsid w:val="00681B32"/>
    <w:rsid w:val="006C7827"/>
    <w:rsid w:val="006E2037"/>
    <w:rsid w:val="006F154D"/>
    <w:rsid w:val="006F6E5D"/>
    <w:rsid w:val="00712870"/>
    <w:rsid w:val="00731BD8"/>
    <w:rsid w:val="00743D85"/>
    <w:rsid w:val="00753CF4"/>
    <w:rsid w:val="007565CC"/>
    <w:rsid w:val="00756B4D"/>
    <w:rsid w:val="00763B9A"/>
    <w:rsid w:val="00767A1D"/>
    <w:rsid w:val="00776E56"/>
    <w:rsid w:val="0079254A"/>
    <w:rsid w:val="007A308E"/>
    <w:rsid w:val="007A6AA8"/>
    <w:rsid w:val="007D4B96"/>
    <w:rsid w:val="008310C9"/>
    <w:rsid w:val="00837CB5"/>
    <w:rsid w:val="0085630B"/>
    <w:rsid w:val="00866C19"/>
    <w:rsid w:val="00872472"/>
    <w:rsid w:val="008C7848"/>
    <w:rsid w:val="00917AF2"/>
    <w:rsid w:val="0092418A"/>
    <w:rsid w:val="00934ED7"/>
    <w:rsid w:val="009454F8"/>
    <w:rsid w:val="009543C3"/>
    <w:rsid w:val="00962811"/>
    <w:rsid w:val="00966E1B"/>
    <w:rsid w:val="009B5551"/>
    <w:rsid w:val="009B5564"/>
    <w:rsid w:val="009F2D2C"/>
    <w:rsid w:val="009F32BB"/>
    <w:rsid w:val="00A443C2"/>
    <w:rsid w:val="00A52DB0"/>
    <w:rsid w:val="00A6617B"/>
    <w:rsid w:val="00A71FE5"/>
    <w:rsid w:val="00A73409"/>
    <w:rsid w:val="00A96FCA"/>
    <w:rsid w:val="00AA3AD8"/>
    <w:rsid w:val="00AB0DC8"/>
    <w:rsid w:val="00AB52D1"/>
    <w:rsid w:val="00AD267B"/>
    <w:rsid w:val="00B033C8"/>
    <w:rsid w:val="00B21066"/>
    <w:rsid w:val="00B33425"/>
    <w:rsid w:val="00B44E24"/>
    <w:rsid w:val="00B54ECC"/>
    <w:rsid w:val="00B714F3"/>
    <w:rsid w:val="00B81801"/>
    <w:rsid w:val="00BC0651"/>
    <w:rsid w:val="00BC5D77"/>
    <w:rsid w:val="00BF487A"/>
    <w:rsid w:val="00C268B9"/>
    <w:rsid w:val="00C362C3"/>
    <w:rsid w:val="00C40D3E"/>
    <w:rsid w:val="00C46BD9"/>
    <w:rsid w:val="00C55258"/>
    <w:rsid w:val="00C668C8"/>
    <w:rsid w:val="00C73560"/>
    <w:rsid w:val="00C84839"/>
    <w:rsid w:val="00CB0F14"/>
    <w:rsid w:val="00CD659B"/>
    <w:rsid w:val="00CD7DC8"/>
    <w:rsid w:val="00CF67E0"/>
    <w:rsid w:val="00D017C0"/>
    <w:rsid w:val="00D17EBF"/>
    <w:rsid w:val="00D31EB8"/>
    <w:rsid w:val="00D70C4E"/>
    <w:rsid w:val="00DE5EA2"/>
    <w:rsid w:val="00DF086D"/>
    <w:rsid w:val="00DF4176"/>
    <w:rsid w:val="00DF693C"/>
    <w:rsid w:val="00E02402"/>
    <w:rsid w:val="00E17240"/>
    <w:rsid w:val="00E44C45"/>
    <w:rsid w:val="00E44CBB"/>
    <w:rsid w:val="00E73AFE"/>
    <w:rsid w:val="00E80F1D"/>
    <w:rsid w:val="00E83789"/>
    <w:rsid w:val="00E94015"/>
    <w:rsid w:val="00EA6E8E"/>
    <w:rsid w:val="00EC361D"/>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7A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67A1D"/>
    <w:pPr>
      <w:keepNext/>
      <w:keepLines/>
      <w:spacing w:before="480"/>
      <w:ind w:left="794" w:hanging="794"/>
      <w:outlineLvl w:val="0"/>
    </w:pPr>
    <w:rPr>
      <w:b/>
    </w:rPr>
  </w:style>
  <w:style w:type="paragraph" w:styleId="Heading2">
    <w:name w:val="heading 2"/>
    <w:basedOn w:val="Heading1"/>
    <w:next w:val="Normal"/>
    <w:qFormat/>
    <w:rsid w:val="00767A1D"/>
    <w:pPr>
      <w:spacing w:before="320"/>
      <w:outlineLvl w:val="1"/>
    </w:pPr>
  </w:style>
  <w:style w:type="paragraph" w:styleId="Heading3">
    <w:name w:val="heading 3"/>
    <w:basedOn w:val="Heading1"/>
    <w:next w:val="Normal"/>
    <w:qFormat/>
    <w:rsid w:val="00767A1D"/>
    <w:pPr>
      <w:spacing w:before="200"/>
      <w:outlineLvl w:val="2"/>
    </w:pPr>
  </w:style>
  <w:style w:type="paragraph" w:styleId="Heading4">
    <w:name w:val="heading 4"/>
    <w:basedOn w:val="Heading3"/>
    <w:next w:val="Normal"/>
    <w:qFormat/>
    <w:rsid w:val="00767A1D"/>
    <w:pPr>
      <w:tabs>
        <w:tab w:val="clear" w:pos="794"/>
        <w:tab w:val="left" w:pos="992"/>
      </w:tabs>
      <w:ind w:left="992" w:hanging="992"/>
      <w:outlineLvl w:val="3"/>
    </w:pPr>
  </w:style>
  <w:style w:type="paragraph" w:styleId="Heading5">
    <w:name w:val="heading 5"/>
    <w:basedOn w:val="Heading4"/>
    <w:next w:val="Normal"/>
    <w:qFormat/>
    <w:rsid w:val="00767A1D"/>
    <w:pPr>
      <w:outlineLvl w:val="4"/>
    </w:pPr>
  </w:style>
  <w:style w:type="paragraph" w:styleId="Heading6">
    <w:name w:val="heading 6"/>
    <w:basedOn w:val="Heading4"/>
    <w:next w:val="Normal"/>
    <w:qFormat/>
    <w:rsid w:val="00767A1D"/>
    <w:pPr>
      <w:tabs>
        <w:tab w:val="clear" w:pos="992"/>
        <w:tab w:val="clear" w:pos="1191"/>
      </w:tabs>
      <w:ind w:left="1588" w:hanging="1588"/>
      <w:outlineLvl w:val="5"/>
    </w:pPr>
  </w:style>
  <w:style w:type="paragraph" w:styleId="Heading7">
    <w:name w:val="heading 7"/>
    <w:basedOn w:val="Heading6"/>
    <w:next w:val="Normal"/>
    <w:qFormat/>
    <w:rsid w:val="00767A1D"/>
    <w:pPr>
      <w:outlineLvl w:val="6"/>
    </w:pPr>
  </w:style>
  <w:style w:type="paragraph" w:styleId="Heading8">
    <w:name w:val="heading 8"/>
    <w:basedOn w:val="Heading6"/>
    <w:next w:val="Normal"/>
    <w:qFormat/>
    <w:rsid w:val="00767A1D"/>
    <w:pPr>
      <w:outlineLvl w:val="7"/>
    </w:pPr>
  </w:style>
  <w:style w:type="paragraph" w:styleId="Heading9">
    <w:name w:val="heading 9"/>
    <w:basedOn w:val="Heading6"/>
    <w:next w:val="Normal"/>
    <w:qFormat/>
    <w:rsid w:val="00767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7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67A1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67A1D"/>
  </w:style>
  <w:style w:type="paragraph" w:customStyle="1" w:styleId="Headingb">
    <w:name w:val="Heading_b"/>
    <w:basedOn w:val="Heading3"/>
    <w:next w:val="Normal"/>
    <w:rsid w:val="00767A1D"/>
    <w:pPr>
      <w:spacing w:before="160"/>
      <w:ind w:left="0" w:firstLine="0"/>
      <w:outlineLvl w:val="9"/>
    </w:pPr>
  </w:style>
  <w:style w:type="paragraph" w:customStyle="1" w:styleId="Headingi">
    <w:name w:val="Heading_i"/>
    <w:basedOn w:val="Heading3"/>
    <w:next w:val="Normal"/>
    <w:rsid w:val="00767A1D"/>
    <w:pPr>
      <w:spacing w:before="160"/>
      <w:ind w:left="0" w:firstLine="0"/>
    </w:pPr>
    <w:rPr>
      <w:b w:val="0"/>
      <w:i/>
    </w:rPr>
  </w:style>
  <w:style w:type="character" w:customStyle="1" w:styleId="href">
    <w:name w:val="href"/>
    <w:basedOn w:val="DefaultParagraphFont"/>
    <w:rsid w:val="00767A1D"/>
  </w:style>
  <w:style w:type="paragraph" w:customStyle="1" w:styleId="AnnexNoTitle">
    <w:name w:val="Annex_NoTitle"/>
    <w:basedOn w:val="Normal"/>
    <w:next w:val="Normalaftertitle"/>
    <w:rsid w:val="00767A1D"/>
    <w:pPr>
      <w:keepNext/>
      <w:keepLines/>
      <w:spacing w:before="480" w:after="80"/>
      <w:jc w:val="center"/>
    </w:pPr>
    <w:rPr>
      <w:b/>
      <w:sz w:val="28"/>
    </w:rPr>
  </w:style>
  <w:style w:type="paragraph" w:customStyle="1" w:styleId="Normalaftertitle">
    <w:name w:val="Normal_after_title"/>
    <w:basedOn w:val="Normal"/>
    <w:next w:val="Normal"/>
    <w:rsid w:val="00767A1D"/>
    <w:pPr>
      <w:spacing w:before="320"/>
    </w:pPr>
  </w:style>
  <w:style w:type="paragraph" w:customStyle="1" w:styleId="enumlev2">
    <w:name w:val="enumlev2"/>
    <w:basedOn w:val="enumlev1"/>
    <w:rsid w:val="00767A1D"/>
    <w:pPr>
      <w:ind w:left="1191" w:hanging="397"/>
    </w:pPr>
  </w:style>
  <w:style w:type="paragraph" w:customStyle="1" w:styleId="enumlev1">
    <w:name w:val="enumlev1"/>
    <w:basedOn w:val="Normal"/>
    <w:link w:val="enumlev1Char"/>
    <w:rsid w:val="00767A1D"/>
    <w:pPr>
      <w:spacing w:before="80"/>
      <w:ind w:left="794" w:hanging="794"/>
    </w:pPr>
  </w:style>
  <w:style w:type="character" w:customStyle="1" w:styleId="enumlev1Char">
    <w:name w:val="enumlev1 Char"/>
    <w:basedOn w:val="DefaultParagraphFont"/>
    <w:link w:val="enumlev1"/>
    <w:locked/>
    <w:rsid w:val="007D4B96"/>
    <w:rPr>
      <w:sz w:val="24"/>
      <w:lang w:val="fr-FR" w:eastAsia="en-US"/>
    </w:rPr>
  </w:style>
  <w:style w:type="paragraph" w:customStyle="1" w:styleId="enumlev3">
    <w:name w:val="enumlev3"/>
    <w:basedOn w:val="enumlev2"/>
    <w:rsid w:val="00767A1D"/>
    <w:pPr>
      <w:ind w:left="1588"/>
    </w:pPr>
  </w:style>
  <w:style w:type="paragraph" w:customStyle="1" w:styleId="Note">
    <w:name w:val="Note"/>
    <w:basedOn w:val="Normal"/>
    <w:rsid w:val="00767A1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67A1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67A1D"/>
    <w:pPr>
      <w:keepNext/>
      <w:keepLines/>
      <w:spacing w:before="240"/>
      <w:jc w:val="center"/>
    </w:pPr>
    <w:rPr>
      <w:b/>
      <w:sz w:val="28"/>
    </w:rPr>
  </w:style>
  <w:style w:type="paragraph" w:customStyle="1" w:styleId="Recref">
    <w:name w:val="Rec_ref"/>
    <w:basedOn w:val="Normal"/>
    <w:next w:val="Recdate"/>
    <w:rsid w:val="00767A1D"/>
    <w:pPr>
      <w:jc w:val="center"/>
    </w:pPr>
  </w:style>
  <w:style w:type="paragraph" w:customStyle="1" w:styleId="Recdate">
    <w:name w:val="Rec_date"/>
    <w:basedOn w:val="Recref"/>
    <w:next w:val="Normalaftertitle"/>
    <w:rsid w:val="00767A1D"/>
    <w:pPr>
      <w:jc w:val="right"/>
    </w:pPr>
  </w:style>
  <w:style w:type="paragraph" w:customStyle="1" w:styleId="HeadingSum">
    <w:name w:val="Heading_Sum"/>
    <w:basedOn w:val="Headingb"/>
    <w:next w:val="Normal"/>
    <w:rsid w:val="00767A1D"/>
    <w:pPr>
      <w:spacing w:before="240"/>
    </w:pPr>
    <w:rPr>
      <w:sz w:val="22"/>
      <w:lang w:val="es-ES_tradnl"/>
    </w:rPr>
  </w:style>
  <w:style w:type="paragraph" w:customStyle="1" w:styleId="AppendixNoTitle">
    <w:name w:val="Appendix_NoTitle"/>
    <w:basedOn w:val="AnnexNoTitle"/>
    <w:next w:val="Normal"/>
    <w:rsid w:val="00767A1D"/>
  </w:style>
  <w:style w:type="paragraph" w:customStyle="1" w:styleId="Tablefin">
    <w:name w:val="Table_fin"/>
    <w:basedOn w:val="Normal"/>
    <w:next w:val="Normal"/>
    <w:rsid w:val="00767A1D"/>
    <w:pPr>
      <w:spacing w:before="0"/>
    </w:pPr>
    <w:rPr>
      <w:sz w:val="20"/>
      <w:lang w:val="en-GB"/>
    </w:rPr>
  </w:style>
  <w:style w:type="paragraph" w:customStyle="1" w:styleId="Tablehead">
    <w:name w:val="Table_head"/>
    <w:basedOn w:val="Normal"/>
    <w:next w:val="Normal"/>
    <w:rsid w:val="00767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67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67A1D"/>
    <w:pPr>
      <w:keepNext/>
      <w:spacing w:before="360" w:after="120"/>
      <w:jc w:val="center"/>
    </w:pPr>
  </w:style>
  <w:style w:type="paragraph" w:customStyle="1" w:styleId="Tabletext">
    <w:name w:val="Table_text"/>
    <w:basedOn w:val="Normal"/>
    <w:link w:val="TabletextChar"/>
    <w:rsid w:val="00767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7D4B96"/>
    <w:rPr>
      <w:sz w:val="22"/>
      <w:lang w:val="fr-FR" w:eastAsia="en-US"/>
    </w:rPr>
  </w:style>
  <w:style w:type="paragraph" w:customStyle="1" w:styleId="Equation">
    <w:name w:val="Equation"/>
    <w:basedOn w:val="Normal"/>
    <w:rsid w:val="00767A1D"/>
    <w:pPr>
      <w:tabs>
        <w:tab w:val="clear" w:pos="1191"/>
        <w:tab w:val="clear" w:pos="1588"/>
        <w:tab w:val="clear" w:pos="1985"/>
        <w:tab w:val="center" w:pos="4820"/>
        <w:tab w:val="right" w:pos="9639"/>
      </w:tabs>
    </w:pPr>
  </w:style>
  <w:style w:type="paragraph" w:customStyle="1" w:styleId="Equationlegend">
    <w:name w:val="Equation_legend"/>
    <w:basedOn w:val="NormalIndent"/>
    <w:rsid w:val="00767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67A1D"/>
    <w:pPr>
      <w:ind w:left="794"/>
    </w:pPr>
  </w:style>
  <w:style w:type="paragraph" w:customStyle="1" w:styleId="Figurelegend">
    <w:name w:val="Figure_legend"/>
    <w:basedOn w:val="Normal"/>
    <w:rsid w:val="00767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67A1D"/>
    <w:pPr>
      <w:keepNext/>
      <w:keepLines/>
      <w:spacing w:before="480" w:after="80"/>
      <w:jc w:val="center"/>
    </w:pPr>
    <w:rPr>
      <w:caps/>
      <w:sz w:val="18"/>
    </w:rPr>
  </w:style>
  <w:style w:type="paragraph" w:customStyle="1" w:styleId="Figuretitle">
    <w:name w:val="Figure_title"/>
    <w:basedOn w:val="Normal"/>
    <w:next w:val="Figure"/>
    <w:rsid w:val="00767A1D"/>
    <w:pPr>
      <w:keepNext/>
      <w:spacing w:before="0" w:after="120"/>
      <w:jc w:val="center"/>
    </w:pPr>
    <w:rPr>
      <w:rFonts w:ascii="Times New Roman Bold" w:hAnsi="Times New Roman Bold"/>
      <w:b/>
      <w:sz w:val="18"/>
    </w:rPr>
  </w:style>
  <w:style w:type="paragraph" w:customStyle="1" w:styleId="Figure">
    <w:name w:val="Figure"/>
    <w:basedOn w:val="FigureNo"/>
    <w:next w:val="Normal"/>
    <w:rsid w:val="00767A1D"/>
    <w:pPr>
      <w:keepNext w:val="0"/>
      <w:spacing w:before="0" w:after="240"/>
    </w:pPr>
  </w:style>
  <w:style w:type="paragraph" w:customStyle="1" w:styleId="tocpart">
    <w:name w:val="tocpart"/>
    <w:basedOn w:val="Normal"/>
    <w:rsid w:val="00767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67A1D"/>
    <w:pPr>
      <w:keepNext/>
      <w:keepLines/>
      <w:spacing w:before="480"/>
      <w:jc w:val="center"/>
    </w:pPr>
    <w:rPr>
      <w:sz w:val="28"/>
    </w:rPr>
  </w:style>
  <w:style w:type="paragraph" w:customStyle="1" w:styleId="Arttitle">
    <w:name w:val="Art_title"/>
    <w:basedOn w:val="Normal"/>
    <w:next w:val="Normalaftertitle"/>
    <w:rsid w:val="00767A1D"/>
    <w:pPr>
      <w:keepNext/>
      <w:keepLines/>
      <w:spacing w:before="240"/>
      <w:jc w:val="center"/>
    </w:pPr>
    <w:rPr>
      <w:b/>
      <w:sz w:val="28"/>
    </w:rPr>
  </w:style>
  <w:style w:type="paragraph" w:customStyle="1" w:styleId="Blanc">
    <w:name w:val="Blanc"/>
    <w:basedOn w:val="Normal"/>
    <w:next w:val="Tabletext"/>
    <w:rsid w:val="00767A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67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67A1D"/>
    <w:pPr>
      <w:keepNext/>
      <w:keepLines/>
      <w:spacing w:before="160"/>
      <w:ind w:left="794"/>
    </w:pPr>
    <w:rPr>
      <w:i/>
    </w:rPr>
  </w:style>
  <w:style w:type="paragraph" w:customStyle="1" w:styleId="ChapNo">
    <w:name w:val="Chap_No"/>
    <w:basedOn w:val="ArtNo"/>
    <w:next w:val="Chaptitle"/>
    <w:rsid w:val="00767A1D"/>
    <w:rPr>
      <w:b/>
    </w:rPr>
  </w:style>
  <w:style w:type="paragraph" w:customStyle="1" w:styleId="Chaptitle">
    <w:name w:val="Chap_title"/>
    <w:basedOn w:val="Arttitle"/>
    <w:next w:val="Normalaftertitle"/>
    <w:rsid w:val="00767A1D"/>
  </w:style>
  <w:style w:type="character" w:styleId="FootnoteReference">
    <w:name w:val="footnote reference"/>
    <w:basedOn w:val="DefaultParagraphFont"/>
    <w:semiHidden/>
    <w:rsid w:val="00767A1D"/>
    <w:rPr>
      <w:position w:val="6"/>
      <w:sz w:val="18"/>
    </w:rPr>
  </w:style>
  <w:style w:type="paragraph" w:styleId="FootnoteText">
    <w:name w:val="footnote text"/>
    <w:basedOn w:val="Normal"/>
    <w:semiHidden/>
    <w:rsid w:val="00767A1D"/>
    <w:pPr>
      <w:keepLines/>
      <w:tabs>
        <w:tab w:val="left" w:pos="255"/>
      </w:tabs>
      <w:ind w:left="255" w:hanging="255"/>
    </w:pPr>
    <w:rPr>
      <w:sz w:val="22"/>
    </w:rPr>
  </w:style>
  <w:style w:type="paragraph" w:styleId="Index1">
    <w:name w:val="index 1"/>
    <w:basedOn w:val="Normal"/>
    <w:next w:val="Normal"/>
    <w:semiHidden/>
    <w:rsid w:val="00767A1D"/>
  </w:style>
  <w:style w:type="paragraph" w:styleId="Index2">
    <w:name w:val="index 2"/>
    <w:basedOn w:val="Normal"/>
    <w:next w:val="Normal"/>
    <w:semiHidden/>
    <w:rsid w:val="00767A1D"/>
    <w:pPr>
      <w:ind w:left="283"/>
    </w:pPr>
  </w:style>
  <w:style w:type="paragraph" w:styleId="Index3">
    <w:name w:val="index 3"/>
    <w:basedOn w:val="Normal"/>
    <w:next w:val="Normal"/>
    <w:semiHidden/>
    <w:rsid w:val="00767A1D"/>
    <w:pPr>
      <w:ind w:left="566"/>
    </w:pPr>
  </w:style>
  <w:style w:type="paragraph" w:styleId="IndexHeading">
    <w:name w:val="index heading"/>
    <w:basedOn w:val="Normal"/>
    <w:next w:val="Index1"/>
    <w:semiHidden/>
    <w:rsid w:val="00767A1D"/>
  </w:style>
  <w:style w:type="paragraph" w:customStyle="1" w:styleId="Line">
    <w:name w:val="Line"/>
    <w:basedOn w:val="Normal"/>
    <w:next w:val="Normal"/>
    <w:rsid w:val="00767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67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67A1D"/>
  </w:style>
  <w:style w:type="paragraph" w:customStyle="1" w:styleId="Partref">
    <w:name w:val="Part_ref"/>
    <w:basedOn w:val="Normal"/>
    <w:next w:val="Normal"/>
    <w:rsid w:val="00767A1D"/>
    <w:pPr>
      <w:keepNext/>
      <w:keepLines/>
      <w:spacing w:after="280"/>
      <w:jc w:val="center"/>
    </w:pPr>
  </w:style>
  <w:style w:type="paragraph" w:customStyle="1" w:styleId="Parttitle">
    <w:name w:val="Part_title"/>
    <w:basedOn w:val="Normal"/>
    <w:next w:val="Normalaftertitle"/>
    <w:rsid w:val="00767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67A1D"/>
  </w:style>
  <w:style w:type="paragraph" w:customStyle="1" w:styleId="QuestionNo">
    <w:name w:val="Question_No"/>
    <w:basedOn w:val="RecNo"/>
    <w:next w:val="Normal"/>
    <w:rsid w:val="00767A1D"/>
  </w:style>
  <w:style w:type="paragraph" w:customStyle="1" w:styleId="Questionref">
    <w:name w:val="Question_ref"/>
    <w:basedOn w:val="Recref"/>
    <w:next w:val="Questiondate"/>
    <w:rsid w:val="00767A1D"/>
  </w:style>
  <w:style w:type="paragraph" w:customStyle="1" w:styleId="Questiontitle">
    <w:name w:val="Question_title"/>
    <w:basedOn w:val="Normal"/>
    <w:next w:val="Questionref"/>
    <w:rsid w:val="00767A1D"/>
  </w:style>
  <w:style w:type="paragraph" w:customStyle="1" w:styleId="Reftext">
    <w:name w:val="Ref_text"/>
    <w:basedOn w:val="Normal"/>
    <w:rsid w:val="00767A1D"/>
    <w:pPr>
      <w:ind w:left="794" w:hanging="794"/>
    </w:pPr>
    <w:rPr>
      <w:sz w:val="22"/>
    </w:rPr>
  </w:style>
  <w:style w:type="paragraph" w:customStyle="1" w:styleId="Reftitle">
    <w:name w:val="Ref_title"/>
    <w:basedOn w:val="Normal"/>
    <w:next w:val="Reftext"/>
    <w:rsid w:val="00767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67A1D"/>
  </w:style>
  <w:style w:type="paragraph" w:customStyle="1" w:styleId="RepNo">
    <w:name w:val="Rep_No"/>
    <w:basedOn w:val="RecNo"/>
    <w:next w:val="Reptitle"/>
    <w:rsid w:val="00767A1D"/>
  </w:style>
  <w:style w:type="paragraph" w:customStyle="1" w:styleId="Reptitle">
    <w:name w:val="Rep_title"/>
    <w:basedOn w:val="Rectitle"/>
    <w:next w:val="Repref"/>
    <w:rsid w:val="00767A1D"/>
  </w:style>
  <w:style w:type="paragraph" w:customStyle="1" w:styleId="Repref">
    <w:name w:val="Rep_ref"/>
    <w:basedOn w:val="Recref"/>
    <w:next w:val="Repdate"/>
    <w:rsid w:val="00767A1D"/>
  </w:style>
  <w:style w:type="paragraph" w:customStyle="1" w:styleId="Resdate">
    <w:name w:val="Res_date"/>
    <w:basedOn w:val="Recdate"/>
    <w:next w:val="Normalaftertitle"/>
    <w:rsid w:val="00767A1D"/>
  </w:style>
  <w:style w:type="paragraph" w:customStyle="1" w:styleId="ResNo">
    <w:name w:val="Res_No"/>
    <w:basedOn w:val="RecNo"/>
    <w:next w:val="Restitle"/>
    <w:rsid w:val="00767A1D"/>
  </w:style>
  <w:style w:type="paragraph" w:customStyle="1" w:styleId="Restitle">
    <w:name w:val="Res_title"/>
    <w:basedOn w:val="Normal"/>
    <w:next w:val="Resref"/>
    <w:rsid w:val="00767A1D"/>
    <w:pPr>
      <w:spacing w:before="240"/>
      <w:jc w:val="center"/>
    </w:pPr>
    <w:rPr>
      <w:b/>
      <w:sz w:val="28"/>
    </w:rPr>
  </w:style>
  <w:style w:type="paragraph" w:customStyle="1" w:styleId="Resref">
    <w:name w:val="Res_ref"/>
    <w:basedOn w:val="Recref"/>
    <w:next w:val="Resdate"/>
    <w:rsid w:val="00767A1D"/>
  </w:style>
  <w:style w:type="paragraph" w:customStyle="1" w:styleId="SectionNo">
    <w:name w:val="Section_No"/>
    <w:basedOn w:val="Normal"/>
    <w:next w:val="Normal"/>
    <w:rsid w:val="00767A1D"/>
  </w:style>
  <w:style w:type="paragraph" w:customStyle="1" w:styleId="Sectiontitle">
    <w:name w:val="Section_title"/>
    <w:basedOn w:val="Normal"/>
    <w:next w:val="Normalaftertitle"/>
    <w:rsid w:val="00767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67A1D"/>
    <w:pPr>
      <w:tabs>
        <w:tab w:val="clear" w:pos="794"/>
        <w:tab w:val="clear" w:pos="1191"/>
        <w:tab w:val="clear" w:pos="1588"/>
        <w:tab w:val="clear" w:pos="1985"/>
        <w:tab w:val="right" w:pos="9611"/>
      </w:tabs>
    </w:pPr>
    <w:rPr>
      <w:i/>
    </w:rPr>
  </w:style>
  <w:style w:type="paragraph" w:styleId="TOC1">
    <w:name w:val="toc 1"/>
    <w:basedOn w:val="Normal"/>
    <w:semiHidden/>
    <w:rsid w:val="00767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67A1D"/>
    <w:pPr>
      <w:tabs>
        <w:tab w:val="clear" w:pos="567"/>
        <w:tab w:val="left" w:pos="1276"/>
      </w:tabs>
      <w:spacing w:before="160"/>
      <w:ind w:left="1276" w:hanging="709"/>
    </w:pPr>
  </w:style>
  <w:style w:type="paragraph" w:styleId="TOC3">
    <w:name w:val="toc 3"/>
    <w:basedOn w:val="TOC2"/>
    <w:semiHidden/>
    <w:rsid w:val="00767A1D"/>
    <w:pPr>
      <w:tabs>
        <w:tab w:val="clear" w:pos="1276"/>
        <w:tab w:val="left" w:pos="2155"/>
      </w:tabs>
      <w:ind w:left="2155" w:hanging="879"/>
    </w:pPr>
  </w:style>
  <w:style w:type="paragraph" w:styleId="TOC4">
    <w:name w:val="toc 4"/>
    <w:basedOn w:val="TOC3"/>
    <w:semiHidden/>
    <w:rsid w:val="00767A1D"/>
    <w:pPr>
      <w:tabs>
        <w:tab w:val="left" w:pos="3261"/>
      </w:tabs>
      <w:spacing w:before="80"/>
      <w:ind w:left="3261" w:hanging="993"/>
    </w:pPr>
  </w:style>
  <w:style w:type="paragraph" w:styleId="TOC5">
    <w:name w:val="toc 5"/>
    <w:basedOn w:val="TOC4"/>
    <w:semiHidden/>
    <w:rsid w:val="00767A1D"/>
  </w:style>
  <w:style w:type="paragraph" w:styleId="TOC6">
    <w:name w:val="toc 6"/>
    <w:basedOn w:val="TOC4"/>
    <w:semiHidden/>
    <w:rsid w:val="00767A1D"/>
  </w:style>
  <w:style w:type="paragraph" w:styleId="TOC7">
    <w:name w:val="toc 7"/>
    <w:basedOn w:val="TOC4"/>
    <w:semiHidden/>
    <w:rsid w:val="00767A1D"/>
  </w:style>
  <w:style w:type="paragraph" w:styleId="TOC8">
    <w:name w:val="toc 8"/>
    <w:basedOn w:val="TOC4"/>
    <w:semiHidden/>
    <w:rsid w:val="00767A1D"/>
  </w:style>
  <w:style w:type="paragraph" w:customStyle="1" w:styleId="Annexref">
    <w:name w:val="Annex_ref"/>
    <w:basedOn w:val="Normal"/>
    <w:next w:val="Normalaftertitle"/>
    <w:rsid w:val="00767A1D"/>
    <w:pPr>
      <w:keepNext/>
      <w:keepLines/>
      <w:spacing w:after="280"/>
      <w:jc w:val="center"/>
    </w:pPr>
  </w:style>
  <w:style w:type="paragraph" w:customStyle="1" w:styleId="Appendixref">
    <w:name w:val="Appendix_ref"/>
    <w:basedOn w:val="Annexref"/>
    <w:next w:val="Normalaftertitle"/>
    <w:rsid w:val="00767A1D"/>
  </w:style>
  <w:style w:type="paragraph" w:customStyle="1" w:styleId="Tabletitle">
    <w:name w:val="Table_title"/>
    <w:basedOn w:val="Normal"/>
    <w:next w:val="Tablehead"/>
    <w:rsid w:val="00767A1D"/>
    <w:pPr>
      <w:keepNext/>
      <w:spacing w:before="0" w:after="120"/>
      <w:jc w:val="center"/>
    </w:pPr>
    <w:rPr>
      <w:b/>
    </w:rPr>
  </w:style>
  <w:style w:type="paragraph" w:customStyle="1" w:styleId="Summary">
    <w:name w:val="Summary"/>
    <w:basedOn w:val="Normal"/>
    <w:next w:val="Normalaftertitle"/>
    <w:rsid w:val="00767A1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67A1D"/>
    <w:pPr>
      <w:ind w:left="-85" w:firstLine="0"/>
    </w:pPr>
    <w:rPr>
      <w:lang w:val="en-US"/>
    </w:rPr>
  </w:style>
  <w:style w:type="paragraph" w:customStyle="1" w:styleId="Reasons">
    <w:name w:val="Reasons"/>
    <w:basedOn w:val="Normal"/>
    <w:qFormat/>
    <w:rsid w:val="00A96FC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7A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67A1D"/>
    <w:pPr>
      <w:keepNext/>
      <w:keepLines/>
      <w:spacing w:before="480"/>
      <w:ind w:left="794" w:hanging="794"/>
      <w:outlineLvl w:val="0"/>
    </w:pPr>
    <w:rPr>
      <w:b/>
    </w:rPr>
  </w:style>
  <w:style w:type="paragraph" w:styleId="Heading2">
    <w:name w:val="heading 2"/>
    <w:basedOn w:val="Heading1"/>
    <w:next w:val="Normal"/>
    <w:qFormat/>
    <w:rsid w:val="00767A1D"/>
    <w:pPr>
      <w:spacing w:before="320"/>
      <w:outlineLvl w:val="1"/>
    </w:pPr>
  </w:style>
  <w:style w:type="paragraph" w:styleId="Heading3">
    <w:name w:val="heading 3"/>
    <w:basedOn w:val="Heading1"/>
    <w:next w:val="Normal"/>
    <w:qFormat/>
    <w:rsid w:val="00767A1D"/>
    <w:pPr>
      <w:spacing w:before="200"/>
      <w:outlineLvl w:val="2"/>
    </w:pPr>
  </w:style>
  <w:style w:type="paragraph" w:styleId="Heading4">
    <w:name w:val="heading 4"/>
    <w:basedOn w:val="Heading3"/>
    <w:next w:val="Normal"/>
    <w:qFormat/>
    <w:rsid w:val="00767A1D"/>
    <w:pPr>
      <w:tabs>
        <w:tab w:val="clear" w:pos="794"/>
        <w:tab w:val="left" w:pos="992"/>
      </w:tabs>
      <w:ind w:left="992" w:hanging="992"/>
      <w:outlineLvl w:val="3"/>
    </w:pPr>
  </w:style>
  <w:style w:type="paragraph" w:styleId="Heading5">
    <w:name w:val="heading 5"/>
    <w:basedOn w:val="Heading4"/>
    <w:next w:val="Normal"/>
    <w:qFormat/>
    <w:rsid w:val="00767A1D"/>
    <w:pPr>
      <w:outlineLvl w:val="4"/>
    </w:pPr>
  </w:style>
  <w:style w:type="paragraph" w:styleId="Heading6">
    <w:name w:val="heading 6"/>
    <w:basedOn w:val="Heading4"/>
    <w:next w:val="Normal"/>
    <w:qFormat/>
    <w:rsid w:val="00767A1D"/>
    <w:pPr>
      <w:tabs>
        <w:tab w:val="clear" w:pos="992"/>
        <w:tab w:val="clear" w:pos="1191"/>
      </w:tabs>
      <w:ind w:left="1588" w:hanging="1588"/>
      <w:outlineLvl w:val="5"/>
    </w:pPr>
  </w:style>
  <w:style w:type="paragraph" w:styleId="Heading7">
    <w:name w:val="heading 7"/>
    <w:basedOn w:val="Heading6"/>
    <w:next w:val="Normal"/>
    <w:qFormat/>
    <w:rsid w:val="00767A1D"/>
    <w:pPr>
      <w:outlineLvl w:val="6"/>
    </w:pPr>
  </w:style>
  <w:style w:type="paragraph" w:styleId="Heading8">
    <w:name w:val="heading 8"/>
    <w:basedOn w:val="Heading6"/>
    <w:next w:val="Normal"/>
    <w:qFormat/>
    <w:rsid w:val="00767A1D"/>
    <w:pPr>
      <w:outlineLvl w:val="7"/>
    </w:pPr>
  </w:style>
  <w:style w:type="paragraph" w:styleId="Heading9">
    <w:name w:val="heading 9"/>
    <w:basedOn w:val="Heading6"/>
    <w:next w:val="Normal"/>
    <w:qFormat/>
    <w:rsid w:val="00767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7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67A1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67A1D"/>
  </w:style>
  <w:style w:type="paragraph" w:customStyle="1" w:styleId="Headingb">
    <w:name w:val="Heading_b"/>
    <w:basedOn w:val="Heading3"/>
    <w:next w:val="Normal"/>
    <w:rsid w:val="00767A1D"/>
    <w:pPr>
      <w:spacing w:before="160"/>
      <w:ind w:left="0" w:firstLine="0"/>
      <w:outlineLvl w:val="9"/>
    </w:pPr>
  </w:style>
  <w:style w:type="paragraph" w:customStyle="1" w:styleId="Headingi">
    <w:name w:val="Heading_i"/>
    <w:basedOn w:val="Heading3"/>
    <w:next w:val="Normal"/>
    <w:rsid w:val="00767A1D"/>
    <w:pPr>
      <w:spacing w:before="160"/>
      <w:ind w:left="0" w:firstLine="0"/>
    </w:pPr>
    <w:rPr>
      <w:b w:val="0"/>
      <w:i/>
    </w:rPr>
  </w:style>
  <w:style w:type="character" w:customStyle="1" w:styleId="href">
    <w:name w:val="href"/>
    <w:basedOn w:val="DefaultParagraphFont"/>
    <w:rsid w:val="00767A1D"/>
  </w:style>
  <w:style w:type="paragraph" w:customStyle="1" w:styleId="AnnexNoTitle">
    <w:name w:val="Annex_NoTitle"/>
    <w:basedOn w:val="Normal"/>
    <w:next w:val="Normalaftertitle"/>
    <w:rsid w:val="00767A1D"/>
    <w:pPr>
      <w:keepNext/>
      <w:keepLines/>
      <w:spacing w:before="480" w:after="80"/>
      <w:jc w:val="center"/>
    </w:pPr>
    <w:rPr>
      <w:b/>
      <w:sz w:val="28"/>
    </w:rPr>
  </w:style>
  <w:style w:type="paragraph" w:customStyle="1" w:styleId="Normalaftertitle">
    <w:name w:val="Normal_after_title"/>
    <w:basedOn w:val="Normal"/>
    <w:next w:val="Normal"/>
    <w:rsid w:val="00767A1D"/>
    <w:pPr>
      <w:spacing w:before="320"/>
    </w:pPr>
  </w:style>
  <w:style w:type="paragraph" w:customStyle="1" w:styleId="enumlev2">
    <w:name w:val="enumlev2"/>
    <w:basedOn w:val="enumlev1"/>
    <w:rsid w:val="00767A1D"/>
    <w:pPr>
      <w:ind w:left="1191" w:hanging="397"/>
    </w:pPr>
  </w:style>
  <w:style w:type="paragraph" w:customStyle="1" w:styleId="enumlev1">
    <w:name w:val="enumlev1"/>
    <w:basedOn w:val="Normal"/>
    <w:link w:val="enumlev1Char"/>
    <w:rsid w:val="00767A1D"/>
    <w:pPr>
      <w:spacing w:before="80"/>
      <w:ind w:left="794" w:hanging="794"/>
    </w:pPr>
  </w:style>
  <w:style w:type="character" w:customStyle="1" w:styleId="enumlev1Char">
    <w:name w:val="enumlev1 Char"/>
    <w:basedOn w:val="DefaultParagraphFont"/>
    <w:link w:val="enumlev1"/>
    <w:locked/>
    <w:rsid w:val="007D4B96"/>
    <w:rPr>
      <w:sz w:val="24"/>
      <w:lang w:val="fr-FR" w:eastAsia="en-US"/>
    </w:rPr>
  </w:style>
  <w:style w:type="paragraph" w:customStyle="1" w:styleId="enumlev3">
    <w:name w:val="enumlev3"/>
    <w:basedOn w:val="enumlev2"/>
    <w:rsid w:val="00767A1D"/>
    <w:pPr>
      <w:ind w:left="1588"/>
    </w:pPr>
  </w:style>
  <w:style w:type="paragraph" w:customStyle="1" w:styleId="Note">
    <w:name w:val="Note"/>
    <w:basedOn w:val="Normal"/>
    <w:rsid w:val="00767A1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67A1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67A1D"/>
    <w:pPr>
      <w:keepNext/>
      <w:keepLines/>
      <w:spacing w:before="240"/>
      <w:jc w:val="center"/>
    </w:pPr>
    <w:rPr>
      <w:b/>
      <w:sz w:val="28"/>
    </w:rPr>
  </w:style>
  <w:style w:type="paragraph" w:customStyle="1" w:styleId="Recref">
    <w:name w:val="Rec_ref"/>
    <w:basedOn w:val="Normal"/>
    <w:next w:val="Recdate"/>
    <w:rsid w:val="00767A1D"/>
    <w:pPr>
      <w:jc w:val="center"/>
    </w:pPr>
  </w:style>
  <w:style w:type="paragraph" w:customStyle="1" w:styleId="Recdate">
    <w:name w:val="Rec_date"/>
    <w:basedOn w:val="Recref"/>
    <w:next w:val="Normalaftertitle"/>
    <w:rsid w:val="00767A1D"/>
    <w:pPr>
      <w:jc w:val="right"/>
    </w:pPr>
  </w:style>
  <w:style w:type="paragraph" w:customStyle="1" w:styleId="HeadingSum">
    <w:name w:val="Heading_Sum"/>
    <w:basedOn w:val="Headingb"/>
    <w:next w:val="Normal"/>
    <w:rsid w:val="00767A1D"/>
    <w:pPr>
      <w:spacing w:before="240"/>
    </w:pPr>
    <w:rPr>
      <w:sz w:val="22"/>
      <w:lang w:val="es-ES_tradnl"/>
    </w:rPr>
  </w:style>
  <w:style w:type="paragraph" w:customStyle="1" w:styleId="AppendixNoTitle">
    <w:name w:val="Appendix_NoTitle"/>
    <w:basedOn w:val="AnnexNoTitle"/>
    <w:next w:val="Normal"/>
    <w:rsid w:val="00767A1D"/>
  </w:style>
  <w:style w:type="paragraph" w:customStyle="1" w:styleId="Tablefin">
    <w:name w:val="Table_fin"/>
    <w:basedOn w:val="Normal"/>
    <w:next w:val="Normal"/>
    <w:rsid w:val="00767A1D"/>
    <w:pPr>
      <w:spacing w:before="0"/>
    </w:pPr>
    <w:rPr>
      <w:sz w:val="20"/>
      <w:lang w:val="en-GB"/>
    </w:rPr>
  </w:style>
  <w:style w:type="paragraph" w:customStyle="1" w:styleId="Tablehead">
    <w:name w:val="Table_head"/>
    <w:basedOn w:val="Normal"/>
    <w:next w:val="Normal"/>
    <w:rsid w:val="00767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67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67A1D"/>
    <w:pPr>
      <w:keepNext/>
      <w:spacing w:before="360" w:after="120"/>
      <w:jc w:val="center"/>
    </w:pPr>
  </w:style>
  <w:style w:type="paragraph" w:customStyle="1" w:styleId="Tabletext">
    <w:name w:val="Table_text"/>
    <w:basedOn w:val="Normal"/>
    <w:link w:val="TabletextChar"/>
    <w:rsid w:val="00767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7D4B96"/>
    <w:rPr>
      <w:sz w:val="22"/>
      <w:lang w:val="fr-FR" w:eastAsia="en-US"/>
    </w:rPr>
  </w:style>
  <w:style w:type="paragraph" w:customStyle="1" w:styleId="Equation">
    <w:name w:val="Equation"/>
    <w:basedOn w:val="Normal"/>
    <w:rsid w:val="00767A1D"/>
    <w:pPr>
      <w:tabs>
        <w:tab w:val="clear" w:pos="1191"/>
        <w:tab w:val="clear" w:pos="1588"/>
        <w:tab w:val="clear" w:pos="1985"/>
        <w:tab w:val="center" w:pos="4820"/>
        <w:tab w:val="right" w:pos="9639"/>
      </w:tabs>
    </w:pPr>
  </w:style>
  <w:style w:type="paragraph" w:customStyle="1" w:styleId="Equationlegend">
    <w:name w:val="Equation_legend"/>
    <w:basedOn w:val="NormalIndent"/>
    <w:rsid w:val="00767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67A1D"/>
    <w:pPr>
      <w:ind w:left="794"/>
    </w:pPr>
  </w:style>
  <w:style w:type="paragraph" w:customStyle="1" w:styleId="Figurelegend">
    <w:name w:val="Figure_legend"/>
    <w:basedOn w:val="Normal"/>
    <w:rsid w:val="00767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67A1D"/>
    <w:pPr>
      <w:keepNext/>
      <w:keepLines/>
      <w:spacing w:before="480" w:after="80"/>
      <w:jc w:val="center"/>
    </w:pPr>
    <w:rPr>
      <w:caps/>
      <w:sz w:val="18"/>
    </w:rPr>
  </w:style>
  <w:style w:type="paragraph" w:customStyle="1" w:styleId="Figuretitle">
    <w:name w:val="Figure_title"/>
    <w:basedOn w:val="Normal"/>
    <w:next w:val="Figure"/>
    <w:rsid w:val="00767A1D"/>
    <w:pPr>
      <w:keepNext/>
      <w:spacing w:before="0" w:after="120"/>
      <w:jc w:val="center"/>
    </w:pPr>
    <w:rPr>
      <w:rFonts w:ascii="Times New Roman Bold" w:hAnsi="Times New Roman Bold"/>
      <w:b/>
      <w:sz w:val="18"/>
    </w:rPr>
  </w:style>
  <w:style w:type="paragraph" w:customStyle="1" w:styleId="Figure">
    <w:name w:val="Figure"/>
    <w:basedOn w:val="FigureNo"/>
    <w:next w:val="Normal"/>
    <w:rsid w:val="00767A1D"/>
    <w:pPr>
      <w:keepNext w:val="0"/>
      <w:spacing w:before="0" w:after="240"/>
    </w:pPr>
  </w:style>
  <w:style w:type="paragraph" w:customStyle="1" w:styleId="tocpart">
    <w:name w:val="tocpart"/>
    <w:basedOn w:val="Normal"/>
    <w:rsid w:val="00767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67A1D"/>
    <w:pPr>
      <w:keepNext/>
      <w:keepLines/>
      <w:spacing w:before="480"/>
      <w:jc w:val="center"/>
    </w:pPr>
    <w:rPr>
      <w:sz w:val="28"/>
    </w:rPr>
  </w:style>
  <w:style w:type="paragraph" w:customStyle="1" w:styleId="Arttitle">
    <w:name w:val="Art_title"/>
    <w:basedOn w:val="Normal"/>
    <w:next w:val="Normalaftertitle"/>
    <w:rsid w:val="00767A1D"/>
    <w:pPr>
      <w:keepNext/>
      <w:keepLines/>
      <w:spacing w:before="240"/>
      <w:jc w:val="center"/>
    </w:pPr>
    <w:rPr>
      <w:b/>
      <w:sz w:val="28"/>
    </w:rPr>
  </w:style>
  <w:style w:type="paragraph" w:customStyle="1" w:styleId="Blanc">
    <w:name w:val="Blanc"/>
    <w:basedOn w:val="Normal"/>
    <w:next w:val="Tabletext"/>
    <w:rsid w:val="00767A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67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67A1D"/>
    <w:pPr>
      <w:keepNext/>
      <w:keepLines/>
      <w:spacing w:before="160"/>
      <w:ind w:left="794"/>
    </w:pPr>
    <w:rPr>
      <w:i/>
    </w:rPr>
  </w:style>
  <w:style w:type="paragraph" w:customStyle="1" w:styleId="ChapNo">
    <w:name w:val="Chap_No"/>
    <w:basedOn w:val="ArtNo"/>
    <w:next w:val="Chaptitle"/>
    <w:rsid w:val="00767A1D"/>
    <w:rPr>
      <w:b/>
    </w:rPr>
  </w:style>
  <w:style w:type="paragraph" w:customStyle="1" w:styleId="Chaptitle">
    <w:name w:val="Chap_title"/>
    <w:basedOn w:val="Arttitle"/>
    <w:next w:val="Normalaftertitle"/>
    <w:rsid w:val="00767A1D"/>
  </w:style>
  <w:style w:type="character" w:styleId="FootnoteReference">
    <w:name w:val="footnote reference"/>
    <w:basedOn w:val="DefaultParagraphFont"/>
    <w:semiHidden/>
    <w:rsid w:val="00767A1D"/>
    <w:rPr>
      <w:position w:val="6"/>
      <w:sz w:val="18"/>
    </w:rPr>
  </w:style>
  <w:style w:type="paragraph" w:styleId="FootnoteText">
    <w:name w:val="footnote text"/>
    <w:basedOn w:val="Normal"/>
    <w:semiHidden/>
    <w:rsid w:val="00767A1D"/>
    <w:pPr>
      <w:keepLines/>
      <w:tabs>
        <w:tab w:val="left" w:pos="255"/>
      </w:tabs>
      <w:ind w:left="255" w:hanging="255"/>
    </w:pPr>
    <w:rPr>
      <w:sz w:val="22"/>
    </w:rPr>
  </w:style>
  <w:style w:type="paragraph" w:styleId="Index1">
    <w:name w:val="index 1"/>
    <w:basedOn w:val="Normal"/>
    <w:next w:val="Normal"/>
    <w:semiHidden/>
    <w:rsid w:val="00767A1D"/>
  </w:style>
  <w:style w:type="paragraph" w:styleId="Index2">
    <w:name w:val="index 2"/>
    <w:basedOn w:val="Normal"/>
    <w:next w:val="Normal"/>
    <w:semiHidden/>
    <w:rsid w:val="00767A1D"/>
    <w:pPr>
      <w:ind w:left="283"/>
    </w:pPr>
  </w:style>
  <w:style w:type="paragraph" w:styleId="Index3">
    <w:name w:val="index 3"/>
    <w:basedOn w:val="Normal"/>
    <w:next w:val="Normal"/>
    <w:semiHidden/>
    <w:rsid w:val="00767A1D"/>
    <w:pPr>
      <w:ind w:left="566"/>
    </w:pPr>
  </w:style>
  <w:style w:type="paragraph" w:styleId="IndexHeading">
    <w:name w:val="index heading"/>
    <w:basedOn w:val="Normal"/>
    <w:next w:val="Index1"/>
    <w:semiHidden/>
    <w:rsid w:val="00767A1D"/>
  </w:style>
  <w:style w:type="paragraph" w:customStyle="1" w:styleId="Line">
    <w:name w:val="Line"/>
    <w:basedOn w:val="Normal"/>
    <w:next w:val="Normal"/>
    <w:rsid w:val="00767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67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67A1D"/>
  </w:style>
  <w:style w:type="paragraph" w:customStyle="1" w:styleId="Partref">
    <w:name w:val="Part_ref"/>
    <w:basedOn w:val="Normal"/>
    <w:next w:val="Normal"/>
    <w:rsid w:val="00767A1D"/>
    <w:pPr>
      <w:keepNext/>
      <w:keepLines/>
      <w:spacing w:after="280"/>
      <w:jc w:val="center"/>
    </w:pPr>
  </w:style>
  <w:style w:type="paragraph" w:customStyle="1" w:styleId="Parttitle">
    <w:name w:val="Part_title"/>
    <w:basedOn w:val="Normal"/>
    <w:next w:val="Normalaftertitle"/>
    <w:rsid w:val="00767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67A1D"/>
  </w:style>
  <w:style w:type="paragraph" w:customStyle="1" w:styleId="QuestionNo">
    <w:name w:val="Question_No"/>
    <w:basedOn w:val="RecNo"/>
    <w:next w:val="Normal"/>
    <w:rsid w:val="00767A1D"/>
  </w:style>
  <w:style w:type="paragraph" w:customStyle="1" w:styleId="Questionref">
    <w:name w:val="Question_ref"/>
    <w:basedOn w:val="Recref"/>
    <w:next w:val="Questiondate"/>
    <w:rsid w:val="00767A1D"/>
  </w:style>
  <w:style w:type="paragraph" w:customStyle="1" w:styleId="Questiontitle">
    <w:name w:val="Question_title"/>
    <w:basedOn w:val="Normal"/>
    <w:next w:val="Questionref"/>
    <w:rsid w:val="00767A1D"/>
  </w:style>
  <w:style w:type="paragraph" w:customStyle="1" w:styleId="Reftext">
    <w:name w:val="Ref_text"/>
    <w:basedOn w:val="Normal"/>
    <w:rsid w:val="00767A1D"/>
    <w:pPr>
      <w:ind w:left="794" w:hanging="794"/>
    </w:pPr>
    <w:rPr>
      <w:sz w:val="22"/>
    </w:rPr>
  </w:style>
  <w:style w:type="paragraph" w:customStyle="1" w:styleId="Reftitle">
    <w:name w:val="Ref_title"/>
    <w:basedOn w:val="Normal"/>
    <w:next w:val="Reftext"/>
    <w:rsid w:val="00767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67A1D"/>
  </w:style>
  <w:style w:type="paragraph" w:customStyle="1" w:styleId="RepNo">
    <w:name w:val="Rep_No"/>
    <w:basedOn w:val="RecNo"/>
    <w:next w:val="Reptitle"/>
    <w:rsid w:val="00767A1D"/>
  </w:style>
  <w:style w:type="paragraph" w:customStyle="1" w:styleId="Reptitle">
    <w:name w:val="Rep_title"/>
    <w:basedOn w:val="Rectitle"/>
    <w:next w:val="Repref"/>
    <w:rsid w:val="00767A1D"/>
  </w:style>
  <w:style w:type="paragraph" w:customStyle="1" w:styleId="Repref">
    <w:name w:val="Rep_ref"/>
    <w:basedOn w:val="Recref"/>
    <w:next w:val="Repdate"/>
    <w:rsid w:val="00767A1D"/>
  </w:style>
  <w:style w:type="paragraph" w:customStyle="1" w:styleId="Resdate">
    <w:name w:val="Res_date"/>
    <w:basedOn w:val="Recdate"/>
    <w:next w:val="Normalaftertitle"/>
    <w:rsid w:val="00767A1D"/>
  </w:style>
  <w:style w:type="paragraph" w:customStyle="1" w:styleId="ResNo">
    <w:name w:val="Res_No"/>
    <w:basedOn w:val="RecNo"/>
    <w:next w:val="Restitle"/>
    <w:rsid w:val="00767A1D"/>
  </w:style>
  <w:style w:type="paragraph" w:customStyle="1" w:styleId="Restitle">
    <w:name w:val="Res_title"/>
    <w:basedOn w:val="Normal"/>
    <w:next w:val="Resref"/>
    <w:rsid w:val="00767A1D"/>
    <w:pPr>
      <w:spacing w:before="240"/>
      <w:jc w:val="center"/>
    </w:pPr>
    <w:rPr>
      <w:b/>
      <w:sz w:val="28"/>
    </w:rPr>
  </w:style>
  <w:style w:type="paragraph" w:customStyle="1" w:styleId="Resref">
    <w:name w:val="Res_ref"/>
    <w:basedOn w:val="Recref"/>
    <w:next w:val="Resdate"/>
    <w:rsid w:val="00767A1D"/>
  </w:style>
  <w:style w:type="paragraph" w:customStyle="1" w:styleId="SectionNo">
    <w:name w:val="Section_No"/>
    <w:basedOn w:val="Normal"/>
    <w:next w:val="Normal"/>
    <w:rsid w:val="00767A1D"/>
  </w:style>
  <w:style w:type="paragraph" w:customStyle="1" w:styleId="Sectiontitle">
    <w:name w:val="Section_title"/>
    <w:basedOn w:val="Normal"/>
    <w:next w:val="Normalaftertitle"/>
    <w:rsid w:val="00767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67A1D"/>
    <w:pPr>
      <w:tabs>
        <w:tab w:val="clear" w:pos="794"/>
        <w:tab w:val="clear" w:pos="1191"/>
        <w:tab w:val="clear" w:pos="1588"/>
        <w:tab w:val="clear" w:pos="1985"/>
        <w:tab w:val="right" w:pos="9611"/>
      </w:tabs>
    </w:pPr>
    <w:rPr>
      <w:i/>
    </w:rPr>
  </w:style>
  <w:style w:type="paragraph" w:styleId="TOC1">
    <w:name w:val="toc 1"/>
    <w:basedOn w:val="Normal"/>
    <w:semiHidden/>
    <w:rsid w:val="00767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67A1D"/>
    <w:pPr>
      <w:tabs>
        <w:tab w:val="clear" w:pos="567"/>
        <w:tab w:val="left" w:pos="1276"/>
      </w:tabs>
      <w:spacing w:before="160"/>
      <w:ind w:left="1276" w:hanging="709"/>
    </w:pPr>
  </w:style>
  <w:style w:type="paragraph" w:styleId="TOC3">
    <w:name w:val="toc 3"/>
    <w:basedOn w:val="TOC2"/>
    <w:semiHidden/>
    <w:rsid w:val="00767A1D"/>
    <w:pPr>
      <w:tabs>
        <w:tab w:val="clear" w:pos="1276"/>
        <w:tab w:val="left" w:pos="2155"/>
      </w:tabs>
      <w:ind w:left="2155" w:hanging="879"/>
    </w:pPr>
  </w:style>
  <w:style w:type="paragraph" w:styleId="TOC4">
    <w:name w:val="toc 4"/>
    <w:basedOn w:val="TOC3"/>
    <w:semiHidden/>
    <w:rsid w:val="00767A1D"/>
    <w:pPr>
      <w:tabs>
        <w:tab w:val="left" w:pos="3261"/>
      </w:tabs>
      <w:spacing w:before="80"/>
      <w:ind w:left="3261" w:hanging="993"/>
    </w:pPr>
  </w:style>
  <w:style w:type="paragraph" w:styleId="TOC5">
    <w:name w:val="toc 5"/>
    <w:basedOn w:val="TOC4"/>
    <w:semiHidden/>
    <w:rsid w:val="00767A1D"/>
  </w:style>
  <w:style w:type="paragraph" w:styleId="TOC6">
    <w:name w:val="toc 6"/>
    <w:basedOn w:val="TOC4"/>
    <w:semiHidden/>
    <w:rsid w:val="00767A1D"/>
  </w:style>
  <w:style w:type="paragraph" w:styleId="TOC7">
    <w:name w:val="toc 7"/>
    <w:basedOn w:val="TOC4"/>
    <w:semiHidden/>
    <w:rsid w:val="00767A1D"/>
  </w:style>
  <w:style w:type="paragraph" w:styleId="TOC8">
    <w:name w:val="toc 8"/>
    <w:basedOn w:val="TOC4"/>
    <w:semiHidden/>
    <w:rsid w:val="00767A1D"/>
  </w:style>
  <w:style w:type="paragraph" w:customStyle="1" w:styleId="Annexref">
    <w:name w:val="Annex_ref"/>
    <w:basedOn w:val="Normal"/>
    <w:next w:val="Normalaftertitle"/>
    <w:rsid w:val="00767A1D"/>
    <w:pPr>
      <w:keepNext/>
      <w:keepLines/>
      <w:spacing w:after="280"/>
      <w:jc w:val="center"/>
    </w:pPr>
  </w:style>
  <w:style w:type="paragraph" w:customStyle="1" w:styleId="Appendixref">
    <w:name w:val="Appendix_ref"/>
    <w:basedOn w:val="Annexref"/>
    <w:next w:val="Normalaftertitle"/>
    <w:rsid w:val="00767A1D"/>
  </w:style>
  <w:style w:type="paragraph" w:customStyle="1" w:styleId="Tabletitle">
    <w:name w:val="Table_title"/>
    <w:basedOn w:val="Normal"/>
    <w:next w:val="Tablehead"/>
    <w:rsid w:val="00767A1D"/>
    <w:pPr>
      <w:keepNext/>
      <w:spacing w:before="0" w:after="120"/>
      <w:jc w:val="center"/>
    </w:pPr>
    <w:rPr>
      <w:b/>
    </w:rPr>
  </w:style>
  <w:style w:type="paragraph" w:customStyle="1" w:styleId="Summary">
    <w:name w:val="Summary"/>
    <w:basedOn w:val="Normal"/>
    <w:next w:val="Normalaftertitle"/>
    <w:rsid w:val="00767A1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67A1D"/>
    <w:pPr>
      <w:ind w:left="-85" w:firstLine="0"/>
    </w:pPr>
    <w:rPr>
      <w:lang w:val="en-US"/>
    </w:rPr>
  </w:style>
  <w:style w:type="paragraph" w:customStyle="1" w:styleId="Reasons">
    <w:name w:val="Reasons"/>
    <w:basedOn w:val="Normal"/>
    <w:qFormat/>
    <w:rsid w:val="00A96FC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53</TotalTime>
  <Pages>11</Pages>
  <Words>3734</Words>
  <Characters>22484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26166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8</cp:revision>
  <cp:lastPrinted>2009-07-01T12:03:00Z</cp:lastPrinted>
  <dcterms:created xsi:type="dcterms:W3CDTF">2012-06-11T07:03:00Z</dcterms:created>
  <dcterms:modified xsi:type="dcterms:W3CDTF">2012-06-12T06:07:00Z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