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CDD48" w14:textId="77777777" w:rsidR="00FE79FE" w:rsidRDefault="00FE79FE">
      <w:bookmarkStart w:id="0" w:name="_GoBack"/>
      <w:bookmarkEnd w:id="0"/>
    </w:p>
    <w:p w14:paraId="4932166E" w14:textId="77777777" w:rsidR="00FE79FE" w:rsidRDefault="00FE79FE"/>
    <w:p w14:paraId="21935CCB" w14:textId="77777777" w:rsidR="00FE79FE" w:rsidRDefault="00FE79FE"/>
    <w:p w14:paraId="2D5BA1A0" w14:textId="77777777" w:rsidR="00FE79FE" w:rsidRDefault="00FE79FE"/>
    <w:p w14:paraId="2F5454B6" w14:textId="77777777" w:rsidR="00FE79FE" w:rsidRDefault="00FE79FE"/>
    <w:p w14:paraId="51429EEF" w14:textId="77777777" w:rsidR="00013002" w:rsidRDefault="00013002"/>
    <w:p w14:paraId="03D82858" w14:textId="77777777" w:rsidR="00013002" w:rsidRDefault="00013002"/>
    <w:p w14:paraId="16907291" w14:textId="77777777" w:rsidR="00013002" w:rsidRDefault="00013002"/>
    <w:p w14:paraId="3E87D9CD" w14:textId="77777777" w:rsidR="00FE79FE" w:rsidRDefault="00FE79FE"/>
    <w:p w14:paraId="7CBB5EFE" w14:textId="77777777" w:rsidR="00FE79FE" w:rsidRDefault="00FE79FE"/>
    <w:p w14:paraId="3B382817" w14:textId="77777777" w:rsidR="00FE79FE" w:rsidRDefault="00FE79FE"/>
    <w:p w14:paraId="7466D0E5" w14:textId="77777777" w:rsidR="00FE79FE" w:rsidRDefault="00FE79FE"/>
    <w:tbl>
      <w:tblPr>
        <w:tblW w:w="10089" w:type="dxa"/>
        <w:tblLook w:val="01E0" w:firstRow="1" w:lastRow="1" w:firstColumn="1" w:lastColumn="1" w:noHBand="0" w:noVBand="0"/>
      </w:tblPr>
      <w:tblGrid>
        <w:gridCol w:w="10089"/>
      </w:tblGrid>
      <w:tr w:rsidR="00FE79FE" w14:paraId="0FCF7937" w14:textId="77777777">
        <w:tc>
          <w:tcPr>
            <w:tcW w:w="10089" w:type="dxa"/>
          </w:tcPr>
          <w:p w14:paraId="2768D987"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7C6DDF17" w14:textId="77777777" w:rsidR="00FE79FE" w:rsidRPr="001511A6" w:rsidRDefault="00FE79FE" w:rsidP="00313E68">
            <w:pPr>
              <w:spacing w:before="380" w:line="280" w:lineRule="exact"/>
              <w:jc w:val="right"/>
              <w:rPr>
                <w:rFonts w:ascii="Tahoma" w:hAnsi="Tahoma" w:cs="Tahoma"/>
                <w:b/>
                <w:bCs/>
                <w:iCs/>
                <w:color w:val="243285"/>
                <w:sz w:val="36"/>
                <w:szCs w:val="36"/>
                <w:lang w:val="en-US"/>
              </w:rPr>
            </w:pPr>
            <w:proofErr w:type="gramStart"/>
            <w:r w:rsidRPr="001511A6">
              <w:rPr>
                <w:rFonts w:ascii="Tahoma" w:hAnsi="Tahoma" w:cs="Tahoma"/>
                <w:b/>
                <w:bCs/>
                <w:iCs/>
                <w:color w:val="243285"/>
                <w:sz w:val="36"/>
                <w:szCs w:val="36"/>
                <w:lang w:val="en-US"/>
              </w:rPr>
              <w:t>Recommendation  ITU</w:t>
            </w:r>
            <w:proofErr w:type="gramEnd"/>
            <w:r w:rsidRPr="001511A6">
              <w:rPr>
                <w:rFonts w:ascii="Tahoma" w:hAnsi="Tahoma" w:cs="Tahoma"/>
                <w:b/>
                <w:bCs/>
                <w:iCs/>
                <w:color w:val="243285"/>
                <w:sz w:val="36"/>
                <w:szCs w:val="36"/>
                <w:lang w:val="en-US"/>
              </w:rPr>
              <w:t xml:space="preserve">-R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313E68">
              <w:rPr>
                <w:rFonts w:ascii="Tahoma" w:hAnsi="Tahoma" w:cs="Tahoma"/>
                <w:b/>
                <w:bCs/>
                <w:iCs/>
                <w:color w:val="243285"/>
                <w:sz w:val="36"/>
                <w:szCs w:val="36"/>
                <w:lang w:val="en-US"/>
              </w:rPr>
              <w:t>443-4</w:t>
            </w:r>
          </w:p>
          <w:p w14:paraId="1E146766" w14:textId="77777777" w:rsidR="00FE79FE" w:rsidRPr="001511A6" w:rsidRDefault="00FE79FE" w:rsidP="00313E68">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313E68">
              <w:rPr>
                <w:rFonts w:ascii="Tahoma" w:hAnsi="Tahoma" w:cs="Tahoma"/>
                <w:b/>
                <w:bCs/>
                <w:iCs/>
                <w:color w:val="243285"/>
                <w:szCs w:val="24"/>
                <w:lang w:val="en-US"/>
              </w:rPr>
              <w:t>02</w:t>
            </w:r>
            <w:r w:rsidRPr="001511A6">
              <w:rPr>
                <w:rFonts w:ascii="Tahoma" w:hAnsi="Tahoma" w:cs="Tahoma"/>
                <w:b/>
                <w:bCs/>
                <w:iCs/>
                <w:color w:val="243285"/>
                <w:szCs w:val="24"/>
                <w:lang w:val="en-US"/>
              </w:rPr>
              <w:t>/</w:t>
            </w:r>
            <w:r w:rsidR="00313E68">
              <w:rPr>
                <w:rFonts w:ascii="Tahoma" w:hAnsi="Tahoma" w:cs="Tahoma"/>
                <w:b/>
                <w:bCs/>
                <w:iCs/>
                <w:color w:val="243285"/>
                <w:szCs w:val="24"/>
                <w:lang w:val="en-US"/>
              </w:rPr>
              <w:t>2007</w:t>
            </w:r>
            <w:r w:rsidRPr="001511A6">
              <w:rPr>
                <w:rFonts w:ascii="Tahoma" w:hAnsi="Tahoma" w:cs="Tahoma"/>
                <w:b/>
                <w:bCs/>
                <w:iCs/>
                <w:color w:val="243285"/>
                <w:szCs w:val="24"/>
                <w:lang w:val="en-US"/>
              </w:rPr>
              <w:t>)</w:t>
            </w:r>
          </w:p>
        </w:tc>
      </w:tr>
      <w:tr w:rsidR="00FE79FE" w:rsidRPr="001511A6" w14:paraId="6D8E711B" w14:textId="77777777">
        <w:tc>
          <w:tcPr>
            <w:tcW w:w="10089" w:type="dxa"/>
          </w:tcPr>
          <w:p w14:paraId="2569FF8F" w14:textId="77777777" w:rsidR="00FE79FE" w:rsidRPr="001511A6" w:rsidRDefault="00313E68" w:rsidP="00313E68">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Bandwidth measurement</w:t>
            </w:r>
            <w:r>
              <w:rPr>
                <w:rFonts w:ascii="Tahoma" w:hAnsi="Tahoma" w:cs="Tahoma"/>
                <w:b/>
                <w:bCs/>
                <w:iCs/>
                <w:color w:val="243285"/>
                <w:sz w:val="44"/>
                <w:szCs w:val="44"/>
                <w:lang w:val="en-US"/>
              </w:rPr>
              <w:br/>
              <w:t>at monitoring stations</w:t>
            </w:r>
          </w:p>
          <w:p w14:paraId="6E7DDCD9"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14:paraId="07D3C7C7" w14:textId="77777777">
        <w:tc>
          <w:tcPr>
            <w:tcW w:w="10089" w:type="dxa"/>
          </w:tcPr>
          <w:p w14:paraId="0C9617D1" w14:textId="77777777" w:rsidR="009E3058" w:rsidRPr="0026666F" w:rsidRDefault="009E3058" w:rsidP="009E3058">
            <w:pPr>
              <w:spacing w:before="80" w:line="280" w:lineRule="exact"/>
              <w:ind w:right="640"/>
              <w:rPr>
                <w:rFonts w:ascii="Tahoma" w:hAnsi="Tahoma" w:cs="Tahoma"/>
                <w:b/>
                <w:bCs/>
                <w:iCs/>
                <w:color w:val="243285"/>
                <w:sz w:val="32"/>
                <w:szCs w:val="32"/>
                <w:lang w:val="es-ES_tradnl"/>
              </w:rPr>
            </w:pPr>
          </w:p>
          <w:p w14:paraId="751C5BE7" w14:textId="77777777" w:rsidR="009E3058" w:rsidRPr="0026666F" w:rsidRDefault="009E3058" w:rsidP="009E3058">
            <w:pPr>
              <w:spacing w:before="80" w:line="280" w:lineRule="exact"/>
              <w:ind w:right="640"/>
              <w:rPr>
                <w:rFonts w:ascii="Tahoma" w:hAnsi="Tahoma" w:cs="Tahoma"/>
                <w:b/>
                <w:bCs/>
                <w:iCs/>
                <w:color w:val="243285"/>
                <w:sz w:val="32"/>
                <w:szCs w:val="32"/>
                <w:lang w:val="es-ES_tradnl"/>
              </w:rPr>
            </w:pPr>
          </w:p>
          <w:p w14:paraId="5BFEA8D9" w14:textId="77777777" w:rsidR="009E3058" w:rsidRPr="0026666F" w:rsidRDefault="009E3058" w:rsidP="009E3058">
            <w:pPr>
              <w:spacing w:before="80" w:after="180" w:line="360" w:lineRule="exact"/>
              <w:ind w:right="720"/>
              <w:rPr>
                <w:rFonts w:ascii="Tahoma" w:hAnsi="Tahoma" w:cs="Tahoma"/>
                <w:b/>
                <w:bCs/>
                <w:iCs/>
                <w:color w:val="243285"/>
                <w:sz w:val="36"/>
                <w:szCs w:val="36"/>
                <w:lang w:val="es-ES_tradnl"/>
              </w:rPr>
            </w:pPr>
          </w:p>
          <w:p w14:paraId="53A07774" w14:textId="77777777" w:rsidR="00276D21" w:rsidRPr="001511A6" w:rsidRDefault="00276D21" w:rsidP="00013002">
            <w:pPr>
              <w:spacing w:before="80" w:after="180" w:line="360" w:lineRule="exact"/>
              <w:jc w:val="right"/>
              <w:rPr>
                <w:rFonts w:ascii="Tahoma" w:hAnsi="Tahoma" w:cs="Tahoma"/>
                <w:b/>
                <w:bCs/>
                <w:iCs/>
                <w:color w:val="243285"/>
                <w:sz w:val="36"/>
                <w:szCs w:val="36"/>
                <w:lang w:val="en-US"/>
              </w:rPr>
            </w:pPr>
          </w:p>
          <w:p w14:paraId="4E138930" w14:textId="77777777"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14:paraId="5E82CD6D" w14:textId="77777777"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5B0FCA61" w14:textId="77777777"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14:paraId="62A3DD48" w14:textId="77777777" w:rsidR="00A71FE5" w:rsidRDefault="00A71FE5" w:rsidP="00CD659B">
      <w:pPr>
        <w:spacing w:before="80"/>
        <w:rPr>
          <w:i/>
          <w:sz w:val="22"/>
          <w:lang w:val="en-US"/>
        </w:rPr>
      </w:pPr>
    </w:p>
    <w:p w14:paraId="436CF1A4" w14:textId="77777777" w:rsidR="00FE79FE" w:rsidRDefault="00FE79FE" w:rsidP="00CD659B">
      <w:pPr>
        <w:spacing w:before="80"/>
        <w:rPr>
          <w:i/>
          <w:sz w:val="22"/>
          <w:lang w:val="en-US"/>
        </w:rPr>
      </w:pPr>
    </w:p>
    <w:p w14:paraId="457EFC4A" w14:textId="77777777" w:rsidR="00FE79FE" w:rsidRDefault="00FE79FE" w:rsidP="00CD659B">
      <w:pPr>
        <w:spacing w:before="80"/>
        <w:rPr>
          <w:i/>
          <w:sz w:val="22"/>
          <w:lang w:val="en-US"/>
        </w:rPr>
      </w:pPr>
    </w:p>
    <w:p w14:paraId="33A18950" w14:textId="77777777" w:rsidR="00FE79FE" w:rsidRDefault="00FE79FE" w:rsidP="00CD659B">
      <w:pPr>
        <w:spacing w:before="80"/>
        <w:rPr>
          <w:i/>
          <w:sz w:val="22"/>
          <w:lang w:val="en-US"/>
        </w:rPr>
      </w:pPr>
    </w:p>
    <w:p w14:paraId="571D8127" w14:textId="77777777" w:rsidR="00FE79FE" w:rsidRDefault="00FE79FE" w:rsidP="00CD659B">
      <w:pPr>
        <w:spacing w:before="80"/>
        <w:rPr>
          <w:i/>
          <w:sz w:val="22"/>
          <w:lang w:val="en-US"/>
        </w:rPr>
      </w:pPr>
    </w:p>
    <w:p w14:paraId="21F08CC3" w14:textId="77777777" w:rsidR="00A71FE5" w:rsidRDefault="00A71FE5" w:rsidP="00CD659B">
      <w:pPr>
        <w:spacing w:before="80"/>
        <w:rPr>
          <w:i/>
          <w:sz w:val="22"/>
          <w:lang w:val="en-US"/>
        </w:rPr>
      </w:pPr>
    </w:p>
    <w:p w14:paraId="2454D548"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6586E6B9"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34E308F"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9A9A042"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B75FAAB"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681E31CF" w14:textId="77777777"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969BB2C" w14:textId="77777777" w:rsidR="00586EF8" w:rsidRDefault="00586EF8" w:rsidP="00586EF8">
      <w:pPr>
        <w:jc w:val="center"/>
        <w:rPr>
          <w:sz w:val="22"/>
          <w:lang w:val="en-US"/>
        </w:rPr>
      </w:pPr>
    </w:p>
    <w:p w14:paraId="183E732F"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C04F61" w14:paraId="64FBB966" w14:textId="77777777">
        <w:tc>
          <w:tcPr>
            <w:tcW w:w="9360" w:type="dxa"/>
            <w:gridSpan w:val="2"/>
          </w:tcPr>
          <w:p w14:paraId="2ED590A4"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21AB0C1"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14:paraId="7510D2B1" w14:textId="77777777">
        <w:tc>
          <w:tcPr>
            <w:tcW w:w="1140" w:type="dxa"/>
          </w:tcPr>
          <w:p w14:paraId="28045D5E"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4A7E946C"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21BF740D" w14:textId="77777777">
        <w:tc>
          <w:tcPr>
            <w:tcW w:w="1140" w:type="dxa"/>
          </w:tcPr>
          <w:p w14:paraId="216FB9E0"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563A9DA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04F61" w14:paraId="05AAA20F" w14:textId="77777777">
        <w:tc>
          <w:tcPr>
            <w:tcW w:w="1140" w:type="dxa"/>
          </w:tcPr>
          <w:p w14:paraId="48D3E2C6"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14:paraId="03AFADC9"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769B539B" w14:textId="77777777">
        <w:tc>
          <w:tcPr>
            <w:tcW w:w="1140" w:type="dxa"/>
          </w:tcPr>
          <w:p w14:paraId="7E17C91A"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718AD85D"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0F2EFE27" w14:textId="77777777">
        <w:tc>
          <w:tcPr>
            <w:tcW w:w="1140" w:type="dxa"/>
            <w:shd w:val="clear" w:color="auto" w:fill="auto"/>
          </w:tcPr>
          <w:p w14:paraId="3FE349D5"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0D94593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30E9B038" w14:textId="77777777">
        <w:tc>
          <w:tcPr>
            <w:tcW w:w="1140" w:type="dxa"/>
            <w:shd w:val="clear" w:color="auto" w:fill="auto"/>
          </w:tcPr>
          <w:p w14:paraId="18D8E4FA"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53D5173F"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14:paraId="7240A49E" w14:textId="77777777">
        <w:tc>
          <w:tcPr>
            <w:tcW w:w="1140" w:type="dxa"/>
            <w:shd w:val="clear" w:color="auto" w:fill="auto"/>
          </w:tcPr>
          <w:p w14:paraId="101A1024" w14:textId="77777777"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14:paraId="52E9E69B" w14:textId="77777777"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14:paraId="6A494CE7" w14:textId="77777777">
        <w:tc>
          <w:tcPr>
            <w:tcW w:w="1140" w:type="dxa"/>
          </w:tcPr>
          <w:p w14:paraId="34F83936"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31B7912E"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41ED5A6C" w14:textId="77777777">
        <w:tc>
          <w:tcPr>
            <w:tcW w:w="1140" w:type="dxa"/>
          </w:tcPr>
          <w:p w14:paraId="191826CB"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4E94EA4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4C7B19D7" w14:textId="77777777">
        <w:tc>
          <w:tcPr>
            <w:tcW w:w="1140" w:type="dxa"/>
          </w:tcPr>
          <w:p w14:paraId="49B2C1E4"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69C52DCE"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F78E215" w14:textId="77777777">
        <w:tc>
          <w:tcPr>
            <w:tcW w:w="1140" w:type="dxa"/>
          </w:tcPr>
          <w:p w14:paraId="299B3D6D"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43903CCA"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14EB22FB" w14:textId="77777777">
        <w:tc>
          <w:tcPr>
            <w:tcW w:w="1140" w:type="dxa"/>
          </w:tcPr>
          <w:p w14:paraId="2B860B28"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066DAF7"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04F61" w14:paraId="6679BDF7" w14:textId="77777777">
        <w:tc>
          <w:tcPr>
            <w:tcW w:w="1140" w:type="dxa"/>
          </w:tcPr>
          <w:p w14:paraId="1BA9A438"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14:paraId="560DB230"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28469582" w14:textId="77777777">
        <w:tc>
          <w:tcPr>
            <w:tcW w:w="1140" w:type="dxa"/>
            <w:shd w:val="clear" w:color="auto" w:fill="F3F3F3"/>
          </w:tcPr>
          <w:p w14:paraId="6779A776" w14:textId="77777777"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411A47F0" w14:textId="77777777"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14:paraId="18497E19" w14:textId="77777777">
        <w:tc>
          <w:tcPr>
            <w:tcW w:w="1140" w:type="dxa"/>
          </w:tcPr>
          <w:p w14:paraId="36E27578"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14:paraId="28C13CE2"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04F61" w14:paraId="4913A77E" w14:textId="77777777">
        <w:tc>
          <w:tcPr>
            <w:tcW w:w="1140" w:type="dxa"/>
          </w:tcPr>
          <w:p w14:paraId="5677504F"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A50CEA0"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5E172EBB" w14:textId="77777777">
        <w:tc>
          <w:tcPr>
            <w:tcW w:w="1140" w:type="dxa"/>
          </w:tcPr>
          <w:p w14:paraId="120D5EA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5F5B46B"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A68AF2D"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0C7D8C46" w14:textId="77777777">
        <w:tc>
          <w:tcPr>
            <w:tcW w:w="720" w:type="dxa"/>
          </w:tcPr>
          <w:p w14:paraId="5D1512C2" w14:textId="77777777" w:rsidR="00036EE3" w:rsidRDefault="00036EE3" w:rsidP="00036EE3">
            <w:pPr>
              <w:jc w:val="center"/>
              <w:rPr>
                <w:sz w:val="22"/>
                <w:lang w:val="en-US"/>
              </w:rPr>
            </w:pPr>
          </w:p>
        </w:tc>
      </w:tr>
    </w:tbl>
    <w:p w14:paraId="477B0D34"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C04F61" w14:paraId="302A9E98" w14:textId="77777777">
        <w:tc>
          <w:tcPr>
            <w:tcW w:w="9360" w:type="dxa"/>
          </w:tcPr>
          <w:p w14:paraId="56B6716F"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E12FCF1" w14:textId="77777777" w:rsidR="00B714F3" w:rsidRDefault="00B714F3" w:rsidP="002F5199">
      <w:pPr>
        <w:spacing w:before="0"/>
        <w:jc w:val="center"/>
        <w:rPr>
          <w:sz w:val="22"/>
          <w:lang w:val="en-US"/>
        </w:rPr>
      </w:pPr>
    </w:p>
    <w:p w14:paraId="697E8D94" w14:textId="77777777" w:rsidR="00B714F3" w:rsidRDefault="00B714F3" w:rsidP="002F5199">
      <w:pPr>
        <w:spacing w:before="0"/>
        <w:jc w:val="center"/>
        <w:rPr>
          <w:sz w:val="22"/>
          <w:lang w:val="en-US"/>
        </w:rPr>
      </w:pPr>
    </w:p>
    <w:p w14:paraId="370A537D"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2231AB64" w14:textId="77777777" w:rsidR="002F5199" w:rsidRPr="002F5199" w:rsidRDefault="002F5199" w:rsidP="00A25DEC">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4F0F0B">
        <w:rPr>
          <w:sz w:val="20"/>
          <w:lang w:val="en-US"/>
        </w:rPr>
        <w:t>18</w:t>
      </w:r>
    </w:p>
    <w:p w14:paraId="6688F205" w14:textId="77777777" w:rsidR="00470E28" w:rsidRDefault="00470E28" w:rsidP="00906589">
      <w:pPr>
        <w:jc w:val="center"/>
        <w:rPr>
          <w:sz w:val="22"/>
          <w:lang w:val="en-US"/>
        </w:rPr>
      </w:pPr>
    </w:p>
    <w:p w14:paraId="2EB989BA" w14:textId="77777777" w:rsidR="00586EF8" w:rsidRPr="00470E28" w:rsidRDefault="00586EF8" w:rsidP="00A25DE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4F0F0B">
        <w:rPr>
          <w:sz w:val="20"/>
          <w:lang w:val="en-US"/>
        </w:rPr>
        <w:t>18</w:t>
      </w:r>
    </w:p>
    <w:p w14:paraId="1EE56B3B"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24F74EC"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D456E4F" w14:textId="77777777" w:rsidR="00313E68" w:rsidRDefault="00313E68" w:rsidP="00313E68">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443-4</w:t>
      </w:r>
      <w:r>
        <w:rPr>
          <w:rStyle w:val="FootnoteReference"/>
          <w:lang w:val="en-US"/>
        </w:rPr>
        <w:footnoteReference w:customMarkFollows="1" w:id="1"/>
        <w:t>*</w:t>
      </w:r>
    </w:p>
    <w:p w14:paraId="0BA587BF" w14:textId="77777777" w:rsidR="00313E68" w:rsidRPr="008D31EE" w:rsidRDefault="00313E68" w:rsidP="00313E68">
      <w:pPr>
        <w:pStyle w:val="Rectitle"/>
        <w:rPr>
          <w:lang w:val="en-US" w:eastAsia="ko-KR"/>
        </w:rPr>
      </w:pPr>
      <w:r w:rsidRPr="008D31EE">
        <w:rPr>
          <w:lang w:val="en-US" w:eastAsia="ko-KR"/>
        </w:rPr>
        <w:t>Bandwidth measurement at monitoring stations</w:t>
      </w:r>
    </w:p>
    <w:p w14:paraId="685562F5" w14:textId="77777777" w:rsidR="00313E68" w:rsidRDefault="00313E68" w:rsidP="00313E68">
      <w:pPr>
        <w:pStyle w:val="Recdate"/>
        <w:rPr>
          <w:lang w:val="en-US"/>
        </w:rPr>
      </w:pPr>
    </w:p>
    <w:p w14:paraId="2EC2302A" w14:textId="77777777" w:rsidR="00313E68" w:rsidRDefault="00313E68" w:rsidP="00313E68">
      <w:pPr>
        <w:pStyle w:val="Recdate"/>
        <w:rPr>
          <w:lang w:val="en-US"/>
        </w:rPr>
      </w:pPr>
    </w:p>
    <w:p w14:paraId="6ABE88F5" w14:textId="77777777" w:rsidR="00313E68" w:rsidRPr="008D31EE" w:rsidRDefault="00313E68" w:rsidP="00313E68">
      <w:pPr>
        <w:pStyle w:val="Recdate"/>
        <w:rPr>
          <w:lang w:val="en-US"/>
        </w:rPr>
      </w:pPr>
      <w:r w:rsidRPr="008D31EE">
        <w:rPr>
          <w:lang w:val="en-US"/>
        </w:rPr>
        <w:t>(1966-1978-1995-2005</w:t>
      </w:r>
      <w:r>
        <w:rPr>
          <w:lang w:val="en-US"/>
        </w:rPr>
        <w:t>-2007</w:t>
      </w:r>
      <w:r w:rsidRPr="008D31EE">
        <w:rPr>
          <w:lang w:val="en-US"/>
        </w:rPr>
        <w:t>)</w:t>
      </w:r>
    </w:p>
    <w:p w14:paraId="2A9906B5" w14:textId="77777777" w:rsidR="00313E68" w:rsidRPr="004F0F0B" w:rsidRDefault="00313E68" w:rsidP="00313E68">
      <w:pPr>
        <w:rPr>
          <w:lang w:val="en-US" w:eastAsia="ko-KR"/>
        </w:rPr>
      </w:pPr>
    </w:p>
    <w:p w14:paraId="4BA31037" w14:textId="77777777" w:rsidR="00313E68" w:rsidRPr="004F0F0B" w:rsidRDefault="00313E68" w:rsidP="00313E68">
      <w:pPr>
        <w:pStyle w:val="HeadingSum"/>
        <w:rPr>
          <w:lang w:val="en-US" w:eastAsia="ko-KR"/>
        </w:rPr>
      </w:pPr>
      <w:r w:rsidRPr="004F0F0B">
        <w:rPr>
          <w:lang w:val="en-US" w:eastAsia="ko-KR"/>
        </w:rPr>
        <w:t>Scope</w:t>
      </w:r>
    </w:p>
    <w:p w14:paraId="49B1EC3D" w14:textId="77777777" w:rsidR="00313E68" w:rsidRPr="004F0F0B" w:rsidRDefault="00313E68" w:rsidP="00313E68">
      <w:pPr>
        <w:pStyle w:val="Summary"/>
        <w:rPr>
          <w:lang w:val="en-US"/>
        </w:rPr>
      </w:pPr>
      <w:r w:rsidRPr="004F0F0B">
        <w:rPr>
          <w:lang w:val="en-US"/>
        </w:rPr>
        <w:t>This Recommendation recommends methods for determining occupied bandwidth at monitoring stations for different classes of emission.</w:t>
      </w:r>
    </w:p>
    <w:p w14:paraId="49C0CD55" w14:textId="77777777" w:rsidR="00E76E47" w:rsidRDefault="00E76E47" w:rsidP="00E76E47">
      <w:pPr>
        <w:pStyle w:val="Headingb"/>
        <w:rPr>
          <w:lang w:val="en-US"/>
        </w:rPr>
      </w:pPr>
      <w:r>
        <w:rPr>
          <w:lang w:val="en-US"/>
        </w:rPr>
        <w:t>Keywords</w:t>
      </w:r>
    </w:p>
    <w:p w14:paraId="0492024F" w14:textId="77777777" w:rsidR="00313E68" w:rsidRPr="004F0F0B" w:rsidRDefault="00E76E47" w:rsidP="00E76E47">
      <w:pPr>
        <w:rPr>
          <w:lang w:val="en-US" w:eastAsia="ko-KR"/>
        </w:rPr>
      </w:pPr>
      <w:r>
        <w:rPr>
          <w:rFonts w:eastAsia="Calibri"/>
          <w:lang w:val="en-US"/>
        </w:rPr>
        <w:t>Bandwidth measurements, x dB method, monitoring stations</w:t>
      </w:r>
    </w:p>
    <w:p w14:paraId="706F4EAA" w14:textId="77777777" w:rsidR="00313E68" w:rsidRPr="008D31EE" w:rsidRDefault="00313E68" w:rsidP="00313E68">
      <w:pPr>
        <w:pStyle w:val="Normalaftertitle"/>
        <w:rPr>
          <w:lang w:val="en-US"/>
        </w:rPr>
      </w:pPr>
      <w:r w:rsidRPr="008D31EE">
        <w:rPr>
          <w:lang w:val="en-US"/>
        </w:rPr>
        <w:t>The ITU Radiocommunication Assembly,</w:t>
      </w:r>
    </w:p>
    <w:p w14:paraId="7929B1E9" w14:textId="77777777" w:rsidR="00313E68" w:rsidRPr="008D31EE" w:rsidRDefault="00313E68" w:rsidP="00313E68">
      <w:pPr>
        <w:pStyle w:val="Call"/>
        <w:rPr>
          <w:lang w:val="en-US"/>
        </w:rPr>
      </w:pPr>
      <w:r w:rsidRPr="008D31EE">
        <w:rPr>
          <w:lang w:val="en-US"/>
        </w:rPr>
        <w:t>considering</w:t>
      </w:r>
    </w:p>
    <w:p w14:paraId="4F9B360C" w14:textId="77777777" w:rsidR="00313E68" w:rsidRPr="008D31EE" w:rsidRDefault="00313E68" w:rsidP="00313E68">
      <w:pPr>
        <w:rPr>
          <w:lang w:val="en-US"/>
        </w:rPr>
      </w:pPr>
      <w:r w:rsidRPr="008D31EE">
        <w:rPr>
          <w:lang w:val="en-US"/>
        </w:rPr>
        <w:t>a)</w:t>
      </w:r>
      <w:r w:rsidRPr="008D31EE">
        <w:rPr>
          <w:lang w:val="en-US"/>
        </w:rPr>
        <w:tab/>
        <w:t>the need for the measurement of bandwidths of emissions at monitoring stations to promote efficient use of the radio-frequency spectrum;</w:t>
      </w:r>
    </w:p>
    <w:p w14:paraId="107554B0" w14:textId="77777777" w:rsidR="00313E68" w:rsidRPr="008D31EE" w:rsidRDefault="00313E68" w:rsidP="00313E68">
      <w:pPr>
        <w:rPr>
          <w:lang w:val="en-US"/>
        </w:rPr>
      </w:pPr>
      <w:r w:rsidRPr="008D31EE">
        <w:rPr>
          <w:lang w:val="en-US" w:eastAsia="ko-KR"/>
        </w:rPr>
        <w:t>b</w:t>
      </w:r>
      <w:r w:rsidRPr="008D31EE">
        <w:rPr>
          <w:lang w:val="en-US"/>
        </w:rPr>
        <w:t>)</w:t>
      </w:r>
      <w:r w:rsidRPr="008D31EE">
        <w:rPr>
          <w:lang w:val="en-US"/>
        </w:rPr>
        <w:tab/>
        <w:t>the need for uniform, easy-to-perform and reliable results of bandwidth measurement at monitoring stations, to enable a comparison of the results obtained by different monitoring stations;</w:t>
      </w:r>
    </w:p>
    <w:p w14:paraId="003E8DC0" w14:textId="77777777" w:rsidR="00313E68" w:rsidRPr="008D31EE" w:rsidRDefault="00313E68" w:rsidP="00313E68">
      <w:pPr>
        <w:rPr>
          <w:lang w:val="en-US" w:eastAsia="ko-KR"/>
        </w:rPr>
      </w:pPr>
      <w:r w:rsidRPr="008D31EE">
        <w:rPr>
          <w:lang w:val="en-US" w:eastAsia="ko-KR"/>
        </w:rPr>
        <w:t>c)</w:t>
      </w:r>
      <w:r w:rsidRPr="008D31EE">
        <w:rPr>
          <w:lang w:val="en-US" w:eastAsia="ko-KR"/>
        </w:rPr>
        <w:tab/>
      </w:r>
      <w:r w:rsidRPr="008D31EE">
        <w:rPr>
          <w:lang w:val="en-US"/>
        </w:rPr>
        <w:t>the definitions of different bandwidths in the Radio Regulations (RR) and Recommendation ITU</w:t>
      </w:r>
      <w:r w:rsidRPr="008D31EE">
        <w:rPr>
          <w:lang w:val="en-US"/>
        </w:rPr>
        <w:noBreakHyphen/>
        <w:t xml:space="preserve">R SM.328, especially the definitions of occupied bandwidth and </w:t>
      </w:r>
      <w:r w:rsidRPr="008D31EE">
        <w:rPr>
          <w:i/>
          <w:lang w:val="en-US"/>
        </w:rPr>
        <w:t>x</w:t>
      </w:r>
      <w:r w:rsidRPr="008D31EE">
        <w:rPr>
          <w:lang w:val="en-US"/>
        </w:rPr>
        <w:t xml:space="preserve"> dB bandwidth;</w:t>
      </w:r>
    </w:p>
    <w:p w14:paraId="7AD0BFDC" w14:textId="77777777" w:rsidR="00313E68" w:rsidRPr="008D31EE" w:rsidRDefault="00313E68" w:rsidP="00313E68">
      <w:pPr>
        <w:rPr>
          <w:lang w:val="en-US" w:eastAsia="ko-KR"/>
        </w:rPr>
      </w:pPr>
      <w:r w:rsidRPr="008D31EE">
        <w:rPr>
          <w:lang w:val="en-US"/>
        </w:rPr>
        <w:t>d)</w:t>
      </w:r>
      <w:r w:rsidRPr="008D31EE">
        <w:rPr>
          <w:lang w:val="en-US"/>
        </w:rPr>
        <w:tab/>
        <w:t>the increasing availability of equipment able to directly measure the occupied bandwidth, including equipment employing digital signal processing and fast Fourier transform (FFT) techniques;</w:t>
      </w:r>
    </w:p>
    <w:p w14:paraId="355D5535" w14:textId="77777777" w:rsidR="00313E68" w:rsidRPr="008D31EE" w:rsidRDefault="00313E68" w:rsidP="008E1BA0">
      <w:pPr>
        <w:rPr>
          <w:lang w:val="en-US" w:eastAsia="ko-KR"/>
        </w:rPr>
      </w:pPr>
      <w:r w:rsidRPr="008D31EE">
        <w:rPr>
          <w:lang w:val="en-US" w:eastAsia="ko-KR"/>
        </w:rPr>
        <w:t>e</w:t>
      </w:r>
      <w:r w:rsidRPr="008D31EE">
        <w:rPr>
          <w:lang w:val="en-US"/>
        </w:rPr>
        <w:t>)</w:t>
      </w:r>
      <w:r w:rsidRPr="008D31EE">
        <w:rPr>
          <w:lang w:val="en-US"/>
        </w:rPr>
        <w:tab/>
        <w:t>Chapter 4.5, on bandwidth measurement, of the ITU</w:t>
      </w:r>
      <w:r w:rsidRPr="008D31EE">
        <w:rPr>
          <w:lang w:val="en-US"/>
        </w:rPr>
        <w:noBreakHyphen/>
        <w:t xml:space="preserve">R </w:t>
      </w:r>
      <w:r>
        <w:rPr>
          <w:lang w:val="en-US"/>
        </w:rPr>
        <w:t xml:space="preserve">Handbook on </w:t>
      </w:r>
      <w:r w:rsidRPr="008D31EE">
        <w:rPr>
          <w:lang w:val="en-US"/>
        </w:rPr>
        <w:t>Spectrum Monitoring, (Edition 20</w:t>
      </w:r>
      <w:r>
        <w:rPr>
          <w:lang w:val="en-US"/>
        </w:rPr>
        <w:t>11</w:t>
      </w:r>
      <w:r w:rsidRPr="008D31EE">
        <w:rPr>
          <w:lang w:val="en-US"/>
        </w:rPr>
        <w:t>),</w:t>
      </w:r>
    </w:p>
    <w:p w14:paraId="589AA4E6" w14:textId="77777777" w:rsidR="00313E68" w:rsidRDefault="00313E68" w:rsidP="00313E68">
      <w:pPr>
        <w:pStyle w:val="Blanc"/>
      </w:pPr>
    </w:p>
    <w:p w14:paraId="3FB4F2CE" w14:textId="77777777" w:rsidR="00313E68" w:rsidRPr="008D31EE" w:rsidRDefault="00313E68" w:rsidP="00313E68">
      <w:pPr>
        <w:pStyle w:val="Call"/>
        <w:rPr>
          <w:lang w:val="en-US"/>
        </w:rPr>
      </w:pPr>
      <w:r w:rsidRPr="008D31EE">
        <w:rPr>
          <w:lang w:val="en-US"/>
        </w:rPr>
        <w:t>recommends</w:t>
      </w:r>
    </w:p>
    <w:p w14:paraId="1BD3AE37" w14:textId="77777777" w:rsidR="00313E68" w:rsidRPr="008D31EE" w:rsidRDefault="00313E68" w:rsidP="00313E68">
      <w:pPr>
        <w:rPr>
          <w:lang w:val="en-US" w:eastAsia="ko-KR"/>
        </w:rPr>
      </w:pPr>
      <w:r w:rsidRPr="008D31EE">
        <w:rPr>
          <w:b/>
          <w:bCs/>
          <w:lang w:val="en-US"/>
        </w:rPr>
        <w:t>1</w:t>
      </w:r>
      <w:r w:rsidRPr="008D31EE">
        <w:rPr>
          <w:b/>
          <w:bCs/>
          <w:lang w:val="en-US"/>
        </w:rPr>
        <w:tab/>
      </w:r>
      <w:r w:rsidRPr="008D31EE">
        <w:rPr>
          <w:lang w:val="en-US"/>
        </w:rPr>
        <w:t xml:space="preserve">that the direct </w:t>
      </w:r>
      <w:r w:rsidRPr="008D31EE">
        <w:rPr>
          <w:lang w:val="en-US" w:eastAsia="ko-KR"/>
        </w:rPr>
        <w:t>“</w:t>
      </w:r>
      <w:r w:rsidRPr="00D878D1">
        <w:t>β</w:t>
      </w:r>
      <w:r w:rsidRPr="008D31EE">
        <w:rPr>
          <w:lang w:val="en-US"/>
        </w:rPr>
        <w:t>% method</w:t>
      </w:r>
      <w:r w:rsidRPr="008D31EE">
        <w:rPr>
          <w:lang w:val="en-US" w:eastAsia="ko-KR"/>
        </w:rPr>
        <w:t>”</w:t>
      </w:r>
      <w:r w:rsidRPr="008D31EE">
        <w:rPr>
          <w:lang w:val="en-US"/>
        </w:rPr>
        <w:t xml:space="preserve"> specified in </w:t>
      </w:r>
      <w:r w:rsidRPr="008D31EE">
        <w:rPr>
          <w:lang w:val="en-US" w:eastAsia="ko-KR"/>
        </w:rPr>
        <w:t>A</w:t>
      </w:r>
      <w:r w:rsidRPr="008D31EE">
        <w:rPr>
          <w:lang w:val="en-US"/>
        </w:rPr>
        <w:t>nnex </w:t>
      </w:r>
      <w:r w:rsidRPr="008D31EE">
        <w:rPr>
          <w:lang w:val="en-US" w:eastAsia="ko-KR"/>
        </w:rPr>
        <w:t xml:space="preserve">1 </w:t>
      </w:r>
      <w:r w:rsidRPr="008D31EE">
        <w:rPr>
          <w:lang w:val="en-US"/>
        </w:rPr>
        <w:t>should be used at monitoring stations when measuring the occupied bandwidth</w:t>
      </w:r>
      <w:r w:rsidRPr="008D31EE">
        <w:rPr>
          <w:lang w:val="en-US" w:eastAsia="ko-KR"/>
        </w:rPr>
        <w:t>;</w:t>
      </w:r>
    </w:p>
    <w:p w14:paraId="22CF449B" w14:textId="77777777" w:rsidR="00313E68" w:rsidRPr="008D31EE" w:rsidRDefault="00313E68" w:rsidP="00313E68">
      <w:pPr>
        <w:rPr>
          <w:lang w:val="en-US" w:eastAsia="ko-KR"/>
        </w:rPr>
      </w:pPr>
      <w:r w:rsidRPr="008D31EE">
        <w:rPr>
          <w:b/>
          <w:lang w:val="en-US" w:eastAsia="ko-KR"/>
        </w:rPr>
        <w:t>2</w:t>
      </w:r>
      <w:r w:rsidRPr="008D31EE">
        <w:rPr>
          <w:b/>
          <w:lang w:val="en-US"/>
        </w:rPr>
        <w:tab/>
      </w:r>
      <w:r w:rsidRPr="008D31EE">
        <w:rPr>
          <w:lang w:val="en-US"/>
        </w:rPr>
        <w:t xml:space="preserve">that the </w:t>
      </w:r>
      <w:r w:rsidRPr="008D31EE">
        <w:rPr>
          <w:lang w:val="en-US" w:eastAsia="ko-KR"/>
        </w:rPr>
        <w:t>“</w:t>
      </w:r>
      <w:r w:rsidRPr="008D31EE">
        <w:rPr>
          <w:i/>
          <w:lang w:val="en-US" w:eastAsia="ko-KR"/>
        </w:rPr>
        <w:t>x </w:t>
      </w:r>
      <w:r w:rsidRPr="008D31EE">
        <w:rPr>
          <w:lang w:val="en-US" w:eastAsia="ko-KR"/>
        </w:rPr>
        <w:t xml:space="preserve">dB </w:t>
      </w:r>
      <w:r w:rsidRPr="008D31EE">
        <w:rPr>
          <w:lang w:val="en-US"/>
        </w:rPr>
        <w:t>method</w:t>
      </w:r>
      <w:r w:rsidRPr="008D31EE">
        <w:rPr>
          <w:lang w:val="en-US" w:eastAsia="ko-KR"/>
        </w:rPr>
        <w:t>”</w:t>
      </w:r>
      <w:r w:rsidRPr="008D31EE">
        <w:rPr>
          <w:lang w:val="en-US"/>
        </w:rPr>
        <w:t xml:space="preserve"> specified in </w:t>
      </w:r>
      <w:r w:rsidRPr="008D31EE">
        <w:rPr>
          <w:lang w:val="en-US" w:eastAsia="ko-KR"/>
        </w:rPr>
        <w:t>A</w:t>
      </w:r>
      <w:r w:rsidRPr="008D31EE">
        <w:rPr>
          <w:lang w:val="en-US"/>
        </w:rPr>
        <w:t>nnex </w:t>
      </w:r>
      <w:r w:rsidRPr="008D31EE">
        <w:rPr>
          <w:lang w:val="en-US" w:eastAsia="ko-KR"/>
        </w:rPr>
        <w:t xml:space="preserve">2 </w:t>
      </w:r>
      <w:r w:rsidRPr="008D31EE">
        <w:rPr>
          <w:lang w:val="en-US"/>
        </w:rPr>
        <w:t>should be used at monitoring stations when measuring the</w:t>
      </w:r>
      <w:r w:rsidRPr="008D31EE">
        <w:rPr>
          <w:lang w:val="en-US" w:eastAsia="ko-KR"/>
        </w:rPr>
        <w:t xml:space="preserve"> </w:t>
      </w:r>
      <w:r w:rsidRPr="008D31EE">
        <w:rPr>
          <w:i/>
          <w:lang w:val="en-US" w:eastAsia="ko-KR"/>
        </w:rPr>
        <w:t>x </w:t>
      </w:r>
      <w:r w:rsidRPr="008D31EE">
        <w:rPr>
          <w:lang w:val="en-US" w:eastAsia="ko-KR"/>
        </w:rPr>
        <w:t xml:space="preserve">dB </w:t>
      </w:r>
      <w:r w:rsidRPr="008D31EE">
        <w:rPr>
          <w:lang w:val="en-US"/>
        </w:rPr>
        <w:t>bandwidth</w:t>
      </w:r>
      <w:r w:rsidRPr="008D31EE">
        <w:rPr>
          <w:lang w:val="en-US" w:eastAsia="ko-KR"/>
        </w:rPr>
        <w:t>;</w:t>
      </w:r>
    </w:p>
    <w:p w14:paraId="0487B2DF" w14:textId="77777777" w:rsidR="00313E68" w:rsidRPr="008D31EE" w:rsidRDefault="00313E68" w:rsidP="00313E68">
      <w:pPr>
        <w:rPr>
          <w:lang w:val="en-US" w:eastAsia="ko-KR"/>
        </w:rPr>
      </w:pPr>
      <w:r w:rsidRPr="008D31EE">
        <w:rPr>
          <w:b/>
          <w:lang w:val="en-US"/>
        </w:rPr>
        <w:t>3</w:t>
      </w:r>
      <w:r w:rsidRPr="008D31EE">
        <w:rPr>
          <w:lang w:val="en-US"/>
        </w:rPr>
        <w:tab/>
      </w:r>
      <w:r w:rsidRPr="008D31EE">
        <w:rPr>
          <w:lang w:val="en-US" w:eastAsia="ko-KR"/>
        </w:rPr>
        <w:t>that t</w:t>
      </w:r>
      <w:r w:rsidRPr="008D31EE">
        <w:rPr>
          <w:lang w:val="en-US"/>
        </w:rPr>
        <w:t xml:space="preserve">he occupied bandwidth can be estimated from the </w:t>
      </w:r>
      <w:r w:rsidRPr="008D31EE">
        <w:rPr>
          <w:i/>
          <w:lang w:val="en-US" w:eastAsia="ko-KR"/>
        </w:rPr>
        <w:t xml:space="preserve">x </w:t>
      </w:r>
      <w:r w:rsidRPr="008D31EE">
        <w:rPr>
          <w:lang w:val="en-US"/>
        </w:rPr>
        <w:t xml:space="preserve">dB bandwidth </w:t>
      </w:r>
      <w:r w:rsidRPr="008D31EE">
        <w:rPr>
          <w:lang w:val="en-US" w:eastAsia="ko-KR"/>
        </w:rPr>
        <w:t>using the procedure described in Annex</w:t>
      </w:r>
      <w:r w:rsidRPr="008D31EE">
        <w:rPr>
          <w:lang w:val="en-US"/>
        </w:rPr>
        <w:t> </w:t>
      </w:r>
      <w:r w:rsidRPr="008D31EE">
        <w:rPr>
          <w:lang w:val="en-US" w:eastAsia="ko-KR"/>
        </w:rPr>
        <w:t xml:space="preserve">3 </w:t>
      </w:r>
      <w:r w:rsidRPr="008D31EE">
        <w:rPr>
          <w:lang w:val="en-US"/>
        </w:rPr>
        <w:t>when the conditions for accurate measurement of occupied bandwidth</w:t>
      </w:r>
      <w:r w:rsidRPr="008D31EE">
        <w:rPr>
          <w:lang w:val="en-US" w:eastAsia="ko-KR"/>
        </w:rPr>
        <w:t xml:space="preserve"> are not met, or in the absence of equipments capable of performing </w:t>
      </w:r>
      <w:r w:rsidRPr="00D878D1">
        <w:t>β</w:t>
      </w:r>
      <w:r w:rsidRPr="008D31EE">
        <w:rPr>
          <w:lang w:val="en-US"/>
        </w:rPr>
        <w:t>% me</w:t>
      </w:r>
      <w:r w:rsidRPr="008D31EE">
        <w:rPr>
          <w:lang w:val="en-US" w:eastAsia="ko-KR"/>
        </w:rPr>
        <w:t>asurement.</w:t>
      </w:r>
    </w:p>
    <w:p w14:paraId="64E5D034" w14:textId="77777777" w:rsidR="00313E68" w:rsidRPr="008D31EE" w:rsidRDefault="00313E68" w:rsidP="00313E68">
      <w:pPr>
        <w:rPr>
          <w:lang w:val="en-US"/>
        </w:rPr>
      </w:pPr>
      <w:bookmarkStart w:id="4" w:name="source"/>
      <w:bookmarkEnd w:id="4"/>
    </w:p>
    <w:p w14:paraId="5F7147C3" w14:textId="77777777" w:rsidR="00313E68" w:rsidRPr="008D31EE" w:rsidRDefault="00313E68" w:rsidP="00313E68">
      <w:pPr>
        <w:pStyle w:val="AnnexNoTitle"/>
        <w:rPr>
          <w:lang w:val="en-US"/>
        </w:rPr>
      </w:pPr>
      <w:bookmarkStart w:id="5" w:name="_Toc107985080"/>
      <w:r w:rsidRPr="008D31EE">
        <w:rPr>
          <w:lang w:val="en-US"/>
        </w:rPr>
        <w:t>Annex 1</w:t>
      </w:r>
      <w:r w:rsidRPr="008D31EE">
        <w:rPr>
          <w:lang w:val="en-US"/>
        </w:rPr>
        <w:br/>
      </w:r>
      <w:r w:rsidRPr="008D31EE">
        <w:rPr>
          <w:lang w:val="en-US"/>
        </w:rPr>
        <w:br/>
        <w:t>Measurement method of occupied bandwidth (</w:t>
      </w:r>
      <w:r w:rsidRPr="00D878D1">
        <w:t>β</w:t>
      </w:r>
      <w:r w:rsidRPr="008D31EE">
        <w:rPr>
          <w:lang w:val="en-US"/>
        </w:rPr>
        <w:t>% method)</w:t>
      </w:r>
      <w:bookmarkEnd w:id="5"/>
    </w:p>
    <w:p w14:paraId="17DADAC2" w14:textId="77777777" w:rsidR="00313E68" w:rsidRPr="008D31EE" w:rsidRDefault="00313E68" w:rsidP="00313E68">
      <w:pPr>
        <w:pStyle w:val="Heading1"/>
        <w:rPr>
          <w:lang w:val="en-US"/>
        </w:rPr>
      </w:pPr>
      <w:bookmarkStart w:id="6" w:name="_Toc107985081"/>
      <w:r w:rsidRPr="008D31EE">
        <w:rPr>
          <w:lang w:val="en-US"/>
        </w:rPr>
        <w:t>1</w:t>
      </w:r>
      <w:r w:rsidRPr="008D31EE">
        <w:rPr>
          <w:lang w:val="en-US"/>
        </w:rPr>
        <w:tab/>
        <w:t>Introduction</w:t>
      </w:r>
      <w:bookmarkEnd w:id="6"/>
    </w:p>
    <w:p w14:paraId="420712ED" w14:textId="77777777" w:rsidR="00313E68" w:rsidRPr="008D31EE" w:rsidRDefault="00313E68" w:rsidP="00313E68">
      <w:pPr>
        <w:rPr>
          <w:lang w:val="en-US"/>
        </w:rPr>
      </w:pPr>
      <w:r w:rsidRPr="008D31EE">
        <w:rPr>
          <w:lang w:val="en-US"/>
        </w:rPr>
        <w:t>RR No. 1</w:t>
      </w:r>
      <w:r w:rsidRPr="008D31EE">
        <w:rPr>
          <w:lang w:val="en-US" w:eastAsia="ko-KR"/>
        </w:rPr>
        <w:t>.</w:t>
      </w:r>
      <w:r w:rsidRPr="008D31EE">
        <w:rPr>
          <w:lang w:val="en-US"/>
        </w:rPr>
        <w:t>153 and Recommendation ITU</w:t>
      </w:r>
      <w:r w:rsidRPr="008D31EE">
        <w:rPr>
          <w:lang w:val="en-US"/>
        </w:rPr>
        <w:noBreakHyphen/>
        <w:t>R SM.328</w:t>
      </w:r>
      <w:r w:rsidRPr="008D31EE">
        <w:rPr>
          <w:lang w:val="en-US" w:eastAsia="ko-KR"/>
        </w:rPr>
        <w:t xml:space="preserve"> define the term occupied bandwidth as follows:</w:t>
      </w:r>
    </w:p>
    <w:p w14:paraId="246DEEC2" w14:textId="77777777" w:rsidR="00313E68" w:rsidRPr="008D31EE" w:rsidRDefault="00313E68" w:rsidP="00313E68">
      <w:pPr>
        <w:pStyle w:val="enumlev1"/>
        <w:rPr>
          <w:lang w:val="en-US" w:eastAsia="ko-KR"/>
        </w:rPr>
      </w:pPr>
      <w:r w:rsidRPr="008D31EE">
        <w:rPr>
          <w:lang w:val="en-US"/>
        </w:rPr>
        <w:tab/>
      </w:r>
      <w:r w:rsidRPr="008D31EE">
        <w:rPr>
          <w:lang w:val="en-US"/>
        </w:rPr>
        <w:tab/>
      </w:r>
      <w:r w:rsidRPr="008D31EE">
        <w:rPr>
          <w:lang w:val="en-US"/>
        </w:rPr>
        <w:tab/>
        <w:t>“</w:t>
      </w:r>
      <w:r w:rsidRPr="008D31EE">
        <w:rPr>
          <w:i/>
          <w:iCs/>
          <w:lang w:val="en-US"/>
        </w:rPr>
        <w:t>Occupied</w:t>
      </w:r>
      <w:r w:rsidRPr="008D31EE">
        <w:rPr>
          <w:lang w:val="en-US"/>
        </w:rPr>
        <w:t xml:space="preserve"> </w:t>
      </w:r>
      <w:r w:rsidRPr="008D31EE">
        <w:rPr>
          <w:i/>
          <w:iCs/>
          <w:lang w:val="en-US"/>
        </w:rPr>
        <w:t>bandwidth:</w:t>
      </w:r>
      <w:r w:rsidRPr="008D31EE">
        <w:rPr>
          <w:lang w:val="en-US"/>
        </w:rPr>
        <w:t xml:space="preserve"> The width of a frequency band such that, below the lower and above the upper frequency limits, the </w:t>
      </w:r>
      <w:r w:rsidRPr="008D31EE">
        <w:rPr>
          <w:i/>
          <w:iCs/>
          <w:lang w:val="en-US"/>
        </w:rPr>
        <w:t>mean powers</w:t>
      </w:r>
      <w:r w:rsidRPr="008D31EE">
        <w:rPr>
          <w:lang w:val="en-US"/>
        </w:rPr>
        <w:t xml:space="preserve"> emitted are each equal to a specified percentage </w:t>
      </w:r>
      <w:r w:rsidRPr="00D878D1">
        <w:t>β</w:t>
      </w:r>
      <w:r w:rsidRPr="008D31EE">
        <w:rPr>
          <w:lang w:val="en-US"/>
        </w:rPr>
        <w:t xml:space="preserve">/2 of the total </w:t>
      </w:r>
      <w:r w:rsidRPr="008D31EE">
        <w:rPr>
          <w:i/>
          <w:iCs/>
          <w:lang w:val="en-US"/>
        </w:rPr>
        <w:t>mean power</w:t>
      </w:r>
      <w:r w:rsidRPr="008D31EE">
        <w:rPr>
          <w:lang w:val="en-US"/>
        </w:rPr>
        <w:t xml:space="preserve"> of a given </w:t>
      </w:r>
      <w:r w:rsidRPr="008D31EE">
        <w:rPr>
          <w:i/>
          <w:iCs/>
          <w:lang w:val="en-US"/>
        </w:rPr>
        <w:t>emission</w:t>
      </w:r>
      <w:r w:rsidRPr="008D31EE">
        <w:rPr>
          <w:lang w:val="en-US"/>
        </w:rPr>
        <w:t>.</w:t>
      </w:r>
    </w:p>
    <w:p w14:paraId="286D4818" w14:textId="77777777" w:rsidR="00313E68" w:rsidRPr="008D31EE" w:rsidRDefault="00313E68" w:rsidP="00313E68">
      <w:pPr>
        <w:pStyle w:val="enumlev1"/>
        <w:rPr>
          <w:lang w:val="en-US"/>
        </w:rPr>
      </w:pPr>
      <w:r w:rsidRPr="008D31EE">
        <w:rPr>
          <w:lang w:val="en-US" w:eastAsia="ko-KR"/>
        </w:rPr>
        <w:tab/>
      </w:r>
      <w:r w:rsidRPr="008D31EE">
        <w:rPr>
          <w:lang w:val="en-US" w:eastAsia="ko-KR"/>
        </w:rPr>
        <w:tab/>
      </w:r>
      <w:r w:rsidRPr="008D31EE">
        <w:rPr>
          <w:lang w:val="en-US" w:eastAsia="ko-KR"/>
        </w:rPr>
        <w:tab/>
        <w:t>Unless otherwise specified in an ITU</w:t>
      </w:r>
      <w:r w:rsidRPr="008D31EE">
        <w:rPr>
          <w:lang w:val="en-US" w:eastAsia="ko-KR"/>
        </w:rPr>
        <w:noBreakHyphen/>
        <w:t xml:space="preserve">R Recommendation for the appropriate </w:t>
      </w:r>
      <w:r w:rsidRPr="008D31EE">
        <w:rPr>
          <w:i/>
          <w:iCs/>
          <w:lang w:val="en-US" w:eastAsia="ko-KR"/>
        </w:rPr>
        <w:t>class of emission</w:t>
      </w:r>
      <w:r w:rsidRPr="008D31EE">
        <w:rPr>
          <w:lang w:val="en-US" w:eastAsia="ko-KR"/>
        </w:rPr>
        <w:t xml:space="preserve">, the value of </w:t>
      </w:r>
      <w:r w:rsidRPr="00D878D1">
        <w:t>β</w:t>
      </w:r>
      <w:r w:rsidRPr="008D31EE">
        <w:rPr>
          <w:lang w:val="en-US"/>
        </w:rPr>
        <w:t>/2 should be taken as 0.5%.”</w:t>
      </w:r>
    </w:p>
    <w:p w14:paraId="03737C5E" w14:textId="77777777" w:rsidR="00313E68" w:rsidRPr="008D31EE" w:rsidRDefault="00313E68" w:rsidP="00313E68">
      <w:pPr>
        <w:rPr>
          <w:lang w:val="en-US" w:eastAsia="ko-KR"/>
        </w:rPr>
      </w:pPr>
      <w:r w:rsidRPr="008D31EE">
        <w:rPr>
          <w:lang w:val="en-US"/>
        </w:rPr>
        <w:t xml:space="preserve">In line with </w:t>
      </w:r>
      <w:r w:rsidRPr="008D31EE">
        <w:rPr>
          <w:lang w:val="en-US" w:eastAsia="ko-KR"/>
        </w:rPr>
        <w:t>§</w:t>
      </w:r>
      <w:r w:rsidRPr="008D31EE">
        <w:rPr>
          <w:lang w:val="en-US"/>
        </w:rPr>
        <w:t> 2 of Recommendation ITU</w:t>
      </w:r>
      <w:r w:rsidRPr="008D31EE">
        <w:rPr>
          <w:lang w:val="en-US"/>
        </w:rPr>
        <w:noBreakHyphen/>
        <w:t>R SM.328 on an emission of a transmitter, the optimum from the standpoint of spectrum efficiency is reached when the occupied bandwidth is equal to the necessary bandwidth of the relevant class of emission, given by Recommendation ITU</w:t>
      </w:r>
      <w:r w:rsidRPr="008D31EE">
        <w:rPr>
          <w:lang w:val="en-US"/>
        </w:rPr>
        <w:noBreakHyphen/>
        <w:t>R SM.1138, which is incorporated into the RR by reference.</w:t>
      </w:r>
    </w:p>
    <w:p w14:paraId="0076C5BE" w14:textId="77777777" w:rsidR="00313E68" w:rsidRPr="008D31EE" w:rsidRDefault="00313E68" w:rsidP="00313E68">
      <w:pPr>
        <w:rPr>
          <w:lang w:val="en-US"/>
        </w:rPr>
      </w:pPr>
      <w:r w:rsidRPr="008D31EE">
        <w:rPr>
          <w:lang w:val="en-US"/>
        </w:rPr>
        <w:t xml:space="preserve">According to the definition above, the occupied bandwidth can be measured using either digital swept spectrum analysers </w:t>
      </w:r>
      <w:r w:rsidRPr="008D31EE">
        <w:rPr>
          <w:lang w:val="en-US" w:eastAsia="ko-KR"/>
        </w:rPr>
        <w:t xml:space="preserve">or </w:t>
      </w:r>
      <w:r w:rsidRPr="008D31EE">
        <w:rPr>
          <w:lang w:val="en-US"/>
        </w:rPr>
        <w:t>digital monitoring receiver allowing to store the recorded traces in memory for later graphical processing, or with analysers employing FFT techniques.</w:t>
      </w:r>
    </w:p>
    <w:p w14:paraId="678CC836" w14:textId="77777777" w:rsidR="00313E68" w:rsidRPr="008D31EE" w:rsidRDefault="00313E68" w:rsidP="00313E68">
      <w:pPr>
        <w:pStyle w:val="Heading1"/>
        <w:rPr>
          <w:lang w:val="en-US"/>
        </w:rPr>
      </w:pPr>
      <w:bookmarkStart w:id="7" w:name="_Toc107985082"/>
      <w:r w:rsidRPr="008D31EE">
        <w:rPr>
          <w:lang w:val="en-US" w:eastAsia="ko-KR"/>
        </w:rPr>
        <w:t>2</w:t>
      </w:r>
      <w:r w:rsidRPr="008D31EE">
        <w:rPr>
          <w:lang w:val="en-US"/>
        </w:rPr>
        <w:tab/>
        <w:t>General conditions for bandwidth measurement</w:t>
      </w:r>
      <w:bookmarkEnd w:id="7"/>
    </w:p>
    <w:p w14:paraId="1EE9B6AF" w14:textId="77777777" w:rsidR="00313E68" w:rsidRPr="008D31EE" w:rsidRDefault="00313E68" w:rsidP="00313E68">
      <w:pPr>
        <w:rPr>
          <w:lang w:val="en-US"/>
        </w:rPr>
      </w:pPr>
      <w:r w:rsidRPr="008D31EE">
        <w:rPr>
          <w:lang w:val="en-US"/>
        </w:rPr>
        <w:t>General conditions for bandwidth measurements are the following:</w:t>
      </w:r>
    </w:p>
    <w:p w14:paraId="07120835" w14:textId="77777777" w:rsidR="00313E68" w:rsidRPr="008D31EE" w:rsidRDefault="00313E68" w:rsidP="00313E68">
      <w:pPr>
        <w:pStyle w:val="enumlev1"/>
        <w:rPr>
          <w:lang w:val="en-US" w:eastAsia="ko-KR"/>
        </w:rPr>
      </w:pPr>
      <w:r w:rsidRPr="008D31EE">
        <w:rPr>
          <w:lang w:val="en-US"/>
        </w:rPr>
        <w:t>–</w:t>
      </w:r>
      <w:r w:rsidRPr="008D31EE">
        <w:rPr>
          <w:lang w:val="en-US"/>
        </w:rPr>
        <w:tab/>
        <w:t>The line</w:t>
      </w:r>
      <w:r>
        <w:rPr>
          <w:lang w:val="en-US"/>
        </w:rPr>
        <w:t>-</w:t>
      </w:r>
      <w:r w:rsidRPr="008D31EE">
        <w:rPr>
          <w:lang w:val="en-US"/>
        </w:rPr>
        <w:t>of</w:t>
      </w:r>
      <w:r>
        <w:rPr>
          <w:lang w:val="en-US"/>
        </w:rPr>
        <w:t>-</w:t>
      </w:r>
      <w:r w:rsidRPr="008D31EE">
        <w:rPr>
          <w:lang w:val="en-US"/>
        </w:rPr>
        <w:t>sight</w:t>
      </w:r>
      <w:r>
        <w:rPr>
          <w:lang w:val="en-US"/>
        </w:rPr>
        <w:t xml:space="preserve"> (LoS)</w:t>
      </w:r>
      <w:r w:rsidRPr="008D31EE">
        <w:rPr>
          <w:lang w:val="en-US"/>
        </w:rPr>
        <w:t xml:space="preserve"> with Fresnel curve between the transmitting and receiving antenna must be secured to ensure the high degree of discrimination of source of emission.</w:t>
      </w:r>
    </w:p>
    <w:p w14:paraId="59D1884F" w14:textId="77777777" w:rsidR="00313E68" w:rsidRPr="008D31EE" w:rsidRDefault="00313E68" w:rsidP="00313E68">
      <w:pPr>
        <w:pStyle w:val="enumlev1"/>
        <w:rPr>
          <w:lang w:val="en-US" w:eastAsia="ko-KR"/>
        </w:rPr>
      </w:pPr>
      <w:r w:rsidRPr="008D31EE">
        <w:rPr>
          <w:lang w:val="en-US"/>
        </w:rPr>
        <w:t>–</w:t>
      </w:r>
      <w:r w:rsidRPr="008D31EE">
        <w:rPr>
          <w:lang w:val="en-US"/>
        </w:rPr>
        <w:tab/>
        <w:t xml:space="preserve">A directional antenna with high </w:t>
      </w:r>
      <w:r w:rsidRPr="008D31EE">
        <w:rPr>
          <w:lang w:val="en-US" w:eastAsia="ko-KR"/>
        </w:rPr>
        <w:t>directivity</w:t>
      </w:r>
      <w:r w:rsidRPr="008D31EE">
        <w:rPr>
          <w:lang w:val="en-US"/>
        </w:rPr>
        <w:t xml:space="preserve"> and high front-back ratio should be used to minimize the influence on multipath fading effects.</w:t>
      </w:r>
    </w:p>
    <w:p w14:paraId="56671B3C" w14:textId="77777777" w:rsidR="00313E68" w:rsidRPr="008D31EE" w:rsidRDefault="00313E68" w:rsidP="00313E68">
      <w:pPr>
        <w:pStyle w:val="enumlev1"/>
        <w:rPr>
          <w:lang w:val="en-US" w:eastAsia="ko-KR"/>
        </w:rPr>
      </w:pPr>
      <w:r w:rsidRPr="008D31EE">
        <w:rPr>
          <w:lang w:val="en-US"/>
        </w:rPr>
        <w:t>–</w:t>
      </w:r>
      <w:r w:rsidRPr="008D31EE">
        <w:rPr>
          <w:lang w:val="en-US"/>
        </w:rPr>
        <w:tab/>
        <w:t xml:space="preserve">Any suitable spectrum analyser or digital monitoring receiver can be used. </w:t>
      </w:r>
    </w:p>
    <w:p w14:paraId="4C8CB326" w14:textId="77777777" w:rsidR="00313E68" w:rsidRPr="008D31EE" w:rsidRDefault="00313E68" w:rsidP="00313E68">
      <w:pPr>
        <w:pStyle w:val="enumlev1"/>
        <w:rPr>
          <w:lang w:val="en-US" w:eastAsia="ko-KR"/>
        </w:rPr>
      </w:pPr>
      <w:r w:rsidRPr="008D31EE">
        <w:rPr>
          <w:lang w:val="en-US"/>
        </w:rPr>
        <w:t>–</w:t>
      </w:r>
      <w:r w:rsidRPr="008D31EE">
        <w:rPr>
          <w:lang w:val="en-US"/>
        </w:rPr>
        <w:tab/>
        <w:t>Impulse interferences should not occur (for example, interference from an ignition source).</w:t>
      </w:r>
    </w:p>
    <w:p w14:paraId="4CC1974A" w14:textId="77777777" w:rsidR="00313E68" w:rsidRPr="008D31EE" w:rsidRDefault="00313E68" w:rsidP="00313E68">
      <w:pPr>
        <w:pStyle w:val="Heading1"/>
        <w:rPr>
          <w:lang w:val="en-US"/>
        </w:rPr>
      </w:pPr>
      <w:bookmarkStart w:id="8" w:name="_Toc107985083"/>
      <w:r w:rsidRPr="008D31EE">
        <w:rPr>
          <w:lang w:val="en-US" w:eastAsia="ko-KR"/>
        </w:rPr>
        <w:t>3</w:t>
      </w:r>
      <w:r w:rsidRPr="008D31EE">
        <w:rPr>
          <w:lang w:val="en-US"/>
        </w:rPr>
        <w:tab/>
      </w:r>
      <w:r w:rsidRPr="008D31EE">
        <w:rPr>
          <w:lang w:val="en-US" w:eastAsia="ko-KR"/>
        </w:rPr>
        <w:t>M</w:t>
      </w:r>
      <w:r w:rsidRPr="008D31EE">
        <w:rPr>
          <w:lang w:val="en-US"/>
        </w:rPr>
        <w:t xml:space="preserve">easurement </w:t>
      </w:r>
      <w:r w:rsidRPr="008D31EE">
        <w:rPr>
          <w:lang w:val="en-US" w:eastAsia="ko-KR"/>
        </w:rPr>
        <w:t>procedure</w:t>
      </w:r>
      <w:bookmarkEnd w:id="8"/>
    </w:p>
    <w:p w14:paraId="39D5CD99" w14:textId="77777777" w:rsidR="00313E68" w:rsidRPr="008D31EE" w:rsidRDefault="00313E68" w:rsidP="00313E68">
      <w:pPr>
        <w:rPr>
          <w:lang w:val="en-US"/>
        </w:rPr>
      </w:pPr>
      <w:r w:rsidRPr="008D31EE">
        <w:rPr>
          <w:lang w:val="en-US"/>
        </w:rPr>
        <w:t xml:space="preserve">The spectrum analyser </w:t>
      </w:r>
      <w:r w:rsidRPr="008D31EE">
        <w:rPr>
          <w:lang w:val="en-US" w:eastAsia="ko-KR"/>
        </w:rPr>
        <w:t xml:space="preserve">or </w:t>
      </w:r>
      <w:r w:rsidRPr="008D31EE">
        <w:rPr>
          <w:lang w:val="en-US"/>
        </w:rPr>
        <w:t>digital monitoring receiver is adjusted with the following settings:</w:t>
      </w:r>
    </w:p>
    <w:p w14:paraId="5A3D26A5" w14:textId="77777777" w:rsidR="00313E68" w:rsidRPr="008D31EE" w:rsidRDefault="00313E68" w:rsidP="00313E68">
      <w:pPr>
        <w:pStyle w:val="enumlev1"/>
        <w:rPr>
          <w:lang w:val="en-US"/>
        </w:rPr>
      </w:pPr>
      <w:r w:rsidRPr="008D31EE">
        <w:rPr>
          <w:lang w:val="en-US"/>
        </w:rPr>
        <w:t>–</w:t>
      </w:r>
      <w:r w:rsidRPr="008D31EE">
        <w:rPr>
          <w:lang w:val="en-US"/>
        </w:rPr>
        <w:tab/>
        <w:t>Frequency:</w:t>
      </w:r>
      <w:r w:rsidRPr="008D31EE">
        <w:rPr>
          <w:lang w:val="en-US" w:eastAsia="ko-KR"/>
        </w:rPr>
        <w:t xml:space="preserve"> </w:t>
      </w:r>
      <w:r w:rsidRPr="008D31EE">
        <w:rPr>
          <w:lang w:val="en-US"/>
        </w:rPr>
        <w:t>estimated centre frequency of the emission</w:t>
      </w:r>
    </w:p>
    <w:p w14:paraId="77006D64" w14:textId="77777777" w:rsidR="00313E68" w:rsidRPr="008D31EE" w:rsidRDefault="00313E68" w:rsidP="00313E68">
      <w:pPr>
        <w:pStyle w:val="enumlev1"/>
        <w:rPr>
          <w:lang w:val="en-US"/>
        </w:rPr>
      </w:pPr>
      <w:r w:rsidRPr="008D31EE">
        <w:rPr>
          <w:lang w:val="en-US"/>
        </w:rPr>
        <w:t>–</w:t>
      </w:r>
      <w:r w:rsidRPr="008D31EE">
        <w:rPr>
          <w:lang w:val="en-US"/>
        </w:rPr>
        <w:tab/>
        <w:t>Span:</w:t>
      </w:r>
      <w:r w:rsidRPr="008D31EE">
        <w:rPr>
          <w:lang w:val="en-US" w:eastAsia="ko-KR"/>
        </w:rPr>
        <w:t xml:space="preserve"> </w:t>
      </w:r>
      <w:r w:rsidRPr="008D31EE">
        <w:rPr>
          <w:lang w:val="en-US"/>
        </w:rPr>
        <w:t>1.5 to 2 times the estimated bandwidth of the emission</w:t>
      </w:r>
    </w:p>
    <w:p w14:paraId="66719348" w14:textId="77777777" w:rsidR="00313E68" w:rsidRPr="008D31EE" w:rsidRDefault="00313E68" w:rsidP="00313E68">
      <w:pPr>
        <w:pStyle w:val="enumlev1"/>
        <w:rPr>
          <w:lang w:val="en-US" w:eastAsia="ko-KR"/>
        </w:rPr>
      </w:pPr>
      <w:r w:rsidRPr="008D31EE">
        <w:rPr>
          <w:lang w:val="en-US"/>
        </w:rPr>
        <w:t>–</w:t>
      </w:r>
      <w:r w:rsidRPr="008D31EE">
        <w:rPr>
          <w:lang w:val="en-US"/>
        </w:rPr>
        <w:tab/>
        <w:t>Resolution bandwidth (RBW):</w:t>
      </w:r>
      <w:r w:rsidRPr="008D31EE">
        <w:rPr>
          <w:lang w:val="en-US" w:eastAsia="ko-KR"/>
        </w:rPr>
        <w:t xml:space="preserve"> less than 3</w:t>
      </w:r>
      <w:r w:rsidRPr="008D31EE">
        <w:rPr>
          <w:lang w:val="en-US"/>
        </w:rPr>
        <w:t>% of the span</w:t>
      </w:r>
    </w:p>
    <w:p w14:paraId="2E2C1809" w14:textId="77777777" w:rsidR="00313E68" w:rsidRPr="008D31EE" w:rsidRDefault="00313E68" w:rsidP="00313E68">
      <w:pPr>
        <w:pStyle w:val="enumlev1"/>
        <w:rPr>
          <w:lang w:val="en-US" w:eastAsia="ko-KR"/>
        </w:rPr>
      </w:pPr>
      <w:r w:rsidRPr="008D31EE">
        <w:rPr>
          <w:lang w:val="en-US" w:eastAsia="ko-KR"/>
        </w:rPr>
        <w:t>–</w:t>
      </w:r>
      <w:r w:rsidRPr="008D31EE">
        <w:rPr>
          <w:lang w:val="en-US" w:eastAsia="ko-KR"/>
        </w:rPr>
        <w:tab/>
        <w:t>Video bandwidth (V</w:t>
      </w:r>
      <w:r w:rsidRPr="008D31EE">
        <w:rPr>
          <w:lang w:val="en-US"/>
        </w:rPr>
        <w:t>BW):</w:t>
      </w:r>
      <w:r w:rsidRPr="008D31EE">
        <w:rPr>
          <w:lang w:val="en-US" w:eastAsia="ko-KR"/>
        </w:rPr>
        <w:t xml:space="preserve"> 3 times RBW or more</w:t>
      </w:r>
    </w:p>
    <w:p w14:paraId="6CA2D3CE" w14:textId="77777777" w:rsidR="00313E68" w:rsidRPr="008D31EE" w:rsidRDefault="00313E68" w:rsidP="00313E68">
      <w:pPr>
        <w:pStyle w:val="enumlev1"/>
        <w:rPr>
          <w:lang w:val="en-US"/>
        </w:rPr>
      </w:pPr>
      <w:r w:rsidRPr="008D31EE">
        <w:rPr>
          <w:lang w:val="en-US"/>
        </w:rPr>
        <w:t>–</w:t>
      </w:r>
      <w:r w:rsidRPr="008D31EE">
        <w:rPr>
          <w:lang w:val="en-US"/>
        </w:rPr>
        <w:tab/>
        <w:t>Level/Attenuation:</w:t>
      </w:r>
      <w:r w:rsidRPr="008D31EE">
        <w:rPr>
          <w:lang w:val="en-US" w:eastAsia="ko-KR"/>
        </w:rPr>
        <w:t xml:space="preserve"> </w:t>
      </w:r>
      <w:r w:rsidRPr="008D31EE">
        <w:rPr>
          <w:lang w:val="en-US"/>
        </w:rPr>
        <w:t xml:space="preserve">adjusted so that the </w:t>
      </w:r>
      <w:r w:rsidRPr="008D31EE">
        <w:rPr>
          <w:i/>
          <w:iCs/>
          <w:lang w:val="en-US"/>
        </w:rPr>
        <w:t>S</w:t>
      </w:r>
      <w:r w:rsidRPr="008D31EE">
        <w:rPr>
          <w:lang w:val="en-US"/>
        </w:rPr>
        <w:t>/</w:t>
      </w:r>
      <w:r w:rsidRPr="008D31EE">
        <w:rPr>
          <w:i/>
          <w:iCs/>
          <w:lang w:val="en-US"/>
        </w:rPr>
        <w:t>N</w:t>
      </w:r>
      <w:r w:rsidRPr="008D31EE">
        <w:rPr>
          <w:lang w:val="en-US"/>
        </w:rPr>
        <w:t xml:space="preserve"> ratio is more than 30 dB</w:t>
      </w:r>
    </w:p>
    <w:p w14:paraId="3DA46B11" w14:textId="77777777" w:rsidR="00313E68" w:rsidRPr="008D31EE" w:rsidRDefault="00313E68" w:rsidP="00313E68">
      <w:pPr>
        <w:pStyle w:val="enumlev1"/>
        <w:rPr>
          <w:lang w:val="en-US" w:eastAsia="ko-KR"/>
        </w:rPr>
      </w:pPr>
      <w:r w:rsidRPr="008D31EE">
        <w:rPr>
          <w:lang w:val="en-US"/>
        </w:rPr>
        <w:t>–</w:t>
      </w:r>
      <w:r w:rsidRPr="008D31EE">
        <w:rPr>
          <w:lang w:val="en-US"/>
        </w:rPr>
        <w:tab/>
        <w:t>Detector:</w:t>
      </w:r>
      <w:r w:rsidRPr="008D31EE">
        <w:rPr>
          <w:lang w:val="en-US" w:eastAsia="ko-KR"/>
        </w:rPr>
        <w:t xml:space="preserve"> </w:t>
      </w:r>
      <w:r w:rsidRPr="008D31EE">
        <w:rPr>
          <w:lang w:val="en-US"/>
        </w:rPr>
        <w:t>peak</w:t>
      </w:r>
      <w:r w:rsidRPr="008D31EE">
        <w:rPr>
          <w:lang w:val="en-US" w:eastAsia="ko-KR"/>
        </w:rPr>
        <w:t xml:space="preserve"> or sample</w:t>
      </w:r>
    </w:p>
    <w:p w14:paraId="67AC2DEF" w14:textId="77777777" w:rsidR="00313E68" w:rsidRPr="008D31EE" w:rsidRDefault="00313E68" w:rsidP="00313E68">
      <w:pPr>
        <w:pStyle w:val="enumlev1"/>
        <w:rPr>
          <w:lang w:val="en-US"/>
        </w:rPr>
      </w:pPr>
      <w:r w:rsidRPr="008D31EE">
        <w:rPr>
          <w:lang w:val="en-US"/>
        </w:rPr>
        <w:t>–</w:t>
      </w:r>
      <w:r w:rsidRPr="008D31EE">
        <w:rPr>
          <w:lang w:val="en-US"/>
        </w:rPr>
        <w:tab/>
        <w:t>Sweep time</w:t>
      </w:r>
      <w:r w:rsidRPr="008D31EE">
        <w:rPr>
          <w:lang w:val="en-US" w:eastAsia="ko-KR"/>
        </w:rPr>
        <w:t xml:space="preserve"> or acquisition time</w:t>
      </w:r>
      <w:r w:rsidRPr="008D31EE">
        <w:rPr>
          <w:lang w:val="en-US"/>
        </w:rPr>
        <w:t>:</w:t>
      </w:r>
      <w:r w:rsidRPr="008D31EE">
        <w:rPr>
          <w:lang w:val="en-US" w:eastAsia="ko-KR"/>
        </w:rPr>
        <w:t xml:space="preserve"> </w:t>
      </w:r>
      <w:r w:rsidRPr="008D31EE">
        <w:rPr>
          <w:lang w:val="en-US"/>
        </w:rPr>
        <w:t>auto (for pulsed emissions long enough so that one pulse is recorded for every pixel on the screen)</w:t>
      </w:r>
    </w:p>
    <w:p w14:paraId="536B23F5" w14:textId="77777777" w:rsidR="00313E68" w:rsidRPr="008D31EE" w:rsidRDefault="00313E68" w:rsidP="00313E68">
      <w:pPr>
        <w:pStyle w:val="enumlev1"/>
        <w:rPr>
          <w:lang w:val="en-US"/>
        </w:rPr>
      </w:pPr>
      <w:r w:rsidRPr="008D31EE">
        <w:rPr>
          <w:lang w:val="en-US"/>
        </w:rPr>
        <w:t>–</w:t>
      </w:r>
      <w:r w:rsidRPr="008D31EE">
        <w:rPr>
          <w:lang w:val="en-US"/>
        </w:rPr>
        <w:tab/>
        <w:t>Trace:</w:t>
      </w:r>
      <w:r w:rsidRPr="008D31EE">
        <w:rPr>
          <w:lang w:val="en-US" w:eastAsia="ko-KR"/>
        </w:rPr>
        <w:t xml:space="preserve"> </w:t>
      </w:r>
      <w:r w:rsidRPr="008D31EE">
        <w:rPr>
          <w:lang w:val="en-US"/>
        </w:rPr>
        <w:t>MaxHold (for analogue modulation), ClearWrite (for digital modulation).</w:t>
      </w:r>
    </w:p>
    <w:p w14:paraId="504F4AB1" w14:textId="77777777" w:rsidR="00313E68" w:rsidRPr="008D31EE" w:rsidRDefault="00313E68" w:rsidP="009B7B6D">
      <w:pPr>
        <w:keepLines/>
        <w:rPr>
          <w:lang w:val="en-US"/>
        </w:rPr>
      </w:pPr>
      <w:r w:rsidRPr="008D31EE">
        <w:rPr>
          <w:lang w:val="en-US"/>
        </w:rPr>
        <w:t>In most digital systems, the occupied bandwidth is constant over time, because normally a data stream is transmitted with a constant symbol rate. In these cases, the momentary value of the calculated bandwidth will be relatively constant for each recorded trace. To smooth the results of different subsequent measurements, a longer sweep time can be set. This will make the reading of the result easier.</w:t>
      </w:r>
    </w:p>
    <w:p w14:paraId="0CF1363B" w14:textId="77777777" w:rsidR="00313E68" w:rsidRPr="008D31EE" w:rsidRDefault="00313E68" w:rsidP="00313E68">
      <w:pPr>
        <w:rPr>
          <w:lang w:val="en-US"/>
        </w:rPr>
      </w:pPr>
      <w:r w:rsidRPr="008D31EE">
        <w:rPr>
          <w:lang w:val="en-US"/>
        </w:rPr>
        <w:t>In analogue systems, especially when audio signals are transmitted (F3E, A3E, J3E), the momentary occupied bandwidth changes rapidly with the modulation. In these cases, monitoring stations are only interested in the maximum occupied bandwidth within a certain observation time (e.g. one hour). To get this result, the “MaxHold” function has to be applied.</w:t>
      </w:r>
    </w:p>
    <w:p w14:paraId="1CBA2551" w14:textId="77777777" w:rsidR="00313E68" w:rsidRPr="008D31EE" w:rsidRDefault="00313E68" w:rsidP="00313E68">
      <w:pPr>
        <w:rPr>
          <w:lang w:val="en-US"/>
        </w:rPr>
      </w:pPr>
      <w:r w:rsidRPr="008D31EE">
        <w:rPr>
          <w:lang w:val="en-US"/>
        </w:rPr>
        <w:t>After the trace has been recorded, the displayed spectrum is mathematically analysed to calculate the occupied bandwidth as follows:</w:t>
      </w:r>
    </w:p>
    <w:p w14:paraId="2C364A87" w14:textId="77777777" w:rsidR="00313E68" w:rsidRPr="008D31EE" w:rsidRDefault="00313E68" w:rsidP="00313E68">
      <w:pPr>
        <w:rPr>
          <w:lang w:val="en-US"/>
        </w:rPr>
      </w:pPr>
      <w:r w:rsidRPr="008D31EE">
        <w:rPr>
          <w:lang w:val="en-US"/>
        </w:rPr>
        <w:t>The spectral power (or level) of each frequency line of the stored trace is added throughout the adjusted span to give the 100% reference power. In a second calculation, starting from the lowest frequency recorded, the spectral power of each frequency line is again added up until the sum reaches 0.5% of the predetermined total power. At this point, a marker is set. The same calculation is then performed starting from the highest frequency recorded (the right edge of the display) until again 0.5% of the total power is reached and a second marker is set. The occupied bandwidth is the frequency difference between the two markers.</w:t>
      </w:r>
    </w:p>
    <w:p w14:paraId="39D5D610" w14:textId="77777777" w:rsidR="00313E68" w:rsidRPr="008D31EE" w:rsidRDefault="00313E68" w:rsidP="00313E68">
      <w:pPr>
        <w:pStyle w:val="Heading1"/>
        <w:rPr>
          <w:lang w:val="en-US"/>
        </w:rPr>
      </w:pPr>
      <w:bookmarkStart w:id="9" w:name="_Toc107985084"/>
      <w:r w:rsidRPr="008D31EE">
        <w:rPr>
          <w:lang w:val="en-US" w:eastAsia="ko-KR"/>
        </w:rPr>
        <w:t>4</w:t>
      </w:r>
      <w:r w:rsidRPr="008D31EE">
        <w:rPr>
          <w:lang w:val="en-US"/>
        </w:rPr>
        <w:tab/>
      </w:r>
      <w:r w:rsidRPr="008D31EE">
        <w:rPr>
          <w:lang w:val="en-US" w:eastAsia="ko-KR"/>
        </w:rPr>
        <w:t>M</w:t>
      </w:r>
      <w:r w:rsidRPr="008D31EE">
        <w:rPr>
          <w:lang w:val="en-US"/>
        </w:rPr>
        <w:t xml:space="preserve">easurement </w:t>
      </w:r>
      <w:r w:rsidRPr="008D31EE">
        <w:rPr>
          <w:lang w:val="en-US" w:eastAsia="ko-KR"/>
        </w:rPr>
        <w:t>conditions and accuracy</w:t>
      </w:r>
      <w:bookmarkEnd w:id="9"/>
    </w:p>
    <w:p w14:paraId="5B82066B" w14:textId="77777777" w:rsidR="00313E68" w:rsidRPr="008D31EE" w:rsidRDefault="00313E68" w:rsidP="00313E68">
      <w:pPr>
        <w:rPr>
          <w:lang w:val="en-US" w:eastAsia="ko-KR"/>
        </w:rPr>
      </w:pPr>
      <w:r w:rsidRPr="008D31EE">
        <w:rPr>
          <w:lang w:val="en-US"/>
        </w:rPr>
        <w:t>The relative accuracy depend</w:t>
      </w:r>
      <w:r w:rsidRPr="008D31EE">
        <w:rPr>
          <w:lang w:val="en-US" w:eastAsia="ko-KR"/>
        </w:rPr>
        <w:t>s</w:t>
      </w:r>
      <w:r w:rsidRPr="008D31EE">
        <w:rPr>
          <w:lang w:val="en-US"/>
        </w:rPr>
        <w:t xml:space="preserve"> on:</w:t>
      </w:r>
    </w:p>
    <w:p w14:paraId="263D1236" w14:textId="77777777" w:rsidR="00313E68" w:rsidRPr="008D31EE" w:rsidRDefault="00313E68" w:rsidP="00313E68">
      <w:pPr>
        <w:pStyle w:val="enumlev1"/>
        <w:rPr>
          <w:lang w:val="en-US"/>
        </w:rPr>
      </w:pPr>
      <w:r w:rsidRPr="008D31EE">
        <w:rPr>
          <w:lang w:val="en-US"/>
        </w:rPr>
        <w:t>–</w:t>
      </w:r>
      <w:r w:rsidRPr="008D31EE">
        <w:rPr>
          <w:lang w:val="en-US"/>
        </w:rPr>
        <w:tab/>
      </w:r>
      <w:r w:rsidRPr="008D31EE">
        <w:rPr>
          <w:i/>
          <w:iCs/>
          <w:lang w:val="en-US"/>
        </w:rPr>
        <w:t>The spectral shape of the signal</w:t>
      </w:r>
    </w:p>
    <w:p w14:paraId="0FF06535" w14:textId="77777777" w:rsidR="00313E68" w:rsidRPr="008D31EE" w:rsidRDefault="00313E68" w:rsidP="00313E68">
      <w:pPr>
        <w:pStyle w:val="enumlev1"/>
        <w:rPr>
          <w:lang w:val="en-US"/>
        </w:rPr>
      </w:pPr>
      <w:r w:rsidRPr="008D31EE">
        <w:rPr>
          <w:lang w:val="en-US"/>
        </w:rPr>
        <w:tab/>
        <w:t>When the signal raises and falls steeply towards the edges of the used channel, the accuracy is higher.</w:t>
      </w:r>
    </w:p>
    <w:p w14:paraId="14674F97" w14:textId="77777777" w:rsidR="00313E68" w:rsidRPr="008D31EE" w:rsidRDefault="00313E68" w:rsidP="00313E68">
      <w:pPr>
        <w:pStyle w:val="enumlev1"/>
        <w:rPr>
          <w:lang w:val="en-US"/>
        </w:rPr>
      </w:pPr>
      <w:r w:rsidRPr="008D31EE">
        <w:rPr>
          <w:lang w:val="en-US"/>
        </w:rPr>
        <w:t>–</w:t>
      </w:r>
      <w:r w:rsidRPr="008D31EE">
        <w:rPr>
          <w:lang w:val="en-US"/>
        </w:rPr>
        <w:tab/>
      </w:r>
      <w:r w:rsidRPr="008D31EE">
        <w:rPr>
          <w:i/>
          <w:iCs/>
          <w:lang w:val="en-US"/>
        </w:rPr>
        <w:t>The resolution bandwidth</w:t>
      </w:r>
    </w:p>
    <w:p w14:paraId="5A650335" w14:textId="77777777" w:rsidR="00313E68" w:rsidRPr="008D31EE" w:rsidRDefault="00313E68" w:rsidP="00313E68">
      <w:pPr>
        <w:pStyle w:val="enumlev1"/>
        <w:rPr>
          <w:lang w:val="en-US"/>
        </w:rPr>
      </w:pPr>
      <w:r w:rsidRPr="008D31EE">
        <w:rPr>
          <w:lang w:val="en-US"/>
        </w:rPr>
        <w:tab/>
        <w:t>Smaller RBW result in higher accuracy, because the bandwidth calculation is based on the graphical shape of the displayed trace which is always widened by the measurement filter.</w:t>
      </w:r>
    </w:p>
    <w:p w14:paraId="703900A9" w14:textId="77777777" w:rsidR="00313E68" w:rsidRPr="008D31EE" w:rsidRDefault="00313E68" w:rsidP="00313E68">
      <w:pPr>
        <w:pStyle w:val="enumlev1"/>
        <w:rPr>
          <w:lang w:val="en-US"/>
        </w:rPr>
      </w:pPr>
      <w:r w:rsidRPr="008D31EE">
        <w:rPr>
          <w:lang w:val="en-US"/>
        </w:rPr>
        <w:t>–</w:t>
      </w:r>
      <w:r w:rsidRPr="008D31EE">
        <w:rPr>
          <w:lang w:val="en-US"/>
        </w:rPr>
        <w:tab/>
      </w:r>
      <w:r w:rsidRPr="008D31EE">
        <w:rPr>
          <w:i/>
          <w:iCs/>
          <w:lang w:val="en-US"/>
        </w:rPr>
        <w:t>The frequency span</w:t>
      </w:r>
    </w:p>
    <w:p w14:paraId="55DB4FA0" w14:textId="77777777" w:rsidR="00313E68" w:rsidRPr="008D31EE" w:rsidRDefault="00313E68" w:rsidP="00313E68">
      <w:pPr>
        <w:pStyle w:val="enumlev1"/>
        <w:rPr>
          <w:lang w:val="en-US"/>
        </w:rPr>
      </w:pPr>
      <w:r w:rsidRPr="008D31EE">
        <w:rPr>
          <w:lang w:val="en-US"/>
        </w:rPr>
        <w:tab/>
        <w:t xml:space="preserve">If the frequency span is too wide, more and more noise will be included in the calculation process which results in less accuracy. However, the span has to be wide enough to include at least some spectral components below the 0.5% (or −26 dB) points. </w:t>
      </w:r>
    </w:p>
    <w:p w14:paraId="598A8D42" w14:textId="77777777" w:rsidR="00313E68" w:rsidRPr="008D31EE" w:rsidRDefault="00313E68" w:rsidP="00313E68">
      <w:pPr>
        <w:pStyle w:val="enumlev1"/>
        <w:rPr>
          <w:lang w:val="en-US"/>
        </w:rPr>
      </w:pPr>
      <w:r w:rsidRPr="008D31EE">
        <w:rPr>
          <w:lang w:val="en-US"/>
        </w:rPr>
        <w:t>–</w:t>
      </w:r>
      <w:r w:rsidRPr="008D31EE">
        <w:rPr>
          <w:lang w:val="en-US"/>
        </w:rPr>
        <w:tab/>
      </w:r>
      <w:r w:rsidRPr="008D31EE">
        <w:rPr>
          <w:i/>
          <w:iCs/>
          <w:lang w:val="en-US"/>
        </w:rPr>
        <w:t xml:space="preserve">The noise </w:t>
      </w:r>
      <w:r w:rsidRPr="008D31EE">
        <w:rPr>
          <w:i/>
          <w:iCs/>
          <w:lang w:val="en-US" w:eastAsia="ko-KR"/>
        </w:rPr>
        <w:t xml:space="preserve">and interference </w:t>
      </w:r>
      <w:r w:rsidRPr="008D31EE">
        <w:rPr>
          <w:i/>
          <w:iCs/>
          <w:lang w:val="en-US"/>
        </w:rPr>
        <w:t>level</w:t>
      </w:r>
    </w:p>
    <w:p w14:paraId="3359F88A" w14:textId="77777777" w:rsidR="00313E68" w:rsidRDefault="00313E68" w:rsidP="00313E68">
      <w:pPr>
        <w:pStyle w:val="enumlev1"/>
        <w:rPr>
          <w:lang w:val="en-US"/>
        </w:rPr>
      </w:pPr>
      <w:r w:rsidRPr="008D31EE">
        <w:rPr>
          <w:lang w:val="en-US"/>
        </w:rPr>
        <w:tab/>
        <w:t xml:space="preserve">Since noise </w:t>
      </w:r>
      <w:r w:rsidRPr="008D31EE">
        <w:rPr>
          <w:lang w:val="en-US" w:eastAsia="ko-KR"/>
        </w:rPr>
        <w:t xml:space="preserve">and interference </w:t>
      </w:r>
      <w:r w:rsidRPr="008D31EE">
        <w:rPr>
          <w:lang w:val="en-US"/>
        </w:rPr>
        <w:t xml:space="preserve">outside the used channel is included in the calculation process, a high </w:t>
      </w:r>
      <w:r w:rsidRPr="008D31EE">
        <w:rPr>
          <w:lang w:val="en-US" w:eastAsia="ko-KR"/>
        </w:rPr>
        <w:t xml:space="preserve">difference between useful signal and interference </w:t>
      </w:r>
      <w:r w:rsidRPr="008D31EE">
        <w:rPr>
          <w:lang w:val="en-US"/>
        </w:rPr>
        <w:t xml:space="preserve">will increase the accuracy. Therefore a minimum </w:t>
      </w:r>
      <w:r w:rsidRPr="008D31EE">
        <w:rPr>
          <w:lang w:val="en-US" w:eastAsia="ko-KR"/>
        </w:rPr>
        <w:t>adjacent channel power ratio (ACPR)</w:t>
      </w:r>
      <w:r w:rsidRPr="008D31EE">
        <w:rPr>
          <w:lang w:val="en-US"/>
        </w:rPr>
        <w:t xml:space="preserve"> </w:t>
      </w:r>
      <w:r w:rsidRPr="008D31EE">
        <w:rPr>
          <w:lang w:val="en-US" w:eastAsia="ko-KR"/>
        </w:rPr>
        <w:t xml:space="preserve">or minimum difference of the peak level and level of outmost frequencies </w:t>
      </w:r>
      <w:r w:rsidRPr="008D31EE">
        <w:rPr>
          <w:lang w:val="en-US"/>
        </w:rPr>
        <w:t>of 30 dB is recommended to ensure a measurement error of less than 10%</w:t>
      </w:r>
      <w:r w:rsidRPr="008D31EE">
        <w:rPr>
          <w:lang w:val="en-US" w:eastAsia="ko-KR"/>
        </w:rPr>
        <w:t xml:space="preserve"> (see Fig. 1 and Fig. 2)</w:t>
      </w:r>
      <w:r w:rsidRPr="008D31EE">
        <w:rPr>
          <w:lang w:val="en-US"/>
        </w:rPr>
        <w:t>.</w:t>
      </w:r>
    </w:p>
    <w:p w14:paraId="1DA09EA0" w14:textId="77777777" w:rsidR="00313E68" w:rsidRPr="008D31EE" w:rsidRDefault="00313E68" w:rsidP="00313E68">
      <w:pPr>
        <w:pStyle w:val="enumlev1"/>
        <w:rPr>
          <w:lang w:val="en-US"/>
        </w:rPr>
      </w:pPr>
      <w:r w:rsidRPr="008D31EE">
        <w:rPr>
          <w:lang w:val="en-US" w:eastAsia="ko-KR"/>
        </w:rPr>
        <w:t>–</w:t>
      </w:r>
      <w:r w:rsidRPr="008D31EE">
        <w:rPr>
          <w:lang w:val="en-US" w:eastAsia="ko-KR"/>
        </w:rPr>
        <w:tab/>
      </w:r>
      <w:r w:rsidRPr="008D31EE">
        <w:rPr>
          <w:i/>
          <w:iCs/>
          <w:lang w:val="en-US" w:eastAsia="ko-KR"/>
        </w:rPr>
        <w:t>Measurement trials</w:t>
      </w:r>
      <w:r w:rsidRPr="008D31EE">
        <w:rPr>
          <w:lang w:val="en-US"/>
        </w:rPr>
        <w:t xml:space="preserve"> </w:t>
      </w:r>
    </w:p>
    <w:p w14:paraId="35F22775" w14:textId="77777777" w:rsidR="00313E68" w:rsidRPr="008D31EE" w:rsidRDefault="00313E68" w:rsidP="00313E68">
      <w:pPr>
        <w:pStyle w:val="enumlev1"/>
        <w:rPr>
          <w:lang w:val="en-US" w:eastAsia="ko-KR"/>
        </w:rPr>
      </w:pPr>
      <w:r w:rsidRPr="008D31EE">
        <w:rPr>
          <w:lang w:val="en-US" w:eastAsia="ko-KR"/>
        </w:rPr>
        <w:tab/>
        <w:t>The fluctuation of digital signal due to the non-constant modulation signal can lead uncertainty on the measurement result. Therefore the measurement trials of at least 400</w:t>
      </w:r>
      <w:r w:rsidRPr="008D31EE">
        <w:rPr>
          <w:lang w:val="en-US"/>
        </w:rPr>
        <w:t> </w:t>
      </w:r>
      <w:r w:rsidRPr="008D31EE">
        <w:rPr>
          <w:lang w:val="en-US" w:eastAsia="ko-KR"/>
        </w:rPr>
        <w:t>times are recommended to obtain the average occupied bandwidth.</w:t>
      </w:r>
    </w:p>
    <w:p w14:paraId="25E08A59" w14:textId="77777777" w:rsidR="00313E68" w:rsidRPr="008D31EE" w:rsidRDefault="00313E68" w:rsidP="00313E68">
      <w:pPr>
        <w:rPr>
          <w:lang w:val="en-US"/>
        </w:rPr>
      </w:pPr>
      <w:r w:rsidRPr="008D31EE">
        <w:rPr>
          <w:lang w:val="en-US"/>
        </w:rPr>
        <w:t>Care should be taken that no interfering signal can be seen inside the recorded span because this would be treated as part of the wanted signal which may result in a high measurement error.</w:t>
      </w:r>
    </w:p>
    <w:p w14:paraId="32283FD1" w14:textId="77777777" w:rsidR="00313E68" w:rsidRPr="00D878D1" w:rsidRDefault="00313E68" w:rsidP="00313E68">
      <w:pPr>
        <w:pStyle w:val="FigureNo"/>
        <w:keepNext w:val="0"/>
        <w:rPr>
          <w:lang w:eastAsia="ko-KR"/>
        </w:rPr>
      </w:pPr>
      <w:r w:rsidRPr="00D878D1">
        <w:object w:dxaOrig="5441" w:dyaOrig="4237" w14:anchorId="675DA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pt;height:211.4pt" o:ole="" o:allowoverlap="f">
            <v:imagedata r:id="rId14" o:title=""/>
          </v:shape>
          <o:OLEObject Type="Embed" ProgID="CorelDRAW.Graphic.12" ShapeID="_x0000_i1025" DrawAspect="Content" ObjectID="_1648622881" r:id="rId15"/>
        </w:object>
      </w:r>
    </w:p>
    <w:p w14:paraId="4D24F357" w14:textId="77777777" w:rsidR="009B7B6D" w:rsidRDefault="009B7B6D" w:rsidP="009B7B6D"/>
    <w:p w14:paraId="1D983636" w14:textId="77777777" w:rsidR="00313E68" w:rsidRPr="00D878D1" w:rsidRDefault="00313E68" w:rsidP="00313E68">
      <w:pPr>
        <w:pStyle w:val="FigureNo"/>
        <w:keepNext w:val="0"/>
        <w:rPr>
          <w:lang w:eastAsia="ko-KR"/>
        </w:rPr>
      </w:pPr>
      <w:r w:rsidRPr="00D878D1">
        <w:object w:dxaOrig="6382" w:dyaOrig="4051" w14:anchorId="0FAA72A9">
          <v:shape id="_x0000_i1026" type="#_x0000_t75" style="width:318.8pt;height:202.7pt" o:ole="" o:allowoverlap="f">
            <v:imagedata r:id="rId16" o:title=""/>
          </v:shape>
          <o:OLEObject Type="Embed" ProgID="CorelDRAW.Graphic.12" ShapeID="_x0000_i1026" DrawAspect="Content" ObjectID="_1648622882" r:id="rId17"/>
        </w:object>
      </w:r>
      <w:r w:rsidR="00EE43FA">
        <w:rPr>
          <w:noProof/>
          <w:lang w:eastAsia="ko-KR"/>
        </w:rPr>
        <w:pict w14:anchorId="18FD6F13">
          <v:shapetype id="_x0000_t202" coordsize="21600,21600" o:spt="202" path="m,l,21600r21600,l21600,xe">
            <v:stroke joinstyle="miter"/>
            <v:path gradientshapeok="t" o:connecttype="rect"/>
          </v:shapetype>
          <v:shape id="_x0000_s1028" type="#_x0000_t202" style="position:absolute;left:0;text-align:left;margin-left:153.75pt;margin-top:117.8pt;width:15.6pt;height:7.4pt;z-index:251662336;mso-position-horizontal-relative:text;mso-position-vertical-relative:text" stroked="f">
            <v:textbox style="mso-next-textbox:#_x0000_s1028">
              <w:txbxContent>
                <w:p w14:paraId="4DEB24BE" w14:textId="77777777" w:rsidR="00313E68" w:rsidRDefault="00313E68" w:rsidP="00313E68"/>
              </w:txbxContent>
            </v:textbox>
          </v:shape>
        </w:pict>
      </w:r>
      <w:r w:rsidR="00EE43FA">
        <w:rPr>
          <w:noProof/>
          <w:lang w:eastAsia="ko-KR"/>
        </w:rPr>
        <w:pict w14:anchorId="4D9AEFC9">
          <v:shape id="_x0000_s1026" type="#_x0000_t202" style="position:absolute;left:0;text-align:left;margin-left:312.2pt;margin-top:113.25pt;width:15.6pt;height:7.4pt;z-index:251660288;mso-position-horizontal-relative:text;mso-position-vertical-relative:text" stroked="f">
            <v:textbox style="mso-next-textbox:#_x0000_s1026">
              <w:txbxContent>
                <w:p w14:paraId="3E620007" w14:textId="77777777" w:rsidR="00313E68" w:rsidRDefault="00313E68" w:rsidP="00313E68"/>
              </w:txbxContent>
            </v:textbox>
          </v:shape>
        </w:pict>
      </w:r>
      <w:r w:rsidR="00EE43FA">
        <w:rPr>
          <w:noProof/>
          <w:lang w:eastAsia="ko-KR"/>
        </w:rPr>
        <w:pict w14:anchorId="4BEDE196">
          <v:shape id="_x0000_s1027" type="#_x0000_t202" style="position:absolute;left:0;text-align:left;margin-left:235.45pt;margin-top:111.95pt;width:15.6pt;height:7.4pt;z-index:251661312;mso-position-horizontal-relative:text;mso-position-vertical-relative:text" stroked="f">
            <v:textbox style="mso-next-textbox:#_x0000_s1027">
              <w:txbxContent>
                <w:p w14:paraId="528EE2AC" w14:textId="77777777" w:rsidR="00313E68" w:rsidRDefault="00313E68" w:rsidP="00313E68"/>
              </w:txbxContent>
            </v:textbox>
          </v:shape>
        </w:pict>
      </w:r>
    </w:p>
    <w:p w14:paraId="736474C7" w14:textId="77777777" w:rsidR="00313E68" w:rsidRDefault="00313E68" w:rsidP="00313E68">
      <w:pPr>
        <w:rPr>
          <w:lang w:val="en-US" w:eastAsia="ko-KR"/>
        </w:rPr>
      </w:pPr>
    </w:p>
    <w:p w14:paraId="6FE0FB37" w14:textId="77777777" w:rsidR="009B7B6D" w:rsidRPr="008D31EE" w:rsidRDefault="009B7B6D" w:rsidP="009B7B6D">
      <w:pPr>
        <w:spacing w:before="0"/>
        <w:rPr>
          <w:lang w:val="en-US" w:eastAsia="ko-KR"/>
        </w:rPr>
      </w:pPr>
    </w:p>
    <w:p w14:paraId="25124FD0" w14:textId="77777777" w:rsidR="00313E68" w:rsidRDefault="00313E68" w:rsidP="00313E68">
      <w:pPr>
        <w:spacing w:before="0"/>
        <w:rPr>
          <w:lang w:val="en-US" w:eastAsia="ko-KR"/>
        </w:rPr>
      </w:pPr>
    </w:p>
    <w:p w14:paraId="4A8CA884" w14:textId="77777777" w:rsidR="00313E68" w:rsidRPr="008D31EE" w:rsidRDefault="00313E68" w:rsidP="00313E68">
      <w:pPr>
        <w:pStyle w:val="AnnexNoTitle"/>
        <w:rPr>
          <w:lang w:val="en-US"/>
        </w:rPr>
      </w:pPr>
      <w:bookmarkStart w:id="10" w:name="_Toc107985085"/>
      <w:r w:rsidRPr="008D31EE">
        <w:rPr>
          <w:lang w:val="en-US"/>
        </w:rPr>
        <w:t>Annex 2</w:t>
      </w:r>
      <w:r w:rsidRPr="008D31EE">
        <w:rPr>
          <w:lang w:val="en-US"/>
        </w:rPr>
        <w:br/>
      </w:r>
      <w:r w:rsidRPr="008D31EE">
        <w:rPr>
          <w:lang w:val="en-US"/>
        </w:rPr>
        <w:br/>
        <w:t xml:space="preserve">Measurement method of </w:t>
      </w:r>
      <w:r w:rsidRPr="008D31EE">
        <w:rPr>
          <w:i/>
          <w:iCs/>
          <w:lang w:val="en-US"/>
        </w:rPr>
        <w:t xml:space="preserve">x </w:t>
      </w:r>
      <w:r w:rsidRPr="008D31EE">
        <w:rPr>
          <w:lang w:val="en-US"/>
        </w:rPr>
        <w:t>dB bandwidth (</w:t>
      </w:r>
      <w:r w:rsidRPr="008D31EE">
        <w:rPr>
          <w:i/>
          <w:iCs/>
          <w:lang w:val="en-US"/>
        </w:rPr>
        <w:t xml:space="preserve">x </w:t>
      </w:r>
      <w:r w:rsidRPr="008D31EE">
        <w:rPr>
          <w:lang w:val="en-US"/>
        </w:rPr>
        <w:t>dB method)</w:t>
      </w:r>
      <w:bookmarkEnd w:id="10"/>
    </w:p>
    <w:p w14:paraId="1129B483" w14:textId="77777777" w:rsidR="00313E68" w:rsidRPr="008D31EE" w:rsidRDefault="00313E68" w:rsidP="00313E68">
      <w:pPr>
        <w:pStyle w:val="Heading1"/>
        <w:rPr>
          <w:lang w:val="en-US"/>
        </w:rPr>
      </w:pPr>
      <w:bookmarkStart w:id="11" w:name="_Toc107985086"/>
      <w:r w:rsidRPr="008D31EE">
        <w:rPr>
          <w:lang w:val="en-US"/>
        </w:rPr>
        <w:t>1</w:t>
      </w:r>
      <w:r w:rsidRPr="008D31EE">
        <w:rPr>
          <w:lang w:val="en-US"/>
        </w:rPr>
        <w:tab/>
        <w:t>Introduction</w:t>
      </w:r>
      <w:bookmarkEnd w:id="11"/>
    </w:p>
    <w:p w14:paraId="07FEAFEE" w14:textId="77777777" w:rsidR="00313E68" w:rsidRPr="008D31EE" w:rsidRDefault="00313E68" w:rsidP="008E1BA0">
      <w:pPr>
        <w:rPr>
          <w:lang w:val="en-US" w:eastAsia="ko-KR"/>
        </w:rPr>
      </w:pPr>
      <w:r w:rsidRPr="008D31EE">
        <w:rPr>
          <w:lang w:val="en-US" w:eastAsia="ko-KR"/>
        </w:rPr>
        <w:t xml:space="preserve">The </w:t>
      </w:r>
      <w:r w:rsidRPr="008D31EE">
        <w:rPr>
          <w:lang w:val="en-US"/>
        </w:rPr>
        <w:t>“</w:t>
      </w:r>
      <w:r w:rsidRPr="008D31EE">
        <w:rPr>
          <w:i/>
          <w:iCs/>
          <w:lang w:val="en-US"/>
        </w:rPr>
        <w:t xml:space="preserve">x </w:t>
      </w:r>
      <w:r w:rsidRPr="008D31EE">
        <w:rPr>
          <w:lang w:val="en-US"/>
        </w:rPr>
        <w:t>dB bandwidth” (Recommendation ITU</w:t>
      </w:r>
      <w:r w:rsidRPr="008D31EE">
        <w:rPr>
          <w:lang w:val="en-US"/>
        </w:rPr>
        <w:noBreakHyphen/>
        <w:t>R SM.328 (§ </w:t>
      </w:r>
      <w:r>
        <w:rPr>
          <w:lang w:val="en-US"/>
        </w:rPr>
        <w:t>1.8</w:t>
      </w:r>
      <w:r w:rsidRPr="008D31EE">
        <w:rPr>
          <w:lang w:val="en-US"/>
        </w:rPr>
        <w:t xml:space="preserve">)) is defined as the width of a frequency band such that beyond its lower and upper limits any discrete spectrum component or continuous spectral power density is at least </w:t>
      </w:r>
      <w:r w:rsidRPr="008D31EE">
        <w:rPr>
          <w:i/>
          <w:lang w:val="en-US"/>
        </w:rPr>
        <w:t xml:space="preserve">x </w:t>
      </w:r>
      <w:r w:rsidRPr="008D31EE">
        <w:rPr>
          <w:lang w:val="en-US"/>
        </w:rPr>
        <w:t>dB lower than a predetermined 0 dB reference level.</w:t>
      </w:r>
    </w:p>
    <w:p w14:paraId="50AFE2A0" w14:textId="77777777" w:rsidR="00313E68" w:rsidRPr="008D31EE" w:rsidRDefault="00313E68" w:rsidP="00313E68">
      <w:pPr>
        <w:rPr>
          <w:lang w:val="en-US" w:eastAsia="ko-KR"/>
        </w:rPr>
      </w:pPr>
      <w:r w:rsidRPr="008D31EE">
        <w:rPr>
          <w:lang w:val="en-US"/>
        </w:rPr>
        <w:t xml:space="preserve">In cases where it is specifically needed, for example to determine the border to the out-of-band domain of radar emissions, the </w:t>
      </w:r>
      <w:r w:rsidRPr="008D31EE">
        <w:rPr>
          <w:i/>
          <w:lang w:val="en-US" w:eastAsia="ko-KR"/>
        </w:rPr>
        <w:t xml:space="preserve">x </w:t>
      </w:r>
      <w:r w:rsidRPr="008D31EE">
        <w:rPr>
          <w:lang w:val="en-US"/>
        </w:rPr>
        <w:t>dB bandwidth can be measured using any spectrum analyser</w:t>
      </w:r>
      <w:r w:rsidRPr="008D31EE">
        <w:rPr>
          <w:lang w:val="en-US" w:eastAsia="ko-KR"/>
        </w:rPr>
        <w:t xml:space="preserve"> or </w:t>
      </w:r>
      <w:r w:rsidRPr="008D31EE">
        <w:rPr>
          <w:lang w:val="en-US"/>
        </w:rPr>
        <w:t>digital monitoring receiver.</w:t>
      </w:r>
      <w:r w:rsidRPr="008D31EE">
        <w:rPr>
          <w:lang w:val="en-US" w:eastAsia="ko-KR"/>
        </w:rPr>
        <w:t xml:space="preserve"> </w:t>
      </w:r>
    </w:p>
    <w:p w14:paraId="0695F190" w14:textId="77777777" w:rsidR="00313E68" w:rsidRPr="008D31EE" w:rsidRDefault="00313E68" w:rsidP="00313E68">
      <w:pPr>
        <w:rPr>
          <w:lang w:val="en-US" w:eastAsia="ko-KR"/>
        </w:rPr>
      </w:pPr>
      <w:r w:rsidRPr="008D31EE">
        <w:rPr>
          <w:lang w:val="en-US" w:eastAsia="ko-KR"/>
        </w:rPr>
        <w:t>Moreover i</w:t>
      </w:r>
      <w:r w:rsidRPr="008D31EE">
        <w:rPr>
          <w:lang w:val="en-US"/>
        </w:rPr>
        <w:t>n line with the requirements of item 2 of Recommendation ITU</w:t>
      </w:r>
      <w:r w:rsidRPr="008D31EE">
        <w:rPr>
          <w:lang w:val="en-US"/>
        </w:rPr>
        <w:noBreakHyphen/>
        <w:t xml:space="preserve">R SM.328 on an emission of a transmitter, optimum from the standpoint of spectrum efficiency, </w:t>
      </w:r>
      <w:r w:rsidRPr="008D31EE">
        <w:rPr>
          <w:i/>
          <w:lang w:val="en-US"/>
        </w:rPr>
        <w:t xml:space="preserve">x </w:t>
      </w:r>
      <w:r w:rsidRPr="008D31EE">
        <w:rPr>
          <w:lang w:val="en-US"/>
        </w:rPr>
        <w:t>dB bandwidth can be also related to the necessary bandwidth of the relevant class of emission given by Recommendation ITU</w:t>
      </w:r>
      <w:r w:rsidRPr="008D31EE">
        <w:rPr>
          <w:lang w:val="en-US"/>
        </w:rPr>
        <w:noBreakHyphen/>
        <w:t>R SM.1138, which is incorporated into the RR by reference.</w:t>
      </w:r>
      <w:r w:rsidRPr="008D31EE">
        <w:rPr>
          <w:lang w:val="en-US" w:eastAsia="ko-KR"/>
        </w:rPr>
        <w:t xml:space="preserve"> </w:t>
      </w:r>
    </w:p>
    <w:p w14:paraId="4160E832" w14:textId="77777777" w:rsidR="00313E68" w:rsidRPr="008D31EE" w:rsidRDefault="00313E68" w:rsidP="00313E68">
      <w:pPr>
        <w:pStyle w:val="Heading1"/>
        <w:rPr>
          <w:lang w:val="en-US"/>
        </w:rPr>
      </w:pPr>
      <w:bookmarkStart w:id="12" w:name="_Toc107985087"/>
      <w:r w:rsidRPr="008D31EE">
        <w:rPr>
          <w:lang w:val="en-US" w:eastAsia="ko-KR"/>
        </w:rPr>
        <w:t>2</w:t>
      </w:r>
      <w:r w:rsidRPr="008D31EE">
        <w:rPr>
          <w:lang w:val="en-US"/>
        </w:rPr>
        <w:tab/>
      </w:r>
      <w:r w:rsidRPr="008D31EE">
        <w:rPr>
          <w:lang w:val="en-US" w:eastAsia="ko-KR"/>
        </w:rPr>
        <w:t>M</w:t>
      </w:r>
      <w:r w:rsidRPr="008D31EE">
        <w:rPr>
          <w:lang w:val="en-US"/>
        </w:rPr>
        <w:t xml:space="preserve">easurement </w:t>
      </w:r>
      <w:r w:rsidRPr="008D31EE">
        <w:rPr>
          <w:lang w:val="en-US" w:eastAsia="ko-KR"/>
        </w:rPr>
        <w:t>procedure</w:t>
      </w:r>
      <w:bookmarkEnd w:id="12"/>
    </w:p>
    <w:p w14:paraId="3DB8998F" w14:textId="77777777" w:rsidR="00313E68" w:rsidRPr="008D31EE" w:rsidRDefault="00313E68" w:rsidP="00313E68">
      <w:pPr>
        <w:rPr>
          <w:lang w:val="en-US" w:eastAsia="ko-KR"/>
        </w:rPr>
      </w:pPr>
      <w:r w:rsidRPr="008D31EE">
        <w:rPr>
          <w:lang w:val="en-US"/>
        </w:rPr>
        <w:t xml:space="preserve">First, the 0 dB reference level has to be determined. This is usually the level of the highest spectral line when the spectrum is recorded with a narrow RBW on the analyser. Under the assumption that, during the recording time, the transmitter power returns to the carrier at least once, this level is equal to the total emitted power. However, in digitally modulated signals, this assumption can not be made. Although the 0 dB reference is still set to the level of the highest spectral line, it is not the total emitted power, which is the reason that the </w:t>
      </w:r>
      <w:r w:rsidRPr="008D31EE">
        <w:rPr>
          <w:i/>
          <w:lang w:val="en-US"/>
        </w:rPr>
        <w:t>x</w:t>
      </w:r>
      <w:r w:rsidRPr="008D31EE">
        <w:rPr>
          <w:lang w:val="en-US"/>
        </w:rPr>
        <w:t xml:space="preserve"> values, to gain comparable results, are different for analogue and digital emissions.</w:t>
      </w:r>
      <w:r w:rsidRPr="008D31EE">
        <w:rPr>
          <w:lang w:val="en-US" w:eastAsia="ko-KR"/>
        </w:rPr>
        <w:t xml:space="preserve"> </w:t>
      </w:r>
    </w:p>
    <w:p w14:paraId="6DE7E328" w14:textId="77777777" w:rsidR="00313E68" w:rsidRPr="008D31EE" w:rsidRDefault="00313E68" w:rsidP="00313E68">
      <w:pPr>
        <w:rPr>
          <w:lang w:val="en-US"/>
        </w:rPr>
      </w:pPr>
      <w:r w:rsidRPr="008D31EE">
        <w:rPr>
          <w:lang w:val="en-US"/>
        </w:rPr>
        <w:t>The spectrum analyser/digital receiver should be adjusted as follows:</w:t>
      </w:r>
    </w:p>
    <w:p w14:paraId="7402580F" w14:textId="77777777" w:rsidR="00313E68" w:rsidRPr="008D31EE" w:rsidRDefault="00313E68" w:rsidP="00313E68">
      <w:pPr>
        <w:pStyle w:val="enumlev1"/>
        <w:rPr>
          <w:lang w:val="en-US"/>
        </w:rPr>
      </w:pPr>
      <w:r w:rsidRPr="008D31EE">
        <w:rPr>
          <w:lang w:val="en-US"/>
        </w:rPr>
        <w:t>–</w:t>
      </w:r>
      <w:r w:rsidRPr="008D31EE">
        <w:rPr>
          <w:lang w:val="en-US"/>
        </w:rPr>
        <w:tab/>
        <w:t xml:space="preserve">Centre frequency: </w:t>
      </w:r>
      <w:r w:rsidRPr="008D31EE">
        <w:rPr>
          <w:i/>
          <w:lang w:val="en-US"/>
        </w:rPr>
        <w:t>f</w:t>
      </w:r>
      <w:r w:rsidRPr="008D31EE">
        <w:rPr>
          <w:vertAlign w:val="subscript"/>
          <w:lang w:val="en-US"/>
        </w:rPr>
        <w:t>0</w:t>
      </w:r>
      <w:r w:rsidRPr="008D31EE">
        <w:rPr>
          <w:lang w:val="en-US"/>
        </w:rPr>
        <w:t xml:space="preserve"> (carrier frequency o</w:t>
      </w:r>
      <w:r w:rsidRPr="008D31EE">
        <w:rPr>
          <w:lang w:val="en-US" w:eastAsia="ko-KR"/>
        </w:rPr>
        <w:t xml:space="preserve">r </w:t>
      </w:r>
      <w:r w:rsidRPr="008D31EE">
        <w:rPr>
          <w:lang w:val="en-US"/>
        </w:rPr>
        <w:t>estimated centre frequency of the emission)</w:t>
      </w:r>
    </w:p>
    <w:p w14:paraId="18F93242" w14:textId="77777777" w:rsidR="00313E68" w:rsidRPr="008D31EE" w:rsidRDefault="00313E68" w:rsidP="00313E68">
      <w:pPr>
        <w:pStyle w:val="enumlev1"/>
        <w:rPr>
          <w:lang w:val="en-US"/>
        </w:rPr>
      </w:pPr>
      <w:r w:rsidRPr="008D31EE">
        <w:rPr>
          <w:lang w:val="en-US"/>
        </w:rPr>
        <w:t>–</w:t>
      </w:r>
      <w:r w:rsidRPr="008D31EE">
        <w:rPr>
          <w:lang w:val="en-US"/>
        </w:rPr>
        <w:tab/>
        <w:t>Span: 1.5 times the estimated bandwidth of the emission</w:t>
      </w:r>
    </w:p>
    <w:p w14:paraId="2B09DCBA" w14:textId="77777777" w:rsidR="00313E68" w:rsidRPr="008D31EE" w:rsidRDefault="00313E68" w:rsidP="00313E68">
      <w:pPr>
        <w:pStyle w:val="enumlev1"/>
        <w:rPr>
          <w:lang w:val="en-US" w:eastAsia="ko-KR"/>
        </w:rPr>
      </w:pPr>
      <w:r w:rsidRPr="008D31EE">
        <w:rPr>
          <w:lang w:val="en-US"/>
        </w:rPr>
        <w:t>–</w:t>
      </w:r>
      <w:r w:rsidRPr="008D31EE">
        <w:rPr>
          <w:lang w:val="en-US"/>
        </w:rPr>
        <w:tab/>
        <w:t>RBW:</w:t>
      </w:r>
      <w:r w:rsidRPr="008D31EE">
        <w:rPr>
          <w:lang w:val="en-US" w:eastAsia="ko-KR"/>
        </w:rPr>
        <w:t xml:space="preserve"> less than 3</w:t>
      </w:r>
      <w:r w:rsidRPr="008D31EE">
        <w:rPr>
          <w:lang w:val="en-US"/>
        </w:rPr>
        <w:t>% of the span</w:t>
      </w:r>
    </w:p>
    <w:p w14:paraId="3465A1BD" w14:textId="77777777" w:rsidR="00313E68" w:rsidRPr="008D31EE" w:rsidRDefault="00313E68" w:rsidP="00313E68">
      <w:pPr>
        <w:pStyle w:val="enumlev1"/>
        <w:rPr>
          <w:lang w:val="en-US" w:eastAsia="ko-KR"/>
        </w:rPr>
      </w:pPr>
      <w:r w:rsidRPr="008D31EE">
        <w:rPr>
          <w:lang w:val="en-US" w:eastAsia="ko-KR"/>
        </w:rPr>
        <w:t>–</w:t>
      </w:r>
      <w:r w:rsidRPr="008D31EE">
        <w:rPr>
          <w:lang w:val="en-US" w:eastAsia="ko-KR"/>
        </w:rPr>
        <w:tab/>
        <w:t>V</w:t>
      </w:r>
      <w:r w:rsidRPr="008D31EE">
        <w:rPr>
          <w:lang w:val="en-US"/>
        </w:rPr>
        <w:t>BW:</w:t>
      </w:r>
      <w:r w:rsidRPr="008D31EE">
        <w:rPr>
          <w:lang w:val="en-US" w:eastAsia="ko-KR"/>
        </w:rPr>
        <w:t xml:space="preserve"> 3 times RBW or more</w:t>
      </w:r>
    </w:p>
    <w:p w14:paraId="39FAA527" w14:textId="77777777" w:rsidR="00313E68" w:rsidRPr="008D31EE" w:rsidRDefault="00313E68" w:rsidP="00313E68">
      <w:pPr>
        <w:pStyle w:val="enumlev1"/>
        <w:rPr>
          <w:lang w:val="en-US"/>
        </w:rPr>
      </w:pPr>
      <w:r w:rsidRPr="008D31EE">
        <w:rPr>
          <w:lang w:val="en-US"/>
        </w:rPr>
        <w:t>–</w:t>
      </w:r>
      <w:r w:rsidRPr="008D31EE">
        <w:rPr>
          <w:lang w:val="en-US"/>
        </w:rPr>
        <w:tab/>
        <w:t>Detector:</w:t>
      </w:r>
      <w:r w:rsidRPr="008D31EE">
        <w:rPr>
          <w:lang w:val="en-US" w:eastAsia="ko-KR"/>
        </w:rPr>
        <w:t xml:space="preserve"> </w:t>
      </w:r>
      <w:r w:rsidRPr="008D31EE">
        <w:rPr>
          <w:lang w:val="en-US"/>
        </w:rPr>
        <w:t>peak</w:t>
      </w:r>
    </w:p>
    <w:p w14:paraId="5F9EACAC" w14:textId="77777777" w:rsidR="00313E68" w:rsidRPr="008D31EE" w:rsidRDefault="00313E68" w:rsidP="00313E68">
      <w:pPr>
        <w:pStyle w:val="enumlev1"/>
        <w:rPr>
          <w:lang w:val="en-US" w:eastAsia="ko-KR"/>
        </w:rPr>
      </w:pPr>
      <w:r w:rsidRPr="008D31EE">
        <w:rPr>
          <w:lang w:val="en-US"/>
        </w:rPr>
        <w:t>–</w:t>
      </w:r>
      <w:r w:rsidRPr="008D31EE">
        <w:rPr>
          <w:lang w:val="en-US"/>
        </w:rPr>
        <w:tab/>
        <w:t>Trace:</w:t>
      </w:r>
      <w:r w:rsidRPr="008D31EE">
        <w:rPr>
          <w:lang w:val="en-US" w:eastAsia="ko-KR"/>
        </w:rPr>
        <w:t xml:space="preserve"> </w:t>
      </w:r>
      <w:r w:rsidRPr="008D31EE">
        <w:rPr>
          <w:lang w:val="en-US"/>
        </w:rPr>
        <w:t>MaxHold.</w:t>
      </w:r>
    </w:p>
    <w:p w14:paraId="655324B7" w14:textId="77777777" w:rsidR="00313E68" w:rsidRDefault="00313E68" w:rsidP="00313E68">
      <w:pPr>
        <w:rPr>
          <w:lang w:val="en-US"/>
        </w:rPr>
      </w:pPr>
      <w:r w:rsidRPr="008D31EE">
        <w:rPr>
          <w:lang w:val="en-US"/>
        </w:rPr>
        <w:t xml:space="preserve">When the trace has built up, the peak level is searched. The value </w:t>
      </w:r>
      <w:r w:rsidRPr="008D31EE">
        <w:rPr>
          <w:i/>
          <w:lang w:val="en-US"/>
        </w:rPr>
        <w:t xml:space="preserve">x </w:t>
      </w:r>
      <w:r w:rsidRPr="008D31EE">
        <w:rPr>
          <w:lang w:val="en-US"/>
        </w:rPr>
        <w:t xml:space="preserve">dB bandwidth is read on the equipment screen as the width of a frequency band such that beyond its lower and upper limits any discrete spectrum component is at least </w:t>
      </w:r>
      <w:r w:rsidRPr="008D31EE">
        <w:rPr>
          <w:i/>
          <w:lang w:val="en-US"/>
        </w:rPr>
        <w:t xml:space="preserve">x </w:t>
      </w:r>
      <w:r w:rsidRPr="008D31EE">
        <w:rPr>
          <w:lang w:val="en-US"/>
        </w:rPr>
        <w:t>dB lower than a predetermined 0 dB reference level.</w:t>
      </w:r>
      <w:r w:rsidRPr="008D31EE">
        <w:rPr>
          <w:lang w:val="en-US" w:eastAsia="ko-KR"/>
        </w:rPr>
        <w:t xml:space="preserve"> </w:t>
      </w:r>
      <w:r w:rsidRPr="008D31EE">
        <w:rPr>
          <w:lang w:val="en-US"/>
        </w:rPr>
        <w:t xml:space="preserve">If more than two spectral lines have this level, the outmost frequencies are taken. The frequency difference between the two markers is the </w:t>
      </w:r>
      <w:r w:rsidRPr="008D31EE">
        <w:rPr>
          <w:i/>
          <w:lang w:val="en-US"/>
        </w:rPr>
        <w:t xml:space="preserve">x </w:t>
      </w:r>
      <w:r w:rsidRPr="008D31EE">
        <w:rPr>
          <w:lang w:val="en-US"/>
        </w:rPr>
        <w:t>dB bandwidth.</w:t>
      </w:r>
    </w:p>
    <w:p w14:paraId="41B45F57" w14:textId="77777777" w:rsidR="00313E68" w:rsidRDefault="00313E68" w:rsidP="00313E68">
      <w:pPr>
        <w:rPr>
          <w:lang w:val="en-US"/>
        </w:rPr>
      </w:pPr>
    </w:p>
    <w:p w14:paraId="3FBA64CC" w14:textId="77777777" w:rsidR="00313E68" w:rsidRPr="008D31EE" w:rsidRDefault="00313E68" w:rsidP="00313E68">
      <w:pPr>
        <w:rPr>
          <w:lang w:val="en-US"/>
        </w:rPr>
      </w:pPr>
    </w:p>
    <w:p w14:paraId="6CB9B7EE" w14:textId="77777777" w:rsidR="00313E68" w:rsidRPr="00D878D1" w:rsidRDefault="00313E68" w:rsidP="00313E68">
      <w:pPr>
        <w:pStyle w:val="FigureNo"/>
        <w:keepNext w:val="0"/>
        <w:rPr>
          <w:lang w:eastAsia="ko-KR"/>
        </w:rPr>
      </w:pPr>
      <w:r w:rsidRPr="00D878D1">
        <w:object w:dxaOrig="5545" w:dyaOrig="3745" w14:anchorId="7FF42316">
          <v:shape id="_x0000_i1027" type="#_x0000_t75" style="width:277.6pt;height:186.85pt" o:ole="" o:allowoverlap="f">
            <v:imagedata r:id="rId18" o:title=""/>
          </v:shape>
          <o:OLEObject Type="Embed" ProgID="CorelDRAW.Graphic.12" ShapeID="_x0000_i1027" DrawAspect="Content" ObjectID="_1648622883" r:id="rId19"/>
        </w:object>
      </w:r>
    </w:p>
    <w:p w14:paraId="2BD20CCA" w14:textId="77777777" w:rsidR="00313E68" w:rsidRPr="008D31EE" w:rsidRDefault="00313E68" w:rsidP="00313E68">
      <w:pPr>
        <w:pStyle w:val="Heading1"/>
        <w:rPr>
          <w:lang w:val="en-US"/>
        </w:rPr>
      </w:pPr>
      <w:bookmarkStart w:id="13" w:name="_Toc107985088"/>
      <w:r w:rsidRPr="008D31EE">
        <w:rPr>
          <w:lang w:val="en-US" w:eastAsia="ko-KR"/>
        </w:rPr>
        <w:t>3</w:t>
      </w:r>
      <w:r w:rsidRPr="008D31EE">
        <w:rPr>
          <w:lang w:val="en-US"/>
        </w:rPr>
        <w:tab/>
      </w:r>
      <w:r w:rsidRPr="008D31EE">
        <w:rPr>
          <w:lang w:val="en-US" w:eastAsia="ko-KR"/>
        </w:rPr>
        <w:t>M</w:t>
      </w:r>
      <w:r w:rsidRPr="008D31EE">
        <w:rPr>
          <w:lang w:val="en-US"/>
        </w:rPr>
        <w:t xml:space="preserve">easurement </w:t>
      </w:r>
      <w:r w:rsidRPr="008D31EE">
        <w:rPr>
          <w:lang w:val="en-US" w:eastAsia="ko-KR"/>
        </w:rPr>
        <w:t>conditions and accuracy</w:t>
      </w:r>
      <w:bookmarkEnd w:id="13"/>
    </w:p>
    <w:p w14:paraId="34416771" w14:textId="77777777" w:rsidR="00313E68" w:rsidRPr="008D31EE" w:rsidRDefault="00313E68" w:rsidP="00313E68">
      <w:pPr>
        <w:keepNext/>
        <w:rPr>
          <w:lang w:val="en-US"/>
        </w:rPr>
      </w:pPr>
      <w:r w:rsidRPr="008D31EE">
        <w:rPr>
          <w:lang w:val="en-US"/>
        </w:rPr>
        <w:t xml:space="preserve">The accuracy of the </w:t>
      </w:r>
      <w:r w:rsidRPr="008D31EE">
        <w:rPr>
          <w:i/>
          <w:lang w:val="en-US"/>
        </w:rPr>
        <w:t>x</w:t>
      </w:r>
      <w:r w:rsidRPr="008D31EE">
        <w:rPr>
          <w:lang w:val="en-US"/>
        </w:rPr>
        <w:t xml:space="preserve"> dB method depends on:</w:t>
      </w:r>
    </w:p>
    <w:p w14:paraId="4C2A2D85" w14:textId="77777777" w:rsidR="00313E68" w:rsidRPr="008D31EE" w:rsidRDefault="00313E68" w:rsidP="00313E68">
      <w:pPr>
        <w:pStyle w:val="enumlev1"/>
        <w:rPr>
          <w:lang w:val="en-US" w:eastAsia="ko-KR"/>
        </w:rPr>
      </w:pPr>
      <w:r w:rsidRPr="008D31EE">
        <w:rPr>
          <w:lang w:val="en-US"/>
        </w:rPr>
        <w:t>–</w:t>
      </w:r>
      <w:r w:rsidRPr="008D31EE">
        <w:rPr>
          <w:lang w:val="en-US"/>
        </w:rPr>
        <w:tab/>
      </w:r>
      <w:r w:rsidRPr="008D31EE">
        <w:rPr>
          <w:i/>
          <w:iCs/>
          <w:lang w:val="en-US"/>
        </w:rPr>
        <w:t>The spectral shape of the signal</w:t>
      </w:r>
    </w:p>
    <w:p w14:paraId="09212E7F" w14:textId="77777777" w:rsidR="00313E68" w:rsidRPr="008D31EE" w:rsidRDefault="00313E68" w:rsidP="00313E68">
      <w:pPr>
        <w:pStyle w:val="enumlev1"/>
        <w:rPr>
          <w:lang w:val="en-US" w:eastAsia="ko-KR"/>
        </w:rPr>
      </w:pPr>
      <w:r w:rsidRPr="008D31EE">
        <w:rPr>
          <w:lang w:val="en-US"/>
        </w:rPr>
        <w:tab/>
        <w:t>When the signal raises and falls steeply towards the edges of the used channel, the accuracy is higher.</w:t>
      </w:r>
    </w:p>
    <w:p w14:paraId="5901762F" w14:textId="77777777" w:rsidR="00313E68" w:rsidRPr="008D31EE" w:rsidRDefault="00313E68" w:rsidP="00313E68">
      <w:pPr>
        <w:pStyle w:val="enumlev1"/>
        <w:keepNext/>
        <w:rPr>
          <w:lang w:val="en-US"/>
        </w:rPr>
      </w:pPr>
      <w:r w:rsidRPr="008D31EE">
        <w:rPr>
          <w:lang w:val="en-US"/>
        </w:rPr>
        <w:t>–</w:t>
      </w:r>
      <w:r w:rsidRPr="008D31EE">
        <w:rPr>
          <w:lang w:val="en-US"/>
        </w:rPr>
        <w:tab/>
      </w:r>
      <w:r w:rsidRPr="008D31EE">
        <w:rPr>
          <w:i/>
          <w:iCs/>
          <w:lang w:val="en-US"/>
        </w:rPr>
        <w:t>The resolution bandwidth</w:t>
      </w:r>
    </w:p>
    <w:p w14:paraId="281FBDD2" w14:textId="77777777" w:rsidR="00313E68" w:rsidRPr="008D31EE" w:rsidRDefault="00313E68" w:rsidP="00313E68">
      <w:pPr>
        <w:pStyle w:val="enumlev1"/>
        <w:rPr>
          <w:lang w:val="en-US" w:eastAsia="ko-KR"/>
        </w:rPr>
      </w:pPr>
      <w:r w:rsidRPr="008D31EE">
        <w:rPr>
          <w:lang w:val="en-US"/>
        </w:rPr>
        <w:tab/>
        <w:t>Smaller RBW result in higher accuracy, because the displayed shape of the signal is always widened by the measurement filter.</w:t>
      </w:r>
    </w:p>
    <w:p w14:paraId="64C1E579" w14:textId="77777777" w:rsidR="00313E68" w:rsidRPr="008D31EE" w:rsidRDefault="00313E68" w:rsidP="00313E68">
      <w:pPr>
        <w:pStyle w:val="enumlev1"/>
        <w:rPr>
          <w:lang w:val="en-US" w:eastAsia="ko-KR"/>
        </w:rPr>
      </w:pPr>
      <w:r w:rsidRPr="008D31EE">
        <w:rPr>
          <w:lang w:val="en-US"/>
        </w:rPr>
        <w:t>–</w:t>
      </w:r>
      <w:r w:rsidRPr="008D31EE">
        <w:rPr>
          <w:lang w:val="en-US"/>
        </w:rPr>
        <w:tab/>
      </w:r>
      <w:r w:rsidRPr="008D31EE">
        <w:rPr>
          <w:i/>
          <w:iCs/>
          <w:lang w:val="en-US"/>
        </w:rPr>
        <w:t>The frequency span</w:t>
      </w:r>
    </w:p>
    <w:p w14:paraId="7D8D3808" w14:textId="77777777" w:rsidR="00313E68" w:rsidRPr="008D31EE" w:rsidRDefault="00313E68" w:rsidP="00313E68">
      <w:pPr>
        <w:pStyle w:val="enumlev1"/>
        <w:rPr>
          <w:lang w:val="en-US" w:eastAsia="ko-KR"/>
        </w:rPr>
      </w:pPr>
      <w:r w:rsidRPr="008D31EE">
        <w:rPr>
          <w:lang w:val="en-US"/>
        </w:rPr>
        <w:tab/>
        <w:t>If the frequency span is too wide, less display lines are available to show the signal and set the markers. Less resolution increases the measurement uncertainty.</w:t>
      </w:r>
    </w:p>
    <w:p w14:paraId="2DAB8C62" w14:textId="77777777" w:rsidR="00313E68" w:rsidRPr="008D31EE" w:rsidRDefault="00313E68" w:rsidP="00313E68">
      <w:pPr>
        <w:pStyle w:val="enumlev1"/>
        <w:keepNext/>
        <w:rPr>
          <w:lang w:val="en-US" w:eastAsia="ko-KR"/>
        </w:rPr>
      </w:pPr>
      <w:r w:rsidRPr="008D31EE">
        <w:rPr>
          <w:lang w:val="en-US"/>
        </w:rPr>
        <w:t>–</w:t>
      </w:r>
      <w:r w:rsidRPr="008D31EE">
        <w:rPr>
          <w:lang w:val="en-US"/>
        </w:rPr>
        <w:tab/>
      </w:r>
      <w:r w:rsidRPr="008D31EE">
        <w:rPr>
          <w:i/>
          <w:iCs/>
          <w:lang w:val="en-US"/>
        </w:rPr>
        <w:t xml:space="preserve">The noise </w:t>
      </w:r>
      <w:r w:rsidRPr="008D31EE">
        <w:rPr>
          <w:i/>
          <w:iCs/>
          <w:lang w:val="en-US" w:eastAsia="ko-KR"/>
        </w:rPr>
        <w:t xml:space="preserve">and interference </w:t>
      </w:r>
      <w:r w:rsidRPr="008D31EE">
        <w:rPr>
          <w:i/>
          <w:iCs/>
          <w:lang w:val="en-US"/>
        </w:rPr>
        <w:t>level</w:t>
      </w:r>
    </w:p>
    <w:p w14:paraId="293560A6" w14:textId="77777777" w:rsidR="00313E68" w:rsidRPr="008D31EE" w:rsidRDefault="00313E68" w:rsidP="00313E68">
      <w:pPr>
        <w:pStyle w:val="enumlev1"/>
        <w:rPr>
          <w:lang w:val="en-US" w:eastAsia="ko-KR"/>
        </w:rPr>
      </w:pPr>
      <w:r w:rsidRPr="008D31EE">
        <w:rPr>
          <w:lang w:val="en-US"/>
        </w:rPr>
        <w:tab/>
        <w:t xml:space="preserve">The signal-to-noise ratio must be sufficient according to the analysed emission. </w:t>
      </w:r>
      <w:r w:rsidRPr="008D31EE">
        <w:rPr>
          <w:lang w:val="en-US" w:eastAsia="ko-KR"/>
        </w:rPr>
        <w:t>A</w:t>
      </w:r>
      <w:r w:rsidRPr="008D31EE">
        <w:rPr>
          <w:lang w:val="en-US"/>
        </w:rPr>
        <w:t xml:space="preserve"> minimum of </w:t>
      </w:r>
      <w:r w:rsidRPr="008D31EE">
        <w:rPr>
          <w:i/>
          <w:lang w:val="en-US"/>
        </w:rPr>
        <w:t>x</w:t>
      </w:r>
      <w:r w:rsidRPr="008D31EE">
        <w:rPr>
          <w:lang w:val="en-US"/>
        </w:rPr>
        <w:t> + </w:t>
      </w:r>
      <w:r w:rsidRPr="008D31EE">
        <w:rPr>
          <w:lang w:val="en-US" w:eastAsia="ko-KR"/>
        </w:rPr>
        <w:t>5</w:t>
      </w:r>
      <w:r w:rsidRPr="008D31EE">
        <w:rPr>
          <w:lang w:val="en-US"/>
        </w:rPr>
        <w:t> dB is recommended to ensure a measurement error of less than 10%.</w:t>
      </w:r>
      <w:r w:rsidRPr="008D31EE">
        <w:rPr>
          <w:lang w:val="en-US" w:eastAsia="ko-KR"/>
        </w:rPr>
        <w:t xml:space="preserve"> </w:t>
      </w:r>
      <w:r w:rsidRPr="008D31EE">
        <w:rPr>
          <w:lang w:val="en-US"/>
        </w:rPr>
        <w:t>One of the best ways, when the dynamic of the signal is not sufficient in the monitoring station, is to make the measurement with a mobile station which can go near the transmitter.</w:t>
      </w:r>
      <w:r w:rsidRPr="008D31EE">
        <w:rPr>
          <w:lang w:val="en-US" w:eastAsia="ko-KR"/>
        </w:rPr>
        <w:t xml:space="preserve"> </w:t>
      </w:r>
    </w:p>
    <w:p w14:paraId="7FC979FF" w14:textId="77777777" w:rsidR="00313E68" w:rsidRPr="008D31EE" w:rsidRDefault="00313E68" w:rsidP="00313E68">
      <w:pPr>
        <w:rPr>
          <w:lang w:val="en-US" w:eastAsia="ko-KR"/>
        </w:rPr>
      </w:pPr>
      <w:r w:rsidRPr="008D31EE">
        <w:rPr>
          <w:lang w:val="en-US"/>
        </w:rPr>
        <w:t xml:space="preserve">Interfering signals inside the displayed span can be tolerated and will not influence the result of a manual </w:t>
      </w:r>
      <w:r w:rsidRPr="008D31EE">
        <w:rPr>
          <w:i/>
          <w:lang w:val="en-US"/>
        </w:rPr>
        <w:t xml:space="preserve">x </w:t>
      </w:r>
      <w:r w:rsidRPr="008D31EE">
        <w:rPr>
          <w:lang w:val="en-US"/>
        </w:rPr>
        <w:t xml:space="preserve">dB measurement, if it is narrow compared to the bandwidth of the wanted signal, and if the interference frequency does not fall on one of the </w:t>
      </w:r>
      <w:r w:rsidRPr="008D31EE">
        <w:rPr>
          <w:i/>
          <w:lang w:val="en-US"/>
        </w:rPr>
        <w:t xml:space="preserve">x </w:t>
      </w:r>
      <w:r w:rsidRPr="008D31EE">
        <w:rPr>
          <w:lang w:val="en-US"/>
        </w:rPr>
        <w:t>dB points.</w:t>
      </w:r>
    </w:p>
    <w:p w14:paraId="6F5A2697" w14:textId="77777777" w:rsidR="00313E68" w:rsidRPr="008D31EE" w:rsidRDefault="00313E68" w:rsidP="00313E68">
      <w:pPr>
        <w:pStyle w:val="Heading1"/>
        <w:rPr>
          <w:color w:val="000000"/>
          <w:lang w:val="en-US"/>
        </w:rPr>
      </w:pPr>
      <w:bookmarkStart w:id="14" w:name="_Toc107985089"/>
      <w:r w:rsidRPr="008D31EE">
        <w:rPr>
          <w:lang w:val="en-US" w:eastAsia="ko-KR"/>
        </w:rPr>
        <w:t>4</w:t>
      </w:r>
      <w:r w:rsidRPr="008D31EE">
        <w:rPr>
          <w:lang w:val="en-US"/>
        </w:rPr>
        <w:tab/>
        <w:t xml:space="preserve">Measurement of </w:t>
      </w:r>
      <w:r w:rsidRPr="00D878D1">
        <w:rPr>
          <w:i/>
        </w:rPr>
        <w:t>х</w:t>
      </w:r>
      <w:r w:rsidRPr="008D31EE">
        <w:rPr>
          <w:i/>
          <w:lang w:val="en-US"/>
        </w:rPr>
        <w:t xml:space="preserve"> </w:t>
      </w:r>
      <w:r w:rsidRPr="008D31EE">
        <w:rPr>
          <w:lang w:val="en-US"/>
        </w:rPr>
        <w:t>dB bandwidths in conditions of influence of interferences</w:t>
      </w:r>
      <w:bookmarkEnd w:id="14"/>
    </w:p>
    <w:p w14:paraId="708771E7" w14:textId="77777777" w:rsidR="00313E68" w:rsidRDefault="00313E68" w:rsidP="00313E68">
      <w:pPr>
        <w:rPr>
          <w:bCs/>
          <w:i/>
          <w:iCs/>
          <w:lang w:val="en-US"/>
        </w:rPr>
      </w:pPr>
      <w:r w:rsidRPr="008D31EE">
        <w:rPr>
          <w:lang w:val="en-US"/>
        </w:rPr>
        <w:t xml:space="preserve">In some cases values of </w:t>
      </w:r>
      <w:r w:rsidRPr="00D878D1">
        <w:rPr>
          <w:i/>
        </w:rPr>
        <w:t>х</w:t>
      </w:r>
      <w:r w:rsidRPr="008D31EE">
        <w:rPr>
          <w:i/>
          <w:lang w:val="en-US"/>
        </w:rPr>
        <w:t xml:space="preserve"> </w:t>
      </w:r>
      <w:r w:rsidRPr="008D31EE">
        <w:rPr>
          <w:lang w:val="en-US"/>
        </w:rPr>
        <w:t xml:space="preserve">dB bandwidth can be measured or, at least, estimated in the presence of interferences whose levels exceed value of a measuring level </w:t>
      </w:r>
      <w:r w:rsidRPr="00D878D1">
        <w:rPr>
          <w:i/>
        </w:rPr>
        <w:t>х</w:t>
      </w:r>
      <w:r w:rsidRPr="008D31EE">
        <w:rPr>
          <w:i/>
          <w:lang w:val="en-US"/>
        </w:rPr>
        <w:t xml:space="preserve"> </w:t>
      </w:r>
      <w:r w:rsidRPr="008D31EE">
        <w:rPr>
          <w:lang w:val="en-US"/>
        </w:rPr>
        <w:t>dB. As it is shown in Fig. </w:t>
      </w:r>
      <w:r w:rsidRPr="008D31EE">
        <w:rPr>
          <w:lang w:val="en-US" w:eastAsia="ko-KR"/>
        </w:rPr>
        <w:t>4</w:t>
      </w:r>
      <w:r w:rsidRPr="008D31EE">
        <w:rPr>
          <w:lang w:val="en-US"/>
        </w:rPr>
        <w:t xml:space="preserve">, in the case when borders of </w:t>
      </w:r>
      <w:r w:rsidRPr="00D878D1">
        <w:rPr>
          <w:i/>
        </w:rPr>
        <w:t>х</w:t>
      </w:r>
      <w:r w:rsidRPr="008D31EE">
        <w:rPr>
          <w:i/>
          <w:lang w:val="en-US"/>
        </w:rPr>
        <w:t> </w:t>
      </w:r>
      <w:r w:rsidRPr="008D31EE">
        <w:rPr>
          <w:lang w:val="en-US"/>
        </w:rPr>
        <w:t xml:space="preserve">dB bandwidth from each edge of a spectrum of an emission under consideration are not masked by interferences (spectra 1 and 2), the bandwidth of this particular spectrum is measured, not taking into account spectra of interferences. In other words, in </w:t>
      </w:r>
      <w:r w:rsidRPr="008D31EE">
        <w:rPr>
          <w:lang w:val="en-US" w:eastAsia="ko-KR"/>
        </w:rPr>
        <w:t xml:space="preserve">the </w:t>
      </w:r>
      <w:r w:rsidRPr="008D31EE">
        <w:rPr>
          <w:lang w:val="en-US"/>
        </w:rPr>
        <w:t>case shown in</w:t>
      </w:r>
      <w:r w:rsidRPr="008D31EE">
        <w:rPr>
          <w:lang w:val="en-US" w:eastAsia="ko-KR"/>
        </w:rPr>
        <w:t xml:space="preserve"> Fig. 4</w:t>
      </w:r>
      <w:r w:rsidRPr="008D31EE">
        <w:rPr>
          <w:lang w:val="en-US"/>
        </w:rPr>
        <w:t xml:space="preserve">, </w:t>
      </w:r>
      <w:r w:rsidRPr="008D31EE">
        <w:rPr>
          <w:lang w:val="en-US" w:eastAsia="ko-KR"/>
        </w:rPr>
        <w:t xml:space="preserve">the </w:t>
      </w:r>
      <w:r w:rsidRPr="00D878D1">
        <w:rPr>
          <w:i/>
        </w:rPr>
        <w:t>х</w:t>
      </w:r>
      <w:r w:rsidRPr="008D31EE">
        <w:rPr>
          <w:i/>
          <w:lang w:val="en-US"/>
        </w:rPr>
        <w:t xml:space="preserve"> </w:t>
      </w:r>
      <w:r w:rsidRPr="008D31EE">
        <w:rPr>
          <w:lang w:val="en-US"/>
        </w:rPr>
        <w:t xml:space="preserve">dB bandwidth </w:t>
      </w:r>
      <w:r w:rsidRPr="00D878D1">
        <w:rPr>
          <w:bCs/>
          <w:i/>
          <w:iCs/>
        </w:rPr>
        <w:t>В</w:t>
      </w:r>
      <w:r w:rsidRPr="00D878D1">
        <w:rPr>
          <w:bCs/>
          <w:i/>
          <w:iCs/>
          <w:vertAlign w:val="subscript"/>
        </w:rPr>
        <w:t>ох</w:t>
      </w:r>
      <w:r w:rsidRPr="008D31EE">
        <w:rPr>
          <w:lang w:val="en-US"/>
        </w:rPr>
        <w:t xml:space="preserve"> </w:t>
      </w:r>
      <w:r w:rsidRPr="008D31EE">
        <w:rPr>
          <w:lang w:val="en-US" w:eastAsia="ko-KR"/>
        </w:rPr>
        <w:t>is</w:t>
      </w:r>
      <w:r w:rsidRPr="008D31EE">
        <w:rPr>
          <w:lang w:val="en-US"/>
        </w:rPr>
        <w:t xml:space="preserve"> equal </w:t>
      </w:r>
      <w:r w:rsidRPr="008D31EE">
        <w:rPr>
          <w:lang w:val="en-US" w:eastAsia="ko-KR"/>
        </w:rPr>
        <w:t xml:space="preserve">to </w:t>
      </w:r>
      <w:r w:rsidRPr="00D878D1">
        <w:rPr>
          <w:bCs/>
          <w:i/>
          <w:iCs/>
        </w:rPr>
        <w:t>В</w:t>
      </w:r>
      <w:r w:rsidRPr="008D31EE">
        <w:rPr>
          <w:bCs/>
          <w:i/>
          <w:iCs/>
          <w:vertAlign w:val="subscript"/>
          <w:lang w:val="en-US"/>
        </w:rPr>
        <w:t>m</w:t>
      </w:r>
      <w:r w:rsidRPr="008D31EE">
        <w:rPr>
          <w:bCs/>
          <w:lang w:val="en-US"/>
        </w:rPr>
        <w:t xml:space="preserve"> </w:t>
      </w:r>
      <w:r w:rsidRPr="008D31EE">
        <w:rPr>
          <w:lang w:val="en-US" w:eastAsia="ko-KR"/>
        </w:rPr>
        <w:t>and</w:t>
      </w:r>
      <w:r w:rsidRPr="008D31EE">
        <w:rPr>
          <w:lang w:val="en-US"/>
        </w:rPr>
        <w:t xml:space="preserve"> not </w:t>
      </w:r>
      <w:r w:rsidRPr="008D31EE">
        <w:rPr>
          <w:bCs/>
          <w:i/>
          <w:lang w:val="en-US"/>
        </w:rPr>
        <w:t>B</w:t>
      </w:r>
      <w:r w:rsidRPr="00D878D1">
        <w:rPr>
          <w:bCs/>
          <w:vertAlign w:val="subscript"/>
        </w:rPr>
        <w:t>Σ</w:t>
      </w:r>
      <w:r w:rsidRPr="008D31EE">
        <w:rPr>
          <w:bCs/>
          <w:i/>
          <w:iCs/>
          <w:lang w:val="en-US"/>
        </w:rPr>
        <w:t>.</w:t>
      </w:r>
    </w:p>
    <w:p w14:paraId="17299F49" w14:textId="77777777" w:rsidR="00313E68" w:rsidRPr="008D31EE" w:rsidRDefault="004F0F0B" w:rsidP="004F0F0B">
      <w:pPr>
        <w:rPr>
          <w:color w:val="000000"/>
          <w:lang w:val="en-US"/>
        </w:rPr>
      </w:pPr>
      <w:r w:rsidRPr="004F0F0B">
        <w:rPr>
          <w:lang w:val="en-US" w:eastAsia="ko-KR"/>
        </w:rPr>
        <w:t>In case of doubts whether spectra 1 and 2 belong to interferences, the interfering transmitters can be determined using a two-channel correlometer by a small value of mutual correlation factor between the signal corresponding to a spectrum of the emission under consideration and the signal of potential interference (§</w:t>
      </w:r>
      <w:r>
        <w:rPr>
          <w:lang w:val="en-US" w:eastAsia="ko-KR"/>
        </w:rPr>
        <w:t>§</w:t>
      </w:r>
      <w:r w:rsidRPr="004F0F0B">
        <w:rPr>
          <w:lang w:val="en-US" w:eastAsia="ko-KR"/>
        </w:rPr>
        <w:t> </w:t>
      </w:r>
      <w:r w:rsidRPr="004F0F0B">
        <w:rPr>
          <w:rFonts w:hint="eastAsia"/>
          <w:lang w:val="en-US" w:eastAsia="ko-KR"/>
        </w:rPr>
        <w:t xml:space="preserve">4.4.5.4, 4.8.5.5, 4.8.5.6) </w:t>
      </w:r>
      <w:r w:rsidRPr="004F0F0B">
        <w:rPr>
          <w:lang w:val="en-US" w:eastAsia="ko-KR"/>
        </w:rPr>
        <w:t>of the ITU Spectrum Monitoring Handbook (Edition 2011).</w:t>
      </w:r>
    </w:p>
    <w:p w14:paraId="32D06A71" w14:textId="77777777" w:rsidR="00313E68" w:rsidRPr="008D31EE" w:rsidRDefault="00313E68" w:rsidP="00313E68">
      <w:pPr>
        <w:rPr>
          <w:bCs/>
          <w:color w:val="000000"/>
          <w:lang w:val="en-US"/>
        </w:rPr>
      </w:pPr>
      <w:r w:rsidRPr="008D31EE">
        <w:rPr>
          <w:lang w:val="en-US"/>
        </w:rPr>
        <w:t xml:space="preserve">Even in case of masking of </w:t>
      </w:r>
      <w:r w:rsidRPr="008D31EE">
        <w:rPr>
          <w:lang w:val="en-US" w:eastAsia="ko-KR"/>
        </w:rPr>
        <w:t xml:space="preserve">one </w:t>
      </w:r>
      <w:r w:rsidRPr="00D878D1">
        <w:rPr>
          <w:i/>
        </w:rPr>
        <w:t>х</w:t>
      </w:r>
      <w:r w:rsidRPr="008D31EE">
        <w:rPr>
          <w:i/>
          <w:lang w:val="en-US"/>
        </w:rPr>
        <w:t xml:space="preserve"> </w:t>
      </w:r>
      <w:r w:rsidRPr="008D31EE">
        <w:rPr>
          <w:lang w:val="en-US"/>
        </w:rPr>
        <w:t>dB bandwidth border by an interfering spectrum as shown in Fig. </w:t>
      </w:r>
      <w:r w:rsidRPr="008D31EE">
        <w:rPr>
          <w:lang w:val="en-US" w:eastAsia="ko-KR"/>
        </w:rPr>
        <w:t>5</w:t>
      </w:r>
      <w:r w:rsidRPr="008D31EE">
        <w:rPr>
          <w:lang w:val="en-US"/>
        </w:rPr>
        <w:t xml:space="preserve"> (spectrum 3), </w:t>
      </w:r>
      <w:r w:rsidRPr="008D31EE">
        <w:rPr>
          <w:lang w:val="en-US" w:eastAsia="ko-KR"/>
        </w:rPr>
        <w:t xml:space="preserve">if the spectrum of wanted signal is symmetrical, like most cases, </w:t>
      </w:r>
      <w:r w:rsidRPr="008D31EE">
        <w:rPr>
          <w:lang w:val="en-US"/>
        </w:rPr>
        <w:t xml:space="preserve">the estimation </w:t>
      </w:r>
      <w:r w:rsidRPr="008D31EE">
        <w:rPr>
          <w:lang w:val="en-US" w:eastAsia="ko-KR"/>
        </w:rPr>
        <w:t xml:space="preserve">of </w:t>
      </w:r>
      <w:r w:rsidRPr="008D31EE">
        <w:rPr>
          <w:lang w:val="en-US"/>
        </w:rPr>
        <w:t xml:space="preserve">the bandwidth value can be carried out on </w:t>
      </w:r>
      <w:r w:rsidRPr="008D31EE">
        <w:rPr>
          <w:lang w:val="en-US" w:eastAsia="ko-KR"/>
        </w:rPr>
        <w:t xml:space="preserve">the basis of </w:t>
      </w:r>
      <w:r w:rsidRPr="008D31EE">
        <w:rPr>
          <w:lang w:val="en-US"/>
        </w:rPr>
        <w:t xml:space="preserve">half of spectrum </w:t>
      </w:r>
      <w:r w:rsidRPr="008D31EE">
        <w:rPr>
          <w:lang w:val="en-US" w:eastAsia="ko-KR"/>
        </w:rPr>
        <w:t>width</w:t>
      </w:r>
      <w:r w:rsidRPr="008D31EE">
        <w:rPr>
          <w:lang w:val="en-US"/>
        </w:rPr>
        <w:t xml:space="preserve">, i.e. </w:t>
      </w:r>
      <w:r w:rsidRPr="00D878D1">
        <w:rPr>
          <w:bCs/>
          <w:i/>
          <w:iCs/>
        </w:rPr>
        <w:t>В</w:t>
      </w:r>
      <w:r w:rsidRPr="00D878D1">
        <w:rPr>
          <w:bCs/>
          <w:i/>
          <w:iCs/>
          <w:vertAlign w:val="subscript"/>
        </w:rPr>
        <w:t>ох</w:t>
      </w:r>
      <w:r w:rsidRPr="008D31EE">
        <w:rPr>
          <w:lang w:val="en-US"/>
        </w:rPr>
        <w:t> </w:t>
      </w:r>
      <w:r w:rsidRPr="008D31EE">
        <w:rPr>
          <w:bCs/>
          <w:i/>
          <w:iCs/>
          <w:lang w:val="en-US"/>
        </w:rPr>
        <w:t>=</w:t>
      </w:r>
      <w:r w:rsidRPr="008D31EE">
        <w:rPr>
          <w:lang w:val="en-US"/>
        </w:rPr>
        <w:t> </w:t>
      </w:r>
      <w:r w:rsidRPr="008D31EE">
        <w:rPr>
          <w:bCs/>
          <w:lang w:val="en-US"/>
        </w:rPr>
        <w:t>2 </w:t>
      </w:r>
      <w:r w:rsidRPr="00D878D1">
        <w:rPr>
          <w:bCs/>
          <w:i/>
          <w:iCs/>
        </w:rPr>
        <w:t>В</w:t>
      </w:r>
      <w:r w:rsidRPr="008D31EE">
        <w:rPr>
          <w:bCs/>
          <w:i/>
          <w:iCs/>
          <w:vertAlign w:val="subscript"/>
          <w:lang w:val="en-US"/>
        </w:rPr>
        <w:t>k</w:t>
      </w:r>
      <w:r w:rsidRPr="008D31EE">
        <w:rPr>
          <w:bCs/>
          <w:lang w:val="en-US"/>
        </w:rPr>
        <w:t>.</w:t>
      </w:r>
    </w:p>
    <w:p w14:paraId="0090505D" w14:textId="77777777" w:rsidR="00313E68" w:rsidRPr="008D31EE" w:rsidRDefault="00313E68" w:rsidP="00313E68">
      <w:pPr>
        <w:rPr>
          <w:lang w:val="en-US" w:eastAsia="ko-KR"/>
        </w:rPr>
      </w:pPr>
      <w:r w:rsidRPr="008D31EE">
        <w:rPr>
          <w:lang w:val="en-US"/>
        </w:rPr>
        <w:t>It is natural that measurements in conditions of influence of interferences are burdened by greater errors, th</w:t>
      </w:r>
      <w:r w:rsidRPr="008D31EE">
        <w:rPr>
          <w:lang w:val="en-US" w:eastAsia="ko-KR"/>
        </w:rPr>
        <w:t>a</w:t>
      </w:r>
      <w:r w:rsidRPr="008D31EE">
        <w:rPr>
          <w:lang w:val="en-US"/>
        </w:rPr>
        <w:t>n measurements in the absence of interferences</w:t>
      </w:r>
      <w:r w:rsidRPr="008D31EE">
        <w:rPr>
          <w:lang w:val="en-US" w:eastAsia="ko-KR"/>
        </w:rPr>
        <w:t>.</w:t>
      </w:r>
      <w:r w:rsidRPr="008D31EE">
        <w:rPr>
          <w:lang w:val="en-US"/>
        </w:rPr>
        <w:t xml:space="preserve"> </w:t>
      </w:r>
      <w:r w:rsidRPr="008D31EE">
        <w:rPr>
          <w:lang w:val="en-US" w:eastAsia="ko-KR"/>
        </w:rPr>
        <w:t>H</w:t>
      </w:r>
      <w:r w:rsidRPr="008D31EE">
        <w:rPr>
          <w:lang w:val="en-US"/>
        </w:rPr>
        <w:t>owever, estimations obtained in some cases are quite suitable for practical applications.</w:t>
      </w:r>
    </w:p>
    <w:p w14:paraId="3B67B50F" w14:textId="77777777" w:rsidR="00313E68" w:rsidRPr="00D878D1" w:rsidRDefault="00313E68" w:rsidP="00313E68">
      <w:pPr>
        <w:pStyle w:val="FigureNo"/>
        <w:keepNext w:val="0"/>
        <w:rPr>
          <w:lang w:eastAsia="ko-KR"/>
        </w:rPr>
      </w:pPr>
      <w:r w:rsidRPr="00D878D1">
        <w:object w:dxaOrig="6277" w:dyaOrig="5253" w14:anchorId="53F2FCE6">
          <v:shape id="_x0000_i1028" type="#_x0000_t75" style="width:313.4pt;height:261.8pt" o:ole="" o:allowoverlap="f">
            <v:imagedata r:id="rId20" o:title=""/>
          </v:shape>
          <o:OLEObject Type="Embed" ProgID="CorelDRAW.Graphic.12" ShapeID="_x0000_i1028" DrawAspect="Content" ObjectID="_1648622884" r:id="rId21"/>
        </w:object>
      </w:r>
    </w:p>
    <w:p w14:paraId="1499DFE9" w14:textId="77777777" w:rsidR="00313E68" w:rsidRDefault="00313E68" w:rsidP="00313E68"/>
    <w:p w14:paraId="6E2FBC51" w14:textId="77777777" w:rsidR="00313E68" w:rsidRDefault="00313E68" w:rsidP="00313E68"/>
    <w:p w14:paraId="385864FD" w14:textId="77777777" w:rsidR="009B7B6D" w:rsidRDefault="009B7B6D" w:rsidP="00313E68"/>
    <w:p w14:paraId="3227179A" w14:textId="77777777" w:rsidR="00313E68" w:rsidRPr="00D878D1" w:rsidRDefault="00313E68" w:rsidP="00313E68">
      <w:pPr>
        <w:pStyle w:val="FigureNo"/>
        <w:keepNext w:val="0"/>
      </w:pPr>
      <w:r w:rsidRPr="00D878D1">
        <w:object w:dxaOrig="5675" w:dyaOrig="5431" w14:anchorId="2BDCF1C7">
          <v:shape id="_x0000_i1029" type="#_x0000_t75" style="width:283.4pt;height:271.35pt" o:ole="" o:allowoverlap="f">
            <v:imagedata r:id="rId22" o:title=""/>
          </v:shape>
          <o:OLEObject Type="Embed" ProgID="CorelDRAW.Graphic.12" ShapeID="_x0000_i1029" DrawAspect="Content" ObjectID="_1648622885" r:id="rId23"/>
        </w:object>
      </w:r>
    </w:p>
    <w:p w14:paraId="20C132AF" w14:textId="77777777" w:rsidR="00313E68" w:rsidRPr="008D31EE" w:rsidRDefault="00313E68" w:rsidP="00313E68">
      <w:pPr>
        <w:rPr>
          <w:lang w:val="en-US"/>
        </w:rPr>
      </w:pPr>
    </w:p>
    <w:p w14:paraId="2EC21ED8" w14:textId="77777777" w:rsidR="00313E68" w:rsidRPr="008D31EE" w:rsidRDefault="00313E68" w:rsidP="00313E68">
      <w:pPr>
        <w:rPr>
          <w:lang w:val="en-US"/>
        </w:rPr>
      </w:pPr>
    </w:p>
    <w:p w14:paraId="682611F1" w14:textId="77777777" w:rsidR="00313E68" w:rsidRPr="008D31EE" w:rsidRDefault="00313E68" w:rsidP="00313E68">
      <w:pPr>
        <w:pStyle w:val="AnnexNoTitle"/>
        <w:rPr>
          <w:lang w:val="en-US"/>
        </w:rPr>
      </w:pPr>
      <w:bookmarkStart w:id="15" w:name="_Toc107985090"/>
      <w:r w:rsidRPr="008D31EE">
        <w:rPr>
          <w:lang w:val="en-US"/>
        </w:rPr>
        <w:t>Annex 3</w:t>
      </w:r>
      <w:r w:rsidRPr="008D31EE">
        <w:rPr>
          <w:lang w:val="en-US"/>
        </w:rPr>
        <w:br/>
      </w:r>
      <w:r w:rsidRPr="008D31EE">
        <w:rPr>
          <w:lang w:val="en-US"/>
        </w:rPr>
        <w:br/>
        <w:t xml:space="preserve">Estimation of the occupied bandwidth using the </w:t>
      </w:r>
      <w:r w:rsidRPr="008D31EE">
        <w:rPr>
          <w:i/>
          <w:iCs/>
          <w:lang w:val="en-US"/>
        </w:rPr>
        <w:t xml:space="preserve">x </w:t>
      </w:r>
      <w:r w:rsidRPr="008D31EE">
        <w:rPr>
          <w:lang w:val="en-US"/>
        </w:rPr>
        <w:t>dB method</w:t>
      </w:r>
      <w:bookmarkEnd w:id="15"/>
    </w:p>
    <w:p w14:paraId="178B43B6" w14:textId="77777777" w:rsidR="00313E68" w:rsidRPr="008D31EE" w:rsidRDefault="00313E68" w:rsidP="00313E68">
      <w:pPr>
        <w:pStyle w:val="Heading1"/>
        <w:rPr>
          <w:lang w:val="en-US"/>
        </w:rPr>
      </w:pPr>
      <w:bookmarkStart w:id="16" w:name="_Toc107985091"/>
      <w:r w:rsidRPr="008D31EE">
        <w:rPr>
          <w:lang w:val="en-US"/>
        </w:rPr>
        <w:t>1</w:t>
      </w:r>
      <w:r w:rsidRPr="008D31EE">
        <w:rPr>
          <w:lang w:val="en-US"/>
        </w:rPr>
        <w:tab/>
        <w:t>Introduction</w:t>
      </w:r>
      <w:bookmarkEnd w:id="16"/>
    </w:p>
    <w:p w14:paraId="54B16BF1" w14:textId="77777777" w:rsidR="00313E68" w:rsidRPr="008D31EE" w:rsidRDefault="00313E68" w:rsidP="00313E68">
      <w:pPr>
        <w:rPr>
          <w:lang w:val="en-US"/>
        </w:rPr>
      </w:pPr>
      <w:r w:rsidRPr="008D31EE">
        <w:rPr>
          <w:lang w:val="en-US"/>
        </w:rPr>
        <w:t xml:space="preserve">In the following situations, the </w:t>
      </w:r>
      <w:r w:rsidRPr="00D878D1">
        <w:t>β</w:t>
      </w:r>
      <w:r w:rsidRPr="008D31EE">
        <w:rPr>
          <w:lang w:val="en-US"/>
        </w:rPr>
        <w:t>% method can not be applied to directly measure the occupied bandwidth:</w:t>
      </w:r>
    </w:p>
    <w:p w14:paraId="3586D9B0" w14:textId="77777777" w:rsidR="00313E68" w:rsidRPr="008D31EE" w:rsidRDefault="00313E68" w:rsidP="00313E68">
      <w:pPr>
        <w:pStyle w:val="enumlev1"/>
        <w:rPr>
          <w:lang w:val="en-US"/>
        </w:rPr>
      </w:pPr>
      <w:r w:rsidRPr="008D31EE">
        <w:rPr>
          <w:lang w:val="en-US"/>
        </w:rPr>
        <w:t>–</w:t>
      </w:r>
      <w:r w:rsidRPr="008D31EE">
        <w:rPr>
          <w:lang w:val="en-US"/>
        </w:rPr>
        <w:tab/>
        <w:t>in-band interference at levels that are higher than the level of the wanted signal;</w:t>
      </w:r>
    </w:p>
    <w:p w14:paraId="115A0650" w14:textId="77777777" w:rsidR="00313E68" w:rsidRPr="008D31EE" w:rsidRDefault="00313E68" w:rsidP="00313E68">
      <w:pPr>
        <w:pStyle w:val="enumlev1"/>
        <w:rPr>
          <w:lang w:val="en-US"/>
        </w:rPr>
      </w:pPr>
      <w:r w:rsidRPr="008D31EE">
        <w:rPr>
          <w:lang w:val="en-US"/>
        </w:rPr>
        <w:t>–</w:t>
      </w:r>
      <w:r w:rsidRPr="008D31EE">
        <w:rPr>
          <w:lang w:val="en-US"/>
        </w:rPr>
        <w:tab/>
        <w:t xml:space="preserve">suitable equipment capable of employing the </w:t>
      </w:r>
      <w:r w:rsidRPr="00D878D1">
        <w:t>β</w:t>
      </w:r>
      <w:r w:rsidRPr="008D31EE">
        <w:rPr>
          <w:lang w:val="en-US"/>
        </w:rPr>
        <w:t>% method is not available.</w:t>
      </w:r>
    </w:p>
    <w:p w14:paraId="45B0E894" w14:textId="77777777" w:rsidR="00313E68" w:rsidRPr="008D31EE" w:rsidRDefault="00313E68" w:rsidP="00313E68">
      <w:pPr>
        <w:rPr>
          <w:lang w:val="en-US"/>
        </w:rPr>
      </w:pPr>
      <w:r w:rsidRPr="008D31EE">
        <w:rPr>
          <w:lang w:val="en-US"/>
        </w:rPr>
        <w:t xml:space="preserve">In these cases, the </w:t>
      </w:r>
      <w:r w:rsidRPr="008D31EE">
        <w:rPr>
          <w:i/>
          <w:iCs/>
          <w:lang w:val="en-US"/>
        </w:rPr>
        <w:t>x </w:t>
      </w:r>
      <w:r w:rsidRPr="008D31EE">
        <w:rPr>
          <w:lang w:val="en-US"/>
        </w:rPr>
        <w:t>dB method described in Annex 2 can be used to estimate the occupied bandwidth.</w:t>
      </w:r>
    </w:p>
    <w:p w14:paraId="2ED7547A" w14:textId="77777777" w:rsidR="00313E68" w:rsidRPr="008D31EE" w:rsidRDefault="00313E68" w:rsidP="00313E68">
      <w:pPr>
        <w:rPr>
          <w:lang w:val="en-US"/>
        </w:rPr>
      </w:pPr>
      <w:r w:rsidRPr="008D31EE">
        <w:rPr>
          <w:lang w:val="en-US"/>
        </w:rPr>
        <w:t xml:space="preserve">To give the occupied bandwidth as a result of the </w:t>
      </w:r>
      <w:r w:rsidRPr="008D31EE">
        <w:rPr>
          <w:i/>
          <w:iCs/>
          <w:lang w:val="en-US"/>
        </w:rPr>
        <w:t xml:space="preserve">x </w:t>
      </w:r>
      <w:r w:rsidRPr="008D31EE">
        <w:rPr>
          <w:lang w:val="en-US"/>
        </w:rPr>
        <w:t xml:space="preserve">dB method, the values for the 0 dB reference level and for </w:t>
      </w:r>
      <w:r w:rsidRPr="008D31EE">
        <w:rPr>
          <w:i/>
          <w:iCs/>
          <w:lang w:val="en-US"/>
        </w:rPr>
        <w:t>x</w:t>
      </w:r>
      <w:r w:rsidRPr="008D31EE">
        <w:rPr>
          <w:lang w:val="en-US"/>
        </w:rPr>
        <w:t xml:space="preserve"> have to be selected properly. </w:t>
      </w:r>
    </w:p>
    <w:p w14:paraId="15D09694" w14:textId="77777777" w:rsidR="00313E68" w:rsidRPr="008D31EE" w:rsidRDefault="00313E68" w:rsidP="00313E68">
      <w:pPr>
        <w:rPr>
          <w:lang w:val="en-US"/>
        </w:rPr>
      </w:pPr>
      <w:r w:rsidRPr="008D31EE">
        <w:rPr>
          <w:lang w:val="en-US"/>
        </w:rPr>
        <w:t>Generally, there are two different approaches to compare the measured bandwidth with the necessary or occupied bandwidth:</w:t>
      </w:r>
    </w:p>
    <w:p w14:paraId="7E2D5F76" w14:textId="77777777" w:rsidR="00313E68" w:rsidRPr="008D31EE" w:rsidRDefault="00313E68" w:rsidP="00313E68">
      <w:pPr>
        <w:pStyle w:val="enumlev1"/>
        <w:rPr>
          <w:lang w:val="en-US"/>
        </w:rPr>
      </w:pPr>
      <w:r w:rsidRPr="008D31EE">
        <w:rPr>
          <w:lang w:val="en-US"/>
        </w:rPr>
        <w:t>–</w:t>
      </w:r>
      <w:r w:rsidRPr="008D31EE">
        <w:rPr>
          <w:lang w:val="en-US"/>
        </w:rPr>
        <w:tab/>
        <w:t>Always measure the –26 dB bandwidth and apply a conversion factor.</w:t>
      </w:r>
    </w:p>
    <w:p w14:paraId="2DB43ECF" w14:textId="77777777" w:rsidR="00313E68" w:rsidRPr="008D31EE" w:rsidRDefault="00313E68" w:rsidP="00313E68">
      <w:pPr>
        <w:pStyle w:val="enumlev1"/>
        <w:rPr>
          <w:lang w:val="en-US"/>
        </w:rPr>
      </w:pPr>
      <w:r w:rsidRPr="008D31EE">
        <w:rPr>
          <w:lang w:val="en-US"/>
        </w:rPr>
        <w:t>–</w:t>
      </w:r>
      <w:r w:rsidRPr="008D31EE">
        <w:rPr>
          <w:lang w:val="en-US"/>
        </w:rPr>
        <w:tab/>
        <w:t xml:space="preserve">Measure the signal at specific values of </w:t>
      </w:r>
      <w:r w:rsidRPr="008D31EE">
        <w:rPr>
          <w:i/>
          <w:lang w:val="en-US"/>
        </w:rPr>
        <w:t>x</w:t>
      </w:r>
      <w:r w:rsidRPr="008D31EE">
        <w:rPr>
          <w:iCs/>
          <w:lang w:val="en-US"/>
        </w:rPr>
        <w:t xml:space="preserve"> dB</w:t>
      </w:r>
      <w:r w:rsidRPr="008D31EE">
        <w:rPr>
          <w:lang w:val="en-US"/>
        </w:rPr>
        <w:t xml:space="preserve"> that are different for each class of emission.</w:t>
      </w:r>
    </w:p>
    <w:p w14:paraId="76DA584C" w14:textId="77777777" w:rsidR="00313E68" w:rsidRPr="008D31EE" w:rsidRDefault="00313E68" w:rsidP="00313E68">
      <w:pPr>
        <w:pStyle w:val="Heading1"/>
        <w:rPr>
          <w:lang w:val="en-US"/>
        </w:rPr>
      </w:pPr>
      <w:bookmarkStart w:id="17" w:name="_Toc107985092"/>
      <w:r w:rsidRPr="008D31EE">
        <w:rPr>
          <w:lang w:val="en-US"/>
        </w:rPr>
        <w:t>2</w:t>
      </w:r>
      <w:r w:rsidRPr="008D31EE">
        <w:rPr>
          <w:lang w:val="en-US"/>
        </w:rPr>
        <w:tab/>
        <w:t>Estimation of occupied bandwidth from the –26 dB bandwidth</w:t>
      </w:r>
      <w:bookmarkEnd w:id="17"/>
    </w:p>
    <w:p w14:paraId="317A584B" w14:textId="77777777" w:rsidR="00313E68" w:rsidRDefault="00313E68" w:rsidP="00313E68">
      <w:pPr>
        <w:rPr>
          <w:lang w:val="en-US"/>
        </w:rPr>
      </w:pPr>
      <w:r w:rsidRPr="008D31EE">
        <w:rPr>
          <w:lang w:val="en-US"/>
        </w:rPr>
        <w:t xml:space="preserve">With this method, the bandwidth is always measured at the –26 dB points following the procedure in Annex 2. The conversion factors between 26 dB bandwidth </w:t>
      </w:r>
      <w:r w:rsidRPr="008D31EE">
        <w:rPr>
          <w:i/>
          <w:lang w:val="en-US"/>
        </w:rPr>
        <w:t>B</w:t>
      </w:r>
      <w:r w:rsidRPr="008D31EE">
        <w:rPr>
          <w:rFonts w:ascii="Tms Rmn" w:hAnsi="Tms Rmn"/>
          <w:sz w:val="8"/>
          <w:lang w:val="en-US"/>
        </w:rPr>
        <w:t> </w:t>
      </w:r>
      <w:r w:rsidRPr="008D31EE">
        <w:rPr>
          <w:vertAlign w:val="subscript"/>
          <w:lang w:val="en-US"/>
        </w:rPr>
        <w:t>26</w:t>
      </w:r>
      <w:r w:rsidRPr="008D31EE">
        <w:rPr>
          <w:lang w:val="en-US"/>
        </w:rPr>
        <w:t xml:space="preserve"> and necessary bandwidth </w:t>
      </w:r>
      <w:r w:rsidRPr="008D31EE">
        <w:rPr>
          <w:i/>
          <w:lang w:val="en-US"/>
        </w:rPr>
        <w:t>B</w:t>
      </w:r>
      <w:r w:rsidRPr="008D31EE">
        <w:rPr>
          <w:i/>
          <w:vertAlign w:val="subscript"/>
          <w:lang w:val="en-US"/>
        </w:rPr>
        <w:t>n</w:t>
      </w:r>
      <w:r w:rsidRPr="008D31EE">
        <w:rPr>
          <w:lang w:val="en-US"/>
        </w:rPr>
        <w:t xml:space="preserve"> in Table 1 should be used for estimation of occupied or necessary bandwidth.</w:t>
      </w:r>
    </w:p>
    <w:p w14:paraId="3D99F250" w14:textId="77777777" w:rsidR="00313E68" w:rsidRPr="008D31EE" w:rsidRDefault="00313E68" w:rsidP="00313E68">
      <w:pPr>
        <w:rPr>
          <w:lang w:val="en-US"/>
        </w:rPr>
      </w:pPr>
    </w:p>
    <w:p w14:paraId="55F1C253" w14:textId="77777777" w:rsidR="00313E68" w:rsidRPr="00D878D1" w:rsidRDefault="00313E68" w:rsidP="00313E68">
      <w:pPr>
        <w:pStyle w:val="TableNo"/>
      </w:pPr>
      <w:r w:rsidRPr="00D878D1">
        <w:t>TABLE 1</w:t>
      </w:r>
    </w:p>
    <w:tbl>
      <w:tblPr>
        <w:tblW w:w="0" w:type="auto"/>
        <w:jc w:val="center"/>
        <w:tblLayout w:type="fixed"/>
        <w:tblLook w:val="0000" w:firstRow="0" w:lastRow="0" w:firstColumn="0" w:lastColumn="0" w:noHBand="0" w:noVBand="0"/>
      </w:tblPr>
      <w:tblGrid>
        <w:gridCol w:w="3969"/>
        <w:gridCol w:w="3969"/>
      </w:tblGrid>
      <w:tr w:rsidR="00313E68" w:rsidRPr="00EE43FA" w14:paraId="73A96BF6" w14:textId="77777777" w:rsidTr="00083B92">
        <w:trPr>
          <w:cantSplit/>
          <w:jc w:val="center"/>
        </w:trPr>
        <w:tc>
          <w:tcPr>
            <w:tcW w:w="3969" w:type="dxa"/>
            <w:tcBorders>
              <w:top w:val="single" w:sz="6" w:space="0" w:color="auto"/>
              <w:left w:val="single" w:sz="6" w:space="0" w:color="auto"/>
              <w:bottom w:val="single" w:sz="6" w:space="0" w:color="auto"/>
              <w:right w:val="single" w:sz="6" w:space="0" w:color="auto"/>
            </w:tcBorders>
          </w:tcPr>
          <w:p w14:paraId="36B8CD22" w14:textId="77777777" w:rsidR="00313E68" w:rsidRPr="00D878D1" w:rsidRDefault="00313E68" w:rsidP="00083B92">
            <w:pPr>
              <w:pStyle w:val="Tablehead"/>
            </w:pPr>
            <w:r w:rsidRPr="00D878D1">
              <w:t>Class of emission</w:t>
            </w:r>
          </w:p>
        </w:tc>
        <w:tc>
          <w:tcPr>
            <w:tcW w:w="3969" w:type="dxa"/>
            <w:tcBorders>
              <w:top w:val="single" w:sz="6" w:space="0" w:color="auto"/>
              <w:left w:val="single" w:sz="6" w:space="0" w:color="auto"/>
              <w:bottom w:val="single" w:sz="6" w:space="0" w:color="auto"/>
              <w:right w:val="single" w:sz="6" w:space="0" w:color="auto"/>
            </w:tcBorders>
          </w:tcPr>
          <w:p w14:paraId="6AA2692A" w14:textId="77777777" w:rsidR="00313E68" w:rsidRPr="008D31EE" w:rsidRDefault="00313E68" w:rsidP="00083B92">
            <w:pPr>
              <w:pStyle w:val="Tablehead"/>
              <w:rPr>
                <w:lang w:val="en-US"/>
              </w:rPr>
            </w:pPr>
            <w:r w:rsidRPr="008D31EE">
              <w:rPr>
                <w:lang w:val="en-US"/>
              </w:rPr>
              <w:t xml:space="preserve">Relationship between </w:t>
            </w:r>
            <w:r w:rsidRPr="008D31EE">
              <w:rPr>
                <w:i/>
                <w:lang w:val="en-US"/>
              </w:rPr>
              <w:t>B</w:t>
            </w:r>
            <w:r w:rsidRPr="008D31EE">
              <w:rPr>
                <w:vertAlign w:val="subscript"/>
                <w:lang w:val="en-US"/>
              </w:rPr>
              <w:t>26</w:t>
            </w:r>
            <w:r w:rsidRPr="008D31EE">
              <w:rPr>
                <w:lang w:val="en-US"/>
              </w:rPr>
              <w:t xml:space="preserve"> and </w:t>
            </w:r>
            <w:r w:rsidRPr="008D31EE">
              <w:rPr>
                <w:i/>
                <w:lang w:val="en-US"/>
              </w:rPr>
              <w:t>B</w:t>
            </w:r>
            <w:r w:rsidRPr="008D31EE">
              <w:rPr>
                <w:i/>
                <w:vertAlign w:val="subscript"/>
                <w:lang w:val="en-US"/>
              </w:rPr>
              <w:t>n</w:t>
            </w:r>
          </w:p>
        </w:tc>
      </w:tr>
      <w:tr w:rsidR="00313E68" w:rsidRPr="00D878D1" w14:paraId="6BBD917A" w14:textId="77777777" w:rsidTr="00083B92">
        <w:trPr>
          <w:cantSplit/>
          <w:jc w:val="center"/>
        </w:trPr>
        <w:tc>
          <w:tcPr>
            <w:tcW w:w="3969" w:type="dxa"/>
            <w:tcBorders>
              <w:top w:val="single" w:sz="6" w:space="0" w:color="auto"/>
              <w:left w:val="single" w:sz="6" w:space="0" w:color="auto"/>
              <w:bottom w:val="single" w:sz="6" w:space="0" w:color="auto"/>
              <w:right w:val="single" w:sz="6" w:space="0" w:color="auto"/>
            </w:tcBorders>
          </w:tcPr>
          <w:p w14:paraId="459FB84C" w14:textId="77777777" w:rsidR="00313E68" w:rsidRPr="00D878D1" w:rsidRDefault="00313E68" w:rsidP="00083B92">
            <w:pPr>
              <w:pStyle w:val="Tabletext"/>
            </w:pPr>
            <w:r w:rsidRPr="00D878D1">
              <w:t>A1A, A1B, A2A, A2B</w:t>
            </w:r>
          </w:p>
        </w:tc>
        <w:tc>
          <w:tcPr>
            <w:tcW w:w="3969" w:type="dxa"/>
            <w:tcBorders>
              <w:top w:val="single" w:sz="6" w:space="0" w:color="auto"/>
              <w:left w:val="single" w:sz="6" w:space="0" w:color="auto"/>
              <w:bottom w:val="single" w:sz="6" w:space="0" w:color="auto"/>
              <w:right w:val="single" w:sz="6" w:space="0" w:color="auto"/>
            </w:tcBorders>
          </w:tcPr>
          <w:p w14:paraId="1B6E263C" w14:textId="77777777" w:rsidR="00313E68" w:rsidRPr="00D878D1" w:rsidRDefault="00313E68" w:rsidP="00083B92">
            <w:pPr>
              <w:pStyle w:val="Tabletext"/>
            </w:pPr>
            <w:r w:rsidRPr="00D878D1">
              <w:rPr>
                <w:i/>
                <w:iCs/>
              </w:rPr>
              <w:t>B</w:t>
            </w:r>
            <w:r w:rsidRPr="00D878D1">
              <w:rPr>
                <w:vertAlign w:val="subscript"/>
              </w:rPr>
              <w:t>26</w:t>
            </w:r>
            <w:r w:rsidRPr="00D878D1">
              <w:t xml:space="preserve"> = 0.9 </w:t>
            </w:r>
            <w:r w:rsidRPr="00D878D1">
              <w:rPr>
                <w:i/>
                <w:iCs/>
              </w:rPr>
              <w:t>B</w:t>
            </w:r>
            <w:r w:rsidRPr="00D878D1">
              <w:rPr>
                <w:i/>
                <w:iCs/>
                <w:vertAlign w:val="subscript"/>
              </w:rPr>
              <w:t>n</w:t>
            </w:r>
          </w:p>
        </w:tc>
      </w:tr>
      <w:tr w:rsidR="00313E68" w:rsidRPr="00D878D1" w14:paraId="4C74691C" w14:textId="77777777" w:rsidTr="00083B92">
        <w:trPr>
          <w:cantSplit/>
          <w:jc w:val="center"/>
        </w:trPr>
        <w:tc>
          <w:tcPr>
            <w:tcW w:w="3969" w:type="dxa"/>
            <w:tcBorders>
              <w:top w:val="single" w:sz="6" w:space="0" w:color="auto"/>
              <w:left w:val="single" w:sz="6" w:space="0" w:color="auto"/>
              <w:bottom w:val="single" w:sz="6" w:space="0" w:color="auto"/>
              <w:right w:val="single" w:sz="6" w:space="0" w:color="auto"/>
            </w:tcBorders>
          </w:tcPr>
          <w:p w14:paraId="6282F2AC" w14:textId="77777777" w:rsidR="00313E68" w:rsidRPr="00D878D1" w:rsidRDefault="00313E68" w:rsidP="00083B92">
            <w:pPr>
              <w:pStyle w:val="Tabletext"/>
            </w:pPr>
            <w:r w:rsidRPr="00D878D1">
              <w:t>F1B</w:t>
            </w:r>
          </w:p>
        </w:tc>
        <w:tc>
          <w:tcPr>
            <w:tcW w:w="3969" w:type="dxa"/>
            <w:tcBorders>
              <w:top w:val="single" w:sz="6" w:space="0" w:color="auto"/>
              <w:left w:val="single" w:sz="6" w:space="0" w:color="auto"/>
              <w:bottom w:val="single" w:sz="6" w:space="0" w:color="auto"/>
              <w:right w:val="single" w:sz="6" w:space="0" w:color="auto"/>
            </w:tcBorders>
          </w:tcPr>
          <w:p w14:paraId="54A4AC57" w14:textId="77777777" w:rsidR="00313E68" w:rsidRPr="00D878D1" w:rsidRDefault="00313E68" w:rsidP="00083B92">
            <w:pPr>
              <w:pStyle w:val="Tabletext"/>
            </w:pPr>
            <w:r w:rsidRPr="00D878D1">
              <w:rPr>
                <w:i/>
                <w:iCs/>
              </w:rPr>
              <w:t>B</w:t>
            </w:r>
            <w:r w:rsidRPr="00D878D1">
              <w:rPr>
                <w:vertAlign w:val="subscript"/>
              </w:rPr>
              <w:t>26</w:t>
            </w:r>
            <w:r w:rsidRPr="00D878D1">
              <w:t xml:space="preserve"> = </w:t>
            </w:r>
            <w:r w:rsidRPr="00D878D1">
              <w:rPr>
                <w:i/>
                <w:iCs/>
              </w:rPr>
              <w:t>B</w:t>
            </w:r>
            <w:r w:rsidRPr="00D878D1">
              <w:rPr>
                <w:i/>
                <w:iCs/>
                <w:vertAlign w:val="subscript"/>
              </w:rPr>
              <w:t>n</w:t>
            </w:r>
          </w:p>
        </w:tc>
      </w:tr>
      <w:tr w:rsidR="00313E68" w:rsidRPr="00D878D1" w14:paraId="6B6E92FB" w14:textId="77777777" w:rsidTr="00083B92">
        <w:trPr>
          <w:cantSplit/>
          <w:jc w:val="center"/>
        </w:trPr>
        <w:tc>
          <w:tcPr>
            <w:tcW w:w="3969" w:type="dxa"/>
            <w:tcBorders>
              <w:top w:val="single" w:sz="6" w:space="0" w:color="auto"/>
              <w:left w:val="single" w:sz="6" w:space="0" w:color="auto"/>
              <w:bottom w:val="single" w:sz="6" w:space="0" w:color="auto"/>
              <w:right w:val="single" w:sz="6" w:space="0" w:color="auto"/>
            </w:tcBorders>
          </w:tcPr>
          <w:p w14:paraId="28F13968" w14:textId="77777777" w:rsidR="00313E68" w:rsidRPr="00D878D1" w:rsidRDefault="00313E68" w:rsidP="00083B92">
            <w:pPr>
              <w:pStyle w:val="Tabletext"/>
            </w:pPr>
            <w:r w:rsidRPr="00D878D1">
              <w:t>F3C</w:t>
            </w:r>
          </w:p>
        </w:tc>
        <w:tc>
          <w:tcPr>
            <w:tcW w:w="3969" w:type="dxa"/>
            <w:tcBorders>
              <w:top w:val="single" w:sz="6" w:space="0" w:color="auto"/>
              <w:left w:val="single" w:sz="6" w:space="0" w:color="auto"/>
              <w:bottom w:val="single" w:sz="6" w:space="0" w:color="auto"/>
              <w:right w:val="single" w:sz="6" w:space="0" w:color="auto"/>
            </w:tcBorders>
          </w:tcPr>
          <w:p w14:paraId="49340347" w14:textId="77777777" w:rsidR="00313E68" w:rsidRPr="00D878D1" w:rsidRDefault="00313E68" w:rsidP="00083B92">
            <w:pPr>
              <w:pStyle w:val="Tabletext"/>
            </w:pPr>
            <w:r w:rsidRPr="00D878D1">
              <w:rPr>
                <w:i/>
                <w:iCs/>
              </w:rPr>
              <w:t>B</w:t>
            </w:r>
            <w:r w:rsidRPr="00D878D1">
              <w:rPr>
                <w:vertAlign w:val="subscript"/>
              </w:rPr>
              <w:t>26</w:t>
            </w:r>
            <w:r w:rsidRPr="00D878D1">
              <w:t xml:space="preserve"> = </w:t>
            </w:r>
            <w:r w:rsidRPr="00D878D1">
              <w:rPr>
                <w:i/>
                <w:iCs/>
              </w:rPr>
              <w:t>B</w:t>
            </w:r>
            <w:r w:rsidRPr="00D878D1">
              <w:rPr>
                <w:i/>
                <w:iCs/>
                <w:vertAlign w:val="subscript"/>
              </w:rPr>
              <w:t>n</w:t>
            </w:r>
          </w:p>
        </w:tc>
      </w:tr>
      <w:tr w:rsidR="00313E68" w:rsidRPr="00D878D1" w14:paraId="246BCE4E" w14:textId="77777777" w:rsidTr="00083B92">
        <w:trPr>
          <w:cantSplit/>
          <w:jc w:val="center"/>
        </w:trPr>
        <w:tc>
          <w:tcPr>
            <w:tcW w:w="3969" w:type="dxa"/>
            <w:tcBorders>
              <w:top w:val="single" w:sz="6" w:space="0" w:color="auto"/>
              <w:left w:val="single" w:sz="6" w:space="0" w:color="auto"/>
              <w:bottom w:val="single" w:sz="6" w:space="0" w:color="auto"/>
              <w:right w:val="single" w:sz="6" w:space="0" w:color="auto"/>
            </w:tcBorders>
          </w:tcPr>
          <w:p w14:paraId="0C099F5F" w14:textId="77777777" w:rsidR="00313E68" w:rsidRPr="00D878D1" w:rsidRDefault="00313E68" w:rsidP="00083B92">
            <w:pPr>
              <w:pStyle w:val="Tabletext"/>
            </w:pPr>
            <w:r w:rsidRPr="00D878D1">
              <w:t>F7BDX</w:t>
            </w:r>
          </w:p>
        </w:tc>
        <w:tc>
          <w:tcPr>
            <w:tcW w:w="3969" w:type="dxa"/>
            <w:tcBorders>
              <w:top w:val="single" w:sz="6" w:space="0" w:color="auto"/>
              <w:left w:val="single" w:sz="6" w:space="0" w:color="auto"/>
              <w:bottom w:val="single" w:sz="6" w:space="0" w:color="auto"/>
              <w:right w:val="single" w:sz="6" w:space="0" w:color="auto"/>
            </w:tcBorders>
          </w:tcPr>
          <w:p w14:paraId="6833C079" w14:textId="77777777" w:rsidR="00313E68" w:rsidRPr="00D878D1" w:rsidRDefault="00313E68" w:rsidP="00083B92">
            <w:pPr>
              <w:pStyle w:val="Tabletext"/>
            </w:pPr>
            <w:r w:rsidRPr="00D878D1">
              <w:rPr>
                <w:i/>
                <w:iCs/>
              </w:rPr>
              <w:t>B</w:t>
            </w:r>
            <w:r w:rsidRPr="00D878D1">
              <w:rPr>
                <w:vertAlign w:val="subscript"/>
              </w:rPr>
              <w:t>26</w:t>
            </w:r>
            <w:r w:rsidRPr="00D878D1">
              <w:t xml:space="preserve"> = 0.9 </w:t>
            </w:r>
            <w:r w:rsidRPr="00D878D1">
              <w:rPr>
                <w:i/>
                <w:iCs/>
              </w:rPr>
              <w:t>B</w:t>
            </w:r>
            <w:r w:rsidRPr="00D878D1">
              <w:rPr>
                <w:i/>
                <w:iCs/>
                <w:vertAlign w:val="subscript"/>
              </w:rPr>
              <w:t>n</w:t>
            </w:r>
          </w:p>
        </w:tc>
      </w:tr>
    </w:tbl>
    <w:p w14:paraId="56D652D6" w14:textId="77777777" w:rsidR="00313E68" w:rsidRDefault="00313E68" w:rsidP="00313E68">
      <w:pPr>
        <w:pStyle w:val="Tablefin"/>
        <w:rPr>
          <w:sz w:val="12"/>
        </w:rPr>
      </w:pPr>
    </w:p>
    <w:p w14:paraId="7734C709" w14:textId="77777777" w:rsidR="00313E68" w:rsidRPr="000F340F" w:rsidRDefault="00313E68" w:rsidP="00313E68">
      <w:pPr>
        <w:rPr>
          <w:lang w:val="en-GB"/>
        </w:rPr>
      </w:pPr>
    </w:p>
    <w:p w14:paraId="3EC4A8AB" w14:textId="77777777" w:rsidR="00313E68" w:rsidRPr="008D31EE" w:rsidRDefault="00313E68" w:rsidP="00313E68">
      <w:pPr>
        <w:pStyle w:val="Heading1"/>
        <w:rPr>
          <w:lang w:val="en-US"/>
        </w:rPr>
      </w:pPr>
      <w:bookmarkStart w:id="18" w:name="_Toc107985093"/>
      <w:r w:rsidRPr="008D31EE">
        <w:rPr>
          <w:lang w:val="en-US"/>
        </w:rPr>
        <w:t>3</w:t>
      </w:r>
      <w:r w:rsidRPr="008D31EE">
        <w:rPr>
          <w:lang w:val="en-US"/>
        </w:rPr>
        <w:tab/>
        <w:t xml:space="preserve">Direct estimation of occupied bandwidth from </w:t>
      </w:r>
      <w:r w:rsidRPr="008D31EE">
        <w:rPr>
          <w:i/>
          <w:lang w:val="en-US"/>
        </w:rPr>
        <w:t xml:space="preserve">x </w:t>
      </w:r>
      <w:r w:rsidRPr="008D31EE">
        <w:rPr>
          <w:iCs/>
          <w:lang w:val="en-US"/>
        </w:rPr>
        <w:t>dB</w:t>
      </w:r>
      <w:r w:rsidRPr="008D31EE">
        <w:rPr>
          <w:lang w:val="en-US"/>
        </w:rPr>
        <w:t xml:space="preserve"> bandwidth measurement</w:t>
      </w:r>
      <w:bookmarkEnd w:id="18"/>
    </w:p>
    <w:p w14:paraId="19878077" w14:textId="77777777" w:rsidR="00313E68" w:rsidRPr="008D31EE" w:rsidRDefault="00313E68" w:rsidP="00313E68">
      <w:pPr>
        <w:rPr>
          <w:lang w:val="en-US"/>
        </w:rPr>
      </w:pPr>
      <w:r w:rsidRPr="008D31EE">
        <w:rPr>
          <w:lang w:val="en-US"/>
        </w:rPr>
        <w:t xml:space="preserve">With this method, the bandwidth is measured using the </w:t>
      </w:r>
      <w:r w:rsidRPr="008D31EE">
        <w:rPr>
          <w:i/>
          <w:lang w:val="en-US"/>
        </w:rPr>
        <w:t xml:space="preserve">x </w:t>
      </w:r>
      <w:r w:rsidRPr="008D31EE">
        <w:rPr>
          <w:lang w:val="en-US"/>
        </w:rPr>
        <w:t xml:space="preserve">dB method described in Annex 2. </w:t>
      </w:r>
    </w:p>
    <w:p w14:paraId="7E580E9F" w14:textId="77777777" w:rsidR="00313E68" w:rsidRPr="008D31EE" w:rsidRDefault="00313E68" w:rsidP="00313E68">
      <w:pPr>
        <w:rPr>
          <w:lang w:val="en-US"/>
        </w:rPr>
      </w:pPr>
      <w:r w:rsidRPr="008D31EE">
        <w:rPr>
          <w:lang w:val="en-US"/>
        </w:rPr>
        <w:t xml:space="preserve">The 0 dB reference level is always set to the peak level of the resulting curve. The values for </w:t>
      </w:r>
      <w:r w:rsidRPr="008D31EE">
        <w:rPr>
          <w:i/>
          <w:lang w:val="en-US"/>
        </w:rPr>
        <w:t>x</w:t>
      </w:r>
      <w:r w:rsidRPr="008D31EE">
        <w:rPr>
          <w:lang w:val="en-US"/>
        </w:rPr>
        <w:t xml:space="preserve"> should be taken from Table 2 according to the modulation of the signal.</w:t>
      </w:r>
    </w:p>
    <w:p w14:paraId="1335EF36" w14:textId="77777777" w:rsidR="00313E68" w:rsidRPr="00D878D1" w:rsidRDefault="00313E68" w:rsidP="00313E68">
      <w:pPr>
        <w:pStyle w:val="TableNo"/>
      </w:pPr>
      <w:r w:rsidRPr="00D878D1">
        <w:t>TABLE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11"/>
        <w:gridCol w:w="4607"/>
        <w:gridCol w:w="1984"/>
      </w:tblGrid>
      <w:tr w:rsidR="00313E68" w:rsidRPr="00D878D1" w14:paraId="3621E662"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1726B16D" w14:textId="77777777" w:rsidR="00313E68" w:rsidRPr="008D31EE" w:rsidRDefault="00313E68" w:rsidP="00083B92">
            <w:pPr>
              <w:pStyle w:val="Tablehead"/>
              <w:rPr>
                <w:lang w:val="en-US"/>
              </w:rPr>
            </w:pPr>
            <w:r w:rsidRPr="008D31EE">
              <w:rPr>
                <w:lang w:val="en-US"/>
              </w:rPr>
              <w:t>Class of emission</w:t>
            </w:r>
            <w:r w:rsidRPr="008D31EE">
              <w:rPr>
                <w:lang w:val="en-US"/>
              </w:rPr>
              <w:br/>
              <w:t>(See RR Appendix 1)</w:t>
            </w:r>
          </w:p>
        </w:tc>
        <w:tc>
          <w:tcPr>
            <w:tcW w:w="4607" w:type="dxa"/>
            <w:tcBorders>
              <w:top w:val="single" w:sz="6" w:space="0" w:color="auto"/>
              <w:left w:val="single" w:sz="6" w:space="0" w:color="auto"/>
              <w:bottom w:val="single" w:sz="6" w:space="0" w:color="auto"/>
              <w:right w:val="single" w:sz="6" w:space="0" w:color="auto"/>
            </w:tcBorders>
            <w:vAlign w:val="center"/>
          </w:tcPr>
          <w:p w14:paraId="42716F06" w14:textId="77777777" w:rsidR="00313E68" w:rsidRPr="008D31EE" w:rsidRDefault="00313E68" w:rsidP="00083B92">
            <w:pPr>
              <w:pStyle w:val="Tablehead"/>
              <w:rPr>
                <w:lang w:val="en-US"/>
              </w:rPr>
            </w:pPr>
            <w:r w:rsidRPr="008D31EE">
              <w:rPr>
                <w:lang w:val="en-US"/>
              </w:rPr>
              <w:t>Values of “</w:t>
            </w:r>
            <w:r w:rsidRPr="008D31EE">
              <w:rPr>
                <w:i/>
                <w:iCs/>
                <w:lang w:val="en-US"/>
              </w:rPr>
              <w:t>x</w:t>
            </w:r>
            <w:r w:rsidRPr="008D31EE">
              <w:rPr>
                <w:lang w:val="en-US"/>
              </w:rPr>
              <w:t> dB” to be used when measuring</w:t>
            </w:r>
            <w:r w:rsidRPr="008D31EE">
              <w:rPr>
                <w:lang w:val="en-US"/>
              </w:rPr>
              <w:br/>
            </w:r>
            <w:r w:rsidRPr="008D31EE">
              <w:rPr>
                <w:i/>
                <w:iCs/>
                <w:lang w:val="en-US"/>
              </w:rPr>
              <w:t>x</w:t>
            </w:r>
            <w:r w:rsidRPr="008D31EE">
              <w:rPr>
                <w:lang w:val="en-US"/>
              </w:rPr>
              <w:t> dB bandwidth for estimation</w:t>
            </w:r>
            <w:r w:rsidRPr="008D31EE">
              <w:rPr>
                <w:lang w:val="en-US"/>
              </w:rPr>
              <w:br/>
              <w:t>of occupied bandwidth</w:t>
            </w:r>
          </w:p>
        </w:tc>
        <w:tc>
          <w:tcPr>
            <w:tcW w:w="1984" w:type="dxa"/>
            <w:tcBorders>
              <w:top w:val="single" w:sz="6" w:space="0" w:color="auto"/>
              <w:left w:val="single" w:sz="6" w:space="0" w:color="auto"/>
              <w:bottom w:val="single" w:sz="6" w:space="0" w:color="auto"/>
              <w:right w:val="single" w:sz="6" w:space="0" w:color="auto"/>
            </w:tcBorders>
            <w:vAlign w:val="center"/>
          </w:tcPr>
          <w:p w14:paraId="14BD1D83" w14:textId="77777777" w:rsidR="00313E68" w:rsidRPr="00D878D1" w:rsidRDefault="00313E68" w:rsidP="00083B92">
            <w:pPr>
              <w:pStyle w:val="Tablehead"/>
            </w:pPr>
            <w:r w:rsidRPr="00D878D1">
              <w:t>Remarks</w:t>
            </w:r>
          </w:p>
        </w:tc>
      </w:tr>
      <w:tr w:rsidR="00313E68" w:rsidRPr="00D878D1" w14:paraId="34B0D389"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4D90157E" w14:textId="77777777" w:rsidR="00313E68" w:rsidRPr="00D878D1" w:rsidRDefault="00313E68" w:rsidP="00083B92">
            <w:pPr>
              <w:pStyle w:val="Tabletext"/>
              <w:jc w:val="center"/>
            </w:pPr>
            <w:r w:rsidRPr="00D878D1">
              <w:t>A1A</w:t>
            </w:r>
            <w:r w:rsidRPr="00D878D1">
              <w:br/>
              <w:t>A1B</w:t>
            </w:r>
          </w:p>
        </w:tc>
        <w:tc>
          <w:tcPr>
            <w:tcW w:w="4607" w:type="dxa"/>
            <w:tcBorders>
              <w:top w:val="single" w:sz="6" w:space="0" w:color="auto"/>
              <w:left w:val="single" w:sz="6" w:space="0" w:color="auto"/>
              <w:bottom w:val="single" w:sz="6" w:space="0" w:color="auto"/>
              <w:right w:val="single" w:sz="6" w:space="0" w:color="auto"/>
            </w:tcBorders>
            <w:vAlign w:val="center"/>
          </w:tcPr>
          <w:p w14:paraId="2B955F16" w14:textId="77777777" w:rsidR="00313E68" w:rsidRPr="00D878D1" w:rsidRDefault="00313E68" w:rsidP="00083B92">
            <w:pPr>
              <w:pStyle w:val="Tabletext"/>
              <w:jc w:val="center"/>
            </w:pPr>
            <w:r w:rsidRPr="00D878D1">
              <w:t>–30</w:t>
            </w:r>
          </w:p>
        </w:tc>
        <w:tc>
          <w:tcPr>
            <w:tcW w:w="1984" w:type="dxa"/>
            <w:tcBorders>
              <w:top w:val="single" w:sz="6" w:space="0" w:color="auto"/>
              <w:left w:val="single" w:sz="6" w:space="0" w:color="auto"/>
              <w:bottom w:val="single" w:sz="6" w:space="0" w:color="auto"/>
              <w:right w:val="single" w:sz="6" w:space="0" w:color="auto"/>
            </w:tcBorders>
            <w:vAlign w:val="center"/>
          </w:tcPr>
          <w:p w14:paraId="1C6DA071" w14:textId="77777777" w:rsidR="00313E68" w:rsidRPr="00D878D1" w:rsidRDefault="00313E68" w:rsidP="00083B92">
            <w:pPr>
              <w:pStyle w:val="Tabletext"/>
              <w:jc w:val="center"/>
            </w:pPr>
          </w:p>
        </w:tc>
      </w:tr>
      <w:tr w:rsidR="00313E68" w:rsidRPr="00D878D1" w14:paraId="5FE668AC"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7EB0095B" w14:textId="77777777" w:rsidR="00313E68" w:rsidRPr="00D878D1" w:rsidRDefault="00313E68" w:rsidP="00083B92">
            <w:pPr>
              <w:pStyle w:val="Tabletext"/>
              <w:jc w:val="center"/>
            </w:pPr>
            <w:r w:rsidRPr="00D878D1">
              <w:t>A2A</w:t>
            </w:r>
            <w:r w:rsidRPr="00D878D1">
              <w:br/>
              <w:t>A2B</w:t>
            </w:r>
          </w:p>
        </w:tc>
        <w:tc>
          <w:tcPr>
            <w:tcW w:w="4607" w:type="dxa"/>
            <w:tcBorders>
              <w:top w:val="single" w:sz="6" w:space="0" w:color="auto"/>
              <w:left w:val="single" w:sz="6" w:space="0" w:color="auto"/>
              <w:bottom w:val="single" w:sz="6" w:space="0" w:color="auto"/>
              <w:right w:val="single" w:sz="6" w:space="0" w:color="auto"/>
            </w:tcBorders>
            <w:vAlign w:val="center"/>
          </w:tcPr>
          <w:p w14:paraId="4263D90D" w14:textId="77777777" w:rsidR="00313E68" w:rsidRPr="00D878D1" w:rsidRDefault="00313E68" w:rsidP="00083B92">
            <w:pPr>
              <w:pStyle w:val="Tabletext"/>
              <w:jc w:val="center"/>
            </w:pPr>
            <w:r w:rsidRPr="00D878D1">
              <w:t>–32</w:t>
            </w:r>
          </w:p>
        </w:tc>
        <w:tc>
          <w:tcPr>
            <w:tcW w:w="1984" w:type="dxa"/>
            <w:tcBorders>
              <w:top w:val="single" w:sz="6" w:space="0" w:color="auto"/>
              <w:left w:val="single" w:sz="6" w:space="0" w:color="auto"/>
              <w:bottom w:val="single" w:sz="6" w:space="0" w:color="auto"/>
              <w:right w:val="single" w:sz="6" w:space="0" w:color="auto"/>
            </w:tcBorders>
            <w:vAlign w:val="center"/>
          </w:tcPr>
          <w:p w14:paraId="0B8A9E45" w14:textId="77777777" w:rsidR="00313E68" w:rsidRPr="00D878D1" w:rsidRDefault="00313E68" w:rsidP="00083B92">
            <w:pPr>
              <w:pStyle w:val="Tabletext"/>
              <w:jc w:val="center"/>
            </w:pPr>
          </w:p>
        </w:tc>
      </w:tr>
      <w:tr w:rsidR="00313E68" w:rsidRPr="00D878D1" w14:paraId="49A5C76F"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254A83C0" w14:textId="77777777" w:rsidR="00313E68" w:rsidRPr="00D878D1" w:rsidRDefault="00313E68" w:rsidP="00083B92">
            <w:pPr>
              <w:pStyle w:val="Tabletext"/>
              <w:jc w:val="center"/>
            </w:pPr>
            <w:r w:rsidRPr="00D878D1">
              <w:t>A3E</w:t>
            </w:r>
          </w:p>
        </w:tc>
        <w:tc>
          <w:tcPr>
            <w:tcW w:w="4607" w:type="dxa"/>
            <w:tcBorders>
              <w:top w:val="single" w:sz="6" w:space="0" w:color="auto"/>
              <w:left w:val="single" w:sz="6" w:space="0" w:color="auto"/>
              <w:bottom w:val="single" w:sz="6" w:space="0" w:color="auto"/>
              <w:right w:val="single" w:sz="6" w:space="0" w:color="auto"/>
            </w:tcBorders>
            <w:vAlign w:val="center"/>
          </w:tcPr>
          <w:p w14:paraId="36AD1A7E" w14:textId="77777777" w:rsidR="00313E68" w:rsidRPr="00D878D1" w:rsidRDefault="00313E68" w:rsidP="00083B92">
            <w:pPr>
              <w:pStyle w:val="Tabletext"/>
              <w:jc w:val="center"/>
            </w:pPr>
            <w:r w:rsidRPr="00D878D1">
              <w:t>–35</w:t>
            </w:r>
          </w:p>
        </w:tc>
        <w:tc>
          <w:tcPr>
            <w:tcW w:w="1984" w:type="dxa"/>
            <w:tcBorders>
              <w:top w:val="single" w:sz="6" w:space="0" w:color="auto"/>
              <w:left w:val="single" w:sz="6" w:space="0" w:color="auto"/>
              <w:bottom w:val="single" w:sz="6" w:space="0" w:color="auto"/>
              <w:right w:val="single" w:sz="6" w:space="0" w:color="auto"/>
            </w:tcBorders>
            <w:vAlign w:val="center"/>
          </w:tcPr>
          <w:p w14:paraId="29DE2107" w14:textId="77777777" w:rsidR="00313E68" w:rsidRPr="00D878D1" w:rsidRDefault="00313E68" w:rsidP="00083B92">
            <w:pPr>
              <w:pStyle w:val="Tabletext"/>
              <w:jc w:val="center"/>
            </w:pPr>
          </w:p>
        </w:tc>
      </w:tr>
      <w:tr w:rsidR="00313E68" w:rsidRPr="00D878D1" w14:paraId="24259313"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77E0C882" w14:textId="77777777" w:rsidR="00313E68" w:rsidRPr="00D878D1" w:rsidRDefault="00313E68" w:rsidP="00083B92">
            <w:pPr>
              <w:pStyle w:val="Tabletext"/>
              <w:jc w:val="center"/>
            </w:pPr>
            <w:r w:rsidRPr="00D878D1">
              <w:t>B8E</w:t>
            </w:r>
          </w:p>
        </w:tc>
        <w:tc>
          <w:tcPr>
            <w:tcW w:w="4607" w:type="dxa"/>
            <w:tcBorders>
              <w:top w:val="single" w:sz="6" w:space="0" w:color="auto"/>
              <w:left w:val="single" w:sz="6" w:space="0" w:color="auto"/>
              <w:bottom w:val="single" w:sz="6" w:space="0" w:color="auto"/>
              <w:right w:val="single" w:sz="6" w:space="0" w:color="auto"/>
            </w:tcBorders>
            <w:vAlign w:val="center"/>
          </w:tcPr>
          <w:p w14:paraId="0579259B"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13A460E3" w14:textId="77777777" w:rsidR="00313E68" w:rsidRPr="00D878D1" w:rsidRDefault="00313E68" w:rsidP="00083B92">
            <w:pPr>
              <w:pStyle w:val="Tabletext"/>
              <w:jc w:val="center"/>
            </w:pPr>
          </w:p>
        </w:tc>
      </w:tr>
      <w:tr w:rsidR="00313E68" w:rsidRPr="00D878D1" w14:paraId="22F0A278"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5087F2A1" w14:textId="77777777" w:rsidR="00313E68" w:rsidRPr="00D878D1" w:rsidRDefault="00313E68" w:rsidP="00083B92">
            <w:pPr>
              <w:pStyle w:val="Tabletext"/>
              <w:jc w:val="center"/>
            </w:pPr>
            <w:r w:rsidRPr="00D878D1">
              <w:t>F1B</w:t>
            </w:r>
          </w:p>
        </w:tc>
        <w:tc>
          <w:tcPr>
            <w:tcW w:w="4607" w:type="dxa"/>
            <w:tcBorders>
              <w:top w:val="single" w:sz="6" w:space="0" w:color="auto"/>
              <w:left w:val="single" w:sz="6" w:space="0" w:color="auto"/>
              <w:bottom w:val="single" w:sz="6" w:space="0" w:color="auto"/>
              <w:right w:val="single" w:sz="6" w:space="0" w:color="auto"/>
            </w:tcBorders>
            <w:vAlign w:val="center"/>
          </w:tcPr>
          <w:p w14:paraId="0A73E335" w14:textId="77777777" w:rsidR="00313E68" w:rsidRPr="00D878D1" w:rsidRDefault="00313E68" w:rsidP="00083B92">
            <w:pPr>
              <w:pStyle w:val="Tabletext"/>
              <w:jc w:val="center"/>
            </w:pPr>
            <w:r w:rsidRPr="00D878D1">
              <w:t>–25</w:t>
            </w:r>
          </w:p>
        </w:tc>
        <w:tc>
          <w:tcPr>
            <w:tcW w:w="1984" w:type="dxa"/>
            <w:tcBorders>
              <w:top w:val="single" w:sz="6" w:space="0" w:color="auto"/>
              <w:left w:val="single" w:sz="6" w:space="0" w:color="auto"/>
              <w:bottom w:val="single" w:sz="6" w:space="0" w:color="auto"/>
              <w:right w:val="single" w:sz="6" w:space="0" w:color="auto"/>
            </w:tcBorders>
            <w:vAlign w:val="center"/>
          </w:tcPr>
          <w:p w14:paraId="1AE01E21" w14:textId="77777777" w:rsidR="00313E68" w:rsidRPr="00D878D1" w:rsidRDefault="00313E68" w:rsidP="00083B92">
            <w:pPr>
              <w:pStyle w:val="Tabletext"/>
              <w:jc w:val="center"/>
            </w:pPr>
          </w:p>
        </w:tc>
      </w:tr>
      <w:tr w:rsidR="00313E68" w:rsidRPr="00D878D1" w14:paraId="34155235"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04959E34" w14:textId="77777777" w:rsidR="00313E68" w:rsidRPr="00D878D1" w:rsidRDefault="00313E68" w:rsidP="00083B92">
            <w:pPr>
              <w:pStyle w:val="Tabletext"/>
              <w:jc w:val="center"/>
            </w:pPr>
            <w:r w:rsidRPr="00D878D1">
              <w:t>F3C</w:t>
            </w:r>
          </w:p>
        </w:tc>
        <w:tc>
          <w:tcPr>
            <w:tcW w:w="4607" w:type="dxa"/>
            <w:tcBorders>
              <w:top w:val="single" w:sz="6" w:space="0" w:color="auto"/>
              <w:left w:val="single" w:sz="6" w:space="0" w:color="auto"/>
              <w:bottom w:val="single" w:sz="6" w:space="0" w:color="auto"/>
              <w:right w:val="single" w:sz="6" w:space="0" w:color="auto"/>
            </w:tcBorders>
            <w:vAlign w:val="center"/>
          </w:tcPr>
          <w:p w14:paraId="7AE2E4BD" w14:textId="77777777" w:rsidR="00313E68" w:rsidRPr="00D878D1" w:rsidRDefault="00313E68" w:rsidP="00083B92">
            <w:pPr>
              <w:pStyle w:val="Tabletext"/>
              <w:jc w:val="center"/>
            </w:pPr>
            <w:r w:rsidRPr="00D878D1">
              <w:t>–25</w:t>
            </w:r>
          </w:p>
        </w:tc>
        <w:tc>
          <w:tcPr>
            <w:tcW w:w="1984" w:type="dxa"/>
            <w:tcBorders>
              <w:top w:val="single" w:sz="6" w:space="0" w:color="auto"/>
              <w:left w:val="single" w:sz="6" w:space="0" w:color="auto"/>
              <w:bottom w:val="single" w:sz="6" w:space="0" w:color="auto"/>
              <w:right w:val="single" w:sz="6" w:space="0" w:color="auto"/>
            </w:tcBorders>
            <w:vAlign w:val="center"/>
          </w:tcPr>
          <w:p w14:paraId="6D6E1B2C" w14:textId="77777777" w:rsidR="00313E68" w:rsidRPr="00D878D1" w:rsidRDefault="00313E68" w:rsidP="00083B92">
            <w:pPr>
              <w:pStyle w:val="Tabletext"/>
              <w:jc w:val="center"/>
            </w:pPr>
          </w:p>
        </w:tc>
      </w:tr>
      <w:tr w:rsidR="00313E68" w:rsidRPr="00D878D1" w14:paraId="03B29DC6"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30FF9266" w14:textId="77777777" w:rsidR="00313E68" w:rsidRPr="00D878D1" w:rsidRDefault="00313E68" w:rsidP="00083B92">
            <w:pPr>
              <w:pStyle w:val="Tabletext"/>
              <w:jc w:val="center"/>
            </w:pPr>
            <w:r w:rsidRPr="00D878D1">
              <w:t>F3E</w:t>
            </w:r>
            <w:r w:rsidRPr="00D878D1">
              <w:br/>
              <w:t>G3E</w:t>
            </w:r>
          </w:p>
        </w:tc>
        <w:tc>
          <w:tcPr>
            <w:tcW w:w="4607" w:type="dxa"/>
            <w:tcBorders>
              <w:top w:val="single" w:sz="6" w:space="0" w:color="auto"/>
              <w:left w:val="single" w:sz="6" w:space="0" w:color="auto"/>
              <w:bottom w:val="single" w:sz="6" w:space="0" w:color="auto"/>
              <w:right w:val="single" w:sz="6" w:space="0" w:color="auto"/>
            </w:tcBorders>
            <w:vAlign w:val="center"/>
          </w:tcPr>
          <w:p w14:paraId="57A0100C"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329470A8" w14:textId="77777777" w:rsidR="00313E68" w:rsidRPr="00D878D1" w:rsidRDefault="00313E68" w:rsidP="00083B92">
            <w:pPr>
              <w:pStyle w:val="Tabletext"/>
              <w:jc w:val="center"/>
            </w:pPr>
          </w:p>
        </w:tc>
      </w:tr>
      <w:tr w:rsidR="00313E68" w:rsidRPr="00D878D1" w14:paraId="13BB3EE3"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765B6601" w14:textId="77777777" w:rsidR="00313E68" w:rsidRPr="00D878D1" w:rsidRDefault="00313E68" w:rsidP="00083B92">
            <w:pPr>
              <w:pStyle w:val="Tabletext"/>
              <w:jc w:val="center"/>
            </w:pPr>
            <w:r w:rsidRPr="00D878D1">
              <w:t>F7B</w:t>
            </w:r>
          </w:p>
        </w:tc>
        <w:tc>
          <w:tcPr>
            <w:tcW w:w="4607" w:type="dxa"/>
            <w:tcBorders>
              <w:top w:val="single" w:sz="6" w:space="0" w:color="auto"/>
              <w:left w:val="single" w:sz="6" w:space="0" w:color="auto"/>
              <w:bottom w:val="single" w:sz="6" w:space="0" w:color="auto"/>
              <w:right w:val="single" w:sz="6" w:space="0" w:color="auto"/>
            </w:tcBorders>
            <w:vAlign w:val="center"/>
          </w:tcPr>
          <w:p w14:paraId="2B653398" w14:textId="77777777" w:rsidR="00313E68" w:rsidRPr="00D878D1" w:rsidRDefault="00313E68" w:rsidP="00083B92">
            <w:pPr>
              <w:pStyle w:val="Tabletext"/>
              <w:jc w:val="center"/>
            </w:pPr>
            <w:r w:rsidRPr="00D878D1">
              <w:t>–28</w:t>
            </w:r>
          </w:p>
        </w:tc>
        <w:tc>
          <w:tcPr>
            <w:tcW w:w="1984" w:type="dxa"/>
            <w:tcBorders>
              <w:top w:val="single" w:sz="6" w:space="0" w:color="auto"/>
              <w:left w:val="single" w:sz="6" w:space="0" w:color="auto"/>
              <w:bottom w:val="single" w:sz="6" w:space="0" w:color="auto"/>
              <w:right w:val="single" w:sz="6" w:space="0" w:color="auto"/>
            </w:tcBorders>
            <w:vAlign w:val="center"/>
          </w:tcPr>
          <w:p w14:paraId="6479122D" w14:textId="77777777" w:rsidR="00313E68" w:rsidRPr="00D878D1" w:rsidRDefault="00313E68" w:rsidP="00083B92">
            <w:pPr>
              <w:pStyle w:val="Tabletext"/>
              <w:jc w:val="center"/>
            </w:pPr>
          </w:p>
        </w:tc>
      </w:tr>
      <w:tr w:rsidR="00313E68" w:rsidRPr="00D878D1" w14:paraId="4F7EBE36"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11684B95" w14:textId="77777777" w:rsidR="00313E68" w:rsidRPr="00D878D1" w:rsidRDefault="00313E68" w:rsidP="00083B92">
            <w:pPr>
              <w:pStyle w:val="Tabletext"/>
              <w:jc w:val="center"/>
            </w:pPr>
            <w:r w:rsidRPr="00D878D1">
              <w:t>H2B</w:t>
            </w:r>
          </w:p>
        </w:tc>
        <w:tc>
          <w:tcPr>
            <w:tcW w:w="4607" w:type="dxa"/>
            <w:tcBorders>
              <w:top w:val="single" w:sz="6" w:space="0" w:color="auto"/>
              <w:left w:val="single" w:sz="6" w:space="0" w:color="auto"/>
              <w:bottom w:val="single" w:sz="6" w:space="0" w:color="auto"/>
              <w:right w:val="single" w:sz="6" w:space="0" w:color="auto"/>
            </w:tcBorders>
            <w:vAlign w:val="center"/>
          </w:tcPr>
          <w:p w14:paraId="692840AF"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48466432" w14:textId="77777777" w:rsidR="00313E68" w:rsidRPr="00D878D1" w:rsidRDefault="00313E68" w:rsidP="00083B92">
            <w:pPr>
              <w:pStyle w:val="Tabletext"/>
              <w:jc w:val="center"/>
            </w:pPr>
          </w:p>
        </w:tc>
      </w:tr>
      <w:tr w:rsidR="00313E68" w:rsidRPr="00D878D1" w14:paraId="613F912E"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4C53F49C" w14:textId="77777777" w:rsidR="00313E68" w:rsidRPr="00D878D1" w:rsidRDefault="00313E68" w:rsidP="00083B92">
            <w:pPr>
              <w:pStyle w:val="Tabletext"/>
              <w:jc w:val="center"/>
            </w:pPr>
            <w:r w:rsidRPr="00D878D1">
              <w:t>H3E</w:t>
            </w:r>
          </w:p>
        </w:tc>
        <w:tc>
          <w:tcPr>
            <w:tcW w:w="4607" w:type="dxa"/>
            <w:tcBorders>
              <w:top w:val="single" w:sz="6" w:space="0" w:color="auto"/>
              <w:left w:val="single" w:sz="6" w:space="0" w:color="auto"/>
              <w:bottom w:val="single" w:sz="6" w:space="0" w:color="auto"/>
              <w:right w:val="single" w:sz="6" w:space="0" w:color="auto"/>
            </w:tcBorders>
            <w:vAlign w:val="center"/>
          </w:tcPr>
          <w:p w14:paraId="4BDBDA17"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4C4A80E4" w14:textId="77777777" w:rsidR="00313E68" w:rsidRPr="00D878D1" w:rsidRDefault="00313E68" w:rsidP="00083B92">
            <w:pPr>
              <w:pStyle w:val="Tabletext"/>
              <w:jc w:val="center"/>
            </w:pPr>
          </w:p>
        </w:tc>
      </w:tr>
      <w:tr w:rsidR="00313E68" w:rsidRPr="00D878D1" w14:paraId="595CE9ED"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5EB17032" w14:textId="77777777" w:rsidR="00313E68" w:rsidRPr="00D878D1" w:rsidRDefault="00313E68" w:rsidP="00083B92">
            <w:pPr>
              <w:pStyle w:val="Tabletext"/>
              <w:jc w:val="center"/>
            </w:pPr>
            <w:r w:rsidRPr="00D878D1">
              <w:t>J2B</w:t>
            </w:r>
          </w:p>
        </w:tc>
        <w:tc>
          <w:tcPr>
            <w:tcW w:w="4607" w:type="dxa"/>
            <w:tcBorders>
              <w:top w:val="single" w:sz="6" w:space="0" w:color="auto"/>
              <w:left w:val="single" w:sz="6" w:space="0" w:color="auto"/>
              <w:bottom w:val="single" w:sz="6" w:space="0" w:color="auto"/>
              <w:right w:val="single" w:sz="6" w:space="0" w:color="auto"/>
            </w:tcBorders>
            <w:vAlign w:val="center"/>
          </w:tcPr>
          <w:p w14:paraId="582A09E0"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5FC9BCCD" w14:textId="77777777" w:rsidR="00313E68" w:rsidRPr="00D878D1" w:rsidRDefault="00313E68" w:rsidP="00083B92">
            <w:pPr>
              <w:pStyle w:val="Tabletext"/>
              <w:jc w:val="center"/>
            </w:pPr>
          </w:p>
        </w:tc>
      </w:tr>
      <w:tr w:rsidR="00313E68" w:rsidRPr="00D878D1" w14:paraId="67FA6434" w14:textId="77777777" w:rsidTr="00083B92">
        <w:trPr>
          <w:cantSplit/>
          <w:jc w:val="center"/>
        </w:trPr>
        <w:tc>
          <w:tcPr>
            <w:tcW w:w="2411" w:type="dxa"/>
            <w:tcBorders>
              <w:top w:val="single" w:sz="6" w:space="0" w:color="auto"/>
              <w:left w:val="single" w:sz="6" w:space="0" w:color="auto"/>
              <w:bottom w:val="single" w:sz="6" w:space="0" w:color="auto"/>
              <w:right w:val="single" w:sz="6" w:space="0" w:color="auto"/>
            </w:tcBorders>
            <w:vAlign w:val="center"/>
          </w:tcPr>
          <w:p w14:paraId="5C8700B0" w14:textId="77777777" w:rsidR="00313E68" w:rsidRPr="00D878D1" w:rsidRDefault="00313E68" w:rsidP="00083B92">
            <w:pPr>
              <w:pStyle w:val="Tabletext"/>
              <w:jc w:val="center"/>
            </w:pPr>
            <w:r w:rsidRPr="00D878D1">
              <w:t>J3E</w:t>
            </w:r>
          </w:p>
        </w:tc>
        <w:tc>
          <w:tcPr>
            <w:tcW w:w="4607" w:type="dxa"/>
            <w:tcBorders>
              <w:top w:val="single" w:sz="6" w:space="0" w:color="auto"/>
              <w:left w:val="single" w:sz="6" w:space="0" w:color="auto"/>
              <w:bottom w:val="single" w:sz="6" w:space="0" w:color="auto"/>
              <w:right w:val="single" w:sz="6" w:space="0" w:color="auto"/>
            </w:tcBorders>
            <w:vAlign w:val="center"/>
          </w:tcPr>
          <w:p w14:paraId="423246BD"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1DD0A298" w14:textId="77777777" w:rsidR="00313E68" w:rsidRPr="00D878D1" w:rsidRDefault="00313E68" w:rsidP="00083B92">
            <w:pPr>
              <w:pStyle w:val="Tabletext"/>
              <w:jc w:val="center"/>
            </w:pPr>
          </w:p>
        </w:tc>
      </w:tr>
      <w:tr w:rsidR="00313E68" w:rsidRPr="00D878D1" w14:paraId="37153767" w14:textId="77777777" w:rsidTr="00083B92">
        <w:trPr>
          <w:cantSplit/>
          <w:trHeight w:val="56"/>
          <w:jc w:val="center"/>
        </w:trPr>
        <w:tc>
          <w:tcPr>
            <w:tcW w:w="2411" w:type="dxa"/>
            <w:tcBorders>
              <w:top w:val="single" w:sz="6" w:space="0" w:color="auto"/>
              <w:left w:val="single" w:sz="6" w:space="0" w:color="auto"/>
              <w:bottom w:val="single" w:sz="6" w:space="0" w:color="auto"/>
              <w:right w:val="single" w:sz="6" w:space="0" w:color="auto"/>
            </w:tcBorders>
            <w:vAlign w:val="center"/>
          </w:tcPr>
          <w:p w14:paraId="0BE30792" w14:textId="77777777" w:rsidR="00313E68" w:rsidRPr="00D878D1" w:rsidRDefault="00313E68" w:rsidP="00083B92">
            <w:pPr>
              <w:pStyle w:val="Tabletext"/>
              <w:jc w:val="center"/>
            </w:pPr>
            <w:r w:rsidRPr="00D878D1">
              <w:t>R3E</w:t>
            </w:r>
          </w:p>
        </w:tc>
        <w:tc>
          <w:tcPr>
            <w:tcW w:w="4607" w:type="dxa"/>
            <w:tcBorders>
              <w:top w:val="single" w:sz="6" w:space="0" w:color="auto"/>
              <w:left w:val="single" w:sz="6" w:space="0" w:color="auto"/>
              <w:bottom w:val="single" w:sz="6" w:space="0" w:color="auto"/>
              <w:right w:val="single" w:sz="6" w:space="0" w:color="auto"/>
            </w:tcBorders>
            <w:vAlign w:val="center"/>
          </w:tcPr>
          <w:p w14:paraId="1FA61600" w14:textId="77777777" w:rsidR="00313E68" w:rsidRPr="00D878D1" w:rsidRDefault="00313E68" w:rsidP="00083B92">
            <w:pPr>
              <w:pStyle w:val="Tabletext"/>
              <w:jc w:val="center"/>
            </w:pPr>
            <w:r w:rsidRPr="00D878D1">
              <w:t>–26</w:t>
            </w:r>
          </w:p>
        </w:tc>
        <w:tc>
          <w:tcPr>
            <w:tcW w:w="1984" w:type="dxa"/>
            <w:tcBorders>
              <w:top w:val="single" w:sz="6" w:space="0" w:color="auto"/>
              <w:left w:val="single" w:sz="6" w:space="0" w:color="auto"/>
              <w:bottom w:val="single" w:sz="6" w:space="0" w:color="auto"/>
              <w:right w:val="single" w:sz="6" w:space="0" w:color="auto"/>
            </w:tcBorders>
            <w:vAlign w:val="center"/>
          </w:tcPr>
          <w:p w14:paraId="41A6CD0D" w14:textId="77777777" w:rsidR="00313E68" w:rsidRPr="00D878D1" w:rsidRDefault="00313E68" w:rsidP="00083B92">
            <w:pPr>
              <w:pStyle w:val="Tabletext"/>
              <w:jc w:val="center"/>
            </w:pPr>
          </w:p>
        </w:tc>
      </w:tr>
      <w:tr w:rsidR="00313E68" w:rsidRPr="00EE43FA" w14:paraId="3CF00885" w14:textId="77777777" w:rsidTr="00083B92">
        <w:trPr>
          <w:cantSplit/>
          <w:trHeight w:val="56"/>
          <w:jc w:val="center"/>
        </w:trPr>
        <w:tc>
          <w:tcPr>
            <w:tcW w:w="2411" w:type="dxa"/>
            <w:tcBorders>
              <w:top w:val="single" w:sz="6" w:space="0" w:color="auto"/>
              <w:left w:val="single" w:sz="6" w:space="0" w:color="auto"/>
              <w:bottom w:val="single" w:sz="6" w:space="0" w:color="auto"/>
              <w:right w:val="single" w:sz="6" w:space="0" w:color="auto"/>
            </w:tcBorders>
            <w:vAlign w:val="center"/>
          </w:tcPr>
          <w:p w14:paraId="43FB2F6D" w14:textId="77777777" w:rsidR="00313E68" w:rsidRPr="00D878D1" w:rsidRDefault="00313E68" w:rsidP="00083B92">
            <w:pPr>
              <w:pStyle w:val="Tabletext"/>
              <w:jc w:val="center"/>
              <w:rPr>
                <w:lang w:eastAsia="ko-KR"/>
              </w:rPr>
            </w:pPr>
            <w:r w:rsidRPr="00D878D1">
              <w:rPr>
                <w:lang w:eastAsia="ko-KR"/>
              </w:rPr>
              <w:t xml:space="preserve">C7W (8-VSB) </w:t>
            </w:r>
          </w:p>
        </w:tc>
        <w:tc>
          <w:tcPr>
            <w:tcW w:w="4607" w:type="dxa"/>
            <w:tcBorders>
              <w:top w:val="single" w:sz="6" w:space="0" w:color="auto"/>
              <w:left w:val="single" w:sz="6" w:space="0" w:color="auto"/>
              <w:bottom w:val="single" w:sz="6" w:space="0" w:color="auto"/>
              <w:right w:val="single" w:sz="6" w:space="0" w:color="auto"/>
            </w:tcBorders>
            <w:vAlign w:val="center"/>
          </w:tcPr>
          <w:p w14:paraId="16574D9B" w14:textId="77777777" w:rsidR="00313E68" w:rsidRPr="00D878D1" w:rsidRDefault="00313E68" w:rsidP="00083B92">
            <w:pPr>
              <w:pStyle w:val="Tabletext"/>
              <w:jc w:val="center"/>
              <w:rPr>
                <w:position w:val="6"/>
                <w:lang w:eastAsia="ko-KR"/>
              </w:rPr>
            </w:pPr>
            <w:r w:rsidRPr="00D878D1">
              <w:t>–</w:t>
            </w:r>
            <w:r w:rsidRPr="00D878D1">
              <w:rPr>
                <w:lang w:eastAsia="ko-KR"/>
              </w:rPr>
              <w:t>12</w:t>
            </w:r>
            <w:r w:rsidRPr="00D20A34">
              <w:rPr>
                <w:szCs w:val="22"/>
                <w:vertAlign w:val="superscript"/>
                <w:lang w:eastAsia="ko-KR"/>
              </w:rPr>
              <w:t>(1)</w:t>
            </w:r>
            <w:r w:rsidRPr="00D878D1">
              <w:rPr>
                <w:position w:val="6"/>
                <w:sz w:val="18"/>
                <w:szCs w:val="18"/>
                <w:lang w:eastAsia="ko-KR"/>
              </w:rPr>
              <w:t xml:space="preserve"> </w:t>
            </w:r>
          </w:p>
        </w:tc>
        <w:tc>
          <w:tcPr>
            <w:tcW w:w="1984" w:type="dxa"/>
            <w:tcBorders>
              <w:top w:val="single" w:sz="6" w:space="0" w:color="auto"/>
              <w:left w:val="single" w:sz="6" w:space="0" w:color="auto"/>
              <w:bottom w:val="single" w:sz="6" w:space="0" w:color="auto"/>
              <w:right w:val="single" w:sz="6" w:space="0" w:color="auto"/>
            </w:tcBorders>
            <w:vAlign w:val="center"/>
          </w:tcPr>
          <w:p w14:paraId="2E48E117" w14:textId="77777777" w:rsidR="00313E68" w:rsidRPr="008D31EE" w:rsidRDefault="00313E68" w:rsidP="00083B92">
            <w:pPr>
              <w:pStyle w:val="Tabletext"/>
              <w:jc w:val="center"/>
              <w:rPr>
                <w:lang w:val="en-US" w:eastAsia="ko-KR"/>
              </w:rPr>
            </w:pPr>
            <w:r w:rsidRPr="008D31EE">
              <w:rPr>
                <w:lang w:val="en-US" w:eastAsia="ko-KR"/>
              </w:rPr>
              <w:t xml:space="preserve">Average of more than 300 sweeps </w:t>
            </w:r>
          </w:p>
        </w:tc>
      </w:tr>
      <w:tr w:rsidR="00313E68" w:rsidRPr="00EE43FA" w14:paraId="27975C33" w14:textId="77777777" w:rsidTr="00083B92">
        <w:trPr>
          <w:cantSplit/>
          <w:trHeight w:val="56"/>
          <w:jc w:val="center"/>
        </w:trPr>
        <w:tc>
          <w:tcPr>
            <w:tcW w:w="2411" w:type="dxa"/>
            <w:tcBorders>
              <w:top w:val="single" w:sz="6" w:space="0" w:color="auto"/>
              <w:left w:val="single" w:sz="6" w:space="0" w:color="auto"/>
              <w:bottom w:val="single" w:sz="6" w:space="0" w:color="auto"/>
              <w:right w:val="single" w:sz="6" w:space="0" w:color="auto"/>
            </w:tcBorders>
            <w:vAlign w:val="center"/>
          </w:tcPr>
          <w:p w14:paraId="5F83B600" w14:textId="77777777" w:rsidR="00313E68" w:rsidRPr="00D878D1" w:rsidRDefault="00313E68" w:rsidP="00083B92">
            <w:pPr>
              <w:pStyle w:val="Tabletext"/>
              <w:jc w:val="center"/>
              <w:rPr>
                <w:lang w:eastAsia="ko-KR"/>
              </w:rPr>
            </w:pPr>
            <w:r w:rsidRPr="00D878D1">
              <w:rPr>
                <w:lang w:eastAsia="ko-KR"/>
              </w:rPr>
              <w:t>G7W (T-DAB)</w:t>
            </w:r>
          </w:p>
        </w:tc>
        <w:tc>
          <w:tcPr>
            <w:tcW w:w="4607" w:type="dxa"/>
            <w:tcBorders>
              <w:top w:val="single" w:sz="6" w:space="0" w:color="auto"/>
              <w:left w:val="single" w:sz="6" w:space="0" w:color="auto"/>
              <w:bottom w:val="single" w:sz="6" w:space="0" w:color="auto"/>
              <w:right w:val="single" w:sz="6" w:space="0" w:color="auto"/>
            </w:tcBorders>
            <w:vAlign w:val="center"/>
          </w:tcPr>
          <w:p w14:paraId="5AE9F61D" w14:textId="77777777" w:rsidR="00313E68" w:rsidRPr="00D20A34" w:rsidRDefault="00313E68" w:rsidP="00083B92">
            <w:pPr>
              <w:pStyle w:val="Tabletext"/>
              <w:jc w:val="center"/>
              <w:rPr>
                <w:szCs w:val="22"/>
                <w:lang w:eastAsia="ko-KR"/>
              </w:rPr>
            </w:pPr>
            <w:r w:rsidRPr="00D20A34">
              <w:rPr>
                <w:szCs w:val="22"/>
              </w:rPr>
              <w:t>–</w:t>
            </w:r>
            <w:r w:rsidRPr="00D20A34">
              <w:rPr>
                <w:szCs w:val="22"/>
                <w:lang w:eastAsia="ko-KR"/>
              </w:rPr>
              <w:t>8</w:t>
            </w:r>
            <w:r w:rsidRPr="00D20A34">
              <w:rPr>
                <w:szCs w:val="22"/>
                <w:vertAlign w:val="superscript"/>
                <w:lang w:eastAsia="ko-KR"/>
              </w:rPr>
              <w:t>(1), (2)</w:t>
            </w:r>
          </w:p>
        </w:tc>
        <w:tc>
          <w:tcPr>
            <w:tcW w:w="1984" w:type="dxa"/>
            <w:tcBorders>
              <w:top w:val="single" w:sz="6" w:space="0" w:color="auto"/>
              <w:left w:val="single" w:sz="6" w:space="0" w:color="auto"/>
              <w:bottom w:val="single" w:sz="6" w:space="0" w:color="auto"/>
              <w:right w:val="single" w:sz="6" w:space="0" w:color="auto"/>
            </w:tcBorders>
            <w:vAlign w:val="center"/>
          </w:tcPr>
          <w:p w14:paraId="5C93A7C0" w14:textId="77777777" w:rsidR="00313E68" w:rsidRPr="008D31EE" w:rsidRDefault="00313E68" w:rsidP="00083B92">
            <w:pPr>
              <w:pStyle w:val="Tabletext"/>
              <w:jc w:val="center"/>
              <w:rPr>
                <w:lang w:val="en-US" w:eastAsia="ko-KR"/>
              </w:rPr>
            </w:pPr>
            <w:r w:rsidRPr="008D31EE">
              <w:rPr>
                <w:lang w:val="en-US" w:eastAsia="ko-KR"/>
              </w:rPr>
              <w:t xml:space="preserve">Average of more than 100 sweeps </w:t>
            </w:r>
          </w:p>
        </w:tc>
      </w:tr>
      <w:tr w:rsidR="00313E68" w:rsidRPr="00EE43FA" w14:paraId="63EA4833" w14:textId="77777777" w:rsidTr="00083B92">
        <w:trPr>
          <w:cantSplit/>
          <w:trHeight w:val="56"/>
          <w:jc w:val="center"/>
        </w:trPr>
        <w:tc>
          <w:tcPr>
            <w:tcW w:w="9002" w:type="dxa"/>
            <w:gridSpan w:val="3"/>
            <w:tcBorders>
              <w:top w:val="single" w:sz="6" w:space="0" w:color="auto"/>
              <w:left w:val="nil"/>
              <w:bottom w:val="nil"/>
              <w:right w:val="nil"/>
            </w:tcBorders>
            <w:vAlign w:val="center"/>
          </w:tcPr>
          <w:p w14:paraId="74B8D622" w14:textId="77777777" w:rsidR="00313E68" w:rsidRPr="008D31EE" w:rsidRDefault="00313E68" w:rsidP="00083B92">
            <w:pPr>
              <w:pStyle w:val="Tablelegend"/>
              <w:rPr>
                <w:lang w:val="en-US"/>
              </w:rPr>
            </w:pPr>
            <w:r w:rsidRPr="008D31EE">
              <w:rPr>
                <w:szCs w:val="22"/>
                <w:vertAlign w:val="superscript"/>
                <w:lang w:val="en-US" w:eastAsia="ko-KR"/>
              </w:rPr>
              <w:t>(1)</w:t>
            </w:r>
            <w:r w:rsidRPr="008D31EE">
              <w:rPr>
                <w:lang w:val="en-US" w:eastAsia="ko-KR"/>
              </w:rPr>
              <w:tab/>
            </w:r>
            <w:r w:rsidRPr="008D31EE">
              <w:rPr>
                <w:bCs/>
                <w:lang w:val="en-US" w:eastAsia="ko-KR"/>
              </w:rPr>
              <w:t xml:space="preserve">According to Recommendation ITU-R SM.328, the unit of these values is dBsd because </w:t>
            </w:r>
            <w:r w:rsidRPr="008D31EE">
              <w:rPr>
                <w:lang w:val="en-US" w:eastAsia="ko-KR"/>
              </w:rPr>
              <w:t>the reference level was chosen to the maximum value of power spectral density (psd) within the necessary bandwidth.</w:t>
            </w:r>
          </w:p>
          <w:p w14:paraId="71FBCCBC" w14:textId="77777777" w:rsidR="00313E68" w:rsidRPr="008D31EE" w:rsidRDefault="00313E68" w:rsidP="00083B92">
            <w:pPr>
              <w:pStyle w:val="Tablelegend"/>
              <w:rPr>
                <w:lang w:val="en-US" w:eastAsia="ko-KR"/>
              </w:rPr>
            </w:pPr>
            <w:r w:rsidRPr="008D31EE">
              <w:rPr>
                <w:szCs w:val="22"/>
                <w:vertAlign w:val="superscript"/>
                <w:lang w:val="en-US" w:eastAsia="ko-KR"/>
              </w:rPr>
              <w:t>(2)</w:t>
            </w:r>
            <w:r w:rsidRPr="008D31EE">
              <w:rPr>
                <w:lang w:val="en-US" w:eastAsia="ko-KR"/>
              </w:rPr>
              <w:tab/>
            </w:r>
            <w:r w:rsidRPr="008D31EE">
              <w:rPr>
                <w:bCs/>
                <w:lang w:val="en-US" w:eastAsia="ko-KR"/>
              </w:rPr>
              <w:t>This value is derived from experiments with T-DMB using a T-DAB network taken from Report ITU-R BT.2049</w:t>
            </w:r>
            <w:r w:rsidRPr="008D31EE">
              <w:rPr>
                <w:lang w:val="en-US" w:eastAsia="ko-KR"/>
              </w:rPr>
              <w:t>.</w:t>
            </w:r>
          </w:p>
        </w:tc>
      </w:tr>
    </w:tbl>
    <w:p w14:paraId="2DE0A8C4" w14:textId="77777777" w:rsidR="00313E68" w:rsidRDefault="00313E68" w:rsidP="00313E68">
      <w:pPr>
        <w:pStyle w:val="Tablefin"/>
      </w:pPr>
    </w:p>
    <w:p w14:paraId="1EB731AF" w14:textId="77777777" w:rsidR="009B7B6D" w:rsidRPr="009B7B6D" w:rsidRDefault="009B7B6D" w:rsidP="009B7B6D">
      <w:pPr>
        <w:rPr>
          <w:lang w:val="en-GB"/>
        </w:rPr>
      </w:pPr>
    </w:p>
    <w:p w14:paraId="74F9CF2D" w14:textId="77777777" w:rsidR="00934ED7" w:rsidRDefault="00313E68" w:rsidP="00313E68">
      <w:pPr>
        <w:rPr>
          <w:lang w:val="en-US"/>
        </w:rPr>
      </w:pPr>
      <w:r w:rsidRPr="008D31EE">
        <w:rPr>
          <w:lang w:val="en-US"/>
        </w:rPr>
        <w:t>The resulting value of the measurement is the estimation of the occupied bandwidth.</w:t>
      </w:r>
    </w:p>
    <w:p w14:paraId="2E8DF1ED" w14:textId="77777777" w:rsidR="00313E68" w:rsidRDefault="00313E68" w:rsidP="00313E68">
      <w:pPr>
        <w:rPr>
          <w:lang w:val="en-US"/>
        </w:rPr>
      </w:pPr>
    </w:p>
    <w:p w14:paraId="1686DF40" w14:textId="77777777" w:rsidR="00313E68" w:rsidRDefault="00313E68" w:rsidP="00313E68">
      <w:pPr>
        <w:rPr>
          <w:lang w:val="en-US"/>
        </w:rPr>
      </w:pPr>
    </w:p>
    <w:p w14:paraId="4F2F5F09" w14:textId="77777777" w:rsidR="00313E68" w:rsidRPr="00BF487A" w:rsidRDefault="00313E68" w:rsidP="00313E68">
      <w:pPr>
        <w:pStyle w:val="Line"/>
      </w:pPr>
    </w:p>
    <w:sectPr w:rsidR="00313E68"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82E23" w14:textId="77777777" w:rsidR="00870848" w:rsidRDefault="00870848">
      <w:r>
        <w:separator/>
      </w:r>
    </w:p>
  </w:endnote>
  <w:endnote w:type="continuationSeparator" w:id="0">
    <w:p w14:paraId="29CEA6AB" w14:textId="77777777"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41A30" w14:textId="77777777" w:rsidR="00870848" w:rsidRDefault="00870848">
      <w:r>
        <w:separator/>
      </w:r>
    </w:p>
  </w:footnote>
  <w:footnote w:type="continuationSeparator" w:id="0">
    <w:p w14:paraId="75C8ADB9" w14:textId="77777777" w:rsidR="00870848" w:rsidRDefault="00870848">
      <w:r>
        <w:continuationSeparator/>
      </w:r>
    </w:p>
  </w:footnote>
  <w:footnote w:id="1">
    <w:p w14:paraId="3AE4B1AB" w14:textId="77777777" w:rsidR="00313E68" w:rsidRPr="00313E68" w:rsidRDefault="00313E68" w:rsidP="004F0F0B">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sidR="004F0F0B">
        <w:rPr>
          <w:lang w:val="en-US" w:eastAsia="ko-KR"/>
        </w:rPr>
        <w:t>the year</w:t>
      </w:r>
      <w:r w:rsidR="00E76E47">
        <w:rPr>
          <w:lang w:val="en-US" w:eastAsia="ko-KR"/>
        </w:rPr>
        <w:t>s</w:t>
      </w:r>
      <w:r w:rsidR="004F0F0B">
        <w:rPr>
          <w:lang w:val="en-US" w:eastAsia="ko-KR"/>
        </w:rPr>
        <w:t xml:space="preserve"> </w:t>
      </w:r>
      <w:r w:rsidRPr="008266E4">
        <w:rPr>
          <w:lang w:val="en-US" w:eastAsia="ko-KR"/>
        </w:rPr>
        <w:t>201</w:t>
      </w:r>
      <w:r w:rsidR="004F0F0B">
        <w:rPr>
          <w:lang w:val="en-US" w:eastAsia="ko-KR"/>
        </w:rPr>
        <w:t>8</w:t>
      </w:r>
      <w:r w:rsidRPr="008266E4">
        <w:rPr>
          <w:lang w:val="en-US" w:eastAsia="ko-KR"/>
        </w:rPr>
        <w:t xml:space="preserve"> </w:t>
      </w:r>
      <w:r w:rsidR="00E76E47">
        <w:rPr>
          <w:lang w:val="en-US" w:eastAsia="ko-KR"/>
        </w:rPr>
        <w:t xml:space="preserve">and 2019 </w:t>
      </w:r>
      <w:r w:rsidRPr="008266E4">
        <w:rPr>
          <w:lang w:val="en-US"/>
        </w:rPr>
        <w:t>in accordance with Resolution ITU</w:t>
      </w:r>
      <w:r w:rsidRPr="008266E4">
        <w:rPr>
          <w:lang w:val="en-US"/>
        </w:rPr>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7FAC" w14:textId="77777777" w:rsidR="00601882" w:rsidRDefault="00601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B0845" w14:textId="77777777" w:rsidR="00601882" w:rsidRDefault="00BA4F93" w:rsidP="00B033C8">
    <w:pPr>
      <w:pStyle w:val="Header"/>
      <w:ind w:right="360" w:firstLine="360"/>
    </w:pPr>
    <w:r>
      <w:rPr>
        <w:noProof/>
        <w:lang w:val="en-US"/>
      </w:rPr>
      <w:drawing>
        <wp:anchor distT="0" distB="0" distL="114300" distR="114300" simplePos="0" relativeHeight="251657728" behindDoc="1" locked="0" layoutInCell="1" allowOverlap="1" wp14:anchorId="350E89BF" wp14:editId="09C7390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FE2E" w14:textId="59153825" w:rsidR="00601882" w:rsidRDefault="00626F34">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5C5C32">
      <w:rPr>
        <w:rStyle w:val="PageNumber"/>
        <w:b/>
        <w:bCs/>
        <w:noProof/>
        <w:lang w:val="en-US"/>
      </w:rPr>
      <w:t>2</w:t>
    </w:r>
    <w:r>
      <w:rPr>
        <w:rStyle w:val="PageNumber"/>
        <w:b/>
        <w:bCs/>
      </w:rPr>
      <w:fldChar w:fldCharType="end"/>
    </w:r>
    <w:r w:rsidR="00601882">
      <w:rPr>
        <w:lang w:val="en-US"/>
      </w:rPr>
      <w:tab/>
    </w:r>
    <w:r w:rsidR="005478D4">
      <w:rPr>
        <w:b/>
        <w:bCs/>
        <w:lang w:val="en-US"/>
      </w:rPr>
      <w:fldChar w:fldCharType="begin"/>
    </w:r>
    <w:r w:rsidR="005478D4">
      <w:rPr>
        <w:b/>
        <w:bCs/>
        <w:lang w:val="en-US"/>
      </w:rPr>
      <w:instrText xml:space="preserve"> DOCPROPERTY "Header" \* MERGEFORMAT </w:instrText>
    </w:r>
    <w:r w:rsidR="005478D4">
      <w:rPr>
        <w:b/>
        <w:bCs/>
        <w:lang w:val="en-US"/>
      </w:rPr>
      <w:fldChar w:fldCharType="separate"/>
    </w:r>
    <w:r w:rsidR="00EE43FA">
      <w:rPr>
        <w:b/>
        <w:bCs/>
        <w:lang w:val="en-US"/>
      </w:rPr>
      <w:t xml:space="preserve">Rec. </w:t>
    </w:r>
    <w:r w:rsidR="005478D4">
      <w:rPr>
        <w:b/>
        <w:bCs/>
        <w:lang w:val="en-US"/>
      </w:rPr>
      <w:fldChar w:fldCharType="end"/>
    </w:r>
    <w:r w:rsidR="00601882">
      <w:rPr>
        <w:b/>
        <w:bCs/>
      </w:rPr>
      <w:t xml:space="preserve"> </w:t>
    </w:r>
    <w:r>
      <w:rPr>
        <w:b/>
        <w:bCs/>
      </w:rPr>
      <w:fldChar w:fldCharType="begin"/>
    </w:r>
    <w:r w:rsidR="00601882">
      <w:rPr>
        <w:b/>
        <w:bCs/>
        <w:lang w:val="en-US"/>
      </w:rPr>
      <w:instrText>styleref href</w:instrText>
    </w:r>
    <w:r>
      <w:rPr>
        <w:b/>
        <w:bCs/>
      </w:rPr>
      <w:fldChar w:fldCharType="separate"/>
    </w:r>
    <w:r w:rsidR="00EE43FA">
      <w:rPr>
        <w:b/>
        <w:bCs/>
        <w:noProof/>
        <w:lang w:val="en-US"/>
      </w:rPr>
      <w:t>ITU-R  SM.443-4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630DF" w14:textId="13713A8B" w:rsidR="00601882" w:rsidRDefault="00601882">
    <w:pPr>
      <w:pStyle w:val="Header"/>
    </w:pPr>
    <w:r>
      <w:tab/>
    </w:r>
    <w:r w:rsidR="005478D4">
      <w:rPr>
        <w:b/>
        <w:bCs/>
      </w:rPr>
      <w:fldChar w:fldCharType="begin"/>
    </w:r>
    <w:r w:rsidR="005478D4">
      <w:rPr>
        <w:b/>
        <w:bCs/>
      </w:rPr>
      <w:instrText xml:space="preserve"> DOCPROPERTY "Header" \* MERGEFORMAT </w:instrText>
    </w:r>
    <w:r w:rsidR="005478D4">
      <w:rPr>
        <w:b/>
        <w:bCs/>
      </w:rPr>
      <w:fldChar w:fldCharType="separate"/>
    </w:r>
    <w:r w:rsidR="00EE43FA">
      <w:rPr>
        <w:b/>
        <w:bCs/>
      </w:rPr>
      <w:t xml:space="preserve">Rec. </w:t>
    </w:r>
    <w:r w:rsidR="005478D4">
      <w:rPr>
        <w:b/>
        <w:bCs/>
      </w:rPr>
      <w:fldChar w:fldCharType="end"/>
    </w:r>
    <w:r>
      <w:rPr>
        <w:b/>
        <w:bCs/>
      </w:rPr>
      <w:t xml:space="preserve"> </w:t>
    </w:r>
    <w:r w:rsidR="00626F34">
      <w:rPr>
        <w:b/>
        <w:bCs/>
      </w:rPr>
      <w:fldChar w:fldCharType="begin"/>
    </w:r>
    <w:r>
      <w:rPr>
        <w:b/>
        <w:bCs/>
      </w:rPr>
      <w:instrText>styleref href</w:instrText>
    </w:r>
    <w:r w:rsidR="00626F34">
      <w:rPr>
        <w:b/>
        <w:bCs/>
      </w:rPr>
      <w:fldChar w:fldCharType="separate"/>
    </w:r>
    <w:r w:rsidR="00EE43FA">
      <w:rPr>
        <w:b/>
        <w:bCs/>
        <w:noProof/>
      </w:rPr>
      <w:t>ITU-R  SM.443-4</w:t>
    </w:r>
    <w:r w:rsidR="00626F34">
      <w:rPr>
        <w:b/>
        <w:bCs/>
      </w:rPr>
      <w:fldChar w:fldCharType="end"/>
    </w:r>
    <w:r>
      <w:tab/>
    </w:r>
    <w:r w:rsidR="00626F34">
      <w:rPr>
        <w:rStyle w:val="PageNumber"/>
        <w:b/>
        <w:bCs/>
      </w:rPr>
      <w:fldChar w:fldCharType="begin"/>
    </w:r>
    <w:r>
      <w:rPr>
        <w:rStyle w:val="PageNumber"/>
        <w:b/>
        <w:bCs/>
      </w:rPr>
      <w:instrText xml:space="preserve"> PAGE </w:instrText>
    </w:r>
    <w:r w:rsidR="00626F34">
      <w:rPr>
        <w:rStyle w:val="PageNumber"/>
        <w:b/>
        <w:bCs/>
      </w:rPr>
      <w:fldChar w:fldCharType="separate"/>
    </w:r>
    <w:r w:rsidR="005C5C32">
      <w:rPr>
        <w:rStyle w:val="PageNumber"/>
        <w:b/>
        <w:bCs/>
        <w:noProof/>
      </w:rPr>
      <w:t>1</w:t>
    </w:r>
    <w:r w:rsidR="00626F3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3002"/>
    <w:rsid w:val="00036EE3"/>
    <w:rsid w:val="00072484"/>
    <w:rsid w:val="00096612"/>
    <w:rsid w:val="000B7683"/>
    <w:rsid w:val="000D0677"/>
    <w:rsid w:val="000E6A6E"/>
    <w:rsid w:val="00102934"/>
    <w:rsid w:val="00147110"/>
    <w:rsid w:val="001511A6"/>
    <w:rsid w:val="001517DB"/>
    <w:rsid w:val="002058CE"/>
    <w:rsid w:val="002165F1"/>
    <w:rsid w:val="00276D21"/>
    <w:rsid w:val="00296D7F"/>
    <w:rsid w:val="002B3CF6"/>
    <w:rsid w:val="002C768A"/>
    <w:rsid w:val="002D76C4"/>
    <w:rsid w:val="002F5199"/>
    <w:rsid w:val="00305A41"/>
    <w:rsid w:val="00313E68"/>
    <w:rsid w:val="00356B5D"/>
    <w:rsid w:val="003B7D8D"/>
    <w:rsid w:val="00410C15"/>
    <w:rsid w:val="00420DFD"/>
    <w:rsid w:val="00437A76"/>
    <w:rsid w:val="00470E28"/>
    <w:rsid w:val="004934C5"/>
    <w:rsid w:val="004F0F0B"/>
    <w:rsid w:val="005478D4"/>
    <w:rsid w:val="00556548"/>
    <w:rsid w:val="00586EF8"/>
    <w:rsid w:val="005A127F"/>
    <w:rsid w:val="005B49AB"/>
    <w:rsid w:val="005B50E7"/>
    <w:rsid w:val="005C5C32"/>
    <w:rsid w:val="005E7B4F"/>
    <w:rsid w:val="00601882"/>
    <w:rsid w:val="00607D68"/>
    <w:rsid w:val="00613212"/>
    <w:rsid w:val="006149B1"/>
    <w:rsid w:val="00626F34"/>
    <w:rsid w:val="00680D2B"/>
    <w:rsid w:val="00681B32"/>
    <w:rsid w:val="006B1D2B"/>
    <w:rsid w:val="006E1131"/>
    <w:rsid w:val="006E2037"/>
    <w:rsid w:val="006E6199"/>
    <w:rsid w:val="00712870"/>
    <w:rsid w:val="00743D85"/>
    <w:rsid w:val="00753CF4"/>
    <w:rsid w:val="007565CC"/>
    <w:rsid w:val="00763B9A"/>
    <w:rsid w:val="007A6AA8"/>
    <w:rsid w:val="008310C9"/>
    <w:rsid w:val="00853CC5"/>
    <w:rsid w:val="008640FE"/>
    <w:rsid w:val="00870848"/>
    <w:rsid w:val="008C7848"/>
    <w:rsid w:val="008E1BA0"/>
    <w:rsid w:val="00906589"/>
    <w:rsid w:val="00906AD6"/>
    <w:rsid w:val="00917AF2"/>
    <w:rsid w:val="0092418A"/>
    <w:rsid w:val="00934ED7"/>
    <w:rsid w:val="009543C3"/>
    <w:rsid w:val="00966E1B"/>
    <w:rsid w:val="0098396E"/>
    <w:rsid w:val="009947C0"/>
    <w:rsid w:val="009B7B6D"/>
    <w:rsid w:val="009E3058"/>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87B6B"/>
    <w:rsid w:val="00BA4F93"/>
    <w:rsid w:val="00BC5D77"/>
    <w:rsid w:val="00BF487A"/>
    <w:rsid w:val="00C04F61"/>
    <w:rsid w:val="00C46BD9"/>
    <w:rsid w:val="00C55258"/>
    <w:rsid w:val="00C73560"/>
    <w:rsid w:val="00CB0F14"/>
    <w:rsid w:val="00CD659B"/>
    <w:rsid w:val="00CE0A43"/>
    <w:rsid w:val="00D5641E"/>
    <w:rsid w:val="00D83556"/>
    <w:rsid w:val="00DF4176"/>
    <w:rsid w:val="00E17240"/>
    <w:rsid w:val="00E74595"/>
    <w:rsid w:val="00E76E47"/>
    <w:rsid w:val="00EB7C57"/>
    <w:rsid w:val="00ED2695"/>
    <w:rsid w:val="00EE43FA"/>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7409">
      <o:colormru v:ext="edit" colors="#d62a47"/>
      <o:colormenu v:ext="edit" strokecolor="#d62a47"/>
    </o:shapedefaults>
    <o:shapelayout v:ext="edit">
      <o:idmap v:ext="edit" data="1"/>
    </o:shapelayout>
  </w:shapeDefaults>
  <w:decimalSymbol w:val="."/>
  <w:listSeparator w:val=","/>
  <w14:docId w14:val="62AD01C3"/>
  <w15:docId w15:val="{93A2925C-762B-4FAC-8F70-9820FE5C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F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A4F93"/>
    <w:pPr>
      <w:keepNext/>
      <w:keepLines/>
      <w:spacing w:before="480"/>
      <w:ind w:left="794" w:hanging="794"/>
      <w:outlineLvl w:val="0"/>
    </w:pPr>
    <w:rPr>
      <w:b/>
    </w:rPr>
  </w:style>
  <w:style w:type="paragraph" w:styleId="Heading2">
    <w:name w:val="heading 2"/>
    <w:basedOn w:val="Heading1"/>
    <w:next w:val="Normal"/>
    <w:qFormat/>
    <w:rsid w:val="00BA4F93"/>
    <w:pPr>
      <w:spacing w:before="320"/>
      <w:outlineLvl w:val="1"/>
    </w:pPr>
  </w:style>
  <w:style w:type="paragraph" w:styleId="Heading3">
    <w:name w:val="heading 3"/>
    <w:basedOn w:val="Heading1"/>
    <w:next w:val="Normal"/>
    <w:qFormat/>
    <w:rsid w:val="00BA4F93"/>
    <w:pPr>
      <w:spacing w:before="200"/>
      <w:outlineLvl w:val="2"/>
    </w:pPr>
  </w:style>
  <w:style w:type="paragraph" w:styleId="Heading4">
    <w:name w:val="heading 4"/>
    <w:basedOn w:val="Heading3"/>
    <w:next w:val="Normal"/>
    <w:qFormat/>
    <w:rsid w:val="00BA4F93"/>
    <w:pPr>
      <w:tabs>
        <w:tab w:val="clear" w:pos="794"/>
        <w:tab w:val="left" w:pos="992"/>
      </w:tabs>
      <w:ind w:left="992" w:hanging="992"/>
      <w:outlineLvl w:val="3"/>
    </w:pPr>
  </w:style>
  <w:style w:type="paragraph" w:styleId="Heading5">
    <w:name w:val="heading 5"/>
    <w:basedOn w:val="Heading4"/>
    <w:next w:val="Normal"/>
    <w:qFormat/>
    <w:rsid w:val="00BA4F93"/>
    <w:pPr>
      <w:outlineLvl w:val="4"/>
    </w:pPr>
  </w:style>
  <w:style w:type="paragraph" w:styleId="Heading6">
    <w:name w:val="heading 6"/>
    <w:basedOn w:val="Heading4"/>
    <w:next w:val="Normal"/>
    <w:qFormat/>
    <w:rsid w:val="00BA4F93"/>
    <w:pPr>
      <w:tabs>
        <w:tab w:val="clear" w:pos="992"/>
        <w:tab w:val="clear" w:pos="1191"/>
      </w:tabs>
      <w:ind w:left="1588" w:hanging="1588"/>
      <w:outlineLvl w:val="5"/>
    </w:pPr>
  </w:style>
  <w:style w:type="paragraph" w:styleId="Heading7">
    <w:name w:val="heading 7"/>
    <w:basedOn w:val="Heading6"/>
    <w:next w:val="Normal"/>
    <w:qFormat/>
    <w:rsid w:val="00BA4F93"/>
    <w:pPr>
      <w:outlineLvl w:val="6"/>
    </w:pPr>
  </w:style>
  <w:style w:type="paragraph" w:styleId="Heading8">
    <w:name w:val="heading 8"/>
    <w:basedOn w:val="Heading6"/>
    <w:next w:val="Normal"/>
    <w:qFormat/>
    <w:rsid w:val="00BA4F93"/>
    <w:pPr>
      <w:outlineLvl w:val="7"/>
    </w:pPr>
  </w:style>
  <w:style w:type="paragraph" w:styleId="Heading9">
    <w:name w:val="heading 9"/>
    <w:basedOn w:val="Heading6"/>
    <w:next w:val="Normal"/>
    <w:qFormat/>
    <w:rsid w:val="00BA4F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F9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A4F9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4F93"/>
  </w:style>
  <w:style w:type="paragraph" w:customStyle="1" w:styleId="Headingb">
    <w:name w:val="Heading_b"/>
    <w:basedOn w:val="Heading3"/>
    <w:next w:val="Normal"/>
    <w:link w:val="HeadingbChar"/>
    <w:qFormat/>
    <w:rsid w:val="00BA4F93"/>
    <w:pPr>
      <w:spacing w:before="160"/>
      <w:ind w:left="0" w:firstLine="0"/>
      <w:outlineLvl w:val="9"/>
    </w:pPr>
  </w:style>
  <w:style w:type="paragraph" w:customStyle="1" w:styleId="Headingi">
    <w:name w:val="Heading_i"/>
    <w:basedOn w:val="Heading3"/>
    <w:next w:val="Normal"/>
    <w:rsid w:val="00BA4F93"/>
    <w:pPr>
      <w:spacing w:before="160"/>
      <w:ind w:left="0" w:firstLine="0"/>
    </w:pPr>
    <w:rPr>
      <w:b w:val="0"/>
      <w:i/>
    </w:rPr>
  </w:style>
  <w:style w:type="character" w:customStyle="1" w:styleId="href">
    <w:name w:val="href"/>
    <w:basedOn w:val="DefaultParagraphFont"/>
    <w:rsid w:val="00BA4F93"/>
  </w:style>
  <w:style w:type="paragraph" w:customStyle="1" w:styleId="AnnexNoTitle">
    <w:name w:val="Annex_NoTitle"/>
    <w:basedOn w:val="Normal"/>
    <w:next w:val="Normalaftertitle"/>
    <w:rsid w:val="004F0F0B"/>
    <w:pPr>
      <w:keepNext/>
      <w:keepLines/>
      <w:spacing w:before="480" w:after="80"/>
      <w:jc w:val="center"/>
      <w:outlineLvl w:val="0"/>
    </w:pPr>
    <w:rPr>
      <w:b/>
      <w:sz w:val="28"/>
    </w:rPr>
  </w:style>
  <w:style w:type="paragraph" w:customStyle="1" w:styleId="Normalaftertitle">
    <w:name w:val="Normal_after_title"/>
    <w:basedOn w:val="Normal"/>
    <w:next w:val="Normal"/>
    <w:rsid w:val="00BA4F93"/>
    <w:pPr>
      <w:spacing w:before="320"/>
    </w:pPr>
  </w:style>
  <w:style w:type="paragraph" w:customStyle="1" w:styleId="enumlev2">
    <w:name w:val="enumlev2"/>
    <w:basedOn w:val="enumlev1"/>
    <w:rsid w:val="00BA4F93"/>
    <w:pPr>
      <w:ind w:left="1191" w:hanging="397"/>
    </w:pPr>
  </w:style>
  <w:style w:type="paragraph" w:customStyle="1" w:styleId="enumlev1">
    <w:name w:val="enumlev1"/>
    <w:basedOn w:val="Normal"/>
    <w:rsid w:val="00BA4F93"/>
    <w:pPr>
      <w:spacing w:before="80"/>
      <w:ind w:left="794" w:hanging="794"/>
    </w:pPr>
  </w:style>
  <w:style w:type="paragraph" w:customStyle="1" w:styleId="enumlev3">
    <w:name w:val="enumlev3"/>
    <w:basedOn w:val="enumlev2"/>
    <w:rsid w:val="00BA4F93"/>
    <w:pPr>
      <w:ind w:left="1588"/>
    </w:pPr>
  </w:style>
  <w:style w:type="paragraph" w:customStyle="1" w:styleId="Note">
    <w:name w:val="Note"/>
    <w:basedOn w:val="Normal"/>
    <w:rsid w:val="00BA4F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4F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A4F93"/>
    <w:pPr>
      <w:keepNext/>
      <w:keepLines/>
      <w:spacing w:before="240"/>
      <w:jc w:val="center"/>
    </w:pPr>
    <w:rPr>
      <w:b/>
      <w:sz w:val="28"/>
    </w:rPr>
  </w:style>
  <w:style w:type="paragraph" w:customStyle="1" w:styleId="Recref">
    <w:name w:val="Rec_ref"/>
    <w:basedOn w:val="Normal"/>
    <w:next w:val="Recdate"/>
    <w:rsid w:val="00BA4F93"/>
    <w:pPr>
      <w:jc w:val="center"/>
    </w:pPr>
  </w:style>
  <w:style w:type="paragraph" w:customStyle="1" w:styleId="Recdate">
    <w:name w:val="Rec_date"/>
    <w:basedOn w:val="Recref"/>
    <w:next w:val="Normalaftertitle"/>
    <w:rsid w:val="00BA4F93"/>
    <w:pPr>
      <w:jc w:val="right"/>
    </w:pPr>
  </w:style>
  <w:style w:type="paragraph" w:customStyle="1" w:styleId="HeadingSum">
    <w:name w:val="Heading_Sum"/>
    <w:basedOn w:val="Headingb"/>
    <w:next w:val="Normal"/>
    <w:rsid w:val="00BA4F93"/>
    <w:pPr>
      <w:spacing w:before="240"/>
    </w:pPr>
    <w:rPr>
      <w:sz w:val="22"/>
      <w:lang w:val="es-ES_tradnl"/>
    </w:rPr>
  </w:style>
  <w:style w:type="paragraph" w:customStyle="1" w:styleId="AppendixNoTitle">
    <w:name w:val="Appendix_NoTitle"/>
    <w:basedOn w:val="AnnexNoTitle"/>
    <w:next w:val="Normal"/>
    <w:rsid w:val="00BA4F93"/>
  </w:style>
  <w:style w:type="paragraph" w:customStyle="1" w:styleId="Tablefin">
    <w:name w:val="Table_fin"/>
    <w:basedOn w:val="Normal"/>
    <w:next w:val="Normal"/>
    <w:rsid w:val="00BA4F93"/>
    <w:pPr>
      <w:spacing w:before="0"/>
    </w:pPr>
    <w:rPr>
      <w:sz w:val="20"/>
      <w:lang w:val="en-GB"/>
    </w:rPr>
  </w:style>
  <w:style w:type="paragraph" w:customStyle="1" w:styleId="Tablehead">
    <w:name w:val="Table_head"/>
    <w:basedOn w:val="Normal"/>
    <w:next w:val="Normal"/>
    <w:rsid w:val="00BA4F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4F93"/>
    <w:pPr>
      <w:keepNext/>
      <w:spacing w:before="360" w:after="120"/>
      <w:jc w:val="center"/>
    </w:pPr>
  </w:style>
  <w:style w:type="paragraph" w:customStyle="1" w:styleId="Tabletext">
    <w:name w:val="Table_text"/>
    <w:basedOn w:val="Normal"/>
    <w:rsid w:val="00BA4F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4F93"/>
    <w:pPr>
      <w:tabs>
        <w:tab w:val="clear" w:pos="1191"/>
        <w:tab w:val="clear" w:pos="1588"/>
        <w:tab w:val="clear" w:pos="1985"/>
        <w:tab w:val="center" w:pos="4820"/>
        <w:tab w:val="right" w:pos="9639"/>
      </w:tabs>
    </w:pPr>
  </w:style>
  <w:style w:type="paragraph" w:customStyle="1" w:styleId="Equationlegend">
    <w:name w:val="Equation_legend"/>
    <w:basedOn w:val="NormalIndent"/>
    <w:rsid w:val="00BA4F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4F93"/>
    <w:pPr>
      <w:ind w:left="794"/>
    </w:pPr>
  </w:style>
  <w:style w:type="paragraph" w:customStyle="1" w:styleId="Figurelegend">
    <w:name w:val="Figure_legend"/>
    <w:basedOn w:val="Normal"/>
    <w:rsid w:val="00BA4F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4F93"/>
    <w:pPr>
      <w:keepNext/>
      <w:keepLines/>
      <w:spacing w:before="480" w:after="80"/>
      <w:jc w:val="center"/>
    </w:pPr>
    <w:rPr>
      <w:caps/>
      <w:sz w:val="18"/>
    </w:rPr>
  </w:style>
  <w:style w:type="paragraph" w:customStyle="1" w:styleId="Figuretitle">
    <w:name w:val="Figure_title"/>
    <w:basedOn w:val="Normal"/>
    <w:next w:val="Figure"/>
    <w:rsid w:val="00BA4F93"/>
    <w:pPr>
      <w:keepNext/>
      <w:spacing w:before="0" w:after="120"/>
      <w:jc w:val="center"/>
    </w:pPr>
    <w:rPr>
      <w:rFonts w:ascii="Times New Roman Bold" w:hAnsi="Times New Roman Bold"/>
      <w:b/>
      <w:sz w:val="18"/>
    </w:rPr>
  </w:style>
  <w:style w:type="paragraph" w:customStyle="1" w:styleId="Figure">
    <w:name w:val="Figure"/>
    <w:basedOn w:val="FigureNo"/>
    <w:next w:val="Normal"/>
    <w:rsid w:val="00BA4F93"/>
    <w:pPr>
      <w:keepNext w:val="0"/>
      <w:spacing w:before="0" w:after="240"/>
    </w:pPr>
  </w:style>
  <w:style w:type="paragraph" w:customStyle="1" w:styleId="tocpart">
    <w:name w:val="tocpart"/>
    <w:basedOn w:val="Normal"/>
    <w:rsid w:val="00BA4F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4F93"/>
    <w:pPr>
      <w:keepNext/>
      <w:keepLines/>
      <w:spacing w:before="480"/>
      <w:jc w:val="center"/>
    </w:pPr>
    <w:rPr>
      <w:sz w:val="28"/>
    </w:rPr>
  </w:style>
  <w:style w:type="paragraph" w:customStyle="1" w:styleId="Arttitle">
    <w:name w:val="Art_title"/>
    <w:basedOn w:val="Normal"/>
    <w:next w:val="Normalaftertitle"/>
    <w:rsid w:val="00BA4F93"/>
    <w:pPr>
      <w:keepNext/>
      <w:keepLines/>
      <w:spacing w:before="240"/>
      <w:jc w:val="center"/>
    </w:pPr>
    <w:rPr>
      <w:b/>
      <w:sz w:val="28"/>
    </w:rPr>
  </w:style>
  <w:style w:type="paragraph" w:customStyle="1" w:styleId="Blanc">
    <w:name w:val="Blanc"/>
    <w:basedOn w:val="Normal"/>
    <w:next w:val="Tabletext"/>
    <w:rsid w:val="00BA4F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4F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4F93"/>
    <w:pPr>
      <w:keepNext/>
      <w:keepLines/>
      <w:spacing w:before="160"/>
      <w:ind w:left="794"/>
    </w:pPr>
    <w:rPr>
      <w:i/>
    </w:rPr>
  </w:style>
  <w:style w:type="paragraph" w:customStyle="1" w:styleId="ChapNo">
    <w:name w:val="Chap_No"/>
    <w:basedOn w:val="ArtNo"/>
    <w:next w:val="Chaptitle"/>
    <w:rsid w:val="00BA4F93"/>
    <w:rPr>
      <w:b/>
    </w:rPr>
  </w:style>
  <w:style w:type="paragraph" w:customStyle="1" w:styleId="Chaptitle">
    <w:name w:val="Chap_title"/>
    <w:basedOn w:val="Arttitle"/>
    <w:next w:val="Normalaftertitle"/>
    <w:rsid w:val="00BA4F93"/>
  </w:style>
  <w:style w:type="character" w:styleId="FootnoteReference">
    <w:name w:val="footnote reference"/>
    <w:basedOn w:val="DefaultParagraphFont"/>
    <w:semiHidden/>
    <w:rsid w:val="00BA4F93"/>
    <w:rPr>
      <w:position w:val="6"/>
      <w:sz w:val="18"/>
    </w:rPr>
  </w:style>
  <w:style w:type="paragraph" w:styleId="FootnoteText">
    <w:name w:val="footnote text"/>
    <w:basedOn w:val="Normal"/>
    <w:semiHidden/>
    <w:rsid w:val="00BA4F93"/>
    <w:pPr>
      <w:keepLines/>
      <w:tabs>
        <w:tab w:val="left" w:pos="255"/>
      </w:tabs>
      <w:ind w:left="255" w:hanging="255"/>
    </w:pPr>
    <w:rPr>
      <w:sz w:val="22"/>
    </w:rPr>
  </w:style>
  <w:style w:type="paragraph" w:styleId="Index1">
    <w:name w:val="index 1"/>
    <w:basedOn w:val="Normal"/>
    <w:next w:val="Normal"/>
    <w:semiHidden/>
    <w:rsid w:val="00BA4F93"/>
  </w:style>
  <w:style w:type="paragraph" w:styleId="Index2">
    <w:name w:val="index 2"/>
    <w:basedOn w:val="Normal"/>
    <w:next w:val="Normal"/>
    <w:semiHidden/>
    <w:rsid w:val="00BA4F93"/>
    <w:pPr>
      <w:ind w:left="283"/>
    </w:pPr>
  </w:style>
  <w:style w:type="paragraph" w:styleId="Index3">
    <w:name w:val="index 3"/>
    <w:basedOn w:val="Normal"/>
    <w:next w:val="Normal"/>
    <w:semiHidden/>
    <w:rsid w:val="00BA4F93"/>
    <w:pPr>
      <w:ind w:left="566"/>
    </w:pPr>
  </w:style>
  <w:style w:type="paragraph" w:styleId="IndexHeading">
    <w:name w:val="index heading"/>
    <w:basedOn w:val="Normal"/>
    <w:next w:val="Index1"/>
    <w:semiHidden/>
    <w:rsid w:val="00BA4F93"/>
  </w:style>
  <w:style w:type="paragraph" w:customStyle="1" w:styleId="Line">
    <w:name w:val="Line"/>
    <w:basedOn w:val="Normal"/>
    <w:next w:val="Normal"/>
    <w:rsid w:val="00BA4F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4F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4F93"/>
  </w:style>
  <w:style w:type="paragraph" w:customStyle="1" w:styleId="Partref">
    <w:name w:val="Part_ref"/>
    <w:basedOn w:val="Normal"/>
    <w:next w:val="Normal"/>
    <w:rsid w:val="00BA4F93"/>
    <w:pPr>
      <w:keepNext/>
      <w:keepLines/>
      <w:spacing w:after="280"/>
      <w:jc w:val="center"/>
    </w:pPr>
  </w:style>
  <w:style w:type="paragraph" w:customStyle="1" w:styleId="Parttitle">
    <w:name w:val="Part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4F93"/>
  </w:style>
  <w:style w:type="paragraph" w:customStyle="1" w:styleId="QuestionNo">
    <w:name w:val="Question_No"/>
    <w:basedOn w:val="RecNo"/>
    <w:next w:val="Normal"/>
    <w:rsid w:val="00BA4F93"/>
  </w:style>
  <w:style w:type="paragraph" w:customStyle="1" w:styleId="Questionref">
    <w:name w:val="Question_ref"/>
    <w:basedOn w:val="Recref"/>
    <w:next w:val="Questiondate"/>
    <w:rsid w:val="00BA4F93"/>
  </w:style>
  <w:style w:type="paragraph" w:customStyle="1" w:styleId="Questiontitle">
    <w:name w:val="Question_title"/>
    <w:basedOn w:val="Normal"/>
    <w:next w:val="Questionref"/>
    <w:rsid w:val="00BA4F93"/>
  </w:style>
  <w:style w:type="paragraph" w:customStyle="1" w:styleId="Reftext">
    <w:name w:val="Ref_text"/>
    <w:basedOn w:val="Normal"/>
    <w:rsid w:val="00BA4F93"/>
    <w:pPr>
      <w:ind w:left="794" w:hanging="794"/>
    </w:pPr>
    <w:rPr>
      <w:sz w:val="22"/>
    </w:rPr>
  </w:style>
  <w:style w:type="paragraph" w:customStyle="1" w:styleId="Reftitle">
    <w:name w:val="Ref_title"/>
    <w:basedOn w:val="Normal"/>
    <w:next w:val="Reftext"/>
    <w:rsid w:val="00BA4F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4F93"/>
  </w:style>
  <w:style w:type="paragraph" w:customStyle="1" w:styleId="RepNo">
    <w:name w:val="Rep_No"/>
    <w:basedOn w:val="RecNo"/>
    <w:next w:val="Reptitle"/>
    <w:rsid w:val="00BA4F93"/>
  </w:style>
  <w:style w:type="paragraph" w:customStyle="1" w:styleId="Reptitle">
    <w:name w:val="Rep_title"/>
    <w:basedOn w:val="Rectitle"/>
    <w:next w:val="Repref"/>
    <w:rsid w:val="00BA4F93"/>
  </w:style>
  <w:style w:type="paragraph" w:customStyle="1" w:styleId="Repref">
    <w:name w:val="Rep_ref"/>
    <w:basedOn w:val="Recref"/>
    <w:next w:val="Repdate"/>
    <w:rsid w:val="00BA4F93"/>
  </w:style>
  <w:style w:type="paragraph" w:customStyle="1" w:styleId="Resdate">
    <w:name w:val="Res_date"/>
    <w:basedOn w:val="Recdate"/>
    <w:next w:val="Normalaftertitle"/>
    <w:rsid w:val="00BA4F93"/>
  </w:style>
  <w:style w:type="paragraph" w:customStyle="1" w:styleId="ResNo">
    <w:name w:val="Res_No"/>
    <w:basedOn w:val="RecNo"/>
    <w:next w:val="Restitle"/>
    <w:rsid w:val="00BA4F93"/>
  </w:style>
  <w:style w:type="paragraph" w:customStyle="1" w:styleId="Restitle">
    <w:name w:val="Res_title"/>
    <w:basedOn w:val="Normal"/>
    <w:next w:val="Resref"/>
    <w:rsid w:val="00BA4F93"/>
    <w:pPr>
      <w:spacing w:before="240"/>
      <w:jc w:val="center"/>
    </w:pPr>
    <w:rPr>
      <w:b/>
      <w:sz w:val="28"/>
    </w:rPr>
  </w:style>
  <w:style w:type="paragraph" w:customStyle="1" w:styleId="Resref">
    <w:name w:val="Res_ref"/>
    <w:basedOn w:val="Recref"/>
    <w:next w:val="Resdate"/>
    <w:rsid w:val="00BA4F93"/>
  </w:style>
  <w:style w:type="paragraph" w:customStyle="1" w:styleId="SectionNo">
    <w:name w:val="Section_No"/>
    <w:basedOn w:val="Normal"/>
    <w:next w:val="Normal"/>
    <w:rsid w:val="00BA4F93"/>
  </w:style>
  <w:style w:type="paragraph" w:customStyle="1" w:styleId="Sectiontitle">
    <w:name w:val="Section_title"/>
    <w:basedOn w:val="Normal"/>
    <w:next w:val="Normalaftertitle"/>
    <w:rsid w:val="00BA4F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4F93"/>
    <w:pPr>
      <w:tabs>
        <w:tab w:val="clear" w:pos="794"/>
        <w:tab w:val="clear" w:pos="1191"/>
        <w:tab w:val="clear" w:pos="1588"/>
        <w:tab w:val="clear" w:pos="1985"/>
        <w:tab w:val="right" w:pos="9611"/>
      </w:tabs>
    </w:pPr>
    <w:rPr>
      <w:i/>
    </w:rPr>
  </w:style>
  <w:style w:type="paragraph" w:styleId="TOC1">
    <w:name w:val="toc 1"/>
    <w:basedOn w:val="Normal"/>
    <w:semiHidden/>
    <w:rsid w:val="00BA4F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A4F93"/>
    <w:pPr>
      <w:tabs>
        <w:tab w:val="clear" w:pos="567"/>
        <w:tab w:val="left" w:pos="1276"/>
      </w:tabs>
      <w:spacing w:before="160"/>
      <w:ind w:left="1276" w:hanging="709"/>
    </w:pPr>
  </w:style>
  <w:style w:type="paragraph" w:styleId="TOC3">
    <w:name w:val="toc 3"/>
    <w:basedOn w:val="TOC2"/>
    <w:semiHidden/>
    <w:rsid w:val="00BA4F93"/>
    <w:pPr>
      <w:tabs>
        <w:tab w:val="clear" w:pos="1276"/>
        <w:tab w:val="left" w:pos="2155"/>
      </w:tabs>
      <w:ind w:left="2155" w:hanging="879"/>
    </w:pPr>
  </w:style>
  <w:style w:type="paragraph" w:styleId="TOC4">
    <w:name w:val="toc 4"/>
    <w:basedOn w:val="TOC3"/>
    <w:semiHidden/>
    <w:rsid w:val="00BA4F93"/>
    <w:pPr>
      <w:tabs>
        <w:tab w:val="left" w:pos="3261"/>
      </w:tabs>
      <w:spacing w:before="80"/>
      <w:ind w:left="3261" w:hanging="993"/>
    </w:pPr>
  </w:style>
  <w:style w:type="paragraph" w:styleId="TOC5">
    <w:name w:val="toc 5"/>
    <w:basedOn w:val="TOC4"/>
    <w:semiHidden/>
    <w:rsid w:val="00BA4F93"/>
  </w:style>
  <w:style w:type="paragraph" w:styleId="TOC6">
    <w:name w:val="toc 6"/>
    <w:basedOn w:val="TOC4"/>
    <w:semiHidden/>
    <w:rsid w:val="00BA4F93"/>
  </w:style>
  <w:style w:type="paragraph" w:styleId="TOC7">
    <w:name w:val="toc 7"/>
    <w:basedOn w:val="TOC4"/>
    <w:semiHidden/>
    <w:rsid w:val="00BA4F93"/>
  </w:style>
  <w:style w:type="paragraph" w:styleId="TOC8">
    <w:name w:val="toc 8"/>
    <w:basedOn w:val="TOC4"/>
    <w:semiHidden/>
    <w:rsid w:val="00BA4F93"/>
  </w:style>
  <w:style w:type="paragraph" w:customStyle="1" w:styleId="Annexref">
    <w:name w:val="Annex_ref"/>
    <w:basedOn w:val="Normal"/>
    <w:next w:val="Normalaftertitle"/>
    <w:rsid w:val="00BA4F93"/>
    <w:pPr>
      <w:keepNext/>
      <w:keepLines/>
      <w:spacing w:after="280"/>
      <w:jc w:val="center"/>
    </w:pPr>
  </w:style>
  <w:style w:type="paragraph" w:customStyle="1" w:styleId="Appendixref">
    <w:name w:val="Appendix_ref"/>
    <w:basedOn w:val="Annexref"/>
    <w:next w:val="Normalaftertitle"/>
    <w:rsid w:val="00BA4F93"/>
  </w:style>
  <w:style w:type="paragraph" w:customStyle="1" w:styleId="Tabletitle">
    <w:name w:val="Table_title"/>
    <w:basedOn w:val="Normal"/>
    <w:next w:val="Tablehead"/>
    <w:rsid w:val="00BA4F93"/>
    <w:pPr>
      <w:keepNext/>
      <w:spacing w:before="0" w:after="120"/>
      <w:jc w:val="center"/>
    </w:pPr>
    <w:rPr>
      <w:b/>
    </w:rPr>
  </w:style>
  <w:style w:type="paragraph" w:customStyle="1" w:styleId="Summary">
    <w:name w:val="Summary"/>
    <w:basedOn w:val="Normal"/>
    <w:next w:val="Normalaftertitle"/>
    <w:rsid w:val="00BA4F93"/>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BA4F93"/>
    <w:pPr>
      <w:ind w:left="-85" w:firstLine="0"/>
    </w:pPr>
    <w:rPr>
      <w:lang w:val="en-US"/>
    </w:rPr>
  </w:style>
  <w:style w:type="character" w:customStyle="1" w:styleId="HeadingbChar">
    <w:name w:val="Heading_b Char"/>
    <w:link w:val="Headingb"/>
    <w:locked/>
    <w:rsid w:val="00E76E4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79BFB-7166-4B04-8EB5-705D32C65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11</Pages>
  <Words>2690</Words>
  <Characters>14583</Characters>
  <Application>Microsoft Office Word</Application>
  <DocSecurity>0</DocSecurity>
  <Lines>1620</Lines>
  <Paragraphs>863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16410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12</cp:revision>
  <cp:lastPrinted>2020-04-17T08:00:00Z</cp:lastPrinted>
  <dcterms:created xsi:type="dcterms:W3CDTF">2018-10-18T06:26:00Z</dcterms:created>
  <dcterms:modified xsi:type="dcterms:W3CDTF">2020-04-17T08:00:00Z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