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BA4" w:rsidRDefault="00093BA4" w:rsidP="00093BA4">
      <w:bookmarkStart w:id="0" w:name="_GoBack"/>
      <w:bookmarkEnd w:id="0"/>
    </w:p>
    <w:p w:rsidR="00093BA4" w:rsidRDefault="00093BA4" w:rsidP="00093BA4"/>
    <w:p w:rsidR="00093BA4" w:rsidRDefault="00093BA4" w:rsidP="00093BA4"/>
    <w:p w:rsidR="00093BA4" w:rsidRDefault="00093BA4" w:rsidP="00093BA4"/>
    <w:p w:rsidR="00093BA4" w:rsidRDefault="00093BA4" w:rsidP="00093BA4"/>
    <w:p w:rsidR="00093BA4" w:rsidRDefault="00093BA4" w:rsidP="00093BA4"/>
    <w:p w:rsidR="00093BA4" w:rsidRDefault="00093BA4" w:rsidP="00093BA4"/>
    <w:p w:rsidR="00093BA4" w:rsidRDefault="00093BA4" w:rsidP="00093BA4"/>
    <w:p w:rsidR="00093BA4" w:rsidRDefault="00093BA4" w:rsidP="00093BA4"/>
    <w:p w:rsidR="00093BA4" w:rsidRDefault="00093BA4" w:rsidP="00093BA4"/>
    <w:p w:rsidR="00093BA4" w:rsidRDefault="00093BA4" w:rsidP="00093BA4"/>
    <w:p w:rsidR="00093BA4" w:rsidRDefault="00093BA4" w:rsidP="00093BA4"/>
    <w:tbl>
      <w:tblPr>
        <w:tblW w:w="10089" w:type="dxa"/>
        <w:tblLook w:val="01E0" w:firstRow="1" w:lastRow="1" w:firstColumn="1" w:lastColumn="1" w:noHBand="0" w:noVBand="0"/>
      </w:tblPr>
      <w:tblGrid>
        <w:gridCol w:w="10089"/>
      </w:tblGrid>
      <w:tr w:rsidR="00093BA4" w:rsidTr="000664F7">
        <w:tc>
          <w:tcPr>
            <w:tcW w:w="10089" w:type="dxa"/>
          </w:tcPr>
          <w:p w:rsidR="00093BA4" w:rsidRPr="001511A6" w:rsidRDefault="00093BA4" w:rsidP="000664F7">
            <w:pPr>
              <w:spacing w:before="380" w:line="280" w:lineRule="exact"/>
              <w:jc w:val="right"/>
              <w:rPr>
                <w:rFonts w:ascii="Tahoma" w:hAnsi="Tahoma" w:cs="Tahoma"/>
                <w:b/>
                <w:bCs/>
                <w:iCs/>
                <w:color w:val="243285"/>
                <w:sz w:val="32"/>
                <w:szCs w:val="32"/>
                <w:lang w:val="en-US"/>
              </w:rPr>
            </w:pPr>
          </w:p>
          <w:p w:rsidR="00093BA4" w:rsidRPr="001511A6" w:rsidRDefault="00093BA4" w:rsidP="0073110B">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sidR="0073110B">
              <w:rPr>
                <w:rFonts w:ascii="Tahoma" w:hAnsi="Tahoma" w:cs="Tahoma"/>
                <w:b/>
                <w:bCs/>
                <w:iCs/>
                <w:color w:val="243285"/>
                <w:sz w:val="36"/>
                <w:szCs w:val="36"/>
                <w:lang w:val="en-US"/>
              </w:rPr>
              <w:t>2110-0</w:t>
            </w:r>
          </w:p>
          <w:p w:rsidR="00093BA4" w:rsidRPr="001511A6" w:rsidRDefault="00093BA4" w:rsidP="0073110B">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73110B">
              <w:rPr>
                <w:rFonts w:ascii="Tahoma" w:hAnsi="Tahoma" w:cs="Tahoma"/>
                <w:b/>
                <w:bCs/>
                <w:iCs/>
                <w:color w:val="243285"/>
                <w:szCs w:val="24"/>
                <w:lang w:val="en-US"/>
              </w:rPr>
              <w:t>09</w:t>
            </w:r>
            <w:r w:rsidRPr="001511A6">
              <w:rPr>
                <w:rFonts w:ascii="Tahoma" w:hAnsi="Tahoma" w:cs="Tahoma"/>
                <w:b/>
                <w:bCs/>
                <w:iCs/>
                <w:color w:val="243285"/>
                <w:szCs w:val="24"/>
                <w:lang w:val="en-US"/>
              </w:rPr>
              <w:t>/</w:t>
            </w:r>
            <w:r w:rsidR="0073110B">
              <w:rPr>
                <w:rFonts w:ascii="Tahoma" w:hAnsi="Tahoma" w:cs="Tahoma"/>
                <w:b/>
                <w:bCs/>
                <w:iCs/>
                <w:color w:val="243285"/>
                <w:szCs w:val="24"/>
                <w:lang w:val="en-US"/>
              </w:rPr>
              <w:t>2017</w:t>
            </w:r>
            <w:r w:rsidRPr="001511A6">
              <w:rPr>
                <w:rFonts w:ascii="Tahoma" w:hAnsi="Tahoma" w:cs="Tahoma"/>
                <w:b/>
                <w:bCs/>
                <w:iCs/>
                <w:color w:val="243285"/>
                <w:szCs w:val="24"/>
                <w:lang w:val="en-US"/>
              </w:rPr>
              <w:t>)</w:t>
            </w:r>
          </w:p>
        </w:tc>
      </w:tr>
      <w:tr w:rsidR="00093BA4" w:rsidRPr="0073110B" w:rsidTr="000664F7">
        <w:tc>
          <w:tcPr>
            <w:tcW w:w="10089" w:type="dxa"/>
          </w:tcPr>
          <w:p w:rsidR="00093BA4" w:rsidRPr="001511A6" w:rsidRDefault="00093BA4" w:rsidP="000664F7">
            <w:pPr>
              <w:spacing w:before="80" w:line="500" w:lineRule="exact"/>
              <w:jc w:val="right"/>
              <w:rPr>
                <w:rFonts w:ascii="Tahoma" w:hAnsi="Tahoma" w:cs="Tahoma"/>
                <w:b/>
                <w:bCs/>
                <w:iCs/>
                <w:color w:val="243285"/>
                <w:sz w:val="44"/>
                <w:szCs w:val="44"/>
                <w:lang w:val="en-US"/>
              </w:rPr>
            </w:pPr>
          </w:p>
          <w:p w:rsidR="00093BA4" w:rsidRPr="001511A6" w:rsidRDefault="0073110B" w:rsidP="0073110B">
            <w:pPr>
              <w:spacing w:before="80" w:line="500" w:lineRule="exact"/>
              <w:jc w:val="right"/>
              <w:rPr>
                <w:rFonts w:ascii="Tahoma" w:hAnsi="Tahoma" w:cs="Tahoma"/>
                <w:b/>
                <w:bCs/>
                <w:iCs/>
                <w:color w:val="243285"/>
                <w:sz w:val="44"/>
                <w:szCs w:val="44"/>
                <w:lang w:val="en-US"/>
              </w:rPr>
            </w:pPr>
            <w:r w:rsidRPr="0073110B">
              <w:rPr>
                <w:rFonts w:ascii="Tahoma" w:hAnsi="Tahoma" w:cs="Tahoma"/>
                <w:b/>
                <w:bCs/>
                <w:iCs/>
                <w:color w:val="243285"/>
                <w:sz w:val="44"/>
                <w:szCs w:val="44"/>
                <w:lang w:val="en-US"/>
              </w:rPr>
              <w:t>Frequency ra</w:t>
            </w:r>
            <w:r>
              <w:rPr>
                <w:rFonts w:ascii="Tahoma" w:hAnsi="Tahoma" w:cs="Tahoma"/>
                <w:b/>
                <w:bCs/>
                <w:iCs/>
                <w:color w:val="243285"/>
                <w:sz w:val="44"/>
                <w:szCs w:val="44"/>
                <w:lang w:val="en-US"/>
              </w:rPr>
              <w:t xml:space="preserve">nges for operation of </w:t>
            </w:r>
            <w:r>
              <w:rPr>
                <w:rFonts w:ascii="Tahoma" w:hAnsi="Tahoma" w:cs="Tahoma"/>
                <w:b/>
                <w:bCs/>
                <w:iCs/>
                <w:color w:val="243285"/>
                <w:sz w:val="44"/>
                <w:szCs w:val="44"/>
                <w:lang w:val="en-US"/>
              </w:rPr>
              <w:br/>
              <w:t xml:space="preserve">non-beam </w:t>
            </w:r>
            <w:r w:rsidRPr="0073110B">
              <w:rPr>
                <w:rFonts w:ascii="Tahoma" w:hAnsi="Tahoma" w:cs="Tahoma"/>
                <w:b/>
                <w:bCs/>
                <w:iCs/>
                <w:color w:val="243285"/>
                <w:sz w:val="44"/>
                <w:szCs w:val="44"/>
                <w:lang w:val="en-US"/>
              </w:rPr>
              <w:t xml:space="preserve">wireless power </w:t>
            </w:r>
            <w:r>
              <w:rPr>
                <w:rFonts w:ascii="Tahoma" w:hAnsi="Tahoma" w:cs="Tahoma"/>
                <w:b/>
                <w:bCs/>
                <w:iCs/>
                <w:color w:val="243285"/>
                <w:sz w:val="44"/>
                <w:szCs w:val="44"/>
                <w:lang w:val="en-US"/>
              </w:rPr>
              <w:br/>
            </w:r>
            <w:r w:rsidRPr="0073110B">
              <w:rPr>
                <w:rFonts w:ascii="Tahoma" w:hAnsi="Tahoma" w:cs="Tahoma"/>
                <w:b/>
                <w:bCs/>
                <w:iCs/>
                <w:color w:val="243285"/>
                <w:sz w:val="44"/>
                <w:szCs w:val="44"/>
                <w:lang w:val="en-US"/>
              </w:rPr>
              <w:t>transmission systems</w:t>
            </w:r>
          </w:p>
          <w:p w:rsidR="00093BA4" w:rsidRPr="001511A6" w:rsidRDefault="00093BA4" w:rsidP="000664F7">
            <w:pPr>
              <w:spacing w:before="80" w:line="500" w:lineRule="exact"/>
              <w:jc w:val="right"/>
              <w:rPr>
                <w:rFonts w:ascii="Tahoma" w:hAnsi="Tahoma" w:cs="Tahoma"/>
                <w:b/>
                <w:bCs/>
                <w:iCs/>
                <w:color w:val="243285"/>
                <w:sz w:val="40"/>
                <w:szCs w:val="40"/>
                <w:lang w:val="en-US"/>
              </w:rPr>
            </w:pPr>
          </w:p>
        </w:tc>
      </w:tr>
      <w:tr w:rsidR="00093BA4" w:rsidTr="000664F7">
        <w:tc>
          <w:tcPr>
            <w:tcW w:w="10089" w:type="dxa"/>
          </w:tcPr>
          <w:p w:rsidR="00093BA4" w:rsidRPr="0073110B" w:rsidRDefault="00093BA4" w:rsidP="000664F7">
            <w:pPr>
              <w:spacing w:before="80" w:line="280" w:lineRule="exact"/>
              <w:ind w:right="640"/>
              <w:rPr>
                <w:rFonts w:ascii="Tahoma" w:hAnsi="Tahoma" w:cs="Tahoma"/>
                <w:b/>
                <w:bCs/>
                <w:iCs/>
                <w:color w:val="243285"/>
                <w:sz w:val="32"/>
                <w:szCs w:val="32"/>
                <w:lang w:val="en-GB"/>
              </w:rPr>
            </w:pPr>
          </w:p>
          <w:p w:rsidR="00093BA4" w:rsidRPr="0073110B" w:rsidRDefault="00093BA4" w:rsidP="000664F7">
            <w:pPr>
              <w:spacing w:before="80" w:line="280" w:lineRule="exact"/>
              <w:ind w:right="640"/>
              <w:rPr>
                <w:rFonts w:ascii="Tahoma" w:hAnsi="Tahoma" w:cs="Tahoma"/>
                <w:b/>
                <w:bCs/>
                <w:iCs/>
                <w:color w:val="243285"/>
                <w:sz w:val="32"/>
                <w:szCs w:val="32"/>
                <w:lang w:val="en-GB"/>
              </w:rPr>
            </w:pPr>
          </w:p>
          <w:p w:rsidR="00093BA4" w:rsidRPr="0073110B" w:rsidRDefault="00093BA4" w:rsidP="000664F7">
            <w:pPr>
              <w:spacing w:before="80" w:after="180" w:line="360" w:lineRule="exact"/>
              <w:ind w:right="720"/>
              <w:rPr>
                <w:rFonts w:ascii="Tahoma" w:hAnsi="Tahoma" w:cs="Tahoma"/>
                <w:b/>
                <w:bCs/>
                <w:iCs/>
                <w:color w:val="243285"/>
                <w:sz w:val="36"/>
                <w:szCs w:val="36"/>
                <w:lang w:val="en-GB"/>
              </w:rPr>
            </w:pPr>
          </w:p>
          <w:p w:rsidR="00093BA4" w:rsidRPr="001511A6" w:rsidRDefault="00093BA4" w:rsidP="000664F7">
            <w:pPr>
              <w:spacing w:before="80" w:after="180" w:line="360" w:lineRule="exact"/>
              <w:jc w:val="right"/>
              <w:rPr>
                <w:rFonts w:ascii="Tahoma" w:hAnsi="Tahoma" w:cs="Tahoma"/>
                <w:b/>
                <w:bCs/>
                <w:iCs/>
                <w:color w:val="243285"/>
                <w:sz w:val="36"/>
                <w:szCs w:val="36"/>
                <w:lang w:val="en-US"/>
              </w:rPr>
            </w:pPr>
          </w:p>
          <w:p w:rsidR="00093BA4" w:rsidRPr="001511A6" w:rsidRDefault="00093BA4" w:rsidP="000664F7">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093BA4" w:rsidRPr="001511A6" w:rsidRDefault="00093BA4" w:rsidP="000664F7">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093BA4" w:rsidRPr="001511A6" w:rsidRDefault="00093BA4" w:rsidP="000664F7">
            <w:pPr>
              <w:spacing w:before="80" w:line="360" w:lineRule="exact"/>
              <w:jc w:val="right"/>
              <w:rPr>
                <w:rFonts w:ascii="Tahoma" w:hAnsi="Tahoma" w:cs="Tahoma"/>
                <w:b/>
                <w:bCs/>
                <w:iCs/>
                <w:color w:val="243285"/>
                <w:sz w:val="32"/>
                <w:szCs w:val="32"/>
                <w:lang w:val="en-US"/>
              </w:rPr>
            </w:pPr>
          </w:p>
        </w:tc>
      </w:tr>
    </w:tbl>
    <w:p w:rsidR="00093BA4" w:rsidRDefault="00093BA4" w:rsidP="00093BA4">
      <w:pPr>
        <w:spacing w:before="80"/>
        <w:rPr>
          <w:i/>
          <w:sz w:val="22"/>
          <w:lang w:val="en-US"/>
        </w:rPr>
      </w:pPr>
    </w:p>
    <w:p w:rsidR="00093BA4" w:rsidRDefault="00093BA4" w:rsidP="00093BA4">
      <w:pPr>
        <w:spacing w:before="80"/>
        <w:rPr>
          <w:i/>
          <w:sz w:val="22"/>
          <w:lang w:val="en-US"/>
        </w:rPr>
      </w:pPr>
    </w:p>
    <w:p w:rsidR="00093BA4" w:rsidRDefault="00093BA4" w:rsidP="00093BA4">
      <w:pPr>
        <w:spacing w:before="80"/>
        <w:rPr>
          <w:i/>
          <w:sz w:val="22"/>
          <w:lang w:val="en-US"/>
        </w:rPr>
      </w:pPr>
    </w:p>
    <w:p w:rsidR="00093BA4" w:rsidRDefault="00093BA4" w:rsidP="00093BA4">
      <w:pPr>
        <w:spacing w:before="80"/>
        <w:rPr>
          <w:i/>
          <w:sz w:val="22"/>
          <w:lang w:val="en-US"/>
        </w:rPr>
      </w:pPr>
    </w:p>
    <w:p w:rsidR="00093BA4" w:rsidRDefault="00093BA4" w:rsidP="00093BA4">
      <w:pPr>
        <w:spacing w:before="80"/>
        <w:rPr>
          <w:i/>
          <w:sz w:val="22"/>
          <w:lang w:val="en-US"/>
        </w:rPr>
      </w:pPr>
    </w:p>
    <w:p w:rsidR="00093BA4" w:rsidRDefault="00093BA4" w:rsidP="00093BA4">
      <w:pPr>
        <w:spacing w:before="80"/>
        <w:rPr>
          <w:i/>
          <w:sz w:val="22"/>
          <w:lang w:val="en-US"/>
        </w:rPr>
      </w:pPr>
    </w:p>
    <w:p w:rsidR="00093BA4" w:rsidRDefault="00093BA4" w:rsidP="00093BA4">
      <w:pPr>
        <w:pStyle w:val="Equation"/>
        <w:tabs>
          <w:tab w:val="clear" w:pos="4820"/>
          <w:tab w:val="clear" w:pos="9639"/>
          <w:tab w:val="left" w:pos="1191"/>
          <w:tab w:val="left" w:pos="1588"/>
          <w:tab w:val="left" w:pos="1985"/>
        </w:tabs>
        <w:rPr>
          <w:rFonts w:ascii="Palatino Linotype" w:hAnsi="Palatino Linotype"/>
          <w:lang w:val="en-US"/>
        </w:rPr>
        <w:sectPr w:rsidR="00093BA4">
          <w:headerReference w:type="even" r:id="rId6"/>
          <w:headerReference w:type="default" r:id="rId7"/>
          <w:pgSz w:w="11907" w:h="16840" w:code="9"/>
          <w:pgMar w:top="1089" w:right="1089" w:bottom="284" w:left="1089" w:header="567" w:footer="284" w:gutter="0"/>
          <w:pgNumType w:start="1"/>
          <w:cols w:space="720"/>
        </w:sectPr>
      </w:pPr>
    </w:p>
    <w:p w:rsidR="00093BA4" w:rsidRPr="00586EF8" w:rsidRDefault="00093BA4" w:rsidP="00093B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093BA4" w:rsidRDefault="00093BA4" w:rsidP="00093B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93BA4" w:rsidRDefault="00093BA4" w:rsidP="00093B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93BA4" w:rsidRPr="00B714F3" w:rsidRDefault="00093BA4" w:rsidP="00093BA4">
      <w:pPr>
        <w:pStyle w:val="Heading1"/>
        <w:spacing w:before="680"/>
        <w:jc w:val="center"/>
        <w:rPr>
          <w:szCs w:val="24"/>
          <w:lang w:val="en-US"/>
        </w:rPr>
      </w:pPr>
      <w:r w:rsidRPr="00B714F3">
        <w:rPr>
          <w:szCs w:val="24"/>
          <w:lang w:val="en-US"/>
        </w:rPr>
        <w:t>Policy on Intellectual Property Right (IPR)</w:t>
      </w:r>
    </w:p>
    <w:p w:rsidR="00093BA4" w:rsidRPr="00B714F3" w:rsidRDefault="00093BA4" w:rsidP="00093BA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93BA4" w:rsidRDefault="00093BA4" w:rsidP="00093BA4">
      <w:pPr>
        <w:jc w:val="center"/>
        <w:rPr>
          <w:sz w:val="22"/>
          <w:lang w:val="en-US"/>
        </w:rPr>
      </w:pPr>
    </w:p>
    <w:p w:rsidR="00093BA4" w:rsidRDefault="00093BA4" w:rsidP="00093B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93BA4" w:rsidRPr="00093BA4" w:rsidTr="000664F7">
        <w:tc>
          <w:tcPr>
            <w:tcW w:w="9360" w:type="dxa"/>
            <w:gridSpan w:val="2"/>
          </w:tcPr>
          <w:p w:rsidR="00093BA4" w:rsidRPr="00036EE3" w:rsidRDefault="00093BA4" w:rsidP="000664F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93BA4" w:rsidRPr="00036EE3" w:rsidRDefault="00093BA4"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093BA4" w:rsidRPr="00036EE3" w:rsidTr="000664F7">
        <w:tc>
          <w:tcPr>
            <w:tcW w:w="1140" w:type="dxa"/>
          </w:tcPr>
          <w:p w:rsidR="00093BA4" w:rsidRPr="00036EE3" w:rsidRDefault="00093BA4" w:rsidP="000664F7">
            <w:pPr>
              <w:spacing w:before="200" w:after="100"/>
              <w:ind w:left="57"/>
              <w:rPr>
                <w:b/>
                <w:bCs/>
                <w:sz w:val="20"/>
                <w:lang w:val="en-US"/>
              </w:rPr>
            </w:pPr>
            <w:r w:rsidRPr="00036EE3">
              <w:rPr>
                <w:b/>
                <w:bCs/>
                <w:sz w:val="20"/>
                <w:lang w:val="en-US"/>
              </w:rPr>
              <w:t>Series</w:t>
            </w:r>
          </w:p>
        </w:tc>
        <w:tc>
          <w:tcPr>
            <w:tcW w:w="8220" w:type="dxa"/>
          </w:tcPr>
          <w:p w:rsidR="00093BA4" w:rsidRPr="00036EE3" w:rsidRDefault="00093BA4"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93BA4" w:rsidRPr="00036EE3" w:rsidTr="000664F7">
        <w:tc>
          <w:tcPr>
            <w:tcW w:w="1140" w:type="dxa"/>
          </w:tcPr>
          <w:p w:rsidR="00093BA4" w:rsidRPr="00036EE3" w:rsidRDefault="00093BA4" w:rsidP="000664F7">
            <w:pPr>
              <w:spacing w:before="30" w:after="30"/>
              <w:ind w:left="57"/>
              <w:jc w:val="left"/>
              <w:rPr>
                <w:b/>
                <w:bCs/>
                <w:sz w:val="20"/>
                <w:lang w:val="en-US"/>
              </w:rPr>
            </w:pPr>
            <w:r w:rsidRPr="00036EE3">
              <w:rPr>
                <w:b/>
                <w:bCs/>
                <w:sz w:val="20"/>
                <w:lang w:val="en-US"/>
              </w:rPr>
              <w:t>BO</w:t>
            </w:r>
          </w:p>
        </w:tc>
        <w:tc>
          <w:tcPr>
            <w:tcW w:w="8220" w:type="dxa"/>
          </w:tcPr>
          <w:p w:rsidR="00093BA4" w:rsidRPr="00036EE3" w:rsidRDefault="00093BA4"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93BA4" w:rsidRPr="00093BA4" w:rsidTr="000664F7">
        <w:tc>
          <w:tcPr>
            <w:tcW w:w="1140" w:type="dxa"/>
          </w:tcPr>
          <w:p w:rsidR="00093BA4" w:rsidRPr="00036EE3" w:rsidRDefault="00093BA4" w:rsidP="000664F7">
            <w:pPr>
              <w:spacing w:before="30" w:after="30"/>
              <w:ind w:left="57"/>
              <w:jc w:val="left"/>
              <w:rPr>
                <w:b/>
                <w:bCs/>
                <w:sz w:val="20"/>
                <w:lang w:val="en-US"/>
              </w:rPr>
            </w:pPr>
            <w:r w:rsidRPr="00036EE3">
              <w:rPr>
                <w:b/>
                <w:bCs/>
                <w:sz w:val="20"/>
                <w:lang w:val="en-US"/>
              </w:rPr>
              <w:t>BR</w:t>
            </w:r>
          </w:p>
        </w:tc>
        <w:tc>
          <w:tcPr>
            <w:tcW w:w="8220" w:type="dxa"/>
          </w:tcPr>
          <w:p w:rsidR="00093BA4" w:rsidRPr="00036EE3" w:rsidRDefault="00093BA4"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93BA4" w:rsidRPr="00036EE3" w:rsidTr="000664F7">
        <w:tc>
          <w:tcPr>
            <w:tcW w:w="1140" w:type="dxa"/>
          </w:tcPr>
          <w:p w:rsidR="00093BA4" w:rsidRPr="00036EE3" w:rsidRDefault="00093BA4" w:rsidP="000664F7">
            <w:pPr>
              <w:spacing w:before="30" w:after="30"/>
              <w:ind w:left="57"/>
              <w:jc w:val="left"/>
              <w:rPr>
                <w:b/>
                <w:bCs/>
                <w:sz w:val="20"/>
                <w:lang w:val="en-US"/>
              </w:rPr>
            </w:pPr>
            <w:r w:rsidRPr="00036EE3">
              <w:rPr>
                <w:b/>
                <w:bCs/>
                <w:sz w:val="20"/>
                <w:lang w:val="en-US"/>
              </w:rPr>
              <w:t>BS</w:t>
            </w:r>
          </w:p>
        </w:tc>
        <w:tc>
          <w:tcPr>
            <w:tcW w:w="8220" w:type="dxa"/>
          </w:tcPr>
          <w:p w:rsidR="00093BA4" w:rsidRPr="00036EE3" w:rsidRDefault="00093BA4"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093BA4" w:rsidRPr="00ED2695" w:rsidTr="000664F7">
        <w:tc>
          <w:tcPr>
            <w:tcW w:w="1140" w:type="dxa"/>
            <w:shd w:val="clear" w:color="auto" w:fill="auto"/>
          </w:tcPr>
          <w:p w:rsidR="00093BA4" w:rsidRPr="00ED2695" w:rsidRDefault="00093BA4" w:rsidP="000664F7">
            <w:pPr>
              <w:spacing w:before="30" w:after="30"/>
              <w:ind w:left="57"/>
              <w:jc w:val="left"/>
              <w:rPr>
                <w:b/>
                <w:bCs/>
                <w:sz w:val="20"/>
                <w:lang w:val="en-US"/>
              </w:rPr>
            </w:pPr>
            <w:r w:rsidRPr="00ED2695">
              <w:rPr>
                <w:b/>
                <w:bCs/>
                <w:sz w:val="20"/>
                <w:lang w:val="en-US"/>
              </w:rPr>
              <w:t>BT</w:t>
            </w:r>
          </w:p>
        </w:tc>
        <w:tc>
          <w:tcPr>
            <w:tcW w:w="8220" w:type="dxa"/>
            <w:shd w:val="clear" w:color="auto" w:fill="auto"/>
          </w:tcPr>
          <w:p w:rsidR="00093BA4" w:rsidRPr="00ED2695" w:rsidRDefault="00093BA4"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93BA4" w:rsidRPr="00036EE3" w:rsidTr="000664F7">
        <w:tc>
          <w:tcPr>
            <w:tcW w:w="1140" w:type="dxa"/>
            <w:shd w:val="clear" w:color="auto" w:fill="auto"/>
          </w:tcPr>
          <w:p w:rsidR="00093BA4" w:rsidRPr="00036EE3" w:rsidRDefault="00093BA4" w:rsidP="000664F7">
            <w:pPr>
              <w:spacing w:before="30" w:after="30"/>
              <w:ind w:left="57"/>
              <w:jc w:val="left"/>
              <w:rPr>
                <w:b/>
                <w:bCs/>
                <w:sz w:val="20"/>
                <w:lang w:val="fr-CH"/>
              </w:rPr>
            </w:pPr>
            <w:r w:rsidRPr="00036EE3">
              <w:rPr>
                <w:b/>
                <w:bCs/>
                <w:sz w:val="20"/>
                <w:lang w:val="fr-CH"/>
              </w:rPr>
              <w:t>F</w:t>
            </w:r>
          </w:p>
        </w:tc>
        <w:tc>
          <w:tcPr>
            <w:tcW w:w="8220" w:type="dxa"/>
            <w:shd w:val="clear" w:color="auto" w:fill="auto"/>
          </w:tcPr>
          <w:p w:rsidR="00093BA4" w:rsidRPr="00036EE3" w:rsidRDefault="00093BA4" w:rsidP="000664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093BA4" w:rsidRPr="00036EE3" w:rsidTr="000664F7">
        <w:tc>
          <w:tcPr>
            <w:tcW w:w="1140" w:type="dxa"/>
            <w:shd w:val="clear" w:color="auto" w:fill="auto"/>
          </w:tcPr>
          <w:p w:rsidR="00093BA4" w:rsidRPr="00906589" w:rsidRDefault="00093BA4" w:rsidP="000664F7">
            <w:pPr>
              <w:spacing w:before="30" w:after="30"/>
              <w:ind w:left="57"/>
              <w:jc w:val="left"/>
              <w:rPr>
                <w:b/>
                <w:bCs/>
                <w:sz w:val="20"/>
                <w:lang w:val="en-US"/>
              </w:rPr>
            </w:pPr>
            <w:r w:rsidRPr="00906589">
              <w:rPr>
                <w:b/>
                <w:bCs/>
                <w:sz w:val="20"/>
                <w:lang w:val="en-US"/>
              </w:rPr>
              <w:t>M</w:t>
            </w:r>
          </w:p>
        </w:tc>
        <w:tc>
          <w:tcPr>
            <w:tcW w:w="8220" w:type="dxa"/>
            <w:shd w:val="clear" w:color="auto" w:fill="auto"/>
          </w:tcPr>
          <w:p w:rsidR="00093BA4" w:rsidRPr="00906589" w:rsidRDefault="00093BA4"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093BA4" w:rsidRPr="00036EE3" w:rsidTr="000664F7">
        <w:tc>
          <w:tcPr>
            <w:tcW w:w="1140" w:type="dxa"/>
          </w:tcPr>
          <w:p w:rsidR="00093BA4" w:rsidRPr="00036EE3" w:rsidRDefault="00093BA4" w:rsidP="000664F7">
            <w:pPr>
              <w:spacing w:before="30" w:after="30"/>
              <w:ind w:left="57"/>
              <w:jc w:val="left"/>
              <w:rPr>
                <w:b/>
                <w:bCs/>
                <w:sz w:val="20"/>
                <w:lang w:val="fr-CH"/>
              </w:rPr>
            </w:pPr>
            <w:r w:rsidRPr="00036EE3">
              <w:rPr>
                <w:b/>
                <w:bCs/>
                <w:sz w:val="20"/>
                <w:lang w:val="fr-CH"/>
              </w:rPr>
              <w:t>P</w:t>
            </w:r>
          </w:p>
        </w:tc>
        <w:tc>
          <w:tcPr>
            <w:tcW w:w="8220" w:type="dxa"/>
          </w:tcPr>
          <w:p w:rsidR="00093BA4" w:rsidRPr="00036EE3" w:rsidRDefault="00093BA4" w:rsidP="000664F7">
            <w:pPr>
              <w:spacing w:before="30" w:after="30"/>
              <w:jc w:val="left"/>
              <w:rPr>
                <w:sz w:val="20"/>
                <w:lang w:val="fr-CH"/>
              </w:rPr>
            </w:pPr>
            <w:r w:rsidRPr="00036EE3">
              <w:rPr>
                <w:sz w:val="20"/>
                <w:lang w:val="fr-CH"/>
              </w:rPr>
              <w:t>Radiowave propagation</w:t>
            </w:r>
          </w:p>
        </w:tc>
      </w:tr>
      <w:tr w:rsidR="00093BA4" w:rsidRPr="00036EE3" w:rsidTr="000664F7">
        <w:tc>
          <w:tcPr>
            <w:tcW w:w="1140" w:type="dxa"/>
          </w:tcPr>
          <w:p w:rsidR="00093BA4" w:rsidRPr="00036EE3" w:rsidRDefault="00093BA4" w:rsidP="000664F7">
            <w:pPr>
              <w:spacing w:before="30" w:after="30"/>
              <w:ind w:left="57"/>
              <w:jc w:val="left"/>
              <w:rPr>
                <w:b/>
                <w:bCs/>
                <w:sz w:val="20"/>
                <w:lang w:val="en-US"/>
              </w:rPr>
            </w:pPr>
            <w:r w:rsidRPr="00036EE3">
              <w:rPr>
                <w:b/>
                <w:bCs/>
                <w:sz w:val="20"/>
                <w:lang w:val="en-US"/>
              </w:rPr>
              <w:t>RA</w:t>
            </w:r>
          </w:p>
        </w:tc>
        <w:tc>
          <w:tcPr>
            <w:tcW w:w="8220" w:type="dxa"/>
          </w:tcPr>
          <w:p w:rsidR="00093BA4" w:rsidRPr="00036EE3" w:rsidRDefault="00093BA4" w:rsidP="000664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93BA4" w:rsidRPr="00036EE3" w:rsidTr="000664F7">
        <w:tc>
          <w:tcPr>
            <w:tcW w:w="1140" w:type="dxa"/>
          </w:tcPr>
          <w:p w:rsidR="00093BA4" w:rsidRPr="00036EE3" w:rsidRDefault="00093BA4" w:rsidP="000664F7">
            <w:pPr>
              <w:spacing w:before="30" w:after="30"/>
              <w:ind w:left="57"/>
              <w:jc w:val="left"/>
              <w:rPr>
                <w:b/>
                <w:bCs/>
                <w:sz w:val="20"/>
                <w:lang w:val="en-US"/>
              </w:rPr>
            </w:pPr>
            <w:r w:rsidRPr="00036EE3">
              <w:rPr>
                <w:b/>
                <w:bCs/>
                <w:sz w:val="20"/>
                <w:lang w:val="en-US"/>
              </w:rPr>
              <w:t>RS</w:t>
            </w:r>
          </w:p>
        </w:tc>
        <w:tc>
          <w:tcPr>
            <w:tcW w:w="8220" w:type="dxa"/>
          </w:tcPr>
          <w:p w:rsidR="00093BA4" w:rsidRPr="00036EE3" w:rsidRDefault="00093BA4" w:rsidP="000664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93BA4" w:rsidRPr="00036EE3" w:rsidTr="000664F7">
        <w:tc>
          <w:tcPr>
            <w:tcW w:w="1140" w:type="dxa"/>
          </w:tcPr>
          <w:p w:rsidR="00093BA4" w:rsidRPr="00036EE3" w:rsidRDefault="00093BA4" w:rsidP="000664F7">
            <w:pPr>
              <w:spacing w:before="30" w:after="30"/>
              <w:ind w:left="57"/>
              <w:jc w:val="left"/>
              <w:rPr>
                <w:b/>
                <w:bCs/>
                <w:sz w:val="20"/>
                <w:lang w:val="en-US"/>
              </w:rPr>
            </w:pPr>
            <w:r w:rsidRPr="00036EE3">
              <w:rPr>
                <w:b/>
                <w:bCs/>
                <w:sz w:val="20"/>
                <w:lang w:val="en-US"/>
              </w:rPr>
              <w:t>S</w:t>
            </w:r>
          </w:p>
        </w:tc>
        <w:tc>
          <w:tcPr>
            <w:tcW w:w="8220" w:type="dxa"/>
          </w:tcPr>
          <w:p w:rsidR="00093BA4" w:rsidRPr="00036EE3" w:rsidRDefault="00093BA4" w:rsidP="000664F7">
            <w:pPr>
              <w:spacing w:before="30" w:after="30"/>
              <w:jc w:val="left"/>
              <w:rPr>
                <w:sz w:val="20"/>
                <w:lang w:val="en-US"/>
              </w:rPr>
            </w:pPr>
            <w:r w:rsidRPr="00036EE3">
              <w:rPr>
                <w:sz w:val="20"/>
                <w:lang w:val="en-US"/>
              </w:rPr>
              <w:t>Fixed-satellite service</w:t>
            </w:r>
          </w:p>
        </w:tc>
      </w:tr>
      <w:tr w:rsidR="00093BA4" w:rsidRPr="00036EE3" w:rsidTr="000664F7">
        <w:tc>
          <w:tcPr>
            <w:tcW w:w="1140" w:type="dxa"/>
          </w:tcPr>
          <w:p w:rsidR="00093BA4" w:rsidRPr="00036EE3" w:rsidRDefault="00093BA4" w:rsidP="000664F7">
            <w:pPr>
              <w:spacing w:before="30" w:after="30"/>
              <w:ind w:left="57"/>
              <w:jc w:val="left"/>
              <w:rPr>
                <w:b/>
                <w:bCs/>
                <w:sz w:val="20"/>
                <w:lang w:val="en-US"/>
              </w:rPr>
            </w:pPr>
            <w:r w:rsidRPr="00036EE3">
              <w:rPr>
                <w:b/>
                <w:bCs/>
                <w:sz w:val="20"/>
                <w:lang w:val="en-US"/>
              </w:rPr>
              <w:t>SA</w:t>
            </w:r>
          </w:p>
        </w:tc>
        <w:tc>
          <w:tcPr>
            <w:tcW w:w="8220" w:type="dxa"/>
          </w:tcPr>
          <w:p w:rsidR="00093BA4" w:rsidRPr="00036EE3" w:rsidRDefault="00093BA4" w:rsidP="000664F7">
            <w:pPr>
              <w:spacing w:before="30" w:after="30"/>
              <w:jc w:val="left"/>
              <w:rPr>
                <w:sz w:val="20"/>
                <w:lang w:val="en-US"/>
              </w:rPr>
            </w:pPr>
            <w:r w:rsidRPr="00036EE3">
              <w:rPr>
                <w:sz w:val="20"/>
                <w:lang w:val="en-US"/>
              </w:rPr>
              <w:t>Space applications and meteorology</w:t>
            </w:r>
          </w:p>
        </w:tc>
      </w:tr>
      <w:tr w:rsidR="00093BA4" w:rsidRPr="00093BA4" w:rsidTr="000664F7">
        <w:tc>
          <w:tcPr>
            <w:tcW w:w="1140" w:type="dxa"/>
          </w:tcPr>
          <w:p w:rsidR="00093BA4" w:rsidRPr="00036EE3" w:rsidRDefault="00093BA4" w:rsidP="000664F7">
            <w:pPr>
              <w:spacing w:before="30" w:after="30"/>
              <w:ind w:left="57"/>
              <w:jc w:val="left"/>
              <w:rPr>
                <w:b/>
                <w:bCs/>
                <w:sz w:val="20"/>
                <w:lang w:val="en-US"/>
              </w:rPr>
            </w:pPr>
            <w:r w:rsidRPr="00036EE3">
              <w:rPr>
                <w:b/>
                <w:bCs/>
                <w:sz w:val="20"/>
                <w:lang w:val="en-US"/>
              </w:rPr>
              <w:t>SF</w:t>
            </w:r>
          </w:p>
        </w:tc>
        <w:tc>
          <w:tcPr>
            <w:tcW w:w="8220" w:type="dxa"/>
          </w:tcPr>
          <w:p w:rsidR="00093BA4" w:rsidRPr="00036EE3" w:rsidRDefault="00093BA4" w:rsidP="000664F7">
            <w:pPr>
              <w:spacing w:before="30" w:after="30"/>
              <w:jc w:val="left"/>
              <w:rPr>
                <w:sz w:val="20"/>
                <w:lang w:val="en-US"/>
              </w:rPr>
            </w:pPr>
            <w:r w:rsidRPr="00036EE3">
              <w:rPr>
                <w:sz w:val="20"/>
                <w:lang w:val="en-US"/>
              </w:rPr>
              <w:t>Frequency sharing and coordination between fixed-satellite and fixed service systems</w:t>
            </w:r>
          </w:p>
        </w:tc>
      </w:tr>
      <w:tr w:rsidR="00093BA4" w:rsidRPr="00036EE3" w:rsidTr="000664F7">
        <w:tc>
          <w:tcPr>
            <w:tcW w:w="1140" w:type="dxa"/>
            <w:shd w:val="clear" w:color="auto" w:fill="F3F3F3"/>
          </w:tcPr>
          <w:p w:rsidR="00093BA4" w:rsidRPr="00906589" w:rsidRDefault="00093BA4" w:rsidP="000664F7">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093BA4" w:rsidRPr="00906589" w:rsidRDefault="00093BA4" w:rsidP="000664F7">
            <w:pPr>
              <w:spacing w:before="30" w:after="30"/>
              <w:jc w:val="left"/>
              <w:rPr>
                <w:b/>
                <w:bCs/>
                <w:color w:val="000080"/>
                <w:sz w:val="20"/>
                <w:lang w:val="en-US"/>
              </w:rPr>
            </w:pPr>
            <w:r w:rsidRPr="00906589">
              <w:rPr>
                <w:b/>
                <w:bCs/>
                <w:color w:val="000080"/>
                <w:sz w:val="20"/>
                <w:lang w:val="en-US"/>
              </w:rPr>
              <w:t>Spectrum management</w:t>
            </w:r>
          </w:p>
        </w:tc>
      </w:tr>
      <w:tr w:rsidR="00093BA4" w:rsidRPr="00036EE3" w:rsidTr="000664F7">
        <w:tc>
          <w:tcPr>
            <w:tcW w:w="1140" w:type="dxa"/>
          </w:tcPr>
          <w:p w:rsidR="00093BA4" w:rsidRPr="00036EE3" w:rsidRDefault="00093BA4" w:rsidP="000664F7">
            <w:pPr>
              <w:spacing w:before="30" w:after="30"/>
              <w:ind w:left="57"/>
              <w:jc w:val="left"/>
              <w:rPr>
                <w:b/>
                <w:bCs/>
                <w:sz w:val="20"/>
                <w:lang w:val="en-US"/>
              </w:rPr>
            </w:pPr>
            <w:r w:rsidRPr="00036EE3">
              <w:rPr>
                <w:b/>
                <w:bCs/>
                <w:sz w:val="20"/>
                <w:lang w:val="en-US"/>
              </w:rPr>
              <w:t>SNG</w:t>
            </w:r>
          </w:p>
        </w:tc>
        <w:tc>
          <w:tcPr>
            <w:tcW w:w="8220" w:type="dxa"/>
          </w:tcPr>
          <w:p w:rsidR="00093BA4" w:rsidRPr="00036EE3" w:rsidRDefault="00093BA4" w:rsidP="000664F7">
            <w:pPr>
              <w:spacing w:before="30" w:after="30"/>
              <w:jc w:val="left"/>
              <w:rPr>
                <w:sz w:val="20"/>
                <w:lang w:val="en-US"/>
              </w:rPr>
            </w:pPr>
            <w:r w:rsidRPr="00036EE3">
              <w:rPr>
                <w:sz w:val="20"/>
                <w:lang w:val="en-US"/>
              </w:rPr>
              <w:t>Satellite news gathering</w:t>
            </w:r>
          </w:p>
        </w:tc>
      </w:tr>
      <w:tr w:rsidR="00093BA4" w:rsidRPr="00093BA4" w:rsidTr="000664F7">
        <w:tc>
          <w:tcPr>
            <w:tcW w:w="1140" w:type="dxa"/>
          </w:tcPr>
          <w:p w:rsidR="00093BA4" w:rsidRPr="00036EE3" w:rsidRDefault="00093BA4" w:rsidP="000664F7">
            <w:pPr>
              <w:spacing w:before="30" w:after="30"/>
              <w:ind w:left="57"/>
              <w:jc w:val="left"/>
              <w:rPr>
                <w:b/>
                <w:bCs/>
                <w:sz w:val="20"/>
                <w:lang w:val="en-US"/>
              </w:rPr>
            </w:pPr>
            <w:r w:rsidRPr="00036EE3">
              <w:rPr>
                <w:b/>
                <w:bCs/>
                <w:sz w:val="20"/>
                <w:lang w:val="en-US"/>
              </w:rPr>
              <w:t>TF</w:t>
            </w:r>
          </w:p>
        </w:tc>
        <w:tc>
          <w:tcPr>
            <w:tcW w:w="8220" w:type="dxa"/>
          </w:tcPr>
          <w:p w:rsidR="00093BA4" w:rsidRPr="00036EE3" w:rsidRDefault="00093BA4" w:rsidP="000664F7">
            <w:pPr>
              <w:spacing w:before="30" w:after="30"/>
              <w:jc w:val="left"/>
              <w:rPr>
                <w:sz w:val="20"/>
                <w:lang w:val="en-US"/>
              </w:rPr>
            </w:pPr>
            <w:r w:rsidRPr="00036EE3">
              <w:rPr>
                <w:sz w:val="20"/>
                <w:lang w:val="en-US"/>
              </w:rPr>
              <w:t>Time signals and frequency standards emissions</w:t>
            </w:r>
          </w:p>
        </w:tc>
      </w:tr>
      <w:tr w:rsidR="00093BA4" w:rsidRPr="00036EE3" w:rsidTr="000664F7">
        <w:tc>
          <w:tcPr>
            <w:tcW w:w="1140" w:type="dxa"/>
          </w:tcPr>
          <w:p w:rsidR="00093BA4" w:rsidRPr="00036EE3" w:rsidRDefault="00093BA4" w:rsidP="000664F7">
            <w:pPr>
              <w:spacing w:before="30" w:after="30"/>
              <w:ind w:left="57"/>
              <w:jc w:val="left"/>
              <w:rPr>
                <w:b/>
                <w:bCs/>
                <w:sz w:val="20"/>
                <w:lang w:val="en-US"/>
              </w:rPr>
            </w:pPr>
            <w:r w:rsidRPr="00036EE3">
              <w:rPr>
                <w:b/>
                <w:bCs/>
                <w:sz w:val="20"/>
                <w:lang w:val="en-US"/>
              </w:rPr>
              <w:t>V</w:t>
            </w:r>
          </w:p>
        </w:tc>
        <w:tc>
          <w:tcPr>
            <w:tcW w:w="8220" w:type="dxa"/>
          </w:tcPr>
          <w:p w:rsidR="00093BA4" w:rsidRPr="00036EE3" w:rsidRDefault="00093BA4" w:rsidP="000664F7">
            <w:pPr>
              <w:spacing w:before="30" w:after="180"/>
              <w:jc w:val="left"/>
              <w:rPr>
                <w:sz w:val="20"/>
                <w:lang w:val="en-US"/>
              </w:rPr>
            </w:pPr>
            <w:r w:rsidRPr="00036EE3">
              <w:rPr>
                <w:sz w:val="20"/>
                <w:lang w:val="en-US"/>
              </w:rPr>
              <w:t>Vocabulary and related subjects</w:t>
            </w:r>
          </w:p>
        </w:tc>
      </w:tr>
    </w:tbl>
    <w:p w:rsidR="00093BA4" w:rsidRPr="00036EE3" w:rsidRDefault="00093BA4" w:rsidP="00093B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93BA4" w:rsidTr="000664F7">
        <w:tc>
          <w:tcPr>
            <w:tcW w:w="720" w:type="dxa"/>
          </w:tcPr>
          <w:p w:rsidR="00093BA4" w:rsidRDefault="00093BA4" w:rsidP="000664F7">
            <w:pPr>
              <w:jc w:val="center"/>
              <w:rPr>
                <w:sz w:val="22"/>
                <w:lang w:val="en-US"/>
              </w:rPr>
            </w:pPr>
          </w:p>
        </w:tc>
      </w:tr>
    </w:tbl>
    <w:p w:rsidR="00093BA4" w:rsidRPr="00036EE3" w:rsidRDefault="00093BA4" w:rsidP="00093B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93BA4" w:rsidRPr="00093BA4" w:rsidTr="000664F7">
        <w:tc>
          <w:tcPr>
            <w:tcW w:w="9360" w:type="dxa"/>
          </w:tcPr>
          <w:p w:rsidR="00093BA4" w:rsidRPr="002F5199" w:rsidRDefault="00093BA4" w:rsidP="000664F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93BA4" w:rsidRDefault="00093BA4" w:rsidP="00093BA4">
      <w:pPr>
        <w:spacing w:before="0"/>
        <w:jc w:val="center"/>
        <w:rPr>
          <w:sz w:val="22"/>
          <w:lang w:val="en-US"/>
        </w:rPr>
      </w:pPr>
    </w:p>
    <w:p w:rsidR="00093BA4" w:rsidRDefault="00093BA4" w:rsidP="00093BA4">
      <w:pPr>
        <w:spacing w:before="0"/>
        <w:jc w:val="center"/>
        <w:rPr>
          <w:sz w:val="22"/>
          <w:lang w:val="en-US"/>
        </w:rPr>
      </w:pPr>
    </w:p>
    <w:p w:rsidR="00093BA4" w:rsidRPr="002F5199" w:rsidRDefault="00093BA4" w:rsidP="00093BA4">
      <w:pPr>
        <w:spacing w:before="0"/>
        <w:jc w:val="right"/>
        <w:rPr>
          <w:i/>
          <w:iCs/>
          <w:sz w:val="20"/>
          <w:lang w:val="en-US"/>
        </w:rPr>
      </w:pPr>
      <w:r w:rsidRPr="002F5199">
        <w:rPr>
          <w:i/>
          <w:iCs/>
          <w:sz w:val="20"/>
          <w:lang w:val="en-US"/>
        </w:rPr>
        <w:t>Electronic Publication</w:t>
      </w:r>
    </w:p>
    <w:p w:rsidR="00093BA4" w:rsidRPr="002F5199" w:rsidRDefault="00093BA4" w:rsidP="00093BA4">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F7125B">
        <w:rPr>
          <w:sz w:val="20"/>
          <w:lang w:val="en-US"/>
        </w:rPr>
        <w:t>7</w:t>
      </w:r>
    </w:p>
    <w:p w:rsidR="00093BA4" w:rsidRDefault="00093BA4" w:rsidP="00093BA4">
      <w:pPr>
        <w:jc w:val="center"/>
        <w:rPr>
          <w:sz w:val="22"/>
          <w:lang w:val="en-US"/>
        </w:rPr>
      </w:pPr>
    </w:p>
    <w:p w:rsidR="00093BA4" w:rsidRPr="00470E28" w:rsidRDefault="00093BA4" w:rsidP="00093BA4">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F7125B">
        <w:rPr>
          <w:sz w:val="20"/>
          <w:lang w:val="en-US"/>
        </w:rPr>
        <w:t>7</w:t>
      </w:r>
    </w:p>
    <w:p w:rsidR="00093BA4" w:rsidRPr="00470E28" w:rsidRDefault="00093BA4" w:rsidP="00093BA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93BA4" w:rsidRDefault="00093BA4" w:rsidP="00093BA4">
      <w:pPr>
        <w:spacing w:before="160"/>
        <w:rPr>
          <w:i/>
          <w:sz w:val="20"/>
          <w:lang w:val="en-US"/>
        </w:rPr>
        <w:sectPr w:rsidR="00093BA4" w:rsidSect="00F7125B">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rsidR="00093BA4" w:rsidRPr="0001036E" w:rsidRDefault="00093BA4" w:rsidP="00F7125B">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sidR="00F7125B">
        <w:rPr>
          <w:rStyle w:val="href"/>
          <w:lang w:val="en-US"/>
        </w:rPr>
        <w:t>2110-0</w:t>
      </w:r>
    </w:p>
    <w:p w:rsidR="000267EF" w:rsidRDefault="000267EF" w:rsidP="003804EA">
      <w:pPr>
        <w:pStyle w:val="Rectitle"/>
        <w:rPr>
          <w:szCs w:val="24"/>
          <w:lang w:val="en-GB" w:eastAsia="en-GB"/>
        </w:rPr>
      </w:pPr>
      <w:r>
        <w:rPr>
          <w:lang w:val="en-US" w:eastAsia="zh-CN"/>
        </w:rPr>
        <w:t xml:space="preserve">Frequency ranges for operation of non-beam </w:t>
      </w:r>
      <w:r>
        <w:rPr>
          <w:lang w:val="en-US" w:eastAsia="zh-CN"/>
        </w:rPr>
        <w:br/>
        <w:t>wireless power transmission systems</w:t>
      </w:r>
      <w:r>
        <w:rPr>
          <w:rStyle w:val="FootnoteReference"/>
          <w:lang w:val="en-US" w:eastAsia="zh-CN"/>
        </w:rPr>
        <w:footnoteReference w:customMarkFollows="1" w:id="1"/>
        <w:t>*</w:t>
      </w:r>
      <w:r w:rsidRPr="000267EF">
        <w:rPr>
          <w:szCs w:val="24"/>
          <w:lang w:val="en-GB" w:eastAsia="en-GB"/>
        </w:rPr>
        <w:t xml:space="preserve"> </w:t>
      </w:r>
    </w:p>
    <w:p w:rsidR="003804EA" w:rsidRPr="003804EA" w:rsidRDefault="003804EA" w:rsidP="003804EA">
      <w:pPr>
        <w:pStyle w:val="Recdate"/>
        <w:rPr>
          <w:lang w:val="en-GB" w:eastAsia="en-GB"/>
        </w:rPr>
      </w:pPr>
      <w:r>
        <w:rPr>
          <w:lang w:val="en-GB" w:eastAsia="en-GB"/>
        </w:rPr>
        <w:t>(2017)</w:t>
      </w:r>
    </w:p>
    <w:p w:rsidR="000267EF" w:rsidRDefault="000267EF" w:rsidP="003804EA">
      <w:pPr>
        <w:pStyle w:val="HeadingSum"/>
      </w:pPr>
      <w:r>
        <w:t>Scope</w:t>
      </w:r>
    </w:p>
    <w:p w:rsidR="000267EF" w:rsidRDefault="000267EF" w:rsidP="003804EA">
      <w:pPr>
        <w:pStyle w:val="Summary"/>
        <w:rPr>
          <w:sz w:val="24"/>
        </w:rPr>
      </w:pPr>
      <w:r>
        <w:t xml:space="preserve">This Recommendation provides guidelines for the use of frequency ranges for the operation of non-beam </w:t>
      </w:r>
      <w:r>
        <w:rPr>
          <w:lang w:eastAsia="ko-KR"/>
        </w:rPr>
        <w:t>wireless power transmission (WPT), including charging of mobile</w:t>
      </w:r>
      <w:r>
        <w:rPr>
          <w:lang w:eastAsia="ja-JP"/>
        </w:rPr>
        <w:t>/portable</w:t>
      </w:r>
      <w:r>
        <w:rPr>
          <w:lang w:eastAsia="ko-KR"/>
        </w:rPr>
        <w:t xml:space="preserve"> devices. </w:t>
      </w:r>
    </w:p>
    <w:p w:rsidR="000267EF" w:rsidRDefault="000267EF" w:rsidP="003B7085">
      <w:pPr>
        <w:pStyle w:val="Headingb"/>
        <w:rPr>
          <w:lang w:val="en-US"/>
        </w:rPr>
      </w:pPr>
      <w:r>
        <w:rPr>
          <w:lang w:val="en-US"/>
        </w:rPr>
        <w:t>Keywords</w:t>
      </w:r>
    </w:p>
    <w:p w:rsidR="000267EF" w:rsidRDefault="000267EF" w:rsidP="000267EF">
      <w:pPr>
        <w:rPr>
          <w:lang w:val="en-GB"/>
        </w:rPr>
      </w:pPr>
      <w:r>
        <w:rPr>
          <w:lang w:val="en-US" w:eastAsia="ko-KR"/>
        </w:rPr>
        <w:t xml:space="preserve">Wireless power transmission, short-range devices, </w:t>
      </w:r>
      <w:r>
        <w:rPr>
          <w:rFonts w:eastAsia="Calibri"/>
          <w:lang w:val="en-US"/>
        </w:rPr>
        <w:t>ISM, non-beam</w:t>
      </w:r>
    </w:p>
    <w:p w:rsidR="000267EF" w:rsidRDefault="000267EF" w:rsidP="003B7085">
      <w:pPr>
        <w:pStyle w:val="Headingb"/>
        <w:rPr>
          <w:rFonts w:asciiTheme="majorBidi" w:hAnsiTheme="majorBidi" w:cstheme="majorBidi"/>
          <w:bCs/>
          <w:szCs w:val="24"/>
        </w:rPr>
      </w:pPr>
      <w:r w:rsidRPr="003B7085">
        <w:rPr>
          <w:lang w:val="en-US"/>
        </w:rPr>
        <w:t>Abbreviations</w:t>
      </w:r>
      <w:r w:rsidRPr="003B7085">
        <w:rPr>
          <w:rFonts w:asciiTheme="majorBidi" w:hAnsiTheme="majorBidi" w:cstheme="majorBidi"/>
          <w:szCs w:val="24"/>
          <w:lang w:val="en-US"/>
        </w:rPr>
        <w:t>/Glossary</w:t>
      </w:r>
      <w:r>
        <w:rPr>
          <w:rFonts w:asciiTheme="majorBidi" w:hAnsiTheme="majorBidi" w:cstheme="majorBidi"/>
          <w:b w:val="0"/>
          <w:bCs/>
          <w:szCs w:val="24"/>
          <w:lang w:val="en-US"/>
        </w:rPr>
        <w:t xml:space="preserve"> </w:t>
      </w:r>
    </w:p>
    <w:p w:rsidR="000267EF" w:rsidRDefault="000267EF" w:rsidP="003B7085">
      <w:pPr>
        <w:tabs>
          <w:tab w:val="clear" w:pos="794"/>
        </w:tabs>
        <w:rPr>
          <w:lang w:val="en-US"/>
        </w:rPr>
      </w:pPr>
      <w:r>
        <w:rPr>
          <w:lang w:val="en-US"/>
        </w:rPr>
        <w:t>CISPR:</w:t>
      </w:r>
      <w:r>
        <w:rPr>
          <w:lang w:val="en-US"/>
        </w:rPr>
        <w:tab/>
        <w:t xml:space="preserve">In French “Comité International Spécial des Perturbations Radioélectriques”, </w:t>
      </w:r>
      <w:r>
        <w:rPr>
          <w:lang w:val="en-US"/>
        </w:rPr>
        <w:br/>
        <w:t xml:space="preserve"> </w:t>
      </w:r>
      <w:r>
        <w:rPr>
          <w:lang w:val="en-US"/>
        </w:rPr>
        <w:tab/>
        <w:t>International Special Committee on Radio Interference</w:t>
      </w:r>
    </w:p>
    <w:p w:rsidR="000267EF" w:rsidRDefault="000267EF" w:rsidP="003B7085">
      <w:pPr>
        <w:tabs>
          <w:tab w:val="clear" w:pos="794"/>
        </w:tabs>
        <w:rPr>
          <w:lang w:val="en-US"/>
        </w:rPr>
      </w:pPr>
      <w:r>
        <w:rPr>
          <w:lang w:val="en-US"/>
        </w:rPr>
        <w:t>ICNIRP:</w:t>
      </w:r>
      <w:r>
        <w:rPr>
          <w:lang w:val="en-US"/>
        </w:rPr>
        <w:tab/>
        <w:t>International Commission on Non</w:t>
      </w:r>
      <w:r>
        <w:rPr>
          <w:lang w:val="en-US"/>
        </w:rPr>
        <w:noBreakHyphen/>
        <w:t>ionizing Radiation Protection</w:t>
      </w:r>
    </w:p>
    <w:p w:rsidR="000267EF" w:rsidRDefault="000267EF" w:rsidP="003B7085">
      <w:pPr>
        <w:tabs>
          <w:tab w:val="clear" w:pos="794"/>
        </w:tabs>
        <w:rPr>
          <w:lang w:val="en-US" w:eastAsia="zh-CN"/>
        </w:rPr>
      </w:pPr>
      <w:r>
        <w:rPr>
          <w:lang w:val="en-US" w:eastAsia="zh-CN"/>
        </w:rPr>
        <w:t>IEC:</w:t>
      </w:r>
      <w:r>
        <w:rPr>
          <w:lang w:val="en-US" w:eastAsia="zh-CN"/>
        </w:rPr>
        <w:tab/>
        <w:t>International Electrotechnical Commission</w:t>
      </w:r>
    </w:p>
    <w:p w:rsidR="000267EF" w:rsidRDefault="000267EF" w:rsidP="003B7085">
      <w:pPr>
        <w:tabs>
          <w:tab w:val="clear" w:pos="794"/>
        </w:tabs>
        <w:rPr>
          <w:lang w:val="en-US" w:eastAsia="zh-CN"/>
        </w:rPr>
      </w:pPr>
      <w:r>
        <w:rPr>
          <w:lang w:val="en-US" w:eastAsia="zh-CN"/>
        </w:rPr>
        <w:t>ISO:</w:t>
      </w:r>
      <w:r>
        <w:rPr>
          <w:lang w:val="en-US" w:eastAsia="zh-CN"/>
        </w:rPr>
        <w:tab/>
        <w:t>International Standard Organization</w:t>
      </w:r>
    </w:p>
    <w:p w:rsidR="000267EF" w:rsidRDefault="000267EF" w:rsidP="003B7085">
      <w:pPr>
        <w:tabs>
          <w:tab w:val="clear" w:pos="794"/>
        </w:tabs>
        <w:rPr>
          <w:lang w:val="en-US" w:eastAsia="ko-KR"/>
        </w:rPr>
      </w:pPr>
      <w:r>
        <w:rPr>
          <w:rFonts w:eastAsia="Calibri"/>
          <w:lang w:val="en-US"/>
        </w:rPr>
        <w:t>ISM:</w:t>
      </w:r>
      <w:r>
        <w:rPr>
          <w:rFonts w:eastAsia="Calibri"/>
          <w:lang w:val="en-US"/>
        </w:rPr>
        <w:tab/>
        <w:t>Industrial, Scientific, Medical</w:t>
      </w:r>
      <w:r>
        <w:rPr>
          <w:lang w:val="en-US" w:eastAsia="ko-KR"/>
        </w:rPr>
        <w:t xml:space="preserve"> </w:t>
      </w:r>
    </w:p>
    <w:p w:rsidR="000267EF" w:rsidRDefault="000267EF" w:rsidP="003B7085">
      <w:pPr>
        <w:tabs>
          <w:tab w:val="clear" w:pos="794"/>
        </w:tabs>
        <w:rPr>
          <w:lang w:val="en-US" w:eastAsia="zh-CN"/>
        </w:rPr>
      </w:pPr>
      <w:r>
        <w:rPr>
          <w:lang w:val="en-US" w:eastAsia="ko-KR"/>
        </w:rPr>
        <w:t>GSC:</w:t>
      </w:r>
      <w:r>
        <w:rPr>
          <w:lang w:val="en-US" w:eastAsia="ko-KR"/>
        </w:rPr>
        <w:tab/>
        <w:t>Global Standards Collaboration</w:t>
      </w:r>
    </w:p>
    <w:p w:rsidR="000267EF" w:rsidRDefault="000267EF" w:rsidP="003B7085">
      <w:pPr>
        <w:tabs>
          <w:tab w:val="clear" w:pos="794"/>
        </w:tabs>
        <w:rPr>
          <w:lang w:val="en-GB"/>
        </w:rPr>
      </w:pPr>
      <w:r>
        <w:rPr>
          <w:lang w:val="en-US" w:eastAsia="zh-CN"/>
        </w:rPr>
        <w:t>RR:</w:t>
      </w:r>
      <w:r>
        <w:rPr>
          <w:lang w:val="en-US" w:eastAsia="zh-CN"/>
        </w:rPr>
        <w:tab/>
        <w:t>Radio Regulations</w:t>
      </w:r>
    </w:p>
    <w:p w:rsidR="000267EF" w:rsidRDefault="000267EF" w:rsidP="003B7085">
      <w:pPr>
        <w:tabs>
          <w:tab w:val="clear" w:pos="794"/>
        </w:tabs>
        <w:rPr>
          <w:lang w:val="en-US" w:eastAsia="zh-CN"/>
        </w:rPr>
      </w:pPr>
      <w:r>
        <w:rPr>
          <w:lang w:val="en-US" w:eastAsia="zh-CN"/>
        </w:rPr>
        <w:t>SAE:</w:t>
      </w:r>
      <w:r>
        <w:rPr>
          <w:lang w:val="en-US" w:eastAsia="zh-CN"/>
        </w:rPr>
        <w:tab/>
        <w:t>Society of Automotive Engineers</w:t>
      </w:r>
    </w:p>
    <w:p w:rsidR="000267EF" w:rsidRDefault="000267EF" w:rsidP="003B7085">
      <w:pPr>
        <w:tabs>
          <w:tab w:val="clear" w:pos="794"/>
        </w:tabs>
        <w:rPr>
          <w:lang w:val="en-US"/>
        </w:rPr>
      </w:pPr>
      <w:r>
        <w:rPr>
          <w:lang w:val="en-US"/>
        </w:rPr>
        <w:t>WHO:</w:t>
      </w:r>
      <w:r>
        <w:rPr>
          <w:lang w:val="en-US"/>
        </w:rPr>
        <w:tab/>
        <w:t>World Health Organization</w:t>
      </w:r>
    </w:p>
    <w:p w:rsidR="000267EF" w:rsidRDefault="000267EF" w:rsidP="003B7085">
      <w:pPr>
        <w:tabs>
          <w:tab w:val="clear" w:pos="794"/>
        </w:tabs>
        <w:rPr>
          <w:lang w:val="en-US" w:eastAsia="ko-KR"/>
        </w:rPr>
      </w:pPr>
      <w:r w:rsidRPr="000267EF">
        <w:rPr>
          <w:lang w:val="en-GB"/>
        </w:rPr>
        <w:t>WPT:</w:t>
      </w:r>
      <w:r w:rsidRPr="000267EF">
        <w:rPr>
          <w:lang w:val="en-GB"/>
        </w:rPr>
        <w:tab/>
      </w:r>
      <w:r>
        <w:rPr>
          <w:lang w:val="en-US" w:eastAsia="ko-KR"/>
        </w:rPr>
        <w:t>wireless power transmission</w:t>
      </w:r>
    </w:p>
    <w:p w:rsidR="000267EF" w:rsidRDefault="000267EF" w:rsidP="003B7085">
      <w:pPr>
        <w:tabs>
          <w:tab w:val="clear" w:pos="794"/>
        </w:tabs>
        <w:rPr>
          <w:lang w:val="en-GB"/>
        </w:rPr>
      </w:pPr>
      <w:r>
        <w:rPr>
          <w:lang w:val="en-US"/>
        </w:rPr>
        <w:t>WRC-19:</w:t>
      </w:r>
      <w:r>
        <w:rPr>
          <w:lang w:val="en-US"/>
        </w:rPr>
        <w:tab/>
        <w:t>World Radiocommunication Conference 2019</w:t>
      </w:r>
    </w:p>
    <w:p w:rsidR="000267EF" w:rsidRDefault="000267EF" w:rsidP="000267EF">
      <w:pPr>
        <w:pStyle w:val="Headingb"/>
        <w:rPr>
          <w:rFonts w:asciiTheme="majorBidi" w:eastAsia="SimSun" w:hAnsiTheme="majorBidi" w:cstheme="majorBidi"/>
          <w:szCs w:val="24"/>
          <w:lang w:val="en-US"/>
        </w:rPr>
      </w:pPr>
      <w:r>
        <w:rPr>
          <w:rFonts w:asciiTheme="majorBidi" w:eastAsia="SimSun" w:hAnsiTheme="majorBidi" w:cstheme="majorBidi"/>
          <w:szCs w:val="24"/>
          <w:lang w:val="en-US"/>
        </w:rPr>
        <w:t>Related ITU Recommendations, Reports</w:t>
      </w:r>
    </w:p>
    <w:p w:rsidR="000267EF" w:rsidRDefault="000267EF" w:rsidP="000267EF">
      <w:pPr>
        <w:rPr>
          <w:lang w:val="en-US" w:eastAsia="ko-KR"/>
        </w:rPr>
      </w:pPr>
      <w:r>
        <w:rPr>
          <w:rFonts w:eastAsia="Calibri"/>
          <w:lang w:val="en-US"/>
        </w:rPr>
        <w:t xml:space="preserve">Recommendation ITU-R SM.1056; </w:t>
      </w:r>
      <w:r>
        <w:rPr>
          <w:lang w:val="en-US" w:eastAsia="ko-KR"/>
        </w:rPr>
        <w:t>Recommendation ITU-R SM.1896</w:t>
      </w:r>
      <w:r>
        <w:rPr>
          <w:rFonts w:eastAsia="Calibri"/>
          <w:lang w:val="en-US"/>
        </w:rPr>
        <w:t xml:space="preserve">; </w:t>
      </w:r>
      <w:r>
        <w:rPr>
          <w:lang w:val="en-US" w:eastAsia="ko-KR"/>
        </w:rPr>
        <w:t>Report ITU-R SM.2153</w:t>
      </w:r>
      <w:r>
        <w:rPr>
          <w:rFonts w:eastAsia="Calibri"/>
          <w:lang w:val="en-US"/>
        </w:rPr>
        <w:t>; Report ITU-R SM.2303.</w:t>
      </w:r>
    </w:p>
    <w:p w:rsidR="000267EF" w:rsidRDefault="000267EF" w:rsidP="000267EF">
      <w:pPr>
        <w:pStyle w:val="Normalaftertitle"/>
        <w:rPr>
          <w:lang w:val="en-US"/>
        </w:rPr>
      </w:pPr>
      <w:r>
        <w:rPr>
          <w:lang w:val="en-US"/>
        </w:rPr>
        <w:t>The ITU Radiocommunication Assembly,</w:t>
      </w:r>
    </w:p>
    <w:p w:rsidR="000267EF" w:rsidRDefault="000267EF" w:rsidP="000267EF">
      <w:pPr>
        <w:pStyle w:val="Call"/>
        <w:rPr>
          <w:lang w:val="en-US" w:eastAsia="ko-KR"/>
        </w:rPr>
      </w:pPr>
      <w:r>
        <w:rPr>
          <w:lang w:val="en-US"/>
        </w:rPr>
        <w:t>considering</w:t>
      </w:r>
    </w:p>
    <w:p w:rsidR="000267EF" w:rsidRDefault="000267EF" w:rsidP="000267EF">
      <w:pPr>
        <w:rPr>
          <w:lang w:val="en-US" w:eastAsia="ko-KR"/>
        </w:rPr>
      </w:pPr>
      <w:r>
        <w:rPr>
          <w:i/>
          <w:iCs/>
          <w:lang w:val="en-US" w:eastAsia="ko-KR"/>
        </w:rPr>
        <w:t>a)</w:t>
      </w:r>
      <w:r>
        <w:rPr>
          <w:lang w:val="en-US" w:eastAsia="ko-KR"/>
        </w:rPr>
        <w:tab/>
      </w:r>
      <w:r>
        <w:rPr>
          <w:lang w:val="en-US"/>
        </w:rPr>
        <w:t>that</w:t>
      </w:r>
      <w:r>
        <w:rPr>
          <w:lang w:val="en-US" w:eastAsia="ko-KR"/>
        </w:rPr>
        <w:t xml:space="preserve"> wireless power transmission (WPT) is </w:t>
      </w:r>
      <w:r>
        <w:rPr>
          <w:lang w:val="en-US"/>
        </w:rPr>
        <w:t>define</w:t>
      </w:r>
      <w:r>
        <w:rPr>
          <w:lang w:val="en-US" w:eastAsia="ko-KR"/>
        </w:rPr>
        <w:t>d as t</w:t>
      </w:r>
      <w:r>
        <w:rPr>
          <w:lang w:val="en-US"/>
        </w:rPr>
        <w:t>he transmission of power from a power source to an electrical load using the electromagnetic field</w:t>
      </w:r>
      <w:r>
        <w:rPr>
          <w:lang w:val="en-US" w:eastAsia="ko-KR"/>
        </w:rPr>
        <w:t>;</w:t>
      </w:r>
    </w:p>
    <w:p w:rsidR="000267EF" w:rsidRDefault="000267EF" w:rsidP="000267EF">
      <w:pPr>
        <w:rPr>
          <w:lang w:val="en-US" w:eastAsia="zh-CN"/>
        </w:rPr>
      </w:pPr>
      <w:r>
        <w:rPr>
          <w:i/>
          <w:iCs/>
          <w:lang w:val="en-US" w:eastAsia="zh-CN"/>
        </w:rPr>
        <w:t>b)</w:t>
      </w:r>
      <w:r>
        <w:rPr>
          <w:lang w:val="en-US" w:eastAsia="zh-CN"/>
        </w:rPr>
        <w:tab/>
        <w:t>that WPT technologies utilize various mechanisms, such as transmission via radio frequency beams, inductive, resonant and capacitive coupling;</w:t>
      </w:r>
    </w:p>
    <w:p w:rsidR="000267EF" w:rsidRDefault="000267EF" w:rsidP="000267EF">
      <w:pPr>
        <w:rPr>
          <w:szCs w:val="24"/>
          <w:lang w:val="en-US"/>
        </w:rPr>
      </w:pPr>
      <w:r>
        <w:rPr>
          <w:i/>
          <w:iCs/>
          <w:lang w:val="en-US"/>
        </w:rPr>
        <w:t>c)</w:t>
      </w:r>
      <w:r>
        <w:rPr>
          <w:lang w:val="en-US"/>
        </w:rPr>
        <w:tab/>
        <w:t xml:space="preserve">that such </w:t>
      </w:r>
      <w:r>
        <w:rPr>
          <w:lang w:val="en-US" w:eastAsia="zh-CN"/>
        </w:rPr>
        <w:t>WPT technologies</w:t>
      </w:r>
      <w:r>
        <w:rPr>
          <w:lang w:val="en-US"/>
        </w:rPr>
        <w:t xml:space="preserve"> may be useful in applications of charging</w:t>
      </w:r>
      <w:r>
        <w:rPr>
          <w:szCs w:val="24"/>
          <w:lang w:val="en-US" w:eastAsia="ko-KR"/>
        </w:rPr>
        <w:t xml:space="preserve"> of mobile</w:t>
      </w:r>
      <w:r>
        <w:rPr>
          <w:szCs w:val="24"/>
          <w:lang w:val="en-US" w:eastAsia="ja-JP"/>
        </w:rPr>
        <w:t>/portable</w:t>
      </w:r>
      <w:r>
        <w:rPr>
          <w:szCs w:val="24"/>
          <w:lang w:val="en-US" w:eastAsia="ko-KR"/>
        </w:rPr>
        <w:t xml:space="preserve"> devices</w:t>
      </w:r>
      <w:r>
        <w:rPr>
          <w:rFonts w:cs="MS PGothic"/>
          <w:szCs w:val="24"/>
          <w:lang w:val="en-US" w:eastAsia="ja-JP"/>
        </w:rPr>
        <w:t xml:space="preserve"> </w:t>
      </w:r>
      <w:r>
        <w:rPr>
          <w:szCs w:val="24"/>
          <w:lang w:val="en-US" w:eastAsia="ko-KR"/>
        </w:rPr>
        <w:t>and electric vehicles etc.</w:t>
      </w:r>
      <w:r>
        <w:rPr>
          <w:szCs w:val="24"/>
          <w:lang w:val="en-US"/>
        </w:rPr>
        <w:t>;</w:t>
      </w:r>
    </w:p>
    <w:p w:rsidR="000267EF" w:rsidRDefault="000267EF" w:rsidP="000267EF">
      <w:pPr>
        <w:rPr>
          <w:lang w:val="en-US"/>
        </w:rPr>
      </w:pPr>
      <w:r>
        <w:rPr>
          <w:i/>
          <w:lang w:val="en-US"/>
        </w:rPr>
        <w:lastRenderedPageBreak/>
        <w:t>d)</w:t>
      </w:r>
      <w:r>
        <w:rPr>
          <w:lang w:val="en-US"/>
        </w:rPr>
        <w:tab/>
        <w:t xml:space="preserve">that WPT standards are currently being developed at national, regional, and international levels for the above-mentioned wireless charging of mobile devices </w:t>
      </w:r>
      <w:r>
        <w:rPr>
          <w:szCs w:val="24"/>
          <w:lang w:val="en-US" w:eastAsia="ko-KR"/>
        </w:rPr>
        <w:t>and electric vehicles, etc.</w:t>
      </w:r>
      <w:r>
        <w:rPr>
          <w:lang w:val="en-US"/>
        </w:rPr>
        <w:t>;</w:t>
      </w:r>
    </w:p>
    <w:p w:rsidR="000267EF" w:rsidRDefault="000267EF" w:rsidP="000267EF">
      <w:pPr>
        <w:rPr>
          <w:lang w:val="en-US"/>
        </w:rPr>
      </w:pPr>
      <w:r>
        <w:rPr>
          <w:i/>
          <w:iCs/>
          <w:lang w:val="en-US"/>
        </w:rPr>
        <w:t>e)</w:t>
      </w:r>
      <w:r>
        <w:rPr>
          <w:lang w:val="en-US"/>
        </w:rPr>
        <w:tab/>
        <w:t xml:space="preserve">that </w:t>
      </w:r>
      <w:r>
        <w:rPr>
          <w:lang w:val="en-US" w:eastAsia="ko-KR"/>
        </w:rPr>
        <w:t>industrial alliances, consortia, and academia</w:t>
      </w:r>
      <w:r>
        <w:rPr>
          <w:lang w:val="en-US"/>
        </w:rPr>
        <w:t xml:space="preserve"> have investigated several frequency bands for WPT technologies</w:t>
      </w:r>
      <w:r>
        <w:rPr>
          <w:lang w:val="en-US" w:eastAsia="ko-KR"/>
        </w:rPr>
        <w:t>, including; 19</w:t>
      </w:r>
      <w:r>
        <w:rPr>
          <w:lang w:val="en-US" w:eastAsia="ko-KR"/>
        </w:rPr>
        <w:noBreakHyphen/>
        <w:t>21 kHz and 59</w:t>
      </w:r>
      <w:r>
        <w:rPr>
          <w:lang w:val="en-US" w:eastAsia="ko-KR"/>
        </w:rPr>
        <w:noBreakHyphen/>
        <w:t>61 kHz for the shaped magnetic field in resonance for electric vehicles, 79</w:t>
      </w:r>
      <w:r>
        <w:rPr>
          <w:lang w:val="en-US" w:eastAsia="ko-KR"/>
        </w:rPr>
        <w:noBreakHyphen/>
        <w:t xml:space="preserve">90 kHz for </w:t>
      </w:r>
      <w:r>
        <w:rPr>
          <w:lang w:val="en-US" w:eastAsia="ja-JP"/>
        </w:rPr>
        <w:t>magnetic resonant technology for electric vehicles</w:t>
      </w:r>
      <w:r>
        <w:rPr>
          <w:lang w:val="en-US" w:eastAsia="ko-KR"/>
        </w:rPr>
        <w:t>, 100</w:t>
      </w:r>
      <w:r>
        <w:rPr>
          <w:lang w:val="en-US" w:eastAsia="ko-KR"/>
        </w:rPr>
        <w:noBreakHyphen/>
        <w:t xml:space="preserve">300 kHz for </w:t>
      </w:r>
      <w:r>
        <w:rPr>
          <w:lang w:val="en-US" w:eastAsia="ja-JP"/>
        </w:rPr>
        <w:t>magnetic resonant and induction technology for mobile devices</w:t>
      </w:r>
      <w:r>
        <w:rPr>
          <w:lang w:val="en-US" w:eastAsia="ko-KR"/>
        </w:rPr>
        <w:t xml:space="preserve"> and 6 765</w:t>
      </w:r>
      <w:r>
        <w:rPr>
          <w:lang w:val="en-US" w:eastAsia="ko-KR"/>
        </w:rPr>
        <w:noBreakHyphen/>
        <w:t xml:space="preserve">6 795 kHz for </w:t>
      </w:r>
      <w:r>
        <w:rPr>
          <w:lang w:val="en-US" w:eastAsia="ja-JP"/>
        </w:rPr>
        <w:t>magnetic resonant technology for mobile devices</w:t>
      </w:r>
      <w:r>
        <w:rPr>
          <w:lang w:val="en-US"/>
        </w:rPr>
        <w:t>;</w:t>
      </w:r>
    </w:p>
    <w:p w:rsidR="000267EF" w:rsidRDefault="000267EF" w:rsidP="000267EF">
      <w:pPr>
        <w:keepLines/>
        <w:rPr>
          <w:lang w:val="en-US"/>
        </w:rPr>
      </w:pPr>
      <w:r>
        <w:rPr>
          <w:i/>
          <w:lang w:val="en-US"/>
        </w:rPr>
        <w:t>f)</w:t>
      </w:r>
      <w:r>
        <w:rPr>
          <w:lang w:val="en-US"/>
        </w:rPr>
        <w:tab/>
        <w:t xml:space="preserve">that studies have been concluded by </w:t>
      </w:r>
      <w:r>
        <w:rPr>
          <w:lang w:val="en-US" w:eastAsia="ko-KR"/>
        </w:rPr>
        <w:t>one administration</w:t>
      </w:r>
      <w:r>
        <w:rPr>
          <w:lang w:val="en-US"/>
        </w:rPr>
        <w:t xml:space="preserve"> on the impact of WPT to radiocommunication services in the bands 79</w:t>
      </w:r>
      <w:r>
        <w:rPr>
          <w:lang w:val="en-US"/>
        </w:rPr>
        <w:noBreakHyphen/>
        <w:t xml:space="preserve">90 kHz and </w:t>
      </w:r>
      <w:r>
        <w:rPr>
          <w:lang w:val="en-US" w:eastAsia="ko-KR"/>
        </w:rPr>
        <w:t>6 765</w:t>
      </w:r>
      <w:r>
        <w:rPr>
          <w:lang w:val="en-US" w:eastAsia="ko-KR"/>
        </w:rPr>
        <w:noBreakHyphen/>
        <w:t>6 795 kHz, another administration undertook studies on the impact of WPT in the band 110</w:t>
      </w:r>
      <w:r>
        <w:rPr>
          <w:lang w:val="en-US" w:eastAsia="ko-KR"/>
        </w:rPr>
        <w:noBreakHyphen/>
        <w:t xml:space="preserve">300 kHz and </w:t>
      </w:r>
      <w:r>
        <w:rPr>
          <w:lang w:val="en-US"/>
        </w:rPr>
        <w:t>some administrations already authorize use of some of these bands for WPT technologies;</w:t>
      </w:r>
    </w:p>
    <w:p w:rsidR="000267EF" w:rsidRDefault="000267EF" w:rsidP="000267EF">
      <w:pPr>
        <w:rPr>
          <w:lang w:val="en-US"/>
        </w:rPr>
      </w:pPr>
      <w:r>
        <w:rPr>
          <w:i/>
          <w:iCs/>
          <w:lang w:val="en-US" w:eastAsia="ko-KR"/>
        </w:rPr>
        <w:t>g)</w:t>
      </w:r>
      <w:r>
        <w:rPr>
          <w:rFonts w:cs="Arial"/>
          <w:lang w:val="en-US" w:eastAsia="ko-KR"/>
        </w:rPr>
        <w:tab/>
      </w:r>
      <w:r>
        <w:rPr>
          <w:lang w:val="en-US" w:eastAsia="ko-KR"/>
        </w:rPr>
        <w:t xml:space="preserve">that as the number of WPT devices is growing </w:t>
      </w:r>
      <w:r>
        <w:rPr>
          <w:lang w:val="en-US"/>
        </w:rPr>
        <w:t xml:space="preserve">the use of WPT technologies may have an impact on the operation of radiocommunication services including the </w:t>
      </w:r>
      <w:r>
        <w:rPr>
          <w:lang w:val="en-US" w:eastAsia="zh-CN"/>
        </w:rPr>
        <w:t>standard frequency and time signal service</w:t>
      </w:r>
      <w:r>
        <w:rPr>
          <w:lang w:val="en-US"/>
        </w:rPr>
        <w:t xml:space="preserve"> and the radio astronomy service;</w:t>
      </w:r>
    </w:p>
    <w:p w:rsidR="000267EF" w:rsidRDefault="000267EF" w:rsidP="000267EF">
      <w:pPr>
        <w:rPr>
          <w:lang w:val="en-US" w:eastAsia="zh-CN"/>
        </w:rPr>
      </w:pPr>
      <w:r>
        <w:rPr>
          <w:i/>
          <w:iCs/>
          <w:lang w:val="en-US" w:eastAsia="zh-CN"/>
        </w:rPr>
        <w:t>h</w:t>
      </w:r>
      <w:r>
        <w:rPr>
          <w:lang w:val="en-US" w:eastAsia="zh-CN"/>
        </w:rPr>
        <w:t>)</w:t>
      </w:r>
      <w:r>
        <w:rPr>
          <w:lang w:val="en-US" w:eastAsia="zh-CN"/>
        </w:rPr>
        <w:tab/>
        <w:t xml:space="preserve">that radiation outside the bands used by WPT should be minimized in order to preserve the RF spectrum </w:t>
      </w:r>
      <w:r>
        <w:rPr>
          <w:lang w:val="en-US"/>
        </w:rPr>
        <w:t>of radiocommunication services</w:t>
      </w:r>
      <w:r>
        <w:rPr>
          <w:lang w:val="en-US" w:eastAsia="zh-CN"/>
        </w:rPr>
        <w:t>;</w:t>
      </w:r>
    </w:p>
    <w:p w:rsidR="000267EF" w:rsidRDefault="000267EF" w:rsidP="000267EF">
      <w:pPr>
        <w:rPr>
          <w:lang w:val="en-US"/>
        </w:rPr>
      </w:pPr>
      <w:r>
        <w:rPr>
          <w:i/>
          <w:lang w:val="en-US"/>
        </w:rPr>
        <w:t>i)</w:t>
      </w:r>
      <w:r>
        <w:rPr>
          <w:lang w:val="en-US"/>
        </w:rPr>
        <w:tab/>
        <w:t xml:space="preserve">that to mitigate the impact of WPT devices on the operation of radiocommunication services some solutions utilize frequency bands designated for </w:t>
      </w:r>
      <w:r>
        <w:rPr>
          <w:lang w:val="en-US" w:eastAsia="ko-KR"/>
        </w:rPr>
        <w:t>Industrial, Scientific, Medical (</w:t>
      </w:r>
      <w:r>
        <w:rPr>
          <w:lang w:val="en-US"/>
        </w:rPr>
        <w:t>ISM) applications;</w:t>
      </w:r>
    </w:p>
    <w:p w:rsidR="000267EF" w:rsidRDefault="000267EF" w:rsidP="000267EF">
      <w:pPr>
        <w:rPr>
          <w:rFonts w:eastAsia="Calibri"/>
          <w:lang w:val="en-US"/>
        </w:rPr>
      </w:pPr>
      <w:r>
        <w:rPr>
          <w:i/>
          <w:iCs/>
          <w:lang w:val="en-US"/>
        </w:rPr>
        <w:t>j)</w:t>
      </w:r>
      <w:r>
        <w:rPr>
          <w:lang w:val="en-US"/>
        </w:rPr>
        <w:tab/>
        <w:t>that issues of non-ionizing radiation exposure are dealt with by international organizations such as the World Health Organization (WHO), the International Commission on Non</w:t>
      </w:r>
      <w:r>
        <w:rPr>
          <w:lang w:val="en-US"/>
        </w:rPr>
        <w:noBreakHyphen/>
        <w:t xml:space="preserve">ionizing Radiation Protection (ICNIRP), and </w:t>
      </w:r>
      <w:r w:rsidRPr="000267EF">
        <w:rPr>
          <w:lang w:val="en-GB"/>
        </w:rPr>
        <w:t xml:space="preserve">International Electrotechnical Commission TC106, </w:t>
      </w:r>
      <w:r>
        <w:rPr>
          <w:lang w:val="en-US"/>
        </w:rPr>
        <w:t xml:space="preserve"> and </w:t>
      </w:r>
      <w:r>
        <w:rPr>
          <w:rFonts w:eastAsia="Calibri"/>
          <w:lang w:val="en-US"/>
        </w:rPr>
        <w:t>that ICNIRP 2010 provides guidelines for limiting exposure (up to 10 MHz), and ICNIRP 1998 provides Guidelines for limiting exposure (up to 300 GHz),</w:t>
      </w:r>
    </w:p>
    <w:p w:rsidR="000267EF" w:rsidRDefault="000267EF" w:rsidP="000267EF">
      <w:pPr>
        <w:pStyle w:val="Call"/>
        <w:rPr>
          <w:lang w:val="en-US" w:eastAsia="zh-CN"/>
        </w:rPr>
      </w:pPr>
      <w:r>
        <w:rPr>
          <w:lang w:val="en-US" w:eastAsia="zh-CN"/>
        </w:rPr>
        <w:t>recognizing</w:t>
      </w:r>
    </w:p>
    <w:p w:rsidR="000267EF" w:rsidRDefault="000267EF" w:rsidP="000267EF">
      <w:pPr>
        <w:rPr>
          <w:lang w:val="en-US" w:eastAsia="zh-CN"/>
        </w:rPr>
      </w:pPr>
      <w:r>
        <w:rPr>
          <w:i/>
          <w:lang w:val="en-US" w:eastAsia="zh-CN"/>
        </w:rPr>
        <w:t>a)</w:t>
      </w:r>
      <w:r>
        <w:rPr>
          <w:lang w:val="en-US" w:eastAsia="zh-CN"/>
        </w:rPr>
        <w:tab/>
        <w:t xml:space="preserve">that WPT has no status in the Radio Regulations (RR) and therefore should not cause interference to radiocommunication services including the standard frequency and time signal service and the radio astronomy service; </w:t>
      </w:r>
    </w:p>
    <w:p w:rsidR="000267EF" w:rsidRDefault="000267EF" w:rsidP="000267EF">
      <w:pPr>
        <w:rPr>
          <w:lang w:val="en-US" w:eastAsia="ko-KR"/>
        </w:rPr>
      </w:pPr>
      <w:r>
        <w:rPr>
          <w:i/>
          <w:lang w:val="en-US" w:eastAsia="zh-CN"/>
        </w:rPr>
        <w:t>b)</w:t>
      </w:r>
      <w:r>
        <w:rPr>
          <w:lang w:val="en-US" w:eastAsia="zh-CN"/>
        </w:rPr>
        <w:tab/>
        <w:t>that both consumers and manufacturers will benefit from common spectrum bands used for WPT technologies;</w:t>
      </w:r>
    </w:p>
    <w:p w:rsidR="000267EF" w:rsidRDefault="000267EF" w:rsidP="000267EF">
      <w:pPr>
        <w:rPr>
          <w:lang w:val="en-US" w:eastAsia="ko-KR"/>
        </w:rPr>
      </w:pPr>
      <w:r>
        <w:rPr>
          <w:i/>
          <w:lang w:val="en-US" w:eastAsia="ko-KR"/>
        </w:rPr>
        <w:t>c)</w:t>
      </w:r>
      <w:r>
        <w:rPr>
          <w:lang w:val="en-US" w:eastAsia="ko-KR"/>
        </w:rPr>
        <w:tab/>
        <w:t>that for frequency bands designated for ISM applications have been successfully used in the past for development and proliferation of innovative technologies in accordance with the RR;</w:t>
      </w:r>
    </w:p>
    <w:p w:rsidR="000267EF" w:rsidRDefault="000267EF" w:rsidP="000267EF">
      <w:pPr>
        <w:rPr>
          <w:lang w:val="en-US" w:eastAsia="ko-KR"/>
        </w:rPr>
      </w:pPr>
      <w:r>
        <w:rPr>
          <w:i/>
          <w:lang w:val="en-US" w:eastAsia="ko-KR"/>
        </w:rPr>
        <w:t>d)</w:t>
      </w:r>
      <w:r>
        <w:rPr>
          <w:lang w:val="en-US" w:eastAsia="ko-KR"/>
        </w:rPr>
        <w:tab/>
        <w:t xml:space="preserve">the band 6 765-6 795 kHz also designated for ISM use under RR No. </w:t>
      </w:r>
      <w:r>
        <w:rPr>
          <w:b/>
          <w:bCs/>
          <w:lang w:val="en-US" w:eastAsia="ko-KR"/>
        </w:rPr>
        <w:t>5.138</w:t>
      </w:r>
      <w:r>
        <w:rPr>
          <w:lang w:val="en-US" w:eastAsia="ko-KR"/>
        </w:rPr>
        <w:t xml:space="preserve"> has been found to have advantages for WPT using magnetic resonance technologies in applications of charging of mobile/portable devices;</w:t>
      </w:r>
    </w:p>
    <w:p w:rsidR="000267EF" w:rsidRDefault="000267EF" w:rsidP="000267EF">
      <w:pPr>
        <w:rPr>
          <w:lang w:val="en-US" w:eastAsia="ko-KR"/>
        </w:rPr>
      </w:pPr>
      <w:r>
        <w:rPr>
          <w:i/>
          <w:iCs/>
          <w:lang w:val="en-US" w:eastAsia="ko-KR"/>
        </w:rPr>
        <w:t>e)</w:t>
      </w:r>
      <w:r>
        <w:rPr>
          <w:lang w:val="en-US" w:eastAsia="ko-KR"/>
        </w:rPr>
        <w:tab/>
        <w:t>that some non-ISM bands are taken into consideration for the global or regional harmonized use of specific WPT applications;</w:t>
      </w:r>
    </w:p>
    <w:p w:rsidR="000267EF" w:rsidRDefault="000267EF" w:rsidP="000267EF">
      <w:pPr>
        <w:rPr>
          <w:lang w:val="en-US" w:eastAsia="ko-KR"/>
        </w:rPr>
      </w:pPr>
      <w:r>
        <w:rPr>
          <w:i/>
          <w:iCs/>
          <w:lang w:val="en-US" w:eastAsia="ko-KR"/>
        </w:rPr>
        <w:t>f)</w:t>
      </w:r>
      <w:r>
        <w:rPr>
          <w:i/>
          <w:iCs/>
          <w:lang w:val="en-US" w:eastAsia="ko-KR"/>
        </w:rPr>
        <w:tab/>
      </w:r>
      <w:r>
        <w:rPr>
          <w:lang w:val="en-US" w:eastAsia="ko-KR"/>
        </w:rPr>
        <w:t xml:space="preserve">that the WPT energy transfer can be treated separately from data </w:t>
      </w:r>
      <w:r>
        <w:rPr>
          <w:lang w:val="en-US"/>
        </w:rPr>
        <w:t>communications, especially when the receiving device receives data communications at a different frequency to the energy transfer</w:t>
      </w:r>
      <w:r>
        <w:rPr>
          <w:lang w:val="en-US" w:eastAsia="ko-KR"/>
        </w:rPr>
        <w:t xml:space="preserve">; </w:t>
      </w:r>
    </w:p>
    <w:p w:rsidR="000267EF" w:rsidRDefault="000267EF" w:rsidP="000267EF">
      <w:pPr>
        <w:rPr>
          <w:lang w:val="en-US" w:eastAsia="ko-KR"/>
        </w:rPr>
      </w:pPr>
      <w:r>
        <w:rPr>
          <w:i/>
          <w:iCs/>
          <w:lang w:val="en-US" w:eastAsia="ko-KR"/>
        </w:rPr>
        <w:t>g)</w:t>
      </w:r>
      <w:r>
        <w:rPr>
          <w:i/>
          <w:iCs/>
          <w:lang w:val="en-US" w:eastAsia="ko-KR"/>
        </w:rPr>
        <w:tab/>
      </w:r>
      <w:r>
        <w:rPr>
          <w:lang w:val="en-US" w:eastAsia="ko-KR"/>
        </w:rPr>
        <w:t>that some Administrations classify the non-beam WPT energy transfer as an ISM application, even for operation outside bands designated for ISM use;</w:t>
      </w:r>
    </w:p>
    <w:p w:rsidR="000267EF" w:rsidRDefault="000267EF" w:rsidP="000267EF">
      <w:pPr>
        <w:rPr>
          <w:i/>
          <w:iCs/>
          <w:lang w:val="en-US" w:eastAsia="ko-KR"/>
        </w:rPr>
      </w:pPr>
      <w:r>
        <w:rPr>
          <w:i/>
          <w:iCs/>
          <w:lang w:val="en-US" w:eastAsia="ko-KR"/>
        </w:rPr>
        <w:t>h</w:t>
      </w:r>
      <w:r>
        <w:rPr>
          <w:lang w:val="en-US" w:eastAsia="ko-KR"/>
        </w:rPr>
        <w:t>)</w:t>
      </w:r>
      <w:r>
        <w:rPr>
          <w:lang w:val="en-US" w:eastAsia="ko-KR"/>
        </w:rPr>
        <w:tab/>
        <w:t>that some Administrations classify non-beam WPT systems as Short-Range Devices, operating in some bands listed in Recommendation ITU-R SM.1896 and Report ITU-R SM.2153;</w:t>
      </w:r>
    </w:p>
    <w:p w:rsidR="000267EF" w:rsidRDefault="000267EF" w:rsidP="000267EF">
      <w:pPr>
        <w:rPr>
          <w:i/>
          <w:iCs/>
          <w:lang w:val="en-US" w:eastAsia="ko-KR"/>
        </w:rPr>
      </w:pPr>
      <w:r>
        <w:rPr>
          <w:i/>
          <w:iCs/>
          <w:lang w:val="en-US" w:eastAsia="ko-KR"/>
        </w:rPr>
        <w:lastRenderedPageBreak/>
        <w:t>i)</w:t>
      </w:r>
      <w:r>
        <w:rPr>
          <w:i/>
          <w:iCs/>
          <w:lang w:val="en-US" w:eastAsia="ko-KR"/>
        </w:rPr>
        <w:tab/>
      </w:r>
      <w:r>
        <w:rPr>
          <w:lang w:val="en-US" w:eastAsia="ko-KR"/>
        </w:rPr>
        <w:t xml:space="preserve">that </w:t>
      </w:r>
      <w:r>
        <w:rPr>
          <w:lang w:val="en-US"/>
        </w:rPr>
        <w:t>in the absence of a load,</w:t>
      </w:r>
      <w:r>
        <w:rPr>
          <w:lang w:val="en-US" w:eastAsia="ko-KR"/>
        </w:rPr>
        <w:t xml:space="preserve"> the WPT shuts off and </w:t>
      </w:r>
      <w:r>
        <w:rPr>
          <w:lang w:val="en-US"/>
        </w:rPr>
        <w:t xml:space="preserve">only periodically polls or searches for the load, with very low duty cycle; </w:t>
      </w:r>
    </w:p>
    <w:p w:rsidR="000267EF" w:rsidRDefault="000267EF" w:rsidP="000267EF">
      <w:pPr>
        <w:rPr>
          <w:lang w:val="en-US" w:eastAsia="ko-KR"/>
        </w:rPr>
      </w:pPr>
      <w:r>
        <w:rPr>
          <w:i/>
          <w:iCs/>
          <w:lang w:val="en-US" w:eastAsia="ko-KR"/>
        </w:rPr>
        <w:t>j</w:t>
      </w:r>
      <w:r>
        <w:rPr>
          <w:lang w:val="en-US" w:eastAsia="ko-KR"/>
        </w:rPr>
        <w:t>)</w:t>
      </w:r>
      <w:r>
        <w:rPr>
          <w:lang w:val="en-US" w:eastAsia="ko-KR"/>
        </w:rPr>
        <w:tab/>
        <w:t xml:space="preserve">that for WPT (non-beam), the radiated power is much lower than RF power transferred. Most power is transferred to the receiver through mechanisms such as capacitive, resonant and inductive coupling; </w:t>
      </w:r>
    </w:p>
    <w:p w:rsidR="000267EF" w:rsidRDefault="000267EF" w:rsidP="000267EF">
      <w:pPr>
        <w:rPr>
          <w:lang w:val="en-US" w:eastAsia="ko-KR"/>
        </w:rPr>
      </w:pPr>
      <w:r>
        <w:rPr>
          <w:i/>
          <w:iCs/>
          <w:lang w:val="en-US" w:eastAsia="ko-KR"/>
        </w:rPr>
        <w:t>k)</w:t>
      </w:r>
      <w:r>
        <w:rPr>
          <w:i/>
          <w:iCs/>
          <w:lang w:val="en-US" w:eastAsia="ko-KR"/>
        </w:rPr>
        <w:tab/>
      </w:r>
      <w:r>
        <w:rPr>
          <w:lang w:val="en-US" w:eastAsia="ko-KR"/>
        </w:rPr>
        <w:t>that at VLF, LF and MF frequencies the environment is already very noisy relative to the victim’s thermal noise floor, due to atmospheric and man-made noise;</w:t>
      </w:r>
    </w:p>
    <w:p w:rsidR="000267EF" w:rsidRDefault="000267EF" w:rsidP="000267EF">
      <w:pPr>
        <w:rPr>
          <w:i/>
          <w:iCs/>
          <w:lang w:val="en-US" w:eastAsia="ko-KR"/>
        </w:rPr>
      </w:pPr>
      <w:r>
        <w:rPr>
          <w:i/>
          <w:iCs/>
          <w:lang w:val="en-US"/>
        </w:rPr>
        <w:t>l</w:t>
      </w:r>
      <w:r>
        <w:rPr>
          <w:lang w:val="en-US"/>
        </w:rPr>
        <w:t>)</w:t>
      </w:r>
      <w:r>
        <w:rPr>
          <w:lang w:val="en-US"/>
        </w:rPr>
        <w:tab/>
        <w:t>that duration or power limits can be placed on WPT,</w:t>
      </w:r>
    </w:p>
    <w:p w:rsidR="000267EF" w:rsidRDefault="000267EF" w:rsidP="000267EF">
      <w:pPr>
        <w:pStyle w:val="Call"/>
        <w:rPr>
          <w:lang w:val="en-US"/>
        </w:rPr>
      </w:pPr>
      <w:r>
        <w:rPr>
          <w:lang w:val="en-US"/>
        </w:rPr>
        <w:t>noting</w:t>
      </w:r>
    </w:p>
    <w:p w:rsidR="000267EF" w:rsidRDefault="000267EF" w:rsidP="000267EF">
      <w:pPr>
        <w:rPr>
          <w:lang w:val="en-US" w:eastAsia="zh-CN"/>
        </w:rPr>
      </w:pPr>
      <w:r>
        <w:rPr>
          <w:i/>
          <w:iCs/>
          <w:lang w:val="en-US" w:eastAsia="zh-CN"/>
        </w:rPr>
        <w:t>a)</w:t>
      </w:r>
      <w:r>
        <w:rPr>
          <w:lang w:val="en-US" w:eastAsia="zh-CN"/>
        </w:rPr>
        <w:tab/>
        <w:t xml:space="preserve">that the International Electrotechnical Commission (IEC) has published a Technical Report </w:t>
      </w:r>
      <w:r>
        <w:rPr>
          <w:lang w:val="en-US"/>
        </w:rPr>
        <w:t xml:space="preserve">IEC/TR 62869 </w:t>
      </w:r>
      <w:r>
        <w:rPr>
          <w:lang w:val="en-US" w:eastAsia="zh-CN"/>
        </w:rPr>
        <w:t>on Wireless Power Transfer for audio, video and multimedia systems and equipment developed by TC 100;</w:t>
      </w:r>
    </w:p>
    <w:p w:rsidR="000267EF" w:rsidRDefault="000267EF" w:rsidP="000267EF">
      <w:pPr>
        <w:rPr>
          <w:lang w:val="en-US" w:eastAsia="zh-CN"/>
        </w:rPr>
      </w:pPr>
      <w:r>
        <w:rPr>
          <w:i/>
          <w:iCs/>
          <w:lang w:val="en-US" w:eastAsia="zh-CN"/>
        </w:rPr>
        <w:t>b)</w:t>
      </w:r>
      <w:r>
        <w:rPr>
          <w:lang w:val="en-US" w:eastAsia="zh-CN"/>
        </w:rPr>
        <w:tab/>
        <w:t>that the IEC 61980 series, International Standard Organization (ISO) 19363, and the Society of Automotive Engineers (SAE) International J2954 are developing international standards intended for global and regional harmonization on electric vehicle WPT systems;</w:t>
      </w:r>
    </w:p>
    <w:p w:rsidR="000267EF" w:rsidRDefault="000267EF" w:rsidP="000267EF">
      <w:pPr>
        <w:rPr>
          <w:lang w:val="en-US" w:eastAsia="ko-KR"/>
        </w:rPr>
      </w:pPr>
      <w:r>
        <w:rPr>
          <w:i/>
          <w:iCs/>
          <w:lang w:val="en-US" w:eastAsia="ko-KR"/>
        </w:rPr>
        <w:t>c)</w:t>
      </w:r>
      <w:r>
        <w:rPr>
          <w:lang w:val="en-US" w:eastAsia="zh-CN"/>
        </w:rPr>
        <w:tab/>
        <w:t xml:space="preserve">that </w:t>
      </w:r>
      <w:r>
        <w:rPr>
          <w:lang w:val="en-US"/>
        </w:rPr>
        <w:t xml:space="preserve">Resolution </w:t>
      </w:r>
      <w:r>
        <w:rPr>
          <w:lang w:val="en-US" w:eastAsia="ko-KR"/>
        </w:rPr>
        <w:t xml:space="preserve">Global Standards Collaboration (GSC)-17/34 </w:t>
      </w:r>
      <w:r>
        <w:rPr>
          <w:lang w:val="en-US" w:eastAsia="zh-CN"/>
        </w:rPr>
        <w:t xml:space="preserve">resolves </w:t>
      </w:r>
      <w:r>
        <w:rPr>
          <w:lang w:val="en-US"/>
        </w:rPr>
        <w:t xml:space="preserve">to facilitate a strong and effective standards collaboration on </w:t>
      </w:r>
      <w:r>
        <w:rPr>
          <w:lang w:val="en-US" w:eastAsia="ko-KR"/>
        </w:rPr>
        <w:t>WPT</w:t>
      </w:r>
      <w:r>
        <w:rPr>
          <w:lang w:val="en-US"/>
        </w:rPr>
        <w:t xml:space="preserve"> in terms of </w:t>
      </w:r>
      <w:r>
        <w:rPr>
          <w:lang w:val="en-US" w:eastAsia="ko-KR"/>
        </w:rPr>
        <w:t>protocol, regulatory and interoperability</w:t>
      </w:r>
      <w:r>
        <w:rPr>
          <w:lang w:val="en-US"/>
        </w:rPr>
        <w:t xml:space="preserve"> aspects</w:t>
      </w:r>
      <w:r>
        <w:rPr>
          <w:lang w:val="en-US" w:eastAsia="ko-KR"/>
        </w:rPr>
        <w:t>;</w:t>
      </w:r>
    </w:p>
    <w:p w:rsidR="000267EF" w:rsidRDefault="000267EF" w:rsidP="000267EF">
      <w:pPr>
        <w:rPr>
          <w:lang w:val="en-US" w:eastAsia="ko-KR"/>
        </w:rPr>
      </w:pPr>
      <w:r>
        <w:rPr>
          <w:i/>
          <w:iCs/>
          <w:lang w:val="en-US" w:eastAsia="ko-KR"/>
        </w:rPr>
        <w:t>d)</w:t>
      </w:r>
      <w:r>
        <w:rPr>
          <w:lang w:val="en-US" w:eastAsia="ko-KR"/>
        </w:rPr>
        <w:tab/>
        <w:t xml:space="preserve">that this Recommendation will assist administrations in applying RR No. </w:t>
      </w:r>
      <w:r>
        <w:rPr>
          <w:b/>
          <w:bCs/>
          <w:lang w:val="en-US" w:eastAsia="ko-KR"/>
        </w:rPr>
        <w:t>15.13</w:t>
      </w:r>
      <w:r>
        <w:rPr>
          <w:lang w:val="en-US" w:eastAsia="ko-KR"/>
        </w:rPr>
        <w:t xml:space="preserve"> to prevent </w:t>
      </w:r>
      <w:r>
        <w:rPr>
          <w:lang w:val="en-US"/>
        </w:rPr>
        <w:t>harmful interference to a radiocommunication service</w:t>
      </w:r>
      <w:r>
        <w:rPr>
          <w:lang w:val="en-US" w:eastAsia="ko-KR"/>
        </w:rPr>
        <w:t xml:space="preserve"> </w:t>
      </w:r>
      <w:r>
        <w:rPr>
          <w:lang w:val="en-US"/>
        </w:rPr>
        <w:t>from equipment used for industrial, scientific and medical applications;</w:t>
      </w:r>
    </w:p>
    <w:p w:rsidR="000267EF" w:rsidRDefault="000267EF" w:rsidP="000267EF">
      <w:pPr>
        <w:rPr>
          <w:rFonts w:eastAsia="Calibri"/>
          <w:lang w:val="en-US"/>
        </w:rPr>
      </w:pPr>
      <w:r>
        <w:rPr>
          <w:i/>
          <w:iCs/>
          <w:lang w:val="en-US" w:eastAsia="ko-KR"/>
        </w:rPr>
        <w:t>e)</w:t>
      </w:r>
      <w:r>
        <w:rPr>
          <w:rFonts w:eastAsia="Calibri"/>
          <w:lang w:val="en-US"/>
        </w:rPr>
        <w:tab/>
        <w:t>that Recommendation ITU-R SM.1056 on the limitation of radiation from ISM equipment recommends that administrations consider the use of the latest edition of CISPR publication 11;</w:t>
      </w:r>
    </w:p>
    <w:p w:rsidR="000267EF" w:rsidRDefault="000267EF" w:rsidP="000267EF">
      <w:pPr>
        <w:rPr>
          <w:rFonts w:eastAsia="Calibri"/>
          <w:lang w:val="en-US"/>
        </w:rPr>
      </w:pPr>
      <w:r>
        <w:rPr>
          <w:i/>
          <w:iCs/>
          <w:lang w:val="en-US" w:eastAsia="ko-KR"/>
        </w:rPr>
        <w:t>f)</w:t>
      </w:r>
      <w:r>
        <w:rPr>
          <w:rFonts w:eastAsia="Calibri"/>
          <w:lang w:val="en-US"/>
        </w:rPr>
        <w:tab/>
        <w:t>that Report ITU-R SM.2303 discusses WPT using technologies other than radio frequency beam,</w:t>
      </w:r>
    </w:p>
    <w:p w:rsidR="000267EF" w:rsidRDefault="000267EF" w:rsidP="000267EF">
      <w:pPr>
        <w:pStyle w:val="Call"/>
        <w:rPr>
          <w:lang w:val="en-US"/>
        </w:rPr>
      </w:pPr>
      <w:r>
        <w:rPr>
          <w:lang w:val="en-US"/>
        </w:rPr>
        <w:t>recommends</w:t>
      </w:r>
    </w:p>
    <w:p w:rsidR="000267EF" w:rsidRDefault="000267EF" w:rsidP="000267EF">
      <w:pPr>
        <w:rPr>
          <w:lang w:val="en-US"/>
        </w:rPr>
      </w:pPr>
      <w:r>
        <w:rPr>
          <w:lang w:val="en-US"/>
        </w:rPr>
        <w:t xml:space="preserve">that administrations </w:t>
      </w:r>
      <w:r>
        <w:rPr>
          <w:lang w:val="en-US" w:eastAsia="ko-KR"/>
        </w:rPr>
        <w:t xml:space="preserve">should </w:t>
      </w:r>
      <w:r>
        <w:rPr>
          <w:lang w:val="en-US"/>
        </w:rPr>
        <w:t xml:space="preserve">consider as a guideline the use of the frequency range listed in the following Table for the operation of non-beam WPT systems and should take steps to ensure that radiocommunication services including the </w:t>
      </w:r>
      <w:r>
        <w:rPr>
          <w:lang w:val="en-US" w:eastAsia="zh-CN"/>
        </w:rPr>
        <w:t>standard frequency and time signal service</w:t>
      </w:r>
      <w:r>
        <w:rPr>
          <w:lang w:val="en-US"/>
        </w:rPr>
        <w:t xml:space="preserve"> and the radio astronomy service are protected from WPT operations</w:t>
      </w:r>
      <w:r w:rsidRPr="000267EF">
        <w:rPr>
          <w:lang w:val="en-GB"/>
        </w:rPr>
        <w:t>, including consideration of unwanted radio frequency energy (such as radiated electromagnetic disturbances) falling into all bands</w:t>
      </w:r>
      <w:r>
        <w:rPr>
          <w:lang w:val="en-US"/>
        </w:rPr>
        <w:t>.</w:t>
      </w:r>
    </w:p>
    <w:p w:rsidR="000267EF" w:rsidRDefault="00507451" w:rsidP="000267EF">
      <w:pPr>
        <w:pStyle w:val="TableNo"/>
        <w:rPr>
          <w:lang w:val="en-US"/>
        </w:rPr>
      </w:pPr>
      <w:r>
        <w:rPr>
          <w:lang w:val="en-US"/>
        </w:rPr>
        <w:t xml:space="preserve">TABLE </w:t>
      </w:r>
      <w:r w:rsidR="000267EF">
        <w:rPr>
          <w:lang w:val="en-US"/>
        </w:rPr>
        <w:t>1</w:t>
      </w:r>
    </w:p>
    <w:p w:rsidR="000267EF" w:rsidRDefault="000267EF" w:rsidP="000267EF">
      <w:pPr>
        <w:pStyle w:val="Tabletitle"/>
        <w:rPr>
          <w:lang w:val="en-US"/>
        </w:rPr>
      </w:pPr>
      <w:r>
        <w:rPr>
          <w:lang w:val="en-US"/>
        </w:rPr>
        <w:t>Frequency range for operation of non-beam WPT systems</w:t>
      </w:r>
    </w:p>
    <w:tbl>
      <w:tblPr>
        <w:tblStyle w:val="TableGrid"/>
        <w:tblW w:w="0" w:type="auto"/>
        <w:tblInd w:w="0" w:type="dxa"/>
        <w:tblLook w:val="04A0" w:firstRow="1" w:lastRow="0" w:firstColumn="1" w:lastColumn="0" w:noHBand="0" w:noVBand="1"/>
      </w:tblPr>
      <w:tblGrid>
        <w:gridCol w:w="3235"/>
        <w:gridCol w:w="6394"/>
      </w:tblGrid>
      <w:tr w:rsidR="000267EF" w:rsidTr="000267EF">
        <w:tc>
          <w:tcPr>
            <w:tcW w:w="3235" w:type="dxa"/>
            <w:tcBorders>
              <w:top w:val="single" w:sz="4" w:space="0" w:color="auto"/>
              <w:left w:val="single" w:sz="4" w:space="0" w:color="auto"/>
              <w:bottom w:val="single" w:sz="4" w:space="0" w:color="auto"/>
              <w:right w:val="single" w:sz="4" w:space="0" w:color="auto"/>
            </w:tcBorders>
            <w:hideMark/>
          </w:tcPr>
          <w:p w:rsidR="000267EF" w:rsidRDefault="000267EF">
            <w:pPr>
              <w:pStyle w:val="Tablehead"/>
              <w:rPr>
                <w:lang w:val="en-US"/>
              </w:rPr>
            </w:pPr>
            <w:r>
              <w:rPr>
                <w:lang w:val="en-US"/>
              </w:rPr>
              <w:t>Frequency range</w:t>
            </w:r>
          </w:p>
        </w:tc>
        <w:tc>
          <w:tcPr>
            <w:tcW w:w="6394" w:type="dxa"/>
            <w:tcBorders>
              <w:top w:val="single" w:sz="4" w:space="0" w:color="auto"/>
              <w:left w:val="single" w:sz="4" w:space="0" w:color="auto"/>
              <w:bottom w:val="single" w:sz="4" w:space="0" w:color="auto"/>
              <w:right w:val="single" w:sz="4" w:space="0" w:color="auto"/>
            </w:tcBorders>
            <w:hideMark/>
          </w:tcPr>
          <w:p w:rsidR="000267EF" w:rsidRDefault="000267EF">
            <w:pPr>
              <w:pStyle w:val="Tablehead"/>
              <w:rPr>
                <w:lang w:val="fr-CH"/>
              </w:rPr>
            </w:pPr>
            <w:r>
              <w:rPr>
                <w:lang w:val="fr-CH"/>
              </w:rPr>
              <w:t>Suitable non-beam WPT technologies and applications</w:t>
            </w:r>
          </w:p>
        </w:tc>
      </w:tr>
      <w:tr w:rsidR="000267EF" w:rsidRPr="000267EF" w:rsidTr="00507451">
        <w:tc>
          <w:tcPr>
            <w:tcW w:w="3235" w:type="dxa"/>
            <w:tcBorders>
              <w:top w:val="single" w:sz="4" w:space="0" w:color="auto"/>
              <w:left w:val="single" w:sz="4" w:space="0" w:color="auto"/>
              <w:bottom w:val="single" w:sz="4" w:space="0" w:color="auto"/>
              <w:right w:val="single" w:sz="4" w:space="0" w:color="auto"/>
            </w:tcBorders>
            <w:hideMark/>
          </w:tcPr>
          <w:p w:rsidR="000267EF" w:rsidRDefault="000267EF">
            <w:pPr>
              <w:pStyle w:val="Tabletext"/>
              <w:jc w:val="center"/>
              <w:rPr>
                <w:lang w:val="en-US"/>
              </w:rPr>
            </w:pPr>
            <w:r>
              <w:rPr>
                <w:lang w:val="en-US"/>
              </w:rPr>
              <w:t>6 765</w:t>
            </w:r>
            <w:r>
              <w:rPr>
                <w:lang w:val="en-US"/>
              </w:rPr>
              <w:noBreakHyphen/>
              <w:t>6 795 kHz</w:t>
            </w:r>
            <w:r>
              <w:rPr>
                <w:lang w:val="en-US"/>
              </w:rPr>
              <w:br/>
              <w:t xml:space="preserve">Note: See RR No. </w:t>
            </w:r>
            <w:r>
              <w:rPr>
                <w:b/>
                <w:bCs/>
                <w:lang w:val="en-US"/>
              </w:rPr>
              <w:t>5.138</w:t>
            </w:r>
          </w:p>
        </w:tc>
        <w:tc>
          <w:tcPr>
            <w:tcW w:w="6394" w:type="dxa"/>
            <w:tcBorders>
              <w:top w:val="single" w:sz="4" w:space="0" w:color="auto"/>
              <w:left w:val="single" w:sz="4" w:space="0" w:color="auto"/>
              <w:bottom w:val="single" w:sz="4" w:space="0" w:color="auto"/>
              <w:right w:val="single" w:sz="4" w:space="0" w:color="auto"/>
            </w:tcBorders>
            <w:hideMark/>
          </w:tcPr>
          <w:p w:rsidR="000267EF" w:rsidRDefault="000267EF">
            <w:pPr>
              <w:pStyle w:val="Tabletext"/>
              <w:jc w:val="center"/>
              <w:rPr>
                <w:lang w:val="en-US"/>
              </w:rPr>
            </w:pPr>
            <w:r>
              <w:rPr>
                <w:lang w:val="en-US"/>
              </w:rPr>
              <w:t>Magnetic resonant technology for mobile/portable devices</w:t>
            </w:r>
          </w:p>
        </w:tc>
      </w:tr>
      <w:tr w:rsidR="00507451" w:rsidRPr="000267EF" w:rsidTr="00507451">
        <w:tc>
          <w:tcPr>
            <w:tcW w:w="9629" w:type="dxa"/>
            <w:gridSpan w:val="2"/>
            <w:tcBorders>
              <w:top w:val="single" w:sz="4" w:space="0" w:color="auto"/>
              <w:left w:val="nil"/>
              <w:bottom w:val="nil"/>
              <w:right w:val="nil"/>
            </w:tcBorders>
          </w:tcPr>
          <w:p w:rsidR="00507451" w:rsidRDefault="00507451" w:rsidP="00507451">
            <w:pPr>
              <w:pStyle w:val="Tabletext"/>
              <w:jc w:val="left"/>
              <w:rPr>
                <w:lang w:val="en-US"/>
              </w:rPr>
            </w:pPr>
            <w:r>
              <w:rPr>
                <w:lang w:val="en-US"/>
              </w:rPr>
              <w:t>NOTE – This Table lists only one frequency range since no global harmonization for other frequency ranges could be reached at the moment of publication. This does not mean that the mentioned frequency range is the most suitable or the only available range for WPT. Other ranges may be added in due time.</w:t>
            </w:r>
          </w:p>
        </w:tc>
      </w:tr>
    </w:tbl>
    <w:p w:rsidR="00A6617B" w:rsidRDefault="00A6617B" w:rsidP="00507451">
      <w:pPr>
        <w:pStyle w:val="Tablefin"/>
      </w:pPr>
    </w:p>
    <w:p w:rsidR="00507451" w:rsidRPr="00507451" w:rsidRDefault="00507451" w:rsidP="00507451">
      <w:pPr>
        <w:pStyle w:val="Line"/>
      </w:pPr>
    </w:p>
    <w:sectPr w:rsidR="00507451" w:rsidRPr="00507451" w:rsidSect="003804EA">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BA4" w:rsidRDefault="00093BA4">
      <w:r>
        <w:separator/>
      </w:r>
    </w:p>
  </w:endnote>
  <w:endnote w:type="continuationSeparator" w:id="0">
    <w:p w:rsidR="00093BA4" w:rsidRDefault="00093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BA4" w:rsidRDefault="00093BA4">
      <w:r>
        <w:separator/>
      </w:r>
    </w:p>
  </w:footnote>
  <w:footnote w:type="continuationSeparator" w:id="0">
    <w:p w:rsidR="00093BA4" w:rsidRDefault="00093BA4">
      <w:r>
        <w:continuationSeparator/>
      </w:r>
    </w:p>
  </w:footnote>
  <w:footnote w:id="1">
    <w:p w:rsidR="000267EF" w:rsidRDefault="000267EF" w:rsidP="000267EF">
      <w:pPr>
        <w:pStyle w:val="FootnoteText"/>
        <w:rPr>
          <w:lang w:val="en-US"/>
        </w:rPr>
      </w:pPr>
      <w:r w:rsidRPr="000267EF">
        <w:rPr>
          <w:rStyle w:val="FootnoteReference"/>
          <w:lang w:val="en-GB"/>
        </w:rPr>
        <w:t>*</w:t>
      </w:r>
      <w:r w:rsidRPr="000267EF">
        <w:rPr>
          <w:lang w:val="en-GB"/>
        </w:rPr>
        <w:tab/>
      </w:r>
      <w:r>
        <w:rPr>
          <w:lang w:val="en-US"/>
        </w:rPr>
        <w:t xml:space="preserve">The global harmonization of frequencies for WPT for electric vehicles will be addressed under WRC-19 agenda item 9.1, issue 9.1.6 (i.e. Item 1 in the Annex to Resolution </w:t>
      </w:r>
      <w:r>
        <w:rPr>
          <w:b/>
          <w:bCs/>
          <w:lang w:val="en-US"/>
        </w:rPr>
        <w:t>958 (WRC-15)</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BA4" w:rsidRDefault="00093BA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BA4" w:rsidRDefault="00093BA4" w:rsidP="00B033C8">
    <w:pPr>
      <w:pStyle w:val="Header"/>
      <w:ind w:right="360" w:firstLine="360"/>
    </w:pPr>
    <w:r>
      <w:rPr>
        <w:noProof/>
        <w:lang w:val="en-GB" w:eastAsia="en-GB"/>
      </w:rPr>
      <w:drawing>
        <wp:anchor distT="0" distB="0" distL="114300" distR="114300" simplePos="0" relativeHeight="251659264" behindDoc="1" locked="0" layoutInCell="1" allowOverlap="1" wp14:anchorId="70AC2BB8" wp14:editId="18162D7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BA4" w:rsidRDefault="00093BA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67951">
      <w:rPr>
        <w:rStyle w:val="PageNumber"/>
        <w:b/>
        <w:bCs/>
        <w:noProof/>
        <w:lang w:val="en-US"/>
      </w:rPr>
      <w:t>ii</w:t>
    </w:r>
    <w:r>
      <w:rPr>
        <w:rStyle w:val="PageNumber"/>
        <w:b/>
        <w:bCs/>
      </w:rPr>
      <w:fldChar w:fldCharType="end"/>
    </w:r>
    <w:r>
      <w:rPr>
        <w:lang w:val="en-US"/>
      </w:rPr>
      <w:tab/>
    </w:r>
    <w:fldSimple w:instr=" DOCPROPERTY &quot;Header&quot; \* MERGEFORMAT ">
      <w:r w:rsidR="00E67951" w:rsidRPr="00E67951">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67951">
      <w:rPr>
        <w:b/>
        <w:bCs/>
        <w:noProof/>
      </w:rPr>
      <w:t>ITU-R  SM.2110-0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BA4" w:rsidRDefault="00093BA4">
    <w:pPr>
      <w:pStyle w:val="Header"/>
    </w:pPr>
    <w:r>
      <w:tab/>
    </w:r>
    <w:fldSimple w:instr=" DOCPROPERTY &quot;Header&quot; \* MERGEFORMAT ">
      <w:r w:rsidR="00E67951" w:rsidRPr="00E6795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67951">
      <w:rPr>
        <w:b/>
        <w:bCs/>
        <w:noProof/>
      </w:rPr>
      <w:t>ITU-R  SM.2110-0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7125B">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67951">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67951" w:rsidRPr="00E6795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67951">
      <w:rPr>
        <w:b/>
        <w:bCs/>
        <w:noProof/>
      </w:rPr>
      <w:t>ITU-R  SM.2110-0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E67951" w:rsidRPr="00E6795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67951">
      <w:rPr>
        <w:b/>
        <w:bCs/>
        <w:noProof/>
      </w:rPr>
      <w:t>ITU-R  SM.2110-0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67951">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BA4"/>
    <w:rsid w:val="000267EF"/>
    <w:rsid w:val="00093BA4"/>
    <w:rsid w:val="00217EBF"/>
    <w:rsid w:val="00242AEE"/>
    <w:rsid w:val="002D76C4"/>
    <w:rsid w:val="003804EA"/>
    <w:rsid w:val="003B7085"/>
    <w:rsid w:val="004B514D"/>
    <w:rsid w:val="00507451"/>
    <w:rsid w:val="0052529D"/>
    <w:rsid w:val="00607D68"/>
    <w:rsid w:val="0073110B"/>
    <w:rsid w:val="007468DA"/>
    <w:rsid w:val="009E00A8"/>
    <w:rsid w:val="00A6617B"/>
    <w:rsid w:val="00AB0DC8"/>
    <w:rsid w:val="00B07C50"/>
    <w:rsid w:val="00B44E24"/>
    <w:rsid w:val="00DF4176"/>
    <w:rsid w:val="00E67951"/>
    <w:rsid w:val="00F712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docId w15:val="{1002478F-1BA6-4D06-8257-32B79782F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BA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93BA4"/>
    <w:rPr>
      <w:color w:val="0000FF"/>
      <w:u w:val="single"/>
    </w:rPr>
  </w:style>
  <w:style w:type="character" w:customStyle="1" w:styleId="FootnoteTextChar">
    <w:name w:val="Footnote Text Char"/>
    <w:basedOn w:val="DefaultParagraphFont"/>
    <w:link w:val="FootnoteText"/>
    <w:semiHidden/>
    <w:rsid w:val="000267EF"/>
    <w:rPr>
      <w:sz w:val="22"/>
      <w:lang w:val="fr-FR" w:eastAsia="en-US"/>
    </w:rPr>
  </w:style>
  <w:style w:type="character" w:customStyle="1" w:styleId="NormalaftertitleChar">
    <w:name w:val="Normal_after_title Char"/>
    <w:link w:val="Normalaftertitle"/>
    <w:uiPriority w:val="99"/>
    <w:locked/>
    <w:rsid w:val="000267EF"/>
    <w:rPr>
      <w:sz w:val="24"/>
      <w:lang w:val="fr-FR" w:eastAsia="en-US"/>
    </w:rPr>
  </w:style>
  <w:style w:type="character" w:customStyle="1" w:styleId="CallChar">
    <w:name w:val="Call Char"/>
    <w:link w:val="Call"/>
    <w:uiPriority w:val="99"/>
    <w:locked/>
    <w:rsid w:val="000267EF"/>
    <w:rPr>
      <w:i/>
      <w:sz w:val="24"/>
      <w:lang w:val="fr-FR" w:eastAsia="en-US"/>
    </w:rPr>
  </w:style>
  <w:style w:type="character" w:customStyle="1" w:styleId="TableNoChar">
    <w:name w:val="Table_No Char"/>
    <w:link w:val="TableNo"/>
    <w:locked/>
    <w:rsid w:val="000267EF"/>
    <w:rPr>
      <w:sz w:val="24"/>
      <w:lang w:val="fr-FR" w:eastAsia="en-US"/>
    </w:rPr>
  </w:style>
  <w:style w:type="character" w:customStyle="1" w:styleId="TabletitleChar">
    <w:name w:val="Table_title Char"/>
    <w:basedOn w:val="DefaultParagraphFont"/>
    <w:link w:val="Tabletitle"/>
    <w:locked/>
    <w:rsid w:val="000267EF"/>
    <w:rPr>
      <w:b/>
      <w:sz w:val="24"/>
      <w:lang w:val="fr-FR" w:eastAsia="en-US"/>
    </w:rPr>
  </w:style>
  <w:style w:type="character" w:customStyle="1" w:styleId="HeadingbChar">
    <w:name w:val="Heading_b Char"/>
    <w:link w:val="Headingb"/>
    <w:locked/>
    <w:rsid w:val="000267EF"/>
    <w:rPr>
      <w:b/>
      <w:sz w:val="24"/>
      <w:lang w:val="fr-FR" w:eastAsia="en-US"/>
    </w:rPr>
  </w:style>
  <w:style w:type="paragraph" w:customStyle="1" w:styleId="Reasons">
    <w:name w:val="Reasons"/>
    <w:basedOn w:val="Normal"/>
    <w:qFormat/>
    <w:rsid w:val="000267EF"/>
    <w:pPr>
      <w:tabs>
        <w:tab w:val="clear" w:pos="794"/>
        <w:tab w:val="clear" w:pos="1191"/>
        <w:tab w:val="left" w:pos="1134"/>
      </w:tabs>
      <w:jc w:val="left"/>
      <w:textAlignment w:val="auto"/>
    </w:pPr>
    <w:rPr>
      <w:lang w:val="en-GB"/>
    </w:rPr>
  </w:style>
  <w:style w:type="paragraph" w:customStyle="1" w:styleId="TableText0">
    <w:name w:val="Table_Text"/>
    <w:basedOn w:val="Normal"/>
    <w:rsid w:val="000267EF"/>
    <w:pPr>
      <w:keepNext/>
      <w:overflowPunct/>
      <w:autoSpaceDE/>
      <w:autoSpaceDN/>
      <w:adjustRightInd/>
      <w:spacing w:before="142" w:after="142" w:line="199" w:lineRule="exact"/>
      <w:textAlignment w:val="auto"/>
    </w:pPr>
    <w:rPr>
      <w:rFonts w:ascii="Helv" w:hAnsi="Helv" w:cs="Helv"/>
      <w:sz w:val="18"/>
      <w:lang w:val="en-GB" w:eastAsia="ru-RU"/>
    </w:rPr>
  </w:style>
  <w:style w:type="table" w:styleId="TableGrid">
    <w:name w:val="Table Grid"/>
    <w:basedOn w:val="TableNormal"/>
    <w:uiPriority w:val="59"/>
    <w:rsid w:val="000267EF"/>
    <w:rPr>
      <w:rFonts w:ascii="CG Times" w:eastAsia="MS Mincho" w:hAnsi="CG Times"/>
      <w:sz w:val="22"/>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554783">
      <w:bodyDiv w:val="1"/>
      <w:marLeft w:val="0"/>
      <w:marRight w:val="0"/>
      <w:marTop w:val="0"/>
      <w:marBottom w:val="0"/>
      <w:divBdr>
        <w:top w:val="none" w:sz="0" w:space="0" w:color="auto"/>
        <w:left w:val="none" w:sz="0" w:space="0" w:color="auto"/>
        <w:bottom w:val="none" w:sz="0" w:space="0" w:color="auto"/>
        <w:right w:val="none" w:sz="0" w:space="0" w:color="auto"/>
      </w:divBdr>
    </w:div>
    <w:div w:id="168180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TotalTime>
  <Pages>1</Pages>
  <Words>1390</Words>
  <Characters>8597</Characters>
  <Application>Microsoft Office Word</Application>
  <DocSecurity>0</DocSecurity>
  <Lines>955</Lines>
  <Paragraphs>416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Policy on Intellectual Property Right (IPR)</vt:lpstr>
    </vt:vector>
  </TitlesOfParts>
  <Manager/>
  <Company>ITU</Company>
  <LinksUpToDate>false</LinksUpToDate>
  <CharactersWithSpaces>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10</cp:revision>
  <cp:lastPrinted>2017-09-25T07:57:00Z</cp:lastPrinted>
  <dcterms:created xsi:type="dcterms:W3CDTF">2017-08-16T13:23:00Z</dcterms:created>
  <dcterms:modified xsi:type="dcterms:W3CDTF">2017-09-25T07:58:00Z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