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8B8" w:rsidRPr="005375AF" w:rsidRDefault="008758B8" w:rsidP="008758B8">
      <w:pPr>
        <w:rPr>
          <w:lang w:val="es-ES_tradnl"/>
        </w:rPr>
      </w:pPr>
      <w:bookmarkStart w:id="0" w:name="dbreak"/>
      <w:bookmarkStart w:id="1" w:name="_GoBack"/>
      <w:bookmarkEnd w:id="0"/>
      <w:bookmarkEnd w:id="1"/>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8758B8">
      <w:pPr>
        <w:rPr>
          <w:lang w:val="es-ES_tradnl"/>
        </w:rPr>
      </w:pPr>
    </w:p>
    <w:tbl>
      <w:tblPr>
        <w:tblStyle w:val="TableGrid"/>
        <w:tblW w:w="100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0089"/>
      </w:tblGrid>
      <w:tr w:rsidR="008758B8" w:rsidRPr="005375AF" w:rsidTr="00CE07F1">
        <w:tc>
          <w:tcPr>
            <w:tcW w:w="10089" w:type="dxa"/>
          </w:tcPr>
          <w:p w:rsidR="008758B8" w:rsidRPr="005375AF" w:rsidRDefault="008758B8" w:rsidP="00CE07F1">
            <w:pPr>
              <w:spacing w:before="380" w:line="280" w:lineRule="exact"/>
              <w:jc w:val="right"/>
              <w:rPr>
                <w:rFonts w:ascii="Tahoma" w:hAnsi="Tahoma" w:cs="Tahoma"/>
                <w:b/>
                <w:bCs/>
                <w:iCs/>
                <w:color w:val="243285"/>
                <w:sz w:val="32"/>
                <w:szCs w:val="32"/>
                <w:lang w:val="es-ES_tradnl"/>
              </w:rPr>
            </w:pPr>
          </w:p>
          <w:p w:rsidR="008758B8" w:rsidRPr="005375AF" w:rsidRDefault="008758B8" w:rsidP="008758B8">
            <w:pPr>
              <w:spacing w:before="380" w:line="280" w:lineRule="exact"/>
              <w:jc w:val="right"/>
              <w:rPr>
                <w:rFonts w:ascii="Tahoma" w:hAnsi="Tahoma" w:cs="Tahoma"/>
                <w:b/>
                <w:bCs/>
                <w:iCs/>
                <w:color w:val="243285"/>
                <w:sz w:val="36"/>
                <w:szCs w:val="36"/>
                <w:lang w:val="es-ES_tradnl"/>
              </w:rPr>
            </w:pPr>
            <w:r w:rsidRPr="005375AF">
              <w:rPr>
                <w:rFonts w:ascii="Tahoma" w:hAnsi="Tahoma" w:cs="Tahoma"/>
                <w:b/>
                <w:bCs/>
                <w:iCs/>
                <w:color w:val="243285"/>
                <w:sz w:val="36"/>
                <w:szCs w:val="36"/>
                <w:lang w:val="es-ES_tradnl"/>
              </w:rPr>
              <w:t>Recomendación  UIT-R  SM.20</w:t>
            </w:r>
            <w:r w:rsidR="00A0157D" w:rsidRPr="005375AF">
              <w:rPr>
                <w:rFonts w:ascii="Tahoma" w:hAnsi="Tahoma" w:cs="Tahoma"/>
                <w:b/>
                <w:bCs/>
                <w:iCs/>
                <w:color w:val="243285"/>
                <w:sz w:val="36"/>
                <w:szCs w:val="36"/>
                <w:lang w:val="es-ES_tradnl"/>
              </w:rPr>
              <w:t>96</w:t>
            </w:r>
            <w:r w:rsidRPr="005375AF">
              <w:rPr>
                <w:rFonts w:ascii="Tahoma" w:hAnsi="Tahoma" w:cs="Tahoma"/>
                <w:b/>
                <w:bCs/>
                <w:iCs/>
                <w:color w:val="243285"/>
                <w:sz w:val="36"/>
                <w:szCs w:val="36"/>
                <w:lang w:val="es-ES_tradnl"/>
              </w:rPr>
              <w:t>-0</w:t>
            </w:r>
          </w:p>
          <w:p w:rsidR="008758B8" w:rsidRPr="005375AF" w:rsidRDefault="008758B8" w:rsidP="00A0157D">
            <w:pPr>
              <w:spacing w:before="80" w:line="280" w:lineRule="exact"/>
              <w:jc w:val="right"/>
              <w:rPr>
                <w:rFonts w:ascii="Tahoma" w:hAnsi="Tahoma" w:cs="Tahoma"/>
                <w:b/>
                <w:bCs/>
                <w:iCs/>
                <w:color w:val="243285"/>
                <w:szCs w:val="24"/>
                <w:lang w:val="es-ES_tradnl"/>
              </w:rPr>
            </w:pPr>
            <w:r w:rsidRPr="005375AF">
              <w:rPr>
                <w:rFonts w:ascii="Tahoma" w:hAnsi="Tahoma" w:cs="Tahoma"/>
                <w:b/>
                <w:bCs/>
                <w:iCs/>
                <w:color w:val="243285"/>
                <w:szCs w:val="24"/>
                <w:lang w:val="es-ES_tradnl"/>
              </w:rPr>
              <w:t>(08/201</w:t>
            </w:r>
            <w:r w:rsidR="00A0157D" w:rsidRPr="005375AF">
              <w:rPr>
                <w:rFonts w:ascii="Tahoma" w:hAnsi="Tahoma" w:cs="Tahoma"/>
                <w:b/>
                <w:bCs/>
                <w:iCs/>
                <w:color w:val="243285"/>
                <w:szCs w:val="24"/>
                <w:lang w:val="es-ES_tradnl"/>
              </w:rPr>
              <w:t>6</w:t>
            </w:r>
            <w:r w:rsidRPr="005375AF">
              <w:rPr>
                <w:rFonts w:ascii="Tahoma" w:hAnsi="Tahoma" w:cs="Tahoma"/>
                <w:b/>
                <w:bCs/>
                <w:iCs/>
                <w:color w:val="243285"/>
                <w:szCs w:val="24"/>
                <w:lang w:val="es-ES_tradnl"/>
              </w:rPr>
              <w:t>)</w:t>
            </w:r>
          </w:p>
        </w:tc>
      </w:tr>
      <w:tr w:rsidR="008758B8" w:rsidRPr="00330BA9" w:rsidTr="00CE07F1">
        <w:tc>
          <w:tcPr>
            <w:tcW w:w="10089" w:type="dxa"/>
          </w:tcPr>
          <w:p w:rsidR="008758B8" w:rsidRPr="005375AF" w:rsidRDefault="008758B8" w:rsidP="00CE07F1">
            <w:pPr>
              <w:spacing w:before="80" w:line="500" w:lineRule="exact"/>
              <w:jc w:val="right"/>
              <w:rPr>
                <w:rFonts w:ascii="Tahoma" w:hAnsi="Tahoma" w:cs="Tahoma"/>
                <w:b/>
                <w:bCs/>
                <w:iCs/>
                <w:color w:val="243285"/>
                <w:sz w:val="44"/>
                <w:szCs w:val="44"/>
                <w:lang w:val="es-ES_tradnl"/>
              </w:rPr>
            </w:pPr>
          </w:p>
          <w:p w:rsidR="008758B8" w:rsidRPr="005375AF" w:rsidRDefault="00A0157D" w:rsidP="00A0157D">
            <w:pPr>
              <w:spacing w:before="80" w:line="500" w:lineRule="exact"/>
              <w:jc w:val="right"/>
              <w:rPr>
                <w:rFonts w:ascii="Tahoma" w:hAnsi="Tahoma" w:cs="Tahoma"/>
                <w:b/>
                <w:bCs/>
                <w:color w:val="243285"/>
                <w:sz w:val="44"/>
                <w:szCs w:val="44"/>
                <w:lang w:val="es-ES_tradnl"/>
              </w:rPr>
            </w:pPr>
            <w:r w:rsidRPr="005375AF">
              <w:rPr>
                <w:rFonts w:ascii="Tahoma" w:hAnsi="Tahoma" w:cs="Tahoma"/>
                <w:b/>
                <w:bCs/>
                <w:color w:val="243285"/>
                <w:sz w:val="44"/>
                <w:szCs w:val="44"/>
                <w:lang w:val="es-ES_tradnl"/>
              </w:rPr>
              <w:t xml:space="preserve">Procedimiento de prueba para medir la sensibilidad de la radiogoniometría en </w:t>
            </w:r>
            <w:r w:rsidRPr="005375AF">
              <w:rPr>
                <w:rFonts w:ascii="Tahoma" w:hAnsi="Tahoma" w:cs="Tahoma"/>
                <w:b/>
                <w:bCs/>
                <w:color w:val="243285"/>
                <w:sz w:val="44"/>
                <w:szCs w:val="44"/>
                <w:lang w:val="es-ES_tradnl"/>
              </w:rPr>
              <w:br/>
              <w:t>la gama de frecuencias de ondas métricas/decimétricas</w:t>
            </w:r>
          </w:p>
          <w:p w:rsidR="008758B8" w:rsidRPr="005375AF" w:rsidRDefault="008758B8" w:rsidP="00CE07F1">
            <w:pPr>
              <w:spacing w:before="80" w:line="500" w:lineRule="exact"/>
              <w:jc w:val="right"/>
              <w:rPr>
                <w:rFonts w:ascii="Tahoma" w:hAnsi="Tahoma" w:cs="Tahoma"/>
                <w:b/>
                <w:bCs/>
                <w:color w:val="243285"/>
                <w:sz w:val="44"/>
                <w:szCs w:val="44"/>
                <w:lang w:val="es-ES_tradnl"/>
              </w:rPr>
            </w:pPr>
          </w:p>
          <w:p w:rsidR="008758B8" w:rsidRPr="005375AF" w:rsidRDefault="008758B8" w:rsidP="00CE07F1">
            <w:pPr>
              <w:spacing w:before="80" w:line="500" w:lineRule="exact"/>
              <w:jc w:val="right"/>
              <w:rPr>
                <w:rFonts w:ascii="Tahoma" w:hAnsi="Tahoma" w:cs="Tahoma"/>
                <w:b/>
                <w:bCs/>
                <w:iCs/>
                <w:color w:val="243285"/>
                <w:sz w:val="44"/>
                <w:szCs w:val="44"/>
                <w:lang w:val="es-ES_tradnl"/>
              </w:rPr>
            </w:pPr>
          </w:p>
        </w:tc>
      </w:tr>
      <w:tr w:rsidR="008758B8" w:rsidRPr="00330BA9" w:rsidTr="00CE07F1">
        <w:tc>
          <w:tcPr>
            <w:tcW w:w="10089" w:type="dxa"/>
          </w:tcPr>
          <w:p w:rsidR="008758B8" w:rsidRPr="005375AF" w:rsidRDefault="008758B8" w:rsidP="00CE07F1">
            <w:pPr>
              <w:spacing w:before="80" w:line="280" w:lineRule="exact"/>
              <w:ind w:right="640"/>
              <w:rPr>
                <w:rFonts w:ascii="Tahoma" w:hAnsi="Tahoma" w:cs="Tahoma"/>
                <w:b/>
                <w:bCs/>
                <w:iCs/>
                <w:color w:val="243285"/>
                <w:sz w:val="32"/>
                <w:szCs w:val="32"/>
                <w:lang w:val="es-ES_tradnl"/>
              </w:rPr>
            </w:pPr>
          </w:p>
          <w:p w:rsidR="008758B8" w:rsidRPr="005375AF" w:rsidRDefault="008758B8" w:rsidP="00CE07F1">
            <w:pPr>
              <w:spacing w:before="80" w:line="280" w:lineRule="exact"/>
              <w:ind w:right="640"/>
              <w:rPr>
                <w:rFonts w:ascii="Tahoma" w:hAnsi="Tahoma" w:cs="Tahoma"/>
                <w:b/>
                <w:bCs/>
                <w:iCs/>
                <w:color w:val="243285"/>
                <w:sz w:val="32"/>
                <w:szCs w:val="32"/>
                <w:lang w:val="es-ES_tradnl"/>
              </w:rPr>
            </w:pPr>
          </w:p>
          <w:p w:rsidR="008758B8" w:rsidRPr="005375AF" w:rsidRDefault="008758B8" w:rsidP="00CE07F1">
            <w:pPr>
              <w:spacing w:before="80" w:after="180" w:line="360" w:lineRule="exact"/>
              <w:ind w:right="720"/>
              <w:rPr>
                <w:rFonts w:ascii="Tahoma" w:hAnsi="Tahoma" w:cs="Tahoma"/>
                <w:b/>
                <w:bCs/>
                <w:iCs/>
                <w:color w:val="243285"/>
                <w:sz w:val="36"/>
                <w:szCs w:val="36"/>
                <w:lang w:val="es-ES_tradnl"/>
              </w:rPr>
            </w:pPr>
          </w:p>
          <w:p w:rsidR="008758B8" w:rsidRPr="005375AF" w:rsidRDefault="008758B8" w:rsidP="00CE07F1">
            <w:pPr>
              <w:spacing w:before="80" w:after="180" w:line="360" w:lineRule="exact"/>
              <w:jc w:val="right"/>
              <w:rPr>
                <w:rFonts w:ascii="Tahoma" w:hAnsi="Tahoma" w:cs="Tahoma"/>
                <w:b/>
                <w:bCs/>
                <w:iCs/>
                <w:color w:val="243285"/>
                <w:sz w:val="36"/>
                <w:szCs w:val="36"/>
                <w:lang w:val="es-ES_tradnl"/>
              </w:rPr>
            </w:pPr>
            <w:r w:rsidRPr="005375AF">
              <w:rPr>
                <w:rFonts w:ascii="Tahoma" w:hAnsi="Tahoma" w:cs="Tahoma"/>
                <w:b/>
                <w:bCs/>
                <w:iCs/>
                <w:color w:val="243285"/>
                <w:sz w:val="36"/>
                <w:szCs w:val="36"/>
                <w:lang w:val="es-ES_tradnl"/>
              </w:rPr>
              <w:t>Serie SM</w:t>
            </w:r>
          </w:p>
          <w:p w:rsidR="008758B8" w:rsidRPr="005375AF" w:rsidRDefault="008758B8" w:rsidP="00CE07F1">
            <w:pPr>
              <w:spacing w:before="80" w:line="420" w:lineRule="exact"/>
              <w:jc w:val="right"/>
              <w:rPr>
                <w:rFonts w:ascii="Tahoma" w:hAnsi="Tahoma" w:cs="Tahoma"/>
                <w:b/>
                <w:bCs/>
                <w:iCs/>
                <w:color w:val="243285"/>
                <w:sz w:val="36"/>
                <w:szCs w:val="36"/>
                <w:lang w:val="es-ES_tradnl"/>
              </w:rPr>
            </w:pPr>
            <w:r w:rsidRPr="005375AF">
              <w:rPr>
                <w:rFonts w:ascii="Tahoma" w:hAnsi="Tahoma" w:cs="Tahoma"/>
                <w:b/>
                <w:bCs/>
                <w:iCs/>
                <w:color w:val="243285"/>
                <w:sz w:val="36"/>
                <w:szCs w:val="36"/>
                <w:lang w:val="es-ES_tradnl"/>
              </w:rPr>
              <w:t>Gestión del espectro</w:t>
            </w:r>
          </w:p>
        </w:tc>
      </w:tr>
    </w:tbl>
    <w:p w:rsidR="008758B8" w:rsidRPr="005375AF" w:rsidRDefault="008758B8" w:rsidP="008758B8">
      <w:pPr>
        <w:spacing w:before="80"/>
        <w:rPr>
          <w:i/>
          <w:sz w:val="22"/>
          <w:lang w:val="es-ES_tradnl"/>
        </w:rPr>
      </w:pPr>
    </w:p>
    <w:p w:rsidR="008758B8" w:rsidRPr="005375AF" w:rsidRDefault="008758B8" w:rsidP="008758B8">
      <w:pPr>
        <w:spacing w:before="80"/>
        <w:rPr>
          <w:i/>
          <w:sz w:val="22"/>
          <w:lang w:val="es-ES_tradnl"/>
        </w:rPr>
      </w:pPr>
    </w:p>
    <w:p w:rsidR="008758B8" w:rsidRPr="005375AF" w:rsidRDefault="008758B8" w:rsidP="008758B8">
      <w:pPr>
        <w:spacing w:before="80"/>
        <w:rPr>
          <w:i/>
          <w:sz w:val="22"/>
          <w:lang w:val="es-ES_tradnl"/>
        </w:rPr>
      </w:pPr>
    </w:p>
    <w:p w:rsidR="008758B8" w:rsidRPr="005375AF" w:rsidRDefault="008758B8" w:rsidP="008758B8">
      <w:pPr>
        <w:spacing w:before="80"/>
        <w:rPr>
          <w:i/>
          <w:sz w:val="22"/>
          <w:lang w:val="es-ES_tradnl"/>
        </w:rPr>
      </w:pPr>
    </w:p>
    <w:p w:rsidR="008758B8" w:rsidRPr="005375AF" w:rsidRDefault="008758B8" w:rsidP="008758B8">
      <w:pPr>
        <w:spacing w:before="80"/>
        <w:rPr>
          <w:i/>
          <w:sz w:val="22"/>
          <w:lang w:val="es-ES_tradnl"/>
        </w:rPr>
      </w:pPr>
    </w:p>
    <w:p w:rsidR="008758B8" w:rsidRPr="005375AF" w:rsidRDefault="008758B8" w:rsidP="008758B8">
      <w:pPr>
        <w:spacing w:before="80"/>
        <w:rPr>
          <w:i/>
          <w:sz w:val="22"/>
          <w:lang w:val="es-ES_tradnl"/>
        </w:rPr>
      </w:pPr>
    </w:p>
    <w:p w:rsidR="008758B8" w:rsidRPr="005375AF" w:rsidRDefault="008758B8" w:rsidP="008758B8">
      <w:pPr>
        <w:pStyle w:val="Equation"/>
        <w:tabs>
          <w:tab w:val="clear" w:pos="4820"/>
          <w:tab w:val="clear" w:pos="9639"/>
          <w:tab w:val="left" w:pos="1191"/>
          <w:tab w:val="left" w:pos="1588"/>
          <w:tab w:val="left" w:pos="1985"/>
        </w:tabs>
        <w:rPr>
          <w:rFonts w:ascii="Palatino Linotype" w:hAnsi="Palatino Linotype"/>
          <w:lang w:val="es-ES_tradnl"/>
        </w:rPr>
        <w:sectPr w:rsidR="008758B8" w:rsidRPr="005375AF">
          <w:headerReference w:type="even" r:id="rId7"/>
          <w:headerReference w:type="default" r:id="rId8"/>
          <w:headerReference w:type="first" r:id="rId9"/>
          <w:pgSz w:w="11907" w:h="16840" w:code="9"/>
          <w:pgMar w:top="1089" w:right="1089" w:bottom="284" w:left="1089" w:header="567" w:footer="284" w:gutter="0"/>
          <w:pgNumType w:start="1"/>
          <w:cols w:space="720"/>
        </w:sectPr>
      </w:pPr>
    </w:p>
    <w:p w:rsidR="008758B8" w:rsidRPr="005375AF" w:rsidRDefault="008758B8" w:rsidP="008758B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2" w:name="c2tope"/>
      <w:bookmarkEnd w:id="2"/>
      <w:r w:rsidRPr="005375AF">
        <w:rPr>
          <w:bCs/>
          <w:sz w:val="24"/>
          <w:szCs w:val="24"/>
          <w:lang w:val="es-ES_tradnl"/>
        </w:rPr>
        <w:lastRenderedPageBreak/>
        <w:t>Prólogo</w:t>
      </w:r>
    </w:p>
    <w:p w:rsidR="008758B8" w:rsidRPr="005375AF" w:rsidRDefault="008758B8" w:rsidP="008758B8">
      <w:pPr>
        <w:spacing w:before="180"/>
        <w:rPr>
          <w:sz w:val="20"/>
          <w:lang w:val="es-ES_tradnl"/>
        </w:rPr>
      </w:pPr>
      <w:r w:rsidRPr="005375AF">
        <w:rPr>
          <w:sz w:val="20"/>
          <w:lang w:val="es-ES_tradnl"/>
        </w:rPr>
        <w:t>El Sector de Radiocomunicaciones tiene como cometido garantizar la utilización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8758B8" w:rsidRPr="005375AF" w:rsidRDefault="008758B8" w:rsidP="008758B8">
      <w:pPr>
        <w:rPr>
          <w:sz w:val="20"/>
          <w:lang w:val="es-ES_tradnl"/>
        </w:rPr>
      </w:pPr>
      <w:r w:rsidRPr="005375AF">
        <w:rPr>
          <w:sz w:val="20"/>
          <w:lang w:val="es-ES_tradnl"/>
        </w:rPr>
        <w:t>Las Conferencias Mundiales y Regionales de Radiocomunicaciones y las Asambleas de Radiocomunicaciones, con la colaboración de las Comisiones de Estudio, cumplen las funciones reglamentarias y políticas del Sector de Radiocomunicaciones.</w:t>
      </w:r>
    </w:p>
    <w:p w:rsidR="008758B8" w:rsidRPr="005375AF" w:rsidRDefault="008758B8" w:rsidP="008758B8">
      <w:pPr>
        <w:pStyle w:val="Heading1"/>
        <w:spacing w:before="340"/>
        <w:jc w:val="center"/>
        <w:rPr>
          <w:szCs w:val="24"/>
          <w:lang w:val="es-ES_tradnl"/>
        </w:rPr>
      </w:pPr>
      <w:r w:rsidRPr="005375AF">
        <w:rPr>
          <w:lang w:val="es-ES_tradnl"/>
        </w:rPr>
        <w:t>Política sobre Derechos de Propiedad Intelectual</w:t>
      </w:r>
      <w:r w:rsidRPr="005375AF">
        <w:rPr>
          <w:szCs w:val="24"/>
          <w:lang w:val="es-ES_tradnl"/>
        </w:rPr>
        <w:t xml:space="preserve"> (IPR)</w:t>
      </w:r>
    </w:p>
    <w:p w:rsidR="008758B8" w:rsidRPr="005375AF" w:rsidRDefault="008758B8" w:rsidP="008758B8">
      <w:pPr>
        <w:spacing w:before="180"/>
        <w:rPr>
          <w:sz w:val="20"/>
          <w:lang w:val="es-ES_tradnl"/>
        </w:rPr>
      </w:pPr>
      <w:r w:rsidRPr="005375AF">
        <w:rPr>
          <w:sz w:val="20"/>
          <w:lang w:val="es-ES_tradnl"/>
        </w:rPr>
        <w:t>La política del UIT</w:t>
      </w:r>
      <w:r w:rsidRPr="005375AF">
        <w:rPr>
          <w:sz w:val="20"/>
          <w:lang w:val="es-ES_tradnl"/>
        </w:rPr>
        <w:noBreakHyphen/>
        <w:t>R sobre Derechos de Propiedad Intelectual se describe en la Política Común de Patentes UIT</w:t>
      </w:r>
      <w:r w:rsidRPr="005375AF">
        <w:rPr>
          <w:sz w:val="20"/>
          <w:lang w:val="es-ES_tradnl"/>
        </w:rPr>
        <w:noBreakHyphen/>
        <w:t>T/UIT</w:t>
      </w:r>
      <w:r w:rsidRPr="005375AF">
        <w:rPr>
          <w:sz w:val="20"/>
          <w:lang w:val="es-ES_tradnl"/>
        </w:rPr>
        <w:noBreakHyphen/>
        <w:t>R/ISO/CEI a la que se hace referencia en el Anexo 1 a la Resolución UIT</w:t>
      </w:r>
      <w:r w:rsidRPr="005375AF">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5375AF">
          <w:rPr>
            <w:rStyle w:val="Hyperlink"/>
            <w:sz w:val="20"/>
            <w:lang w:val="es-ES_tradnl"/>
          </w:rPr>
          <w:t>http://www.itu.int/ITU-R/go/patents/es</w:t>
        </w:r>
      </w:hyperlink>
      <w:r w:rsidRPr="005375AF">
        <w:rPr>
          <w:sz w:val="20"/>
          <w:lang w:val="es-ES_tradnl"/>
        </w:rPr>
        <w:t>, donde también aparecen las Directrices para la implementación de la Política Común de Patentes UIT</w:t>
      </w:r>
      <w:r w:rsidRPr="005375AF">
        <w:rPr>
          <w:sz w:val="20"/>
          <w:lang w:val="es-ES_tradnl"/>
        </w:rPr>
        <w:noBreakHyphen/>
        <w:t>T/UIT</w:t>
      </w:r>
      <w:r w:rsidRPr="005375AF">
        <w:rPr>
          <w:sz w:val="20"/>
          <w:lang w:val="es-ES_tradnl"/>
        </w:rPr>
        <w:noBreakHyphen/>
        <w:t>R/ISO/CEI y la base de datos sobre información de patentes del UIT</w:t>
      </w:r>
      <w:r w:rsidRPr="005375AF">
        <w:rPr>
          <w:sz w:val="20"/>
          <w:lang w:val="es-ES_tradnl"/>
        </w:rPr>
        <w:noBreakHyphen/>
        <w:t>R sobre este asunto.</w:t>
      </w:r>
    </w:p>
    <w:p w:rsidR="008758B8" w:rsidRPr="005375AF" w:rsidRDefault="008758B8" w:rsidP="008758B8">
      <w:pPr>
        <w:spacing w:before="0"/>
        <w:jc w:val="center"/>
        <w:rPr>
          <w:sz w:val="22"/>
          <w:lang w:val="es-ES_tradnl"/>
        </w:rPr>
      </w:pPr>
    </w:p>
    <w:p w:rsidR="008758B8" w:rsidRPr="005375AF" w:rsidRDefault="008758B8" w:rsidP="008758B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8758B8" w:rsidRPr="00330BA9" w:rsidTr="00CE07F1">
        <w:tc>
          <w:tcPr>
            <w:tcW w:w="9360" w:type="dxa"/>
            <w:gridSpan w:val="2"/>
          </w:tcPr>
          <w:p w:rsidR="008758B8" w:rsidRPr="005375AF" w:rsidRDefault="008758B8" w:rsidP="00CE07F1">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5375AF">
              <w:rPr>
                <w:sz w:val="22"/>
                <w:szCs w:val="22"/>
                <w:lang w:val="es-ES_tradnl"/>
              </w:rPr>
              <w:t xml:space="preserve">Series de las Recomendaciones UIT-R </w:t>
            </w:r>
          </w:p>
          <w:p w:rsidR="008758B8" w:rsidRPr="005375AF" w:rsidRDefault="008758B8" w:rsidP="00CE0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5375AF">
              <w:rPr>
                <w:b w:val="0"/>
                <w:sz w:val="18"/>
                <w:szCs w:val="18"/>
                <w:lang w:val="es-ES_tradnl"/>
              </w:rPr>
              <w:t xml:space="preserve">(También disponible en línea en </w:t>
            </w:r>
            <w:hyperlink r:id="rId11" w:history="1">
              <w:r w:rsidRPr="005375AF">
                <w:rPr>
                  <w:rStyle w:val="Hyperlink"/>
                  <w:b w:val="0"/>
                  <w:bCs/>
                  <w:sz w:val="18"/>
                  <w:szCs w:val="18"/>
                  <w:lang w:val="es-ES_tradnl"/>
                </w:rPr>
                <w:t>http://www.itu.int/publ/R-REC/es</w:t>
              </w:r>
            </w:hyperlink>
            <w:r w:rsidRPr="005375AF">
              <w:rPr>
                <w:b w:val="0"/>
                <w:bCs/>
                <w:sz w:val="18"/>
                <w:szCs w:val="18"/>
                <w:lang w:val="es-ES_tradnl"/>
              </w:rPr>
              <w:t>)</w:t>
            </w:r>
          </w:p>
        </w:tc>
      </w:tr>
      <w:tr w:rsidR="008758B8" w:rsidRPr="005375AF" w:rsidTr="00CE07F1">
        <w:tc>
          <w:tcPr>
            <w:tcW w:w="1140" w:type="dxa"/>
            <w:tcBorders>
              <w:bottom w:val="nil"/>
            </w:tcBorders>
          </w:tcPr>
          <w:p w:rsidR="008758B8" w:rsidRPr="005375AF" w:rsidRDefault="008758B8" w:rsidP="00CE07F1">
            <w:pPr>
              <w:spacing w:before="180" w:after="100"/>
              <w:ind w:left="57"/>
              <w:rPr>
                <w:b/>
                <w:bCs/>
                <w:sz w:val="20"/>
                <w:lang w:val="es-ES_tradnl"/>
              </w:rPr>
            </w:pPr>
            <w:r w:rsidRPr="005375AF">
              <w:rPr>
                <w:b/>
                <w:bCs/>
                <w:sz w:val="20"/>
                <w:lang w:val="es-ES_tradnl"/>
              </w:rPr>
              <w:t>Series</w:t>
            </w:r>
          </w:p>
        </w:tc>
        <w:tc>
          <w:tcPr>
            <w:tcW w:w="8220" w:type="dxa"/>
            <w:tcBorders>
              <w:bottom w:val="nil"/>
            </w:tcBorders>
          </w:tcPr>
          <w:p w:rsidR="008758B8" w:rsidRPr="005375AF" w:rsidRDefault="008758B8" w:rsidP="00CE0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s-ES_tradnl"/>
              </w:rPr>
            </w:pPr>
            <w:r w:rsidRPr="005375AF">
              <w:rPr>
                <w:bCs/>
                <w:sz w:val="20"/>
                <w:lang w:val="es-ES_tradnl"/>
              </w:rPr>
              <w:t>Título</w:t>
            </w:r>
          </w:p>
        </w:tc>
      </w:tr>
      <w:tr w:rsidR="008758B8" w:rsidRPr="005375AF"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BO</w:t>
            </w:r>
          </w:p>
        </w:tc>
        <w:tc>
          <w:tcPr>
            <w:tcW w:w="8220" w:type="dxa"/>
            <w:tcBorders>
              <w:top w:val="nil"/>
              <w:bottom w:val="nil"/>
            </w:tcBorders>
            <w:shd w:val="clear" w:color="auto" w:fill="auto"/>
          </w:tcPr>
          <w:p w:rsidR="008758B8" w:rsidRPr="005375AF" w:rsidRDefault="008758B8" w:rsidP="00CE0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375AF">
              <w:rPr>
                <w:b w:val="0"/>
                <w:sz w:val="20"/>
                <w:lang w:val="es-ES_tradnl"/>
              </w:rPr>
              <w:t>Distribución por satélite</w:t>
            </w:r>
          </w:p>
        </w:tc>
      </w:tr>
      <w:tr w:rsidR="008758B8" w:rsidRPr="00330BA9"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BR</w:t>
            </w:r>
          </w:p>
        </w:tc>
        <w:tc>
          <w:tcPr>
            <w:tcW w:w="8220" w:type="dxa"/>
            <w:tcBorders>
              <w:top w:val="nil"/>
              <w:bottom w:val="nil"/>
            </w:tcBorders>
            <w:shd w:val="clear" w:color="auto" w:fill="auto"/>
          </w:tcPr>
          <w:p w:rsidR="008758B8" w:rsidRPr="005375AF" w:rsidRDefault="008758B8" w:rsidP="00CE0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375AF">
              <w:rPr>
                <w:b w:val="0"/>
                <w:sz w:val="20"/>
                <w:lang w:val="es-ES_tradnl"/>
              </w:rPr>
              <w:t>Registro para producción, archivo y reproducción; películas en televisión</w:t>
            </w:r>
          </w:p>
        </w:tc>
      </w:tr>
      <w:tr w:rsidR="008758B8" w:rsidRPr="005375AF"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BS</w:t>
            </w:r>
          </w:p>
        </w:tc>
        <w:tc>
          <w:tcPr>
            <w:tcW w:w="8220" w:type="dxa"/>
            <w:tcBorders>
              <w:top w:val="nil"/>
              <w:bottom w:val="nil"/>
            </w:tcBorders>
            <w:shd w:val="clear" w:color="auto" w:fill="auto"/>
          </w:tcPr>
          <w:p w:rsidR="008758B8" w:rsidRPr="005375AF" w:rsidRDefault="008758B8" w:rsidP="00CE0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5375AF">
              <w:rPr>
                <w:b w:val="0"/>
                <w:bCs/>
                <w:sz w:val="20"/>
                <w:lang w:val="es-ES_tradnl"/>
              </w:rPr>
              <w:t>Servicio de radiodifusión (sonora)</w:t>
            </w:r>
          </w:p>
        </w:tc>
      </w:tr>
      <w:tr w:rsidR="008758B8" w:rsidRPr="005375AF"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BT</w:t>
            </w:r>
          </w:p>
        </w:tc>
        <w:tc>
          <w:tcPr>
            <w:tcW w:w="8220" w:type="dxa"/>
            <w:tcBorders>
              <w:top w:val="nil"/>
              <w:bottom w:val="nil"/>
            </w:tcBorders>
            <w:shd w:val="clear" w:color="auto" w:fill="auto"/>
          </w:tcPr>
          <w:p w:rsidR="008758B8" w:rsidRPr="005375AF" w:rsidRDefault="008758B8" w:rsidP="00CE0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5375AF">
              <w:rPr>
                <w:b w:val="0"/>
                <w:bCs/>
                <w:sz w:val="20"/>
                <w:lang w:val="es-ES_tradnl"/>
              </w:rPr>
              <w:t>Servicio de radiodifusión (televisión)</w:t>
            </w:r>
          </w:p>
        </w:tc>
      </w:tr>
      <w:tr w:rsidR="008758B8" w:rsidRPr="005375AF"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F</w:t>
            </w:r>
          </w:p>
        </w:tc>
        <w:tc>
          <w:tcPr>
            <w:tcW w:w="8220" w:type="dxa"/>
            <w:tcBorders>
              <w:top w:val="nil"/>
              <w:bottom w:val="nil"/>
            </w:tcBorders>
            <w:shd w:val="clear" w:color="auto" w:fill="auto"/>
          </w:tcPr>
          <w:p w:rsidR="008758B8" w:rsidRPr="005375AF" w:rsidRDefault="008758B8" w:rsidP="00CE07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5375AF">
              <w:rPr>
                <w:sz w:val="20"/>
                <w:lang w:val="es-ES_tradnl"/>
              </w:rPr>
              <w:t>Servicio fijo</w:t>
            </w:r>
          </w:p>
        </w:tc>
      </w:tr>
      <w:tr w:rsidR="008758B8" w:rsidRPr="00330BA9" w:rsidTr="00CE07F1">
        <w:tc>
          <w:tcPr>
            <w:tcW w:w="1140" w:type="dxa"/>
            <w:tcBorders>
              <w:top w:val="nil"/>
              <w:bottom w:val="nil"/>
            </w:tcBorders>
            <w:shd w:val="clear" w:color="auto" w:fill="auto"/>
          </w:tcPr>
          <w:p w:rsidR="008758B8" w:rsidRPr="005375AF" w:rsidRDefault="008758B8" w:rsidP="00CE07F1">
            <w:pPr>
              <w:spacing w:before="30" w:after="30"/>
              <w:ind w:left="57"/>
              <w:jc w:val="left"/>
              <w:rPr>
                <w:rFonts w:hAnsi="Times New Roman Bold"/>
                <w:b/>
                <w:bCs/>
                <w:sz w:val="20"/>
                <w:lang w:val="es-ES_tradnl"/>
              </w:rPr>
            </w:pPr>
            <w:r w:rsidRPr="005375AF">
              <w:rPr>
                <w:rFonts w:hAnsi="Times New Roman Bold"/>
                <w:b/>
                <w:bCs/>
                <w:sz w:val="20"/>
                <w:lang w:val="es-ES_tradnl"/>
              </w:rPr>
              <w:t>M</w:t>
            </w:r>
          </w:p>
        </w:tc>
        <w:tc>
          <w:tcPr>
            <w:tcW w:w="8220" w:type="dxa"/>
            <w:tcBorders>
              <w:top w:val="nil"/>
              <w:bottom w:val="nil"/>
            </w:tcBorders>
            <w:shd w:val="clear" w:color="auto" w:fill="auto"/>
          </w:tcPr>
          <w:p w:rsidR="008758B8" w:rsidRPr="005375AF" w:rsidRDefault="008758B8" w:rsidP="00CE07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5375AF">
              <w:rPr>
                <w:rFonts w:hAnsi="Times New Roman Bold"/>
                <w:b w:val="0"/>
                <w:sz w:val="20"/>
                <w:lang w:val="es-ES_tradnl"/>
              </w:rPr>
              <w:t>Servicios m</w:t>
            </w:r>
            <w:r w:rsidRPr="005375AF">
              <w:rPr>
                <w:rFonts w:hAnsi="Times New Roman Bold"/>
                <w:b w:val="0"/>
                <w:sz w:val="20"/>
                <w:lang w:val="es-ES_tradnl"/>
              </w:rPr>
              <w:t>ó</w:t>
            </w:r>
            <w:r w:rsidRPr="005375AF">
              <w:rPr>
                <w:rFonts w:hAnsi="Times New Roman Bold"/>
                <w:b w:val="0"/>
                <w:sz w:val="20"/>
                <w:lang w:val="es-ES_tradnl"/>
              </w:rPr>
              <w:t>viles, de radiodeterminaci</w:t>
            </w:r>
            <w:r w:rsidRPr="005375AF">
              <w:rPr>
                <w:rFonts w:hAnsi="Times New Roman Bold"/>
                <w:b w:val="0"/>
                <w:sz w:val="20"/>
                <w:lang w:val="es-ES_tradnl"/>
              </w:rPr>
              <w:t>ó</w:t>
            </w:r>
            <w:r w:rsidRPr="005375AF">
              <w:rPr>
                <w:rFonts w:hAnsi="Times New Roman Bold"/>
                <w:b w:val="0"/>
                <w:sz w:val="20"/>
                <w:lang w:val="es-ES_tradnl"/>
              </w:rPr>
              <w:t>n, de aficionados y otros servicios por sat</w:t>
            </w:r>
            <w:r w:rsidRPr="005375AF">
              <w:rPr>
                <w:rFonts w:hAnsi="Times New Roman Bold"/>
                <w:b w:val="0"/>
                <w:sz w:val="20"/>
                <w:lang w:val="es-ES_tradnl"/>
              </w:rPr>
              <w:t>é</w:t>
            </w:r>
            <w:r w:rsidRPr="005375AF">
              <w:rPr>
                <w:rFonts w:hAnsi="Times New Roman Bold"/>
                <w:b w:val="0"/>
                <w:sz w:val="20"/>
                <w:lang w:val="es-ES_tradnl"/>
              </w:rPr>
              <w:t>lite conexos</w:t>
            </w:r>
          </w:p>
        </w:tc>
      </w:tr>
      <w:tr w:rsidR="008758B8" w:rsidRPr="00330BA9"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P</w:t>
            </w:r>
          </w:p>
        </w:tc>
        <w:tc>
          <w:tcPr>
            <w:tcW w:w="8220" w:type="dxa"/>
            <w:tcBorders>
              <w:top w:val="nil"/>
              <w:bottom w:val="nil"/>
            </w:tcBorders>
            <w:shd w:val="clear" w:color="auto" w:fill="auto"/>
          </w:tcPr>
          <w:p w:rsidR="008758B8" w:rsidRPr="005375AF" w:rsidRDefault="008758B8" w:rsidP="00CE07F1">
            <w:pPr>
              <w:spacing w:before="30" w:after="30"/>
              <w:jc w:val="left"/>
              <w:rPr>
                <w:sz w:val="20"/>
                <w:lang w:val="es-ES_tradnl"/>
              </w:rPr>
            </w:pPr>
            <w:r w:rsidRPr="005375AF">
              <w:rPr>
                <w:sz w:val="20"/>
                <w:lang w:val="es-ES_tradnl"/>
              </w:rPr>
              <w:t>Propagación de las ondas radioeléctricas</w:t>
            </w:r>
          </w:p>
        </w:tc>
      </w:tr>
      <w:tr w:rsidR="008758B8" w:rsidRPr="005375AF"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RA</w:t>
            </w:r>
          </w:p>
        </w:tc>
        <w:tc>
          <w:tcPr>
            <w:tcW w:w="8220" w:type="dxa"/>
            <w:tcBorders>
              <w:top w:val="nil"/>
              <w:bottom w:val="nil"/>
            </w:tcBorders>
            <w:shd w:val="clear" w:color="auto" w:fill="auto"/>
          </w:tcPr>
          <w:p w:rsidR="008758B8" w:rsidRPr="005375AF" w:rsidRDefault="008758B8" w:rsidP="00CE07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5375AF">
              <w:rPr>
                <w:sz w:val="20"/>
                <w:lang w:val="es-ES_tradnl"/>
              </w:rPr>
              <w:t>Radioastronomía</w:t>
            </w:r>
          </w:p>
        </w:tc>
      </w:tr>
      <w:tr w:rsidR="008758B8" w:rsidRPr="00330BA9"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RS</w:t>
            </w:r>
          </w:p>
        </w:tc>
        <w:tc>
          <w:tcPr>
            <w:tcW w:w="8220" w:type="dxa"/>
            <w:tcBorders>
              <w:top w:val="nil"/>
              <w:bottom w:val="nil"/>
            </w:tcBorders>
            <w:shd w:val="clear" w:color="auto" w:fill="auto"/>
          </w:tcPr>
          <w:p w:rsidR="008758B8" w:rsidRPr="005375AF" w:rsidRDefault="008758B8" w:rsidP="00CE07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s-ES_tradnl"/>
              </w:rPr>
            </w:pPr>
            <w:r w:rsidRPr="005375AF">
              <w:rPr>
                <w:sz w:val="20"/>
                <w:lang w:val="es-ES_tradnl"/>
              </w:rPr>
              <w:t>Sistemas de detección a distancia</w:t>
            </w:r>
          </w:p>
        </w:tc>
      </w:tr>
      <w:tr w:rsidR="008758B8" w:rsidRPr="005375AF"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S</w:t>
            </w:r>
          </w:p>
        </w:tc>
        <w:tc>
          <w:tcPr>
            <w:tcW w:w="8220" w:type="dxa"/>
            <w:tcBorders>
              <w:top w:val="nil"/>
              <w:bottom w:val="nil"/>
            </w:tcBorders>
            <w:shd w:val="clear" w:color="auto" w:fill="auto"/>
          </w:tcPr>
          <w:p w:rsidR="008758B8" w:rsidRPr="005375AF" w:rsidRDefault="008758B8" w:rsidP="00CE07F1">
            <w:pPr>
              <w:spacing w:before="30" w:after="30"/>
              <w:jc w:val="left"/>
              <w:rPr>
                <w:sz w:val="20"/>
                <w:lang w:val="es-ES_tradnl"/>
              </w:rPr>
            </w:pPr>
            <w:r w:rsidRPr="005375AF">
              <w:rPr>
                <w:sz w:val="20"/>
                <w:lang w:val="es-ES_tradnl"/>
              </w:rPr>
              <w:t>Servicio fijo por satélite</w:t>
            </w:r>
          </w:p>
        </w:tc>
      </w:tr>
      <w:tr w:rsidR="008758B8" w:rsidRPr="005375AF"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SA</w:t>
            </w:r>
          </w:p>
        </w:tc>
        <w:tc>
          <w:tcPr>
            <w:tcW w:w="8220" w:type="dxa"/>
            <w:tcBorders>
              <w:top w:val="nil"/>
              <w:bottom w:val="nil"/>
            </w:tcBorders>
            <w:shd w:val="clear" w:color="auto" w:fill="auto"/>
          </w:tcPr>
          <w:p w:rsidR="008758B8" w:rsidRPr="005375AF" w:rsidRDefault="008758B8" w:rsidP="00CE07F1">
            <w:pPr>
              <w:spacing w:before="30" w:after="30"/>
              <w:jc w:val="left"/>
              <w:rPr>
                <w:sz w:val="20"/>
                <w:lang w:val="es-ES_tradnl"/>
              </w:rPr>
            </w:pPr>
            <w:r w:rsidRPr="005375AF">
              <w:rPr>
                <w:sz w:val="20"/>
                <w:lang w:val="es-ES_tradnl"/>
              </w:rPr>
              <w:t>Aplicaciones espaciales y meteorología</w:t>
            </w:r>
          </w:p>
        </w:tc>
      </w:tr>
      <w:tr w:rsidR="008758B8" w:rsidRPr="00330BA9" w:rsidTr="00CE07F1">
        <w:tc>
          <w:tcPr>
            <w:tcW w:w="1140" w:type="dxa"/>
            <w:tcBorders>
              <w:top w:val="nil"/>
              <w:bottom w:val="nil"/>
            </w:tcBorders>
            <w:shd w:val="clear" w:color="auto" w:fill="auto"/>
          </w:tcPr>
          <w:p w:rsidR="008758B8" w:rsidRPr="005375AF" w:rsidRDefault="008758B8" w:rsidP="00CE07F1">
            <w:pPr>
              <w:spacing w:before="30" w:after="30"/>
              <w:ind w:left="57"/>
              <w:jc w:val="left"/>
              <w:rPr>
                <w:b/>
                <w:bCs/>
                <w:sz w:val="20"/>
                <w:lang w:val="es-ES_tradnl"/>
              </w:rPr>
            </w:pPr>
            <w:r w:rsidRPr="005375AF">
              <w:rPr>
                <w:b/>
                <w:bCs/>
                <w:sz w:val="20"/>
                <w:lang w:val="es-ES_tradnl"/>
              </w:rPr>
              <w:t>SF</w:t>
            </w:r>
          </w:p>
        </w:tc>
        <w:tc>
          <w:tcPr>
            <w:tcW w:w="8220" w:type="dxa"/>
            <w:tcBorders>
              <w:top w:val="nil"/>
              <w:bottom w:val="nil"/>
            </w:tcBorders>
            <w:shd w:val="clear" w:color="auto" w:fill="auto"/>
          </w:tcPr>
          <w:p w:rsidR="008758B8" w:rsidRPr="005375AF" w:rsidRDefault="008758B8" w:rsidP="00CE07F1">
            <w:pPr>
              <w:spacing w:before="30" w:after="30"/>
              <w:jc w:val="left"/>
              <w:rPr>
                <w:sz w:val="20"/>
                <w:lang w:val="es-ES_tradnl"/>
              </w:rPr>
            </w:pPr>
            <w:r w:rsidRPr="005375AF">
              <w:rPr>
                <w:sz w:val="20"/>
                <w:lang w:val="es-ES_tradnl"/>
              </w:rPr>
              <w:t>Compartición de frecuencias y coordinación entre los sistemas del servicio fijo por satélite y del servicio fijo</w:t>
            </w:r>
          </w:p>
        </w:tc>
      </w:tr>
      <w:tr w:rsidR="008758B8" w:rsidRPr="005375AF" w:rsidTr="00CE07F1">
        <w:tc>
          <w:tcPr>
            <w:tcW w:w="1140" w:type="dxa"/>
            <w:tcBorders>
              <w:top w:val="nil"/>
              <w:bottom w:val="nil"/>
            </w:tcBorders>
            <w:shd w:val="clear" w:color="auto" w:fill="F3F3F3"/>
          </w:tcPr>
          <w:p w:rsidR="008758B8" w:rsidRPr="005375AF" w:rsidRDefault="008758B8" w:rsidP="00CE07F1">
            <w:pPr>
              <w:spacing w:before="30" w:after="30"/>
              <w:ind w:left="57"/>
              <w:jc w:val="left"/>
              <w:rPr>
                <w:b/>
                <w:bCs/>
                <w:color w:val="000080"/>
                <w:sz w:val="20"/>
                <w:lang w:val="es-ES_tradnl"/>
              </w:rPr>
            </w:pPr>
            <w:r w:rsidRPr="005375AF">
              <w:rPr>
                <w:b/>
                <w:bCs/>
                <w:color w:val="000080"/>
                <w:sz w:val="20"/>
                <w:lang w:val="es-ES_tradnl"/>
              </w:rPr>
              <w:t>SM</w:t>
            </w:r>
          </w:p>
        </w:tc>
        <w:tc>
          <w:tcPr>
            <w:tcW w:w="8220" w:type="dxa"/>
            <w:tcBorders>
              <w:top w:val="nil"/>
              <w:bottom w:val="nil"/>
            </w:tcBorders>
            <w:shd w:val="clear" w:color="auto" w:fill="F3F3F3"/>
          </w:tcPr>
          <w:p w:rsidR="008758B8" w:rsidRPr="005375AF" w:rsidRDefault="008758B8" w:rsidP="00CE07F1">
            <w:pPr>
              <w:spacing w:before="30" w:after="30"/>
              <w:jc w:val="left"/>
              <w:rPr>
                <w:b/>
                <w:bCs/>
                <w:color w:val="000080"/>
                <w:sz w:val="20"/>
                <w:lang w:val="es-ES_tradnl"/>
              </w:rPr>
            </w:pPr>
            <w:r w:rsidRPr="005375AF">
              <w:rPr>
                <w:b/>
                <w:bCs/>
                <w:color w:val="000080"/>
                <w:sz w:val="20"/>
                <w:lang w:val="es-ES_tradnl"/>
              </w:rPr>
              <w:t>Gestión del espectro</w:t>
            </w:r>
          </w:p>
        </w:tc>
      </w:tr>
      <w:tr w:rsidR="008758B8" w:rsidRPr="005375AF" w:rsidTr="00CE07F1">
        <w:tc>
          <w:tcPr>
            <w:tcW w:w="1140" w:type="dxa"/>
            <w:tcBorders>
              <w:top w:val="nil"/>
            </w:tcBorders>
          </w:tcPr>
          <w:p w:rsidR="008758B8" w:rsidRPr="005375AF" w:rsidRDefault="008758B8" w:rsidP="00CE07F1">
            <w:pPr>
              <w:spacing w:before="30" w:after="30"/>
              <w:ind w:left="57"/>
              <w:jc w:val="left"/>
              <w:rPr>
                <w:b/>
                <w:bCs/>
                <w:sz w:val="20"/>
                <w:lang w:val="es-ES_tradnl"/>
              </w:rPr>
            </w:pPr>
            <w:r w:rsidRPr="005375AF">
              <w:rPr>
                <w:b/>
                <w:bCs/>
                <w:sz w:val="20"/>
                <w:lang w:val="es-ES_tradnl"/>
              </w:rPr>
              <w:t>SNG</w:t>
            </w:r>
          </w:p>
        </w:tc>
        <w:tc>
          <w:tcPr>
            <w:tcW w:w="8220" w:type="dxa"/>
            <w:tcBorders>
              <w:top w:val="nil"/>
            </w:tcBorders>
          </w:tcPr>
          <w:p w:rsidR="008758B8" w:rsidRPr="005375AF" w:rsidRDefault="008758B8" w:rsidP="00CE07F1">
            <w:pPr>
              <w:spacing w:before="30" w:after="30"/>
              <w:jc w:val="left"/>
              <w:rPr>
                <w:bCs/>
                <w:sz w:val="20"/>
                <w:lang w:val="es-ES_tradnl"/>
              </w:rPr>
            </w:pPr>
            <w:r w:rsidRPr="005375AF">
              <w:rPr>
                <w:bCs/>
                <w:sz w:val="20"/>
                <w:lang w:val="es-ES_tradnl"/>
              </w:rPr>
              <w:t>Periodismo electrónico por satélite</w:t>
            </w:r>
          </w:p>
        </w:tc>
      </w:tr>
      <w:tr w:rsidR="008758B8" w:rsidRPr="00330BA9" w:rsidTr="00CE07F1">
        <w:tc>
          <w:tcPr>
            <w:tcW w:w="1140" w:type="dxa"/>
          </w:tcPr>
          <w:p w:rsidR="008758B8" w:rsidRPr="005375AF" w:rsidRDefault="008758B8" w:rsidP="00CE07F1">
            <w:pPr>
              <w:spacing w:before="30" w:after="30"/>
              <w:ind w:left="57"/>
              <w:jc w:val="left"/>
              <w:rPr>
                <w:b/>
                <w:bCs/>
                <w:sz w:val="20"/>
                <w:lang w:val="es-ES_tradnl"/>
              </w:rPr>
            </w:pPr>
            <w:r w:rsidRPr="005375AF">
              <w:rPr>
                <w:b/>
                <w:bCs/>
                <w:sz w:val="20"/>
                <w:lang w:val="es-ES_tradnl"/>
              </w:rPr>
              <w:t>TF</w:t>
            </w:r>
          </w:p>
        </w:tc>
        <w:tc>
          <w:tcPr>
            <w:tcW w:w="8220" w:type="dxa"/>
          </w:tcPr>
          <w:p w:rsidR="008758B8" w:rsidRPr="005375AF" w:rsidRDefault="008758B8" w:rsidP="00CE07F1">
            <w:pPr>
              <w:spacing w:before="30" w:after="30"/>
              <w:jc w:val="left"/>
              <w:rPr>
                <w:bCs/>
                <w:sz w:val="20"/>
                <w:lang w:val="es-ES_tradnl"/>
              </w:rPr>
            </w:pPr>
            <w:r w:rsidRPr="005375AF">
              <w:rPr>
                <w:bCs/>
                <w:sz w:val="20"/>
                <w:lang w:val="es-ES_tradnl"/>
              </w:rPr>
              <w:t>Emisiones de frecuencias patrón y señales horarias</w:t>
            </w:r>
          </w:p>
        </w:tc>
      </w:tr>
      <w:tr w:rsidR="008758B8" w:rsidRPr="005375AF" w:rsidTr="00CE07F1">
        <w:tc>
          <w:tcPr>
            <w:tcW w:w="1140" w:type="dxa"/>
          </w:tcPr>
          <w:p w:rsidR="008758B8" w:rsidRPr="005375AF" w:rsidRDefault="008758B8" w:rsidP="00CE07F1">
            <w:pPr>
              <w:spacing w:before="30" w:after="30"/>
              <w:ind w:left="57"/>
              <w:jc w:val="left"/>
              <w:rPr>
                <w:b/>
                <w:bCs/>
                <w:sz w:val="20"/>
                <w:lang w:val="es-ES_tradnl"/>
              </w:rPr>
            </w:pPr>
            <w:r w:rsidRPr="005375AF">
              <w:rPr>
                <w:b/>
                <w:bCs/>
                <w:sz w:val="20"/>
                <w:lang w:val="es-ES_tradnl"/>
              </w:rPr>
              <w:t>V</w:t>
            </w:r>
          </w:p>
        </w:tc>
        <w:tc>
          <w:tcPr>
            <w:tcW w:w="8220" w:type="dxa"/>
          </w:tcPr>
          <w:p w:rsidR="008758B8" w:rsidRPr="005375AF" w:rsidRDefault="008758B8" w:rsidP="00CE07F1">
            <w:pPr>
              <w:spacing w:before="30" w:after="140"/>
              <w:jc w:val="left"/>
              <w:rPr>
                <w:bCs/>
                <w:sz w:val="20"/>
                <w:lang w:val="es-ES_tradnl"/>
              </w:rPr>
            </w:pPr>
            <w:r w:rsidRPr="005375AF">
              <w:rPr>
                <w:bCs/>
                <w:sz w:val="20"/>
                <w:lang w:val="es-ES_tradnl"/>
              </w:rPr>
              <w:t>Vocabulario y cuestiones afines</w:t>
            </w:r>
          </w:p>
        </w:tc>
      </w:tr>
    </w:tbl>
    <w:p w:rsidR="008758B8" w:rsidRPr="005375AF" w:rsidRDefault="008758B8" w:rsidP="008758B8">
      <w:pPr>
        <w:spacing w:before="0" w:after="140"/>
        <w:jc w:val="center"/>
        <w:rPr>
          <w:sz w:val="20"/>
          <w:lang w:val="es-ES_tradnl"/>
        </w:rPr>
      </w:pPr>
    </w:p>
    <w:tbl>
      <w:tblPr>
        <w:tblStyle w:val="TableGrid"/>
        <w:tblW w:w="0" w:type="auto"/>
        <w:tblInd w:w="288" w:type="dxa"/>
        <w:tblBorders>
          <w:top w:val="single" w:sz="12" w:space="0" w:color="000080"/>
          <w:left w:val="single" w:sz="12" w:space="0" w:color="000080"/>
          <w:bottom w:val="single" w:sz="12" w:space="0" w:color="000080"/>
          <w:right w:val="single" w:sz="12" w:space="0" w:color="000080"/>
          <w:insideH w:val="none" w:sz="0" w:space="0" w:color="auto"/>
          <w:insideV w:val="none" w:sz="0" w:space="0" w:color="auto"/>
        </w:tblBorders>
        <w:tblLook w:val="01E0" w:firstRow="1" w:lastRow="1" w:firstColumn="1" w:lastColumn="1" w:noHBand="0" w:noVBand="0"/>
      </w:tblPr>
      <w:tblGrid>
        <w:gridCol w:w="9321"/>
      </w:tblGrid>
      <w:tr w:rsidR="008758B8" w:rsidRPr="00330BA9" w:rsidTr="00A0157D">
        <w:tc>
          <w:tcPr>
            <w:tcW w:w="9321" w:type="dxa"/>
          </w:tcPr>
          <w:p w:rsidR="008758B8" w:rsidRPr="005375AF" w:rsidRDefault="008758B8" w:rsidP="00CE07F1">
            <w:pPr>
              <w:spacing w:before="92" w:after="92"/>
              <w:jc w:val="left"/>
              <w:rPr>
                <w:i/>
                <w:iCs/>
                <w:sz w:val="20"/>
                <w:lang w:val="es-ES_tradnl"/>
              </w:rPr>
            </w:pPr>
            <w:r w:rsidRPr="005375AF">
              <w:rPr>
                <w:b/>
                <w:bCs/>
                <w:i/>
                <w:iCs/>
                <w:sz w:val="20"/>
                <w:lang w:val="es-ES_tradnl"/>
              </w:rPr>
              <w:t>Nota</w:t>
            </w:r>
            <w:r w:rsidRPr="005375AF">
              <w:rPr>
                <w:i/>
                <w:iCs/>
                <w:sz w:val="20"/>
                <w:lang w:val="es-ES_tradnl"/>
              </w:rPr>
              <w:t xml:space="preserve">: Esta Recomendación UIT-R fue aprobada en inglés conforme al procedimiento detallado en la </w:t>
            </w:r>
            <w:r w:rsidRPr="005375AF">
              <w:rPr>
                <w:i/>
                <w:iCs/>
                <w:sz w:val="20"/>
                <w:lang w:val="es-ES_tradnl"/>
              </w:rPr>
              <w:br/>
              <w:t>Resolución UIT-R 1.</w:t>
            </w:r>
          </w:p>
        </w:tc>
      </w:tr>
    </w:tbl>
    <w:p w:rsidR="008758B8" w:rsidRPr="005375AF" w:rsidRDefault="008758B8" w:rsidP="008758B8">
      <w:pPr>
        <w:spacing w:before="0"/>
        <w:jc w:val="center"/>
        <w:rPr>
          <w:sz w:val="22"/>
          <w:lang w:val="es-ES_tradnl"/>
        </w:rPr>
      </w:pPr>
    </w:p>
    <w:p w:rsidR="008758B8" w:rsidRPr="005375AF" w:rsidRDefault="008758B8" w:rsidP="008758B8">
      <w:pPr>
        <w:spacing w:before="60"/>
        <w:jc w:val="right"/>
        <w:rPr>
          <w:i/>
          <w:iCs/>
          <w:sz w:val="20"/>
          <w:lang w:val="es-ES_tradnl"/>
        </w:rPr>
      </w:pPr>
      <w:r w:rsidRPr="005375AF">
        <w:rPr>
          <w:i/>
          <w:iCs/>
          <w:sz w:val="20"/>
          <w:lang w:val="es-ES_tradnl"/>
        </w:rPr>
        <w:t>Publicación electrónica</w:t>
      </w:r>
    </w:p>
    <w:p w:rsidR="008758B8" w:rsidRPr="005375AF" w:rsidRDefault="008758B8" w:rsidP="00A0157D">
      <w:pPr>
        <w:spacing w:before="0" w:after="40"/>
        <w:jc w:val="right"/>
        <w:rPr>
          <w:sz w:val="20"/>
          <w:lang w:val="es-ES_tradnl"/>
        </w:rPr>
      </w:pPr>
      <w:r w:rsidRPr="005375AF">
        <w:rPr>
          <w:sz w:val="20"/>
          <w:lang w:val="es-ES_tradnl"/>
        </w:rPr>
        <w:t>Ginebra, 201</w:t>
      </w:r>
      <w:r w:rsidR="00330BA9">
        <w:rPr>
          <w:sz w:val="20"/>
          <w:lang w:val="es-ES_tradnl"/>
        </w:rPr>
        <w:t>7</w:t>
      </w:r>
    </w:p>
    <w:p w:rsidR="008758B8" w:rsidRPr="005375AF" w:rsidRDefault="008758B8" w:rsidP="008758B8">
      <w:pPr>
        <w:spacing w:before="0"/>
        <w:jc w:val="center"/>
        <w:rPr>
          <w:sz w:val="22"/>
          <w:lang w:val="es-ES_tradnl"/>
        </w:rPr>
      </w:pPr>
    </w:p>
    <w:p w:rsidR="008758B8" w:rsidRPr="005375AF" w:rsidRDefault="008758B8" w:rsidP="00A0157D">
      <w:pPr>
        <w:spacing w:before="0"/>
        <w:jc w:val="center"/>
        <w:rPr>
          <w:sz w:val="20"/>
          <w:lang w:val="es-ES_tradnl"/>
        </w:rPr>
      </w:pPr>
      <w:r w:rsidRPr="005375AF">
        <w:rPr>
          <w:sz w:val="20"/>
          <w:lang w:val="es-ES_tradnl"/>
        </w:rPr>
        <w:sym w:font="Symbol" w:char="F0E3"/>
      </w:r>
      <w:r w:rsidRPr="005375AF">
        <w:rPr>
          <w:sz w:val="20"/>
          <w:lang w:val="es-ES_tradnl"/>
        </w:rPr>
        <w:t xml:space="preserve"> UIT </w:t>
      </w:r>
      <w:bookmarkStart w:id="3" w:name="iiannee"/>
      <w:bookmarkEnd w:id="3"/>
      <w:r w:rsidRPr="005375AF">
        <w:rPr>
          <w:sz w:val="20"/>
          <w:lang w:val="es-ES_tradnl"/>
        </w:rPr>
        <w:t>201</w:t>
      </w:r>
      <w:r w:rsidR="00330BA9">
        <w:rPr>
          <w:sz w:val="20"/>
          <w:lang w:val="es-ES_tradnl"/>
        </w:rPr>
        <w:t>7</w:t>
      </w:r>
    </w:p>
    <w:p w:rsidR="008758B8" w:rsidRPr="005375AF" w:rsidRDefault="008758B8" w:rsidP="008758B8">
      <w:pPr>
        <w:spacing w:before="80"/>
        <w:rPr>
          <w:sz w:val="18"/>
          <w:szCs w:val="18"/>
          <w:lang w:val="es-ES_tradnl"/>
        </w:rPr>
      </w:pPr>
      <w:r w:rsidRPr="005375AF">
        <w:rPr>
          <w:sz w:val="18"/>
          <w:szCs w:val="18"/>
          <w:lang w:val="es-ES_tradnl"/>
        </w:rPr>
        <w:t>Reservados todos los derechos. Ninguna parte de esta publicación puede reproducirse por ningún procedimiento sin previa autorización escrita por parte de la UIT.</w:t>
      </w:r>
    </w:p>
    <w:p w:rsidR="008758B8" w:rsidRPr="005375AF" w:rsidRDefault="008758B8" w:rsidP="008758B8">
      <w:pPr>
        <w:spacing w:before="160"/>
        <w:rPr>
          <w:i/>
          <w:sz w:val="20"/>
          <w:highlight w:val="yellow"/>
          <w:lang w:val="es-ES_tradnl"/>
        </w:rPr>
        <w:sectPr w:rsidR="008758B8" w:rsidRPr="005375AF" w:rsidSect="00D62884">
          <w:headerReference w:type="even" r:id="rId12"/>
          <w:headerReference w:type="default" r:id="rId13"/>
          <w:pgSz w:w="11907" w:h="16834" w:code="9"/>
          <w:pgMar w:top="1418" w:right="1134" w:bottom="1134" w:left="1134" w:header="720" w:footer="482" w:gutter="0"/>
          <w:pgNumType w:fmt="lowerRoman" w:start="2"/>
          <w:cols w:space="720"/>
        </w:sectPr>
      </w:pPr>
    </w:p>
    <w:p w:rsidR="008758B8" w:rsidRPr="005375AF" w:rsidRDefault="008758B8" w:rsidP="00A0157D">
      <w:pPr>
        <w:pStyle w:val="RecNo"/>
        <w:spacing w:before="0"/>
        <w:rPr>
          <w:lang w:val="es-ES_tradnl"/>
        </w:rPr>
      </w:pPr>
      <w:bookmarkStart w:id="4" w:name="irecnoe"/>
      <w:bookmarkEnd w:id="4"/>
      <w:r w:rsidRPr="005375AF">
        <w:rPr>
          <w:lang w:val="es-ES_tradnl"/>
        </w:rPr>
        <w:lastRenderedPageBreak/>
        <w:t xml:space="preserve">RECOMENDACIÓN  </w:t>
      </w:r>
      <w:r w:rsidRPr="005375AF">
        <w:rPr>
          <w:rStyle w:val="href"/>
          <w:lang w:val="es-ES_tradnl"/>
        </w:rPr>
        <w:t>UIT-R  SM.20</w:t>
      </w:r>
      <w:r w:rsidR="00A0157D" w:rsidRPr="005375AF">
        <w:rPr>
          <w:rStyle w:val="href"/>
          <w:lang w:val="es-ES_tradnl"/>
        </w:rPr>
        <w:t>96</w:t>
      </w:r>
      <w:r w:rsidRPr="005375AF">
        <w:rPr>
          <w:rStyle w:val="href"/>
          <w:lang w:val="es-ES_tradnl"/>
        </w:rPr>
        <w:t>-0</w:t>
      </w:r>
    </w:p>
    <w:p w:rsidR="008758B8" w:rsidRPr="005375AF" w:rsidRDefault="00A0157D" w:rsidP="00A0157D">
      <w:pPr>
        <w:pStyle w:val="Rectitle"/>
        <w:rPr>
          <w:lang w:val="es-ES_tradnl"/>
        </w:rPr>
      </w:pPr>
      <w:r w:rsidRPr="005375AF">
        <w:rPr>
          <w:bCs/>
          <w:lang w:val="es-ES_tradnl"/>
        </w:rPr>
        <w:t xml:space="preserve">Procedimiento de prueba para medir la sensibilidad de la radiogoniometría </w:t>
      </w:r>
      <w:r w:rsidRPr="005375AF">
        <w:rPr>
          <w:bCs/>
          <w:lang w:val="es-ES_tradnl"/>
        </w:rPr>
        <w:br/>
        <w:t>en la gama de frecuencias de ondas métricas/decimétricas</w:t>
      </w:r>
    </w:p>
    <w:p w:rsidR="008758B8" w:rsidRPr="005375AF" w:rsidRDefault="008758B8" w:rsidP="00A0157D">
      <w:pPr>
        <w:pStyle w:val="Recdate"/>
        <w:rPr>
          <w:lang w:val="es-ES_tradnl"/>
        </w:rPr>
      </w:pPr>
      <w:r w:rsidRPr="005375AF">
        <w:rPr>
          <w:lang w:val="es-ES_tradnl"/>
        </w:rPr>
        <w:t>(201</w:t>
      </w:r>
      <w:r w:rsidR="00A0157D" w:rsidRPr="005375AF">
        <w:rPr>
          <w:lang w:val="es-ES_tradnl"/>
        </w:rPr>
        <w:t>6</w:t>
      </w:r>
      <w:r w:rsidRPr="005375AF">
        <w:rPr>
          <w:lang w:val="es-ES_tradnl"/>
        </w:rPr>
        <w:t>)</w:t>
      </w:r>
    </w:p>
    <w:p w:rsidR="008758B8" w:rsidRPr="005375AF" w:rsidRDefault="0024493E" w:rsidP="008758B8">
      <w:pPr>
        <w:pStyle w:val="HeadingSum"/>
      </w:pPr>
      <w:r w:rsidRPr="005375AF">
        <w:rPr>
          <w:bCs/>
        </w:rPr>
        <w:t>Cometido</w:t>
      </w:r>
    </w:p>
    <w:p w:rsidR="008758B8" w:rsidRPr="005375AF" w:rsidRDefault="00A0157D" w:rsidP="008758B8">
      <w:pPr>
        <w:pStyle w:val="Summary"/>
      </w:pPr>
      <w:r w:rsidRPr="005375AF">
        <w:t>La precisión de los sistemas de radiogoniometría es un aspecto importante para los organismos reguladores y otros organismos que tienen que localizar emisores. Resulta a menudo difícil comparar los diferentes sistemas debido a varios factores, como la arquitectura de sistema, la utilización y finalidad habituales, los requisitos de tamaño, las necesidades de instalación y otras cuestiones. Para facilitar la comparación entre diferentes sistemas de radiogoniometría, la presente Recomendación facilita orientaciones relativas a un método de prueba normalizado de la precisión de la radiogoniometría y de presentación de informes de resultados.</w:t>
      </w:r>
    </w:p>
    <w:p w:rsidR="008758B8" w:rsidRPr="00330BA9" w:rsidRDefault="00330BA9" w:rsidP="00330BA9">
      <w:pPr>
        <w:pStyle w:val="Headingb"/>
        <w:rPr>
          <w:bCs/>
          <w:lang w:val="es-ES_tradnl"/>
        </w:rPr>
      </w:pPr>
      <w:r w:rsidRPr="00330BA9">
        <w:rPr>
          <w:bCs/>
        </w:rPr>
        <w:t>Palabras clave</w:t>
      </w:r>
    </w:p>
    <w:p w:rsidR="008758B8" w:rsidRPr="005375AF" w:rsidRDefault="008758B8" w:rsidP="008758B8">
      <w:pPr>
        <w:rPr>
          <w:lang w:val="es-ES_tradnl"/>
        </w:rPr>
      </w:pPr>
      <w:r w:rsidRPr="005375AF">
        <w:rPr>
          <w:lang w:val="es-ES_tradnl"/>
        </w:rPr>
        <w:t xml:space="preserve">Precisión de radiogoniometría, medición, emplazamiento de pruebas, emplazamiento de pruebas en espacio abierto (EPEA) </w:t>
      </w:r>
    </w:p>
    <w:p w:rsidR="008758B8" w:rsidRPr="00330BA9" w:rsidRDefault="008758B8" w:rsidP="00330BA9">
      <w:pPr>
        <w:pStyle w:val="Headingb"/>
        <w:rPr>
          <w:bCs/>
          <w:lang w:val="es-ES_tradnl"/>
        </w:rPr>
      </w:pPr>
      <w:r w:rsidRPr="005375AF">
        <w:rPr>
          <w:bCs/>
          <w:lang w:val="es-ES_tradnl"/>
        </w:rPr>
        <w:t xml:space="preserve">Recomendaciones e Informe de la UIT </w:t>
      </w:r>
      <w:r w:rsidR="00330BA9" w:rsidRPr="00330BA9">
        <w:rPr>
          <w:bCs/>
          <w:lang w:val="es-ES_tradnl"/>
        </w:rPr>
        <w:t>relacionados</w:t>
      </w:r>
    </w:p>
    <w:p w:rsidR="00A0157D" w:rsidRPr="005375AF" w:rsidRDefault="00A0157D" w:rsidP="00A0157D">
      <w:pPr>
        <w:rPr>
          <w:lang w:val="es-ES_tradnl"/>
        </w:rPr>
      </w:pPr>
      <w:r w:rsidRPr="005375AF">
        <w:rPr>
          <w:lang w:val="es-ES_tradnl"/>
        </w:rPr>
        <w:t>Recomendación UIT-R SM.854</w:t>
      </w:r>
    </w:p>
    <w:p w:rsidR="00A0157D" w:rsidRPr="005375AF" w:rsidRDefault="00A0157D" w:rsidP="00A0157D">
      <w:pPr>
        <w:rPr>
          <w:lang w:val="es-ES_tradnl"/>
        </w:rPr>
      </w:pPr>
      <w:r w:rsidRPr="005375AF">
        <w:rPr>
          <w:lang w:val="es-ES_tradnl"/>
        </w:rPr>
        <w:t>Recomendación UIT-R SM.2060</w:t>
      </w:r>
    </w:p>
    <w:p w:rsidR="008758B8" w:rsidRPr="005375AF" w:rsidRDefault="00E33443" w:rsidP="003811CD">
      <w:pPr>
        <w:rPr>
          <w:lang w:val="es-ES_tradnl"/>
        </w:rPr>
      </w:pPr>
      <w:r w:rsidRPr="005375AF">
        <w:rPr>
          <w:lang w:val="es-ES_tradnl"/>
        </w:rPr>
        <w:t>Recomendación UIT-R SM.2061</w:t>
      </w:r>
    </w:p>
    <w:p w:rsidR="00E33443" w:rsidRPr="005375AF" w:rsidRDefault="00E33443" w:rsidP="003811CD">
      <w:pPr>
        <w:rPr>
          <w:lang w:val="es-ES_tradnl"/>
        </w:rPr>
      </w:pPr>
      <w:r w:rsidRPr="005375AF">
        <w:rPr>
          <w:lang w:val="es-ES_tradnl"/>
        </w:rPr>
        <w:t>Recomendación UIT-R SM.2097-0</w:t>
      </w:r>
    </w:p>
    <w:p w:rsidR="003811CD" w:rsidRPr="005375AF" w:rsidRDefault="003811CD" w:rsidP="00E33443">
      <w:pPr>
        <w:rPr>
          <w:lang w:val="es-ES_tradnl"/>
        </w:rPr>
      </w:pPr>
      <w:r w:rsidRPr="005375AF">
        <w:rPr>
          <w:lang w:val="es-ES_tradnl"/>
        </w:rPr>
        <w:t>Informe UIT-R SM.2</w:t>
      </w:r>
      <w:r w:rsidR="00E33443" w:rsidRPr="005375AF">
        <w:rPr>
          <w:lang w:val="es-ES_tradnl"/>
        </w:rPr>
        <w:t>125</w:t>
      </w:r>
    </w:p>
    <w:p w:rsidR="008758B8" w:rsidRPr="005375AF" w:rsidRDefault="008758B8" w:rsidP="00A04878">
      <w:pPr>
        <w:rPr>
          <w:lang w:val="es-ES_tradnl"/>
        </w:rPr>
      </w:pPr>
      <w:r w:rsidRPr="005375AF">
        <w:rPr>
          <w:lang w:val="es-ES_tradnl"/>
        </w:rPr>
        <w:t>NOTA – Siempre debe utilizarse la edición más reciente de cada Recomendación/Informe.</w:t>
      </w:r>
    </w:p>
    <w:p w:rsidR="008758B8" w:rsidRPr="005375AF" w:rsidRDefault="003811CD" w:rsidP="00A04878">
      <w:pPr>
        <w:pStyle w:val="Normalaftertitle"/>
        <w:rPr>
          <w:lang w:val="es-ES_tradnl"/>
        </w:rPr>
      </w:pPr>
      <w:r w:rsidRPr="005375AF">
        <w:rPr>
          <w:lang w:val="es-ES_tradnl"/>
        </w:rPr>
        <w:t>L</w:t>
      </w:r>
      <w:r w:rsidR="008758B8" w:rsidRPr="005375AF">
        <w:rPr>
          <w:lang w:val="es-ES_tradnl"/>
        </w:rPr>
        <w:t>a Asamblea de Radiocomunicaciones</w:t>
      </w:r>
      <w:r w:rsidR="00330BA9">
        <w:rPr>
          <w:lang w:val="es-ES_tradnl"/>
        </w:rPr>
        <w:t xml:space="preserve"> de la UIT</w:t>
      </w:r>
      <w:r w:rsidR="008758B8" w:rsidRPr="005375AF">
        <w:rPr>
          <w:lang w:val="es-ES_tradnl"/>
        </w:rPr>
        <w:t>,</w:t>
      </w:r>
    </w:p>
    <w:p w:rsidR="008758B8" w:rsidRPr="005375AF" w:rsidRDefault="008758B8" w:rsidP="008758B8">
      <w:pPr>
        <w:pStyle w:val="Call"/>
        <w:rPr>
          <w:lang w:val="es-ES_tradnl"/>
        </w:rPr>
      </w:pPr>
      <w:r w:rsidRPr="005375AF">
        <w:rPr>
          <w:iCs/>
          <w:lang w:val="es-ES_tradnl"/>
        </w:rPr>
        <w:t>considerando</w:t>
      </w:r>
    </w:p>
    <w:p w:rsidR="008758B8" w:rsidRPr="005375AF" w:rsidRDefault="008758B8" w:rsidP="00A04878">
      <w:pPr>
        <w:rPr>
          <w:iCs/>
          <w:lang w:val="es-ES_tradnl"/>
        </w:rPr>
      </w:pPr>
      <w:r w:rsidRPr="005375AF">
        <w:rPr>
          <w:i/>
          <w:iCs/>
          <w:lang w:val="es-ES_tradnl"/>
        </w:rPr>
        <w:t>a)</w:t>
      </w:r>
      <w:r w:rsidRPr="005375AF">
        <w:rPr>
          <w:lang w:val="es-ES_tradnl"/>
        </w:rPr>
        <w:tab/>
        <w:t>que el UIT-R ha publicado especificaciones típicas sobre la precisión de radiogoniometría en el Manual de la UIT sobre comprobación técnica del espectro (Edición de 2011);</w:t>
      </w:r>
    </w:p>
    <w:p w:rsidR="008758B8" w:rsidRPr="005375AF" w:rsidRDefault="008758B8" w:rsidP="00B75C9E">
      <w:pPr>
        <w:rPr>
          <w:iCs/>
          <w:lang w:val="es-ES_tradnl"/>
        </w:rPr>
      </w:pPr>
      <w:r w:rsidRPr="005375AF">
        <w:rPr>
          <w:i/>
          <w:iCs/>
          <w:lang w:val="es-ES_tradnl"/>
        </w:rPr>
        <w:t>b)</w:t>
      </w:r>
      <w:r w:rsidRPr="005375AF">
        <w:rPr>
          <w:lang w:val="es-ES_tradnl"/>
        </w:rPr>
        <w:tab/>
        <w:t xml:space="preserve">que en dicho Manual se remite al Informe UIT-R SM.2125 </w:t>
      </w:r>
      <w:r w:rsidR="00B75C9E">
        <w:rPr>
          <w:lang w:val="es-ES_tradnl"/>
        </w:rPr>
        <w:t>–</w:t>
      </w:r>
      <w:r w:rsidRPr="005375AF">
        <w:rPr>
          <w:lang w:val="es-ES_tradnl"/>
        </w:rPr>
        <w:t xml:space="preserve"> Parámetros y procedimientos de medición de las estaciones y receptores de comprobación técnica en las bandas de ondas decamétricas/métricas/decimétricas, donde se define la precisión de radiogoniometría y se facilitan algunos procedimientos de prueba pertinentes;</w:t>
      </w:r>
    </w:p>
    <w:p w:rsidR="008758B8" w:rsidRPr="005375AF" w:rsidRDefault="008758B8" w:rsidP="00A04878">
      <w:pPr>
        <w:rPr>
          <w:iCs/>
          <w:lang w:val="es-ES_tradnl"/>
        </w:rPr>
      </w:pPr>
      <w:r w:rsidRPr="005375AF">
        <w:rPr>
          <w:i/>
          <w:iCs/>
          <w:lang w:val="es-ES_tradnl"/>
        </w:rPr>
        <w:t>c)</w:t>
      </w:r>
      <w:r w:rsidRPr="005375AF">
        <w:rPr>
          <w:lang w:val="es-ES_tradnl"/>
        </w:rPr>
        <w:tab/>
        <w:t>que la especificación de la precis</w:t>
      </w:r>
      <w:r w:rsidR="005375AF" w:rsidRPr="005375AF">
        <w:rPr>
          <w:lang w:val="es-ES_tradnl"/>
        </w:rPr>
        <w:t>ión de radiogoniometría depende</w:t>
      </w:r>
      <w:r w:rsidR="002203BB" w:rsidRPr="005375AF">
        <w:rPr>
          <w:lang w:val="es-ES_tradnl"/>
        </w:rPr>
        <w:t xml:space="preserve"> en gran medida </w:t>
      </w:r>
      <w:r w:rsidRPr="005375AF">
        <w:rPr>
          <w:lang w:val="es-ES_tradnl"/>
        </w:rPr>
        <w:t>de los procedimientos de prueba aplicados;</w:t>
      </w:r>
    </w:p>
    <w:p w:rsidR="008758B8" w:rsidRPr="005375AF" w:rsidRDefault="008758B8" w:rsidP="00371FAD">
      <w:pPr>
        <w:rPr>
          <w:iCs/>
          <w:lang w:val="es-ES_tradnl"/>
        </w:rPr>
      </w:pPr>
      <w:r w:rsidRPr="005375AF">
        <w:rPr>
          <w:i/>
          <w:iCs/>
          <w:lang w:val="es-ES_tradnl"/>
        </w:rPr>
        <w:t>d)</w:t>
      </w:r>
      <w:r w:rsidRPr="005375AF">
        <w:rPr>
          <w:lang w:val="es-ES_tradnl"/>
        </w:rPr>
        <w:tab/>
        <w:t>que l</w:t>
      </w:r>
      <w:r w:rsidR="002203BB" w:rsidRPr="005375AF">
        <w:rPr>
          <w:lang w:val="es-ES_tradnl"/>
        </w:rPr>
        <w:t>a</w:t>
      </w:r>
      <w:r w:rsidRPr="005375AF">
        <w:rPr>
          <w:lang w:val="es-ES_tradnl"/>
        </w:rPr>
        <w:t xml:space="preserve"> precisión de radiogoniometría puede </w:t>
      </w:r>
      <w:r w:rsidR="002203BB" w:rsidRPr="005375AF">
        <w:rPr>
          <w:lang w:val="es-ES_tradnl"/>
        </w:rPr>
        <w:t>influir en la adecuación de un radiogoniómetro para</w:t>
      </w:r>
      <w:r w:rsidRPr="005375AF">
        <w:rPr>
          <w:lang w:val="es-ES_tradnl"/>
        </w:rPr>
        <w:t xml:space="preserve"> cumplir ciertas tareas de comprobación técnica, como la utilización móvil o fija</w:t>
      </w:r>
      <w:r w:rsidR="002203BB" w:rsidRPr="005375AF">
        <w:rPr>
          <w:lang w:val="es-ES_tradnl"/>
        </w:rPr>
        <w:t>,</w:t>
      </w:r>
      <w:r w:rsidRPr="005375AF">
        <w:rPr>
          <w:lang w:val="es-ES_tradnl"/>
        </w:rPr>
        <w:t xml:space="preserve"> o </w:t>
      </w:r>
      <w:r w:rsidR="002203BB" w:rsidRPr="005375AF">
        <w:rPr>
          <w:lang w:val="es-ES_tradnl"/>
        </w:rPr>
        <w:t>en su capacidad para</w:t>
      </w:r>
      <w:r w:rsidRPr="005375AF">
        <w:rPr>
          <w:lang w:val="es-ES_tradnl"/>
        </w:rPr>
        <w:t xml:space="preserve"> medir señales digitales de banda ancha, especialmente cuando se utiliza en entor</w:t>
      </w:r>
      <w:r w:rsidR="005375AF" w:rsidRPr="005375AF">
        <w:rPr>
          <w:lang w:val="es-ES_tradnl"/>
        </w:rPr>
        <w:t>nos operativos característicos;</w:t>
      </w:r>
    </w:p>
    <w:p w:rsidR="008758B8" w:rsidRPr="005375AF" w:rsidRDefault="008758B8" w:rsidP="00371FAD">
      <w:pPr>
        <w:rPr>
          <w:iCs/>
          <w:lang w:val="es-ES_tradnl"/>
        </w:rPr>
      </w:pPr>
      <w:r w:rsidRPr="005375AF">
        <w:rPr>
          <w:i/>
          <w:iCs/>
          <w:lang w:val="es-ES_tradnl"/>
        </w:rPr>
        <w:t>e)</w:t>
      </w:r>
      <w:r w:rsidRPr="005375AF">
        <w:rPr>
          <w:lang w:val="es-ES_tradnl"/>
        </w:rPr>
        <w:tab/>
        <w:t>que todo conjunto definido de procedimientos de prueba de la precisión de radiogoniometría debe ser independiente del diseño de</w:t>
      </w:r>
      <w:r w:rsidR="002203BB" w:rsidRPr="005375AF">
        <w:rPr>
          <w:lang w:val="es-ES_tradnl"/>
        </w:rPr>
        <w:t>l</w:t>
      </w:r>
      <w:r w:rsidRPr="005375AF">
        <w:rPr>
          <w:lang w:val="es-ES_tradnl"/>
        </w:rPr>
        <w:t xml:space="preserve"> radiogoniómetro;</w:t>
      </w:r>
    </w:p>
    <w:p w:rsidR="008758B8" w:rsidRPr="005375AF" w:rsidRDefault="008758B8" w:rsidP="000464C6">
      <w:pPr>
        <w:keepLines/>
        <w:rPr>
          <w:iCs/>
          <w:lang w:val="es-ES_tradnl"/>
        </w:rPr>
      </w:pPr>
      <w:r w:rsidRPr="005375AF">
        <w:rPr>
          <w:i/>
          <w:iCs/>
          <w:lang w:val="es-ES_tradnl"/>
        </w:rPr>
        <w:lastRenderedPageBreak/>
        <w:t>f)</w:t>
      </w:r>
      <w:r w:rsidRPr="005375AF">
        <w:rPr>
          <w:lang w:val="es-ES_tradnl"/>
        </w:rPr>
        <w:tab/>
        <w:t>que si todos los fabricantes de radiogoniómetros para la comprobación técnica de las radiocomunicaciones civiles adoptan un mismo conjunto de procedimientos de prueba bien definido para la precisión de radiogoniometría, los usuarios de tales radiogoniómetros tendrán la ventaja de poder evaluar de manera más fácil y objetiva los productos de diferentes fabricantes;</w:t>
      </w:r>
    </w:p>
    <w:p w:rsidR="008758B8" w:rsidRPr="005375AF" w:rsidRDefault="008758B8" w:rsidP="00371FAD">
      <w:pPr>
        <w:rPr>
          <w:lang w:val="es-ES_tradnl"/>
        </w:rPr>
      </w:pPr>
      <w:r w:rsidRPr="005375AF">
        <w:rPr>
          <w:i/>
          <w:iCs/>
          <w:lang w:val="es-ES_tradnl"/>
        </w:rPr>
        <w:t>g)</w:t>
      </w:r>
      <w:r w:rsidRPr="005375AF">
        <w:rPr>
          <w:lang w:val="es-ES_tradnl"/>
        </w:rPr>
        <w:tab/>
        <w:t xml:space="preserve">que los datos sobre el rendimiento en las especificaciones de los </w:t>
      </w:r>
      <w:r w:rsidR="002203BB" w:rsidRPr="005375AF">
        <w:rPr>
          <w:lang w:val="es-ES_tradnl"/>
        </w:rPr>
        <w:t>sistemas</w:t>
      </w:r>
      <w:r w:rsidRPr="005375AF">
        <w:rPr>
          <w:lang w:val="es-ES_tradnl"/>
        </w:rPr>
        <w:t xml:space="preserve"> de radiogoniometría suelen indicar el valor en condiciones de prueba ideales o en una condición particular,</w:t>
      </w:r>
    </w:p>
    <w:p w:rsidR="008758B8" w:rsidRPr="005375AF" w:rsidRDefault="008758B8" w:rsidP="00371FAD">
      <w:pPr>
        <w:pStyle w:val="Call"/>
        <w:rPr>
          <w:lang w:val="es-ES_tradnl"/>
        </w:rPr>
      </w:pPr>
      <w:r w:rsidRPr="005375AF">
        <w:rPr>
          <w:iCs/>
          <w:lang w:val="es-ES_tradnl"/>
        </w:rPr>
        <w:t>recomienda</w:t>
      </w:r>
    </w:p>
    <w:p w:rsidR="008758B8" w:rsidRPr="005375AF" w:rsidRDefault="008758B8" w:rsidP="00371FAD">
      <w:pPr>
        <w:rPr>
          <w:bCs/>
          <w:lang w:val="es-ES_tradnl"/>
        </w:rPr>
      </w:pPr>
      <w:r w:rsidRPr="005375AF">
        <w:rPr>
          <w:b/>
          <w:bCs/>
          <w:lang w:val="es-ES_tradnl"/>
        </w:rPr>
        <w:t>1</w:t>
      </w:r>
      <w:r w:rsidRPr="005375AF">
        <w:rPr>
          <w:lang w:val="es-ES_tradnl"/>
        </w:rPr>
        <w:tab/>
        <w:t>que se utilice el procedimiento de prueba del Anexo 1 para determinar la precisión de radiogoniometría e informar al respecto.</w:t>
      </w:r>
    </w:p>
    <w:p w:rsidR="008758B8" w:rsidRPr="005375AF" w:rsidRDefault="008758B8" w:rsidP="00371FAD">
      <w:pPr>
        <w:rPr>
          <w:bCs/>
          <w:lang w:val="es-ES_tradnl"/>
        </w:rPr>
      </w:pPr>
      <w:r w:rsidRPr="005375AF">
        <w:rPr>
          <w:b/>
          <w:bCs/>
          <w:lang w:val="es-ES_tradnl"/>
        </w:rPr>
        <w:t>2</w:t>
      </w:r>
      <w:r w:rsidRPr="005375AF">
        <w:rPr>
          <w:lang w:val="es-ES_tradnl"/>
        </w:rPr>
        <w:tab/>
        <w:t xml:space="preserve">que para cada </w:t>
      </w:r>
      <w:r w:rsidR="00D70702" w:rsidRPr="005375AF">
        <w:rPr>
          <w:lang w:val="es-ES_tradnl"/>
        </w:rPr>
        <w:t xml:space="preserve">especificación de </w:t>
      </w:r>
      <w:r w:rsidRPr="005375AF">
        <w:rPr>
          <w:lang w:val="es-ES_tradnl"/>
        </w:rPr>
        <w:t>rendimiento de precisión de radiogoniometría</w:t>
      </w:r>
      <w:r w:rsidR="002203BB" w:rsidRPr="005375AF">
        <w:rPr>
          <w:lang w:val="es-ES_tradnl"/>
        </w:rPr>
        <w:t>, el fabricante debe indicar</w:t>
      </w:r>
      <w:r w:rsidRPr="005375AF">
        <w:rPr>
          <w:lang w:val="es-ES_tradnl"/>
        </w:rPr>
        <w:t xml:space="preserve"> el procedimiento y las condiciones de prueba.</w:t>
      </w:r>
    </w:p>
    <w:p w:rsidR="008758B8" w:rsidRPr="005375AF" w:rsidRDefault="008758B8" w:rsidP="008758B8">
      <w:pPr>
        <w:rPr>
          <w:lang w:val="es-ES_tradnl"/>
        </w:rPr>
      </w:pPr>
    </w:p>
    <w:p w:rsidR="008758B8" w:rsidRPr="005375AF" w:rsidRDefault="008758B8" w:rsidP="008758B8">
      <w:pPr>
        <w:rPr>
          <w:lang w:val="es-ES_tradnl"/>
        </w:rPr>
      </w:pPr>
    </w:p>
    <w:p w:rsidR="008758B8" w:rsidRPr="005375AF" w:rsidRDefault="008758B8" w:rsidP="00D70702">
      <w:pPr>
        <w:pStyle w:val="AnnexNoTitle"/>
        <w:rPr>
          <w:lang w:val="es-ES_tradnl"/>
        </w:rPr>
      </w:pPr>
      <w:r w:rsidRPr="005375AF">
        <w:rPr>
          <w:bCs/>
          <w:lang w:val="es-ES_tradnl"/>
        </w:rPr>
        <w:t>Anexo 1</w:t>
      </w:r>
      <w:r w:rsidR="00AD2023" w:rsidRPr="005375AF">
        <w:rPr>
          <w:bCs/>
          <w:lang w:val="es-ES_tradnl"/>
        </w:rPr>
        <w:br/>
      </w:r>
      <w:r w:rsidR="00AD2023" w:rsidRPr="005375AF">
        <w:rPr>
          <w:bCs/>
          <w:lang w:val="es-ES_tradnl"/>
        </w:rPr>
        <w:br/>
      </w:r>
      <w:r w:rsidR="00AD2023" w:rsidRPr="005375AF">
        <w:rPr>
          <w:lang w:val="es-ES_tradnl"/>
        </w:rPr>
        <w:t xml:space="preserve">Procedimiento de prueba para medir la </w:t>
      </w:r>
      <w:r w:rsidR="00D70702" w:rsidRPr="005375AF">
        <w:rPr>
          <w:lang w:val="es-ES_tradnl"/>
        </w:rPr>
        <w:t>precisión</w:t>
      </w:r>
      <w:r w:rsidR="00AD2023" w:rsidRPr="005375AF">
        <w:rPr>
          <w:lang w:val="es-ES_tradnl"/>
        </w:rPr>
        <w:t xml:space="preserve"> de radiogoniometría </w:t>
      </w:r>
      <w:r w:rsidR="00AD2023" w:rsidRPr="005375AF">
        <w:rPr>
          <w:lang w:val="es-ES_tradnl"/>
        </w:rPr>
        <w:br/>
        <w:t>en la gama de frecuencias de ondas métricas/decimétricas</w:t>
      </w:r>
    </w:p>
    <w:p w:rsidR="008758B8" w:rsidRPr="005375AF" w:rsidRDefault="008758B8" w:rsidP="008758B8">
      <w:pPr>
        <w:pStyle w:val="Heading1"/>
        <w:rPr>
          <w:lang w:val="es-ES_tradnl"/>
        </w:rPr>
      </w:pPr>
      <w:r w:rsidRPr="005375AF">
        <w:rPr>
          <w:bCs/>
          <w:lang w:val="es-ES_tradnl"/>
        </w:rPr>
        <w:t>1</w:t>
      </w:r>
      <w:r w:rsidRPr="005375AF">
        <w:rPr>
          <w:bCs/>
          <w:lang w:val="es-ES_tradnl"/>
        </w:rPr>
        <w:tab/>
        <w:t>Introducción</w:t>
      </w:r>
    </w:p>
    <w:p w:rsidR="008758B8" w:rsidRPr="005375AF" w:rsidRDefault="008758B8" w:rsidP="006E7B9B">
      <w:pPr>
        <w:rPr>
          <w:lang w:val="es-ES_tradnl"/>
        </w:rPr>
      </w:pPr>
      <w:r w:rsidRPr="005375AF">
        <w:rPr>
          <w:lang w:val="es-ES_tradnl"/>
        </w:rPr>
        <w:t>En la presente Recomendación se propone un procedimiento de prueba general que puede utilizarse para evaluar la precisión de radiogoniometría de los sistemas radiogoniométricos. La finalidad del presente documento es proporcionar una definición de la precisión de radiogoniometría y un método normalizado que pueda utilizarse para realizar pruebas, de modo que las administraciones puedan disponer de algunos fundamentos para la comparación de sistemas radiogoniométricos de diferentes fabricantes, en función de</w:t>
      </w:r>
      <w:r w:rsidR="00AD2023" w:rsidRPr="005375AF">
        <w:rPr>
          <w:lang w:val="es-ES_tradnl"/>
        </w:rPr>
        <w:t xml:space="preserve"> sus necesidades.</w:t>
      </w:r>
    </w:p>
    <w:p w:rsidR="00AD2023" w:rsidRPr="005375AF" w:rsidRDefault="00D70702" w:rsidP="00D70702">
      <w:pPr>
        <w:rPr>
          <w:rFonts w:eastAsia="SimSun"/>
          <w:lang w:val="es-ES_tradnl" w:eastAsia="zh-CN"/>
        </w:rPr>
      </w:pPr>
      <w:bookmarkStart w:id="5" w:name="lt_pId099"/>
      <w:r w:rsidRPr="005375AF">
        <w:rPr>
          <w:lang w:val="es-ES_tradnl"/>
        </w:rPr>
        <w:t>La precisión de un sistema de radiogoniometría se define como la intensidad de campo de la señal mínima</w:t>
      </w:r>
      <w:r w:rsidR="00AD2023" w:rsidRPr="005375AF">
        <w:rPr>
          <w:lang w:val="es-ES_tradnl"/>
        </w:rPr>
        <w:t xml:space="preserve"> (μV/m) </w:t>
      </w:r>
      <w:r w:rsidRPr="005375AF">
        <w:rPr>
          <w:lang w:val="es-ES_tradnl"/>
        </w:rPr>
        <w:t xml:space="preserve">en la </w:t>
      </w:r>
      <w:r w:rsidR="005375AF" w:rsidRPr="005375AF">
        <w:rPr>
          <w:lang w:val="es-ES_tradnl"/>
        </w:rPr>
        <w:t>antena</w:t>
      </w:r>
      <w:r w:rsidRPr="005375AF">
        <w:rPr>
          <w:lang w:val="es-ES_tradnl"/>
        </w:rPr>
        <w:t xml:space="preserve"> del radiogoniómetro que ofrece una precisión de radiogoniometría adecuada cuando se reciben señales débiles</w:t>
      </w:r>
      <w:r w:rsidR="00AD2023" w:rsidRPr="005375AF">
        <w:rPr>
          <w:rFonts w:eastAsia="SimSun"/>
          <w:lang w:val="es-ES_tradnl" w:eastAsia="zh-CN"/>
        </w:rPr>
        <w:t>.</w:t>
      </w:r>
      <w:bookmarkEnd w:id="5"/>
    </w:p>
    <w:p w:rsidR="008758B8" w:rsidRPr="005375AF" w:rsidRDefault="008758B8" w:rsidP="006E7B9B">
      <w:pPr>
        <w:rPr>
          <w:lang w:val="es-ES_tradnl"/>
        </w:rPr>
      </w:pPr>
      <w:r w:rsidRPr="005375AF">
        <w:rPr>
          <w:lang w:val="es-ES_tradnl"/>
        </w:rPr>
        <w:t>El método propuesto se utiliza para determinar la «exactitud del sistema» en un conjunto definido de condiciones de prueba simulado en una gama de pruebas en condiciones de propagación ideales/controladas y puede utilizarse, por eje</w:t>
      </w:r>
      <w:r w:rsidR="00AC6B47">
        <w:rPr>
          <w:lang w:val="es-ES_tradnl"/>
        </w:rPr>
        <w:t>mplo, a efectos de calibración.</w:t>
      </w:r>
    </w:p>
    <w:p w:rsidR="00E33443" w:rsidRPr="005375AF" w:rsidRDefault="00E33443" w:rsidP="00E33443">
      <w:pPr>
        <w:pStyle w:val="Heading1"/>
        <w:rPr>
          <w:bCs/>
          <w:lang w:val="es-ES_tradnl"/>
        </w:rPr>
      </w:pPr>
      <w:r w:rsidRPr="005375AF">
        <w:rPr>
          <w:bCs/>
          <w:lang w:val="es-ES_tradnl"/>
        </w:rPr>
        <w:t>2</w:t>
      </w:r>
      <w:r w:rsidRPr="005375AF">
        <w:rPr>
          <w:bCs/>
          <w:lang w:val="es-ES_tradnl"/>
        </w:rPr>
        <w:tab/>
        <w:t>Principio de medición</w:t>
      </w:r>
    </w:p>
    <w:p w:rsidR="00E33443" w:rsidRPr="005375AF" w:rsidRDefault="006E7B9B" w:rsidP="00D70702">
      <w:pPr>
        <w:rPr>
          <w:lang w:val="es-ES_tradnl"/>
        </w:rPr>
      </w:pPr>
      <w:r w:rsidRPr="005375AF">
        <w:rPr>
          <w:lang w:val="es-ES_tradnl"/>
        </w:rPr>
        <w:t xml:space="preserve">La medición se realizará en condiciones simplificadas, permitiendo así que las pruebas sean más simples y se puedan repetir fácilmente los resultados en cualquier momento y lugar. </w:t>
      </w:r>
      <w:r w:rsidR="00D70702" w:rsidRPr="005375AF">
        <w:rPr>
          <w:lang w:val="es-ES_tradnl"/>
        </w:rPr>
        <w:t xml:space="preserve">Habida cuenta de que el objetivo es simplificar la medición, se ignorarán a propósito los efectos del tipo de modulación (incluidas las señales con variación temporal y de fase), el ciclo de trabajo de la señal, el ancho de banda, la </w:t>
      </w:r>
      <w:r w:rsidR="005375AF" w:rsidRPr="00371FAD">
        <w:rPr>
          <w:lang w:val="es-ES_tradnl"/>
        </w:rPr>
        <w:t>polarización</w:t>
      </w:r>
      <w:r w:rsidR="00D70702" w:rsidRPr="005375AF">
        <w:rPr>
          <w:lang w:val="es-ES_tradnl"/>
        </w:rPr>
        <w:t xml:space="preserve"> de la señal, la duración de la señal, el ruido, los efectos de otras señales y las condiciones externas no controladas, como las condiciones de propagación por trayectos/ondas múltiples, a fin de reducir la complejidad y la duración del procedimiento de prueba</w:t>
      </w:r>
      <w:r w:rsidRPr="005375AF">
        <w:rPr>
          <w:lang w:val="es-ES_tradnl"/>
        </w:rPr>
        <w:t xml:space="preserve">. La medición se realiza en un entorno sin reflexión, como un emplazamiento de prueba de zona abierta </w:t>
      </w:r>
      <w:r w:rsidRPr="005375AF">
        <w:rPr>
          <w:lang w:val="es-ES_tradnl"/>
        </w:rPr>
        <w:lastRenderedPageBreak/>
        <w:t>(EPZA) o una cámara anecoica.</w:t>
      </w:r>
      <w:r w:rsidRPr="005375AF">
        <w:rPr>
          <w:rStyle w:val="FootnoteReference"/>
          <w:lang w:val="es-ES_tradnl"/>
        </w:rPr>
        <w:footnoteReference w:id="1"/>
      </w:r>
      <w:r w:rsidRPr="005375AF">
        <w:rPr>
          <w:lang w:val="es-ES_tradnl"/>
        </w:rPr>
        <w:t xml:space="preserve"> </w:t>
      </w:r>
      <w:r w:rsidR="00D70702" w:rsidRPr="005375AF">
        <w:rPr>
          <w:lang w:val="es-ES_tradnl"/>
        </w:rPr>
        <w:t>Las mediciones en EPZA se realizarán con niveles de ruido externo suficientemente bajos</w:t>
      </w:r>
      <w:r w:rsidRPr="005375AF">
        <w:rPr>
          <w:lang w:val="es-ES_tradnl"/>
        </w:rPr>
        <w:t>.</w:t>
      </w:r>
    </w:p>
    <w:p w:rsidR="00E33443" w:rsidRPr="005375AF" w:rsidRDefault="00E33443" w:rsidP="00E33443">
      <w:pPr>
        <w:pStyle w:val="Heading1"/>
        <w:rPr>
          <w:bCs/>
          <w:lang w:val="es-ES_tradnl"/>
        </w:rPr>
      </w:pPr>
      <w:r w:rsidRPr="005375AF">
        <w:rPr>
          <w:bCs/>
          <w:lang w:val="es-ES_tradnl"/>
        </w:rPr>
        <w:t>3</w:t>
      </w:r>
      <w:r w:rsidRPr="005375AF">
        <w:rPr>
          <w:bCs/>
          <w:lang w:val="es-ES_tradnl"/>
        </w:rPr>
        <w:tab/>
        <w:t>Configuración de la medición</w:t>
      </w:r>
    </w:p>
    <w:p w:rsidR="00E33443" w:rsidRPr="005375AF" w:rsidRDefault="006E7B9B" w:rsidP="00D273CF">
      <w:pPr>
        <w:rPr>
          <w:lang w:val="es-ES_tradnl"/>
        </w:rPr>
      </w:pPr>
      <w:r w:rsidRPr="005375AF">
        <w:rPr>
          <w:lang w:val="es-ES_tradnl"/>
        </w:rPr>
        <w:t>En la Fig. 1 se muestra la configuración de medición propuesta. Para garantizar una propagación bien definida, el entorno del sistema de radiogoniometría y de las antenas transmisoras debe carecer de obstáculos reflectantes e interferencias, como se indica en la Recomendación UIT-R SM.2060.</w:t>
      </w:r>
    </w:p>
    <w:p w:rsidR="006E7B9B" w:rsidRPr="005375AF" w:rsidRDefault="00D273CF" w:rsidP="00942C29">
      <w:pPr>
        <w:rPr>
          <w:lang w:val="es-ES_tradnl"/>
        </w:rPr>
      </w:pPr>
      <w:r w:rsidRPr="005375AF">
        <w:rPr>
          <w:lang w:val="es-ES_tradnl"/>
        </w:rPr>
        <w:t>La selección de la frecuencia de prueba</w:t>
      </w:r>
      <w:r w:rsidR="006E7B9B" w:rsidRPr="005375AF">
        <w:rPr>
          <w:lang w:val="es-ES_tradnl"/>
        </w:rPr>
        <w:t xml:space="preserve">, la distancia entre la antena del sistema de radiogoniometría y las antenas transmisoras, así como la altura de las antenas utilizadas deberán ser conformes con la Recomendación UIT-R SM.2060. </w:t>
      </w:r>
      <w:r w:rsidRPr="005375AF">
        <w:rPr>
          <w:lang w:val="es-ES_tradnl"/>
        </w:rPr>
        <w:t>Para las mediciones en EPZA se seleccionarán como frecuencias de prueba frecuencias con niveles de ruido externo suficientemente bajos</w:t>
      </w:r>
      <w:r w:rsidR="006E7B9B" w:rsidRPr="005375AF">
        <w:rPr>
          <w:lang w:val="es-ES_tradnl"/>
        </w:rPr>
        <w:t>.</w:t>
      </w:r>
    </w:p>
    <w:p w:rsidR="006E7B9B" w:rsidRPr="005375AF" w:rsidRDefault="00D273CF" w:rsidP="00D273CF">
      <w:pPr>
        <w:rPr>
          <w:lang w:val="es-ES_tradnl"/>
        </w:rPr>
      </w:pPr>
      <w:r w:rsidRPr="005375AF">
        <w:rPr>
          <w:lang w:val="es-ES_tradnl"/>
        </w:rPr>
        <w:t>El atenuador del sistema de radiogoniometría se pondrá a la atenuación mínima</w:t>
      </w:r>
      <w:r w:rsidR="006E7B9B" w:rsidRPr="005375AF">
        <w:rPr>
          <w:lang w:val="es-ES_tradnl"/>
        </w:rPr>
        <w:t>.</w:t>
      </w:r>
    </w:p>
    <w:p w:rsidR="006E7B9B" w:rsidRPr="005375AF" w:rsidRDefault="00E20022" w:rsidP="00942C29">
      <w:pPr>
        <w:rPr>
          <w:lang w:val="es-ES_tradnl"/>
        </w:rPr>
      </w:pPr>
      <w:r w:rsidRPr="005375AF">
        <w:rPr>
          <w:lang w:val="es-ES_tradnl"/>
        </w:rPr>
        <w:t xml:space="preserve">El ancho de banda del </w:t>
      </w:r>
      <w:r w:rsidR="00D273CF" w:rsidRPr="005375AF">
        <w:rPr>
          <w:lang w:val="es-ES_tradnl"/>
        </w:rPr>
        <w:t>sistema de radiogoniometría</w:t>
      </w:r>
      <w:r w:rsidRPr="005375AF">
        <w:rPr>
          <w:lang w:val="es-ES_tradnl"/>
        </w:rPr>
        <w:t xml:space="preserve"> debe fijarse a </w:t>
      </w:r>
      <w:r w:rsidR="006E7B9B" w:rsidRPr="005375AF">
        <w:rPr>
          <w:lang w:val="es-ES_tradnl"/>
        </w:rPr>
        <w:t xml:space="preserve">1 kHz para la señal no modulada de banda estrecha (si el sistema </w:t>
      </w:r>
      <w:r w:rsidR="00D273CF" w:rsidRPr="005375AF">
        <w:rPr>
          <w:lang w:val="es-ES_tradnl"/>
        </w:rPr>
        <w:t xml:space="preserve">de </w:t>
      </w:r>
      <w:r w:rsidR="006E7B9B" w:rsidRPr="005375AF">
        <w:rPr>
          <w:lang w:val="es-ES_tradnl"/>
        </w:rPr>
        <w:t>radiogoni</w:t>
      </w:r>
      <w:r w:rsidR="00D273CF" w:rsidRPr="005375AF">
        <w:rPr>
          <w:lang w:val="es-ES_tradnl"/>
        </w:rPr>
        <w:t>ometría</w:t>
      </w:r>
      <w:r w:rsidR="006E7B9B" w:rsidRPr="005375AF">
        <w:rPr>
          <w:lang w:val="es-ES_tradnl"/>
        </w:rPr>
        <w:t xml:space="preserve"> no soporta esta configuración, se debe seleccionar el valor más próximo que sea superior al valor del parámetro por </w:t>
      </w:r>
      <w:r w:rsidR="00D273CF" w:rsidRPr="005375AF">
        <w:rPr>
          <w:lang w:val="es-ES_tradnl"/>
        </w:rPr>
        <w:t>defecto</w:t>
      </w:r>
      <w:r w:rsidR="006E7B9B" w:rsidRPr="005375AF">
        <w:rPr>
          <w:lang w:val="es-ES_tradnl"/>
        </w:rPr>
        <w:t>).</w:t>
      </w:r>
    </w:p>
    <w:p w:rsidR="006E7B9B" w:rsidRPr="005375AF" w:rsidRDefault="00D273CF" w:rsidP="00D273CF">
      <w:pPr>
        <w:rPr>
          <w:lang w:val="es-ES_tradnl"/>
        </w:rPr>
      </w:pPr>
      <w:r w:rsidRPr="005375AF">
        <w:rPr>
          <w:lang w:val="es-ES_tradnl"/>
        </w:rPr>
        <w:t>El tiempo de integración del sistema de radiogoniometría debe fijarse a 1 segundo para la señal no modulada de banda estrecha (si el sistema de radiogoniometría no soporta esta configuración, se debe seleccionar el valor más próximo que sea inferior al valor del parámetro por defecto</w:t>
      </w:r>
      <w:r w:rsidR="006E7B9B" w:rsidRPr="005375AF">
        <w:rPr>
          <w:lang w:val="es-ES_tradnl"/>
        </w:rPr>
        <w:t xml:space="preserve">). </w:t>
      </w:r>
    </w:p>
    <w:p w:rsidR="006E7B9B" w:rsidRPr="005375AF" w:rsidRDefault="00D273CF" w:rsidP="00D273CF">
      <w:pPr>
        <w:rPr>
          <w:lang w:val="es-ES_tradnl"/>
        </w:rPr>
      </w:pPr>
      <w:r w:rsidRPr="005375AF">
        <w:rPr>
          <w:lang w:val="es-ES_tradnl"/>
        </w:rPr>
        <w:t xml:space="preserve">Se fijará la marcación de 0 grados del sistema de radiogoniometría directamente frente a </w:t>
      </w:r>
      <w:r w:rsidRPr="00942C29">
        <w:rPr>
          <w:lang w:val="es-ES_tradnl"/>
        </w:rPr>
        <w:t xml:space="preserve">la </w:t>
      </w:r>
      <w:r w:rsidR="005375AF" w:rsidRPr="00942C29">
        <w:rPr>
          <w:lang w:val="es-ES_tradnl"/>
        </w:rPr>
        <w:t>antena</w:t>
      </w:r>
      <w:r w:rsidRPr="005375AF">
        <w:rPr>
          <w:lang w:val="es-ES_tradnl"/>
        </w:rPr>
        <w:t xml:space="preserve"> transmisora ajustando el ángulo de la plataforma giratoria</w:t>
      </w:r>
      <w:r w:rsidR="006E7B9B" w:rsidRPr="005375AF">
        <w:rPr>
          <w:lang w:val="es-ES_tradnl"/>
        </w:rPr>
        <w:t>.</w:t>
      </w:r>
    </w:p>
    <w:p w:rsidR="00CF242E" w:rsidRPr="005375AF" w:rsidRDefault="00CF242E" w:rsidP="00942C29">
      <w:pPr>
        <w:rPr>
          <w:lang w:val="es-ES_tradnl"/>
        </w:rPr>
      </w:pPr>
      <w:r w:rsidRPr="005375AF">
        <w:rPr>
          <w:lang w:val="es-ES_tradnl"/>
        </w:rPr>
        <w:t>El resto de las opciones de configuración deben ser óptimas para el sistema de radiogoniometría. Todas las configuraciones pertinentes deben especificarse en la hoja de datos.</w:t>
      </w:r>
    </w:p>
    <w:p w:rsidR="006E7B9B" w:rsidRPr="005375AF" w:rsidRDefault="00D273CF" w:rsidP="00942C29">
      <w:pPr>
        <w:rPr>
          <w:lang w:val="es-ES_tradnl"/>
        </w:rPr>
      </w:pPr>
      <w:r w:rsidRPr="005375AF">
        <w:rPr>
          <w:lang w:val="es-ES_tradnl"/>
        </w:rPr>
        <w:t>T</w:t>
      </w:r>
      <w:r w:rsidR="00CF242E" w:rsidRPr="005375AF">
        <w:rPr>
          <w:lang w:val="es-ES_tradnl"/>
        </w:rPr>
        <w:t xml:space="preserve">odo el equipo de pruebas (comprendido el transmisor, las antenas transmisoras y la plataforma giratoria) debe </w:t>
      </w:r>
      <w:r w:rsidRPr="005375AF">
        <w:rPr>
          <w:lang w:val="es-ES_tradnl"/>
        </w:rPr>
        <w:t>estar calibrado</w:t>
      </w:r>
      <w:r w:rsidR="00CF242E" w:rsidRPr="005375AF">
        <w:rPr>
          <w:lang w:val="es-ES_tradnl"/>
        </w:rPr>
        <w:t>.</w:t>
      </w:r>
    </w:p>
    <w:p w:rsidR="006E7B9B" w:rsidRPr="005375AF" w:rsidRDefault="00CF242E" w:rsidP="00CF242E">
      <w:pPr>
        <w:pStyle w:val="Heading1"/>
        <w:rPr>
          <w:bCs/>
          <w:lang w:val="es-ES_tradnl"/>
        </w:rPr>
      </w:pPr>
      <w:r w:rsidRPr="005375AF">
        <w:rPr>
          <w:bCs/>
          <w:lang w:val="es-ES_tradnl"/>
        </w:rPr>
        <w:t>4</w:t>
      </w:r>
      <w:r w:rsidRPr="005375AF">
        <w:rPr>
          <w:bCs/>
          <w:lang w:val="es-ES_tradnl"/>
        </w:rPr>
        <w:tab/>
        <w:t>Procedimiento de medición</w:t>
      </w:r>
    </w:p>
    <w:p w:rsidR="00CF242E" w:rsidRPr="005375AF" w:rsidRDefault="00D273CF" w:rsidP="00D273CF">
      <w:pPr>
        <w:rPr>
          <w:lang w:val="es-ES_tradnl"/>
        </w:rPr>
      </w:pPr>
      <w:bookmarkStart w:id="6" w:name="lt_pId122"/>
      <w:r w:rsidRPr="005375AF">
        <w:rPr>
          <w:lang w:val="es-ES_tradnl"/>
        </w:rPr>
        <w:t xml:space="preserve">Se ajusta el nivel de la señal del transmisor de prueba para asegurarse de que </w:t>
      </w:r>
      <w:r w:rsidRPr="00942C29">
        <w:rPr>
          <w:lang w:val="es-ES_tradnl"/>
        </w:rPr>
        <w:t xml:space="preserve">la </w:t>
      </w:r>
      <w:r w:rsidR="005375AF" w:rsidRPr="00942C29">
        <w:rPr>
          <w:lang w:val="es-ES_tradnl"/>
        </w:rPr>
        <w:t>antena</w:t>
      </w:r>
      <w:r w:rsidRPr="005375AF">
        <w:rPr>
          <w:lang w:val="es-ES_tradnl"/>
        </w:rPr>
        <w:t xml:space="preserve"> del radiogoniómetro recibe una señal fuerte con una</w:t>
      </w:r>
      <w:r w:rsidR="00CF242E" w:rsidRPr="005375AF">
        <w:rPr>
          <w:lang w:val="es-ES_tradnl"/>
        </w:rPr>
        <w:t xml:space="preserve"> SNR </w:t>
      </w:r>
      <w:r w:rsidRPr="005375AF">
        <w:rPr>
          <w:lang w:val="es-ES_tradnl"/>
        </w:rPr>
        <w:t>de al menos</w:t>
      </w:r>
      <w:r w:rsidR="00CF242E" w:rsidRPr="005375AF">
        <w:rPr>
          <w:lang w:val="es-ES_tradnl"/>
        </w:rPr>
        <w:t xml:space="preserve"> 20 dB.</w:t>
      </w:r>
      <w:bookmarkEnd w:id="6"/>
      <w:r w:rsidR="00CF242E" w:rsidRPr="005375AF">
        <w:rPr>
          <w:lang w:val="es-ES_tradnl"/>
        </w:rPr>
        <w:t xml:space="preserve"> </w:t>
      </w:r>
      <w:bookmarkStart w:id="7" w:name="lt_pId123"/>
      <w:r w:rsidRPr="005375AF">
        <w:rPr>
          <w:lang w:val="es-ES_tradnl"/>
        </w:rPr>
        <w:t>Se registra el ángulo de llegada,</w:t>
      </w:r>
      <w:r w:rsidR="00CF242E" w:rsidRPr="005375AF">
        <w:rPr>
          <w:lang w:val="es-ES_tradnl"/>
        </w:rPr>
        <w:t xml:space="preserve"> </w:t>
      </w:r>
      <m:oMath>
        <m:sSub>
          <m:sSubPr>
            <m:ctrlPr>
              <w:rPr>
                <w:rFonts w:ascii="Cambria Math" w:hAnsi="Cambria Math"/>
                <w:lang w:val="es-ES_tradnl"/>
              </w:rPr>
            </m:ctrlPr>
          </m:sSubPr>
          <m:e>
            <m:r>
              <m:rPr>
                <m:sty m:val="p"/>
              </m:rPr>
              <w:rPr>
                <w:rFonts w:ascii="Cambria Math" w:hAnsi="Cambria Math"/>
                <w:lang w:val="es-ES_tradnl"/>
              </w:rPr>
              <m:t>θ</m:t>
            </m:r>
          </m:e>
          <m:sub>
            <m:r>
              <m:rPr>
                <m:sty m:val="p"/>
              </m:rPr>
              <w:rPr>
                <w:rFonts w:ascii="Cambria Math" w:hAnsi="Cambria Math"/>
                <w:lang w:val="es-ES_tradnl"/>
              </w:rPr>
              <m:t>0</m:t>
            </m:r>
          </m:sub>
        </m:sSub>
      </m:oMath>
      <w:r w:rsidR="00CF242E" w:rsidRPr="005375AF">
        <w:rPr>
          <w:lang w:val="es-ES_tradnl"/>
        </w:rPr>
        <w:t xml:space="preserve"> (</w:t>
      </w:r>
      <w:r w:rsidRPr="005375AF">
        <w:rPr>
          <w:lang w:val="es-ES_tradnl"/>
        </w:rPr>
        <w:t>debe ser estable</w:t>
      </w:r>
      <w:r w:rsidR="00CF242E" w:rsidRPr="005375AF">
        <w:rPr>
          <w:lang w:val="es-ES_tradnl"/>
        </w:rPr>
        <w:t>).</w:t>
      </w:r>
      <w:bookmarkEnd w:id="7"/>
    </w:p>
    <w:p w:rsidR="00BC685F" w:rsidRPr="005375AF" w:rsidRDefault="00BC685F" w:rsidP="002D30BF">
      <w:pPr>
        <w:rPr>
          <w:rFonts w:eastAsia="SimSun"/>
          <w:lang w:val="es-ES_tradnl" w:eastAsia="zh-CN"/>
        </w:rPr>
      </w:pPr>
      <w:bookmarkStart w:id="8" w:name="lt_pId124"/>
      <w:r w:rsidRPr="005375AF">
        <w:rPr>
          <w:lang w:val="es-ES_tradnl"/>
        </w:rPr>
        <w:t>Se anota el</w:t>
      </w:r>
      <w:r w:rsidR="00D273CF" w:rsidRPr="005375AF">
        <w:rPr>
          <w:lang w:val="es-ES_tradnl"/>
        </w:rPr>
        <w:t xml:space="preserve"> el nivel de la señal del transmisor </w:t>
      </w:r>
      <w:r w:rsidRPr="005375AF">
        <w:rPr>
          <w:lang w:val="es-ES_tradnl"/>
        </w:rPr>
        <w:t>y se lleva a cabo una medición de campo en la posición de la antena del radiogoniómetro</w:t>
      </w:r>
      <w:r w:rsidR="00D273CF" w:rsidRPr="005375AF">
        <w:rPr>
          <w:lang w:val="es-ES_tradnl"/>
        </w:rPr>
        <w:t>,</w:t>
      </w:r>
      <w:r w:rsidRPr="005375AF">
        <w:rPr>
          <w:rFonts w:eastAsia="SimSun"/>
          <w:lang w:val="es-ES_tradnl" w:eastAsia="zh-CN"/>
        </w:rPr>
        <w:t xml:space="preserve"> E</w:t>
      </w:r>
      <w:r w:rsidRPr="005375AF">
        <w:rPr>
          <w:vertAlign w:val="subscript"/>
          <w:lang w:val="es-ES_tradnl" w:eastAsia="zh-CN"/>
        </w:rPr>
        <w:t>0</w:t>
      </w:r>
      <w:r w:rsidRPr="005375AF">
        <w:rPr>
          <w:lang w:val="es-ES_tradnl" w:eastAsia="zh-CN"/>
        </w:rPr>
        <w:t xml:space="preserve"> </w:t>
      </w:r>
      <w:r w:rsidRPr="005375AF">
        <w:rPr>
          <w:rFonts w:eastAsia="SimSun"/>
          <w:lang w:val="es-ES_tradnl" w:eastAsia="zh-CN"/>
        </w:rPr>
        <w:t>(</w:t>
      </w:r>
      <w:r w:rsidRPr="005375AF">
        <w:rPr>
          <w:lang w:val="es-ES_tradnl"/>
        </w:rPr>
        <w:t>μV/m</w:t>
      </w:r>
      <w:r w:rsidRPr="005375AF">
        <w:rPr>
          <w:rFonts w:eastAsia="SimSun"/>
          <w:lang w:val="es-ES_tradnl" w:eastAsia="zh-CN"/>
        </w:rPr>
        <w:t>).</w:t>
      </w:r>
      <w:bookmarkEnd w:id="8"/>
    </w:p>
    <w:p w:rsidR="00CF242E" w:rsidRPr="005375AF" w:rsidRDefault="00D273CF" w:rsidP="004C5476">
      <w:pPr>
        <w:rPr>
          <w:lang w:val="es-ES_tradnl"/>
        </w:rPr>
      </w:pPr>
      <w:bookmarkStart w:id="9" w:name="lt_pId125"/>
      <w:r w:rsidRPr="005375AF">
        <w:rPr>
          <w:lang w:val="es-ES_tradnl"/>
        </w:rPr>
        <w:t xml:space="preserve">A continuación, se mide la fluctuación de la marcación del radiogoniómetro (valor RMS) tras reducir </w:t>
      </w:r>
      <w:r w:rsidR="004C5476" w:rsidRPr="005375AF">
        <w:rPr>
          <w:lang w:val="es-ES_tradnl"/>
        </w:rPr>
        <w:t>gradualmente el nivel de la señal del transmisor de prueba hasta que la fluctuación de la marcación del radiogoniómetro alcance un valor determinado (3 grados RMS nominal</w:t>
      </w:r>
      <w:r w:rsidR="00CF242E" w:rsidRPr="005375AF">
        <w:rPr>
          <w:lang w:val="es-ES_tradnl"/>
        </w:rPr>
        <w:t>).</w:t>
      </w:r>
      <w:bookmarkEnd w:id="9"/>
    </w:p>
    <w:p w:rsidR="00CF242E" w:rsidRPr="005375AF" w:rsidRDefault="004C5476" w:rsidP="004C5476">
      <w:pPr>
        <w:rPr>
          <w:lang w:val="es-ES_tradnl"/>
        </w:rPr>
      </w:pPr>
      <w:bookmarkStart w:id="10" w:name="lt_pId126"/>
      <w:r w:rsidRPr="005375AF">
        <w:rPr>
          <w:lang w:val="es-ES_tradnl"/>
        </w:rPr>
        <w:t>El valor</w:t>
      </w:r>
      <w:r w:rsidR="00CF242E" w:rsidRPr="005375AF">
        <w:rPr>
          <w:lang w:val="es-ES_tradnl"/>
        </w:rPr>
        <w:t xml:space="preserve"> RMS </w:t>
      </w:r>
      <w:r w:rsidRPr="005375AF">
        <w:rPr>
          <w:lang w:val="es-ES_tradnl"/>
        </w:rPr>
        <w:t>de la fluctuación de la marcación del radiogoniómetro se calculará con la siguiente fórmula</w:t>
      </w:r>
      <w:r w:rsidR="00CF242E" w:rsidRPr="005375AF">
        <w:rPr>
          <w:lang w:val="es-ES_tradnl"/>
        </w:rPr>
        <w:t>:</w:t>
      </w:r>
      <w:bookmarkEnd w:id="10"/>
    </w:p>
    <w:p w:rsidR="00CF242E" w:rsidRPr="005375AF" w:rsidRDefault="00CF242E" w:rsidP="00CF242E">
      <w:pPr>
        <w:pStyle w:val="Equation"/>
        <w:rPr>
          <w:rFonts w:eastAsia="SimSun"/>
          <w:lang w:val="es-ES_tradnl" w:eastAsia="zh-CN"/>
        </w:rPr>
      </w:pPr>
      <w:r w:rsidRPr="005375AF">
        <w:rPr>
          <w:rFonts w:eastAsia="SimSun"/>
          <w:iCs/>
          <w:lang w:val="es-ES_tradnl" w:eastAsia="zh-CN"/>
        </w:rPr>
        <w:tab/>
      </w:r>
      <w:r w:rsidRPr="005375AF">
        <w:rPr>
          <w:rFonts w:eastAsia="SimSun"/>
          <w:iCs/>
          <w:lang w:val="es-ES_tradnl" w:eastAsia="zh-CN"/>
        </w:rPr>
        <w:tab/>
      </w:r>
      <m:oMath>
        <m:r>
          <m:rPr>
            <m:sty m:val="p"/>
          </m:rPr>
          <w:rPr>
            <w:rFonts w:ascii="Cambria Math" w:eastAsia="SimSun" w:hAnsi="Cambria Math"/>
            <w:lang w:val="es-ES_tradnl" w:eastAsia="zh-CN"/>
          </w:rPr>
          <m:t>δ=</m:t>
        </m:r>
        <m:rad>
          <m:radPr>
            <m:degHide m:val="1"/>
            <m:ctrlPr>
              <w:rPr>
                <w:rFonts w:ascii="Cambria Math" w:eastAsia="SimSun" w:hAnsi="Cambria Math"/>
                <w:lang w:val="es-ES_tradnl" w:eastAsia="zh-CN"/>
              </w:rPr>
            </m:ctrlPr>
          </m:radPr>
          <m:deg/>
          <m:e>
            <m:f>
              <m:fPr>
                <m:ctrlPr>
                  <w:rPr>
                    <w:rFonts w:ascii="Cambria Math" w:eastAsia="SimSun" w:hAnsi="Cambria Math"/>
                    <w:lang w:val="es-ES_tradnl" w:eastAsia="zh-CN"/>
                  </w:rPr>
                </m:ctrlPr>
              </m:fPr>
              <m:num>
                <m:nary>
                  <m:naryPr>
                    <m:chr m:val="∑"/>
                    <m:limLoc m:val="undOvr"/>
                    <m:subHide m:val="1"/>
                    <m:supHide m:val="1"/>
                    <m:ctrlPr>
                      <w:rPr>
                        <w:rFonts w:ascii="Cambria Math" w:eastAsia="SimSun" w:hAnsi="Cambria Math"/>
                        <w:lang w:val="es-ES_tradnl" w:eastAsia="zh-CN"/>
                      </w:rPr>
                    </m:ctrlPr>
                  </m:naryPr>
                  <m:sub/>
                  <m:sup/>
                  <m:e>
                    <m:sSup>
                      <m:sSupPr>
                        <m:ctrlPr>
                          <w:rPr>
                            <w:rFonts w:ascii="Cambria Math" w:eastAsia="SimSun" w:hAnsi="Cambria Math"/>
                            <w:lang w:val="es-ES_tradnl" w:eastAsia="zh-CN"/>
                          </w:rPr>
                        </m:ctrlPr>
                      </m:sSupPr>
                      <m:e>
                        <m:r>
                          <m:rPr>
                            <m:sty m:val="p"/>
                          </m:rPr>
                          <w:rPr>
                            <w:rFonts w:ascii="Cambria Math" w:eastAsia="SimSun" w:hAnsi="Cambria Math"/>
                            <w:lang w:val="es-ES_tradnl" w:eastAsia="zh-CN"/>
                          </w:rPr>
                          <m:t>(</m:t>
                        </m:r>
                        <m:sSub>
                          <m:sSubPr>
                            <m:ctrlPr>
                              <w:rPr>
                                <w:rFonts w:ascii="Cambria Math" w:eastAsia="SimSun" w:hAnsi="Cambria Math"/>
                                <w:lang w:val="es-ES_tradnl" w:eastAsia="zh-CN"/>
                              </w:rPr>
                            </m:ctrlPr>
                          </m:sSubPr>
                          <m:e>
                            <m:r>
                              <m:rPr>
                                <m:sty m:val="p"/>
                              </m:rPr>
                              <w:rPr>
                                <w:rFonts w:ascii="Cambria Math" w:eastAsia="SimSun" w:hAnsi="Cambria Math"/>
                                <w:lang w:val="es-ES_tradnl" w:eastAsia="zh-CN"/>
                              </w:rPr>
                              <m:t>θ</m:t>
                            </m:r>
                          </m:e>
                          <m:sub>
                            <m:r>
                              <w:rPr>
                                <w:rFonts w:ascii="Cambria Math" w:eastAsia="SimSun" w:hAnsi="Cambria Math"/>
                                <w:lang w:val="es-ES_tradnl" w:eastAsia="zh-CN"/>
                              </w:rPr>
                              <m:t>mes</m:t>
                            </m:r>
                          </m:sub>
                        </m:sSub>
                        <m:r>
                          <m:rPr>
                            <m:sty m:val="p"/>
                          </m:rPr>
                          <w:rPr>
                            <w:rFonts w:ascii="Cambria Math" w:eastAsia="SimSun" w:hAnsi="Cambria Math"/>
                            <w:lang w:val="es-ES_tradnl" w:eastAsia="zh-CN"/>
                          </w:rPr>
                          <m:t>-</m:t>
                        </m:r>
                        <m:sSub>
                          <m:sSubPr>
                            <m:ctrlPr>
                              <w:rPr>
                                <w:rFonts w:ascii="Cambria Math" w:eastAsia="SimSun" w:hAnsi="Cambria Math"/>
                                <w:lang w:val="es-ES_tradnl" w:eastAsia="zh-CN"/>
                              </w:rPr>
                            </m:ctrlPr>
                          </m:sSubPr>
                          <m:e>
                            <m:r>
                              <m:rPr>
                                <m:sty m:val="p"/>
                              </m:rPr>
                              <w:rPr>
                                <w:rFonts w:ascii="Cambria Math" w:eastAsia="SimSun" w:hAnsi="Cambria Math"/>
                                <w:lang w:val="es-ES_tradnl" w:eastAsia="zh-CN"/>
                              </w:rPr>
                              <m:t>θ</m:t>
                            </m:r>
                          </m:e>
                          <m:sub>
                            <m:r>
                              <m:rPr>
                                <m:sty m:val="p"/>
                              </m:rPr>
                              <w:rPr>
                                <w:rFonts w:ascii="Cambria Math" w:eastAsia="SimSun" w:hAnsi="Cambria Math"/>
                                <w:lang w:val="es-ES_tradnl" w:eastAsia="zh-CN"/>
                              </w:rPr>
                              <m:t>0</m:t>
                            </m:r>
                          </m:sub>
                        </m:sSub>
                        <m:r>
                          <m:rPr>
                            <m:sty m:val="p"/>
                          </m:rPr>
                          <w:rPr>
                            <w:rFonts w:ascii="Cambria Math" w:eastAsia="SimSun" w:hAnsi="Cambria Math"/>
                            <w:lang w:val="es-ES_tradnl" w:eastAsia="zh-CN"/>
                          </w:rPr>
                          <m:t>)</m:t>
                        </m:r>
                      </m:e>
                      <m:sup>
                        <m:r>
                          <m:rPr>
                            <m:sty m:val="p"/>
                          </m:rPr>
                          <w:rPr>
                            <w:rFonts w:ascii="Cambria Math" w:eastAsia="SimSun" w:hAnsi="Cambria Math"/>
                            <w:lang w:val="es-ES_tradnl" w:eastAsia="zh-CN"/>
                          </w:rPr>
                          <m:t>2</m:t>
                        </m:r>
                      </m:sup>
                    </m:sSup>
                  </m:e>
                </m:nary>
              </m:num>
              <m:den>
                <m:r>
                  <w:rPr>
                    <w:rFonts w:ascii="Cambria Math" w:eastAsia="SimSun" w:hAnsi="Cambria Math"/>
                    <w:lang w:val="es-ES_tradnl" w:eastAsia="zh-CN"/>
                  </w:rPr>
                  <m:t>N</m:t>
                </m:r>
              </m:den>
            </m:f>
          </m:e>
        </m:rad>
      </m:oMath>
    </w:p>
    <w:p w:rsidR="00CF242E" w:rsidRPr="005375AF" w:rsidRDefault="00CD78BC" w:rsidP="00FE0416">
      <w:pPr>
        <w:keepNext/>
        <w:rPr>
          <w:rFonts w:eastAsia="SimSun"/>
          <w:lang w:val="es-ES_tradnl" w:eastAsia="zh-CN"/>
        </w:rPr>
      </w:pPr>
      <w:r w:rsidRPr="005375AF">
        <w:rPr>
          <w:rFonts w:eastAsia="SimSun"/>
          <w:lang w:val="es-ES_tradnl" w:eastAsia="zh-CN"/>
        </w:rPr>
        <w:lastRenderedPageBreak/>
        <w:t>siendo:</w:t>
      </w:r>
    </w:p>
    <w:p w:rsidR="00CF242E" w:rsidRPr="005375AF" w:rsidRDefault="00CF242E" w:rsidP="004C5476">
      <w:pPr>
        <w:pStyle w:val="Equationlegend"/>
        <w:spacing w:before="60"/>
        <w:rPr>
          <w:rFonts w:eastAsia="SimSun"/>
          <w:lang w:val="es-ES_tradnl" w:eastAsia="zh-CN"/>
        </w:rPr>
      </w:pPr>
      <w:r w:rsidRPr="005375AF">
        <w:rPr>
          <w:rFonts w:eastAsia="SimSun"/>
          <w:lang w:val="es-ES_tradnl" w:eastAsia="zh-CN"/>
        </w:rPr>
        <w:tab/>
      </w:r>
      <w:bookmarkStart w:id="11" w:name="lt_pId128"/>
      <w:r w:rsidRPr="005375AF">
        <w:rPr>
          <w:rFonts w:eastAsia="SimSun"/>
          <w:lang w:val="es-ES_tradnl" w:eastAsia="zh-CN"/>
        </w:rPr>
        <w:t>δ:</w:t>
      </w:r>
      <w:bookmarkEnd w:id="11"/>
      <w:r w:rsidRPr="005375AF">
        <w:rPr>
          <w:rFonts w:eastAsia="SimSun"/>
          <w:lang w:val="es-ES_tradnl" w:eastAsia="zh-CN"/>
        </w:rPr>
        <w:tab/>
      </w:r>
      <w:bookmarkStart w:id="12" w:name="lt_pId129"/>
      <w:r w:rsidR="004C5476" w:rsidRPr="005375AF">
        <w:rPr>
          <w:rFonts w:eastAsia="SimSun"/>
          <w:lang w:val="es-ES_tradnl" w:eastAsia="zh-CN"/>
        </w:rPr>
        <w:t xml:space="preserve">el valor RMS </w:t>
      </w:r>
      <w:r w:rsidR="00CD78BC" w:rsidRPr="005375AF">
        <w:rPr>
          <w:rFonts w:eastAsia="SimSun"/>
          <w:lang w:val="es-ES_tradnl" w:eastAsia="zh-CN"/>
        </w:rPr>
        <w:t xml:space="preserve">entre la medición en el límite de la </w:t>
      </w:r>
      <w:r w:rsidR="004C5476" w:rsidRPr="005375AF">
        <w:rPr>
          <w:rFonts w:eastAsia="SimSun"/>
          <w:lang w:val="es-ES_tradnl" w:eastAsia="zh-CN"/>
        </w:rPr>
        <w:t>precisión</w:t>
      </w:r>
      <w:r w:rsidR="00CD78BC" w:rsidRPr="005375AF">
        <w:rPr>
          <w:rFonts w:eastAsia="SimSun"/>
          <w:lang w:val="es-ES_tradnl" w:eastAsia="zh-CN"/>
        </w:rPr>
        <w:t xml:space="preserve"> y la medición a nivel elevado</w:t>
      </w:r>
      <w:r w:rsidR="004C5476" w:rsidRPr="005375AF">
        <w:rPr>
          <w:rFonts w:eastAsia="SimSun"/>
          <w:lang w:val="es-ES_tradnl" w:eastAsia="zh-CN"/>
        </w:rPr>
        <w:t xml:space="preserve"> con una SNR de al menos 20 dB</w:t>
      </w:r>
      <w:bookmarkEnd w:id="12"/>
      <w:r w:rsidR="004C5476" w:rsidRPr="005375AF">
        <w:rPr>
          <w:rFonts w:eastAsia="SimSun"/>
          <w:lang w:val="es-ES_tradnl" w:eastAsia="zh-CN"/>
        </w:rPr>
        <w:t xml:space="preserve"> </w:t>
      </w:r>
      <w:r w:rsidR="00CD78BC" w:rsidRPr="005375AF">
        <w:rPr>
          <w:rFonts w:eastAsia="SimSun"/>
          <w:lang w:val="es-ES_tradnl" w:eastAsia="zh-CN"/>
        </w:rPr>
        <w:t>(grados)</w:t>
      </w:r>
    </w:p>
    <w:p w:rsidR="00CF242E" w:rsidRPr="005375AF" w:rsidRDefault="00CF242E" w:rsidP="004C5476">
      <w:pPr>
        <w:pStyle w:val="Equationlegend"/>
        <w:spacing w:before="60"/>
        <w:rPr>
          <w:rFonts w:eastAsia="SimSun"/>
          <w:lang w:val="es-ES_tradnl" w:eastAsia="zh-CN"/>
        </w:rPr>
      </w:pPr>
      <w:r w:rsidRPr="005375AF">
        <w:rPr>
          <w:rFonts w:eastAsia="SimSun"/>
          <w:lang w:val="es-ES_tradnl" w:eastAsia="zh-CN"/>
        </w:rPr>
        <w:tab/>
      </w:r>
      <w:bookmarkStart w:id="13" w:name="lt_pId130"/>
      <w:r w:rsidRPr="005375AF">
        <w:rPr>
          <w:rFonts w:eastAsia="SimSun"/>
          <w:lang w:val="es-ES_tradnl" w:eastAsia="zh-CN"/>
        </w:rPr>
        <w:t>θ</w:t>
      </w:r>
      <w:r w:rsidRPr="005375AF">
        <w:rPr>
          <w:rFonts w:eastAsia="SimSun"/>
          <w:iCs/>
          <w:vertAlign w:val="subscript"/>
          <w:lang w:val="es-ES_tradnl" w:eastAsia="zh-CN"/>
        </w:rPr>
        <w:t>0</w:t>
      </w:r>
      <w:r w:rsidRPr="005375AF">
        <w:rPr>
          <w:rFonts w:eastAsia="SimSun"/>
          <w:lang w:val="es-ES_tradnl" w:eastAsia="zh-CN"/>
        </w:rPr>
        <w:t>:</w:t>
      </w:r>
      <w:bookmarkEnd w:id="13"/>
      <w:r w:rsidRPr="005375AF">
        <w:rPr>
          <w:rFonts w:eastAsia="SimSun"/>
          <w:lang w:val="es-ES_tradnl" w:eastAsia="zh-CN"/>
        </w:rPr>
        <w:tab/>
      </w:r>
      <w:bookmarkStart w:id="14" w:name="lt_pId131"/>
      <w:r w:rsidR="004C5476" w:rsidRPr="005375AF">
        <w:rPr>
          <w:rFonts w:eastAsia="SimSun"/>
          <w:lang w:val="es-ES_tradnl" w:eastAsia="zh-CN"/>
        </w:rPr>
        <w:t>el acimut medido con una señal fuerte con una SNR de al menos 20 dB</w:t>
      </w:r>
      <w:bookmarkEnd w:id="14"/>
    </w:p>
    <w:p w:rsidR="00CF242E" w:rsidRPr="005375AF" w:rsidRDefault="00CF242E" w:rsidP="004C5476">
      <w:pPr>
        <w:pStyle w:val="Equationlegend"/>
        <w:spacing w:before="60"/>
        <w:rPr>
          <w:rFonts w:eastAsia="SimSun"/>
          <w:lang w:val="es-ES_tradnl" w:eastAsia="zh-CN"/>
        </w:rPr>
      </w:pPr>
      <w:r w:rsidRPr="005375AF">
        <w:rPr>
          <w:rFonts w:eastAsia="SimSun"/>
          <w:lang w:val="es-ES_tradnl" w:eastAsia="zh-CN"/>
        </w:rPr>
        <w:tab/>
      </w:r>
      <w:bookmarkStart w:id="15" w:name="lt_pId132"/>
      <w:r w:rsidRPr="005375AF">
        <w:rPr>
          <w:rFonts w:eastAsia="SimSun"/>
          <w:lang w:val="es-ES_tradnl" w:eastAsia="zh-CN"/>
        </w:rPr>
        <w:t>θ</w:t>
      </w:r>
      <w:r w:rsidRPr="005375AF">
        <w:rPr>
          <w:rFonts w:eastAsia="SimSun"/>
          <w:i/>
          <w:vertAlign w:val="subscript"/>
          <w:lang w:val="es-ES_tradnl" w:eastAsia="zh-CN"/>
        </w:rPr>
        <w:t>mes</w:t>
      </w:r>
      <w:r w:rsidRPr="005375AF">
        <w:rPr>
          <w:rFonts w:eastAsia="SimSun"/>
          <w:lang w:val="es-ES_tradnl" w:eastAsia="zh-CN"/>
        </w:rPr>
        <w:t>:</w:t>
      </w:r>
      <w:bookmarkEnd w:id="15"/>
      <w:r w:rsidRPr="005375AF">
        <w:rPr>
          <w:rFonts w:eastAsia="SimSun"/>
          <w:lang w:val="es-ES_tradnl" w:eastAsia="zh-CN"/>
        </w:rPr>
        <w:tab/>
      </w:r>
      <w:bookmarkStart w:id="16" w:name="lt_pId133"/>
      <w:r w:rsidR="004C5476" w:rsidRPr="005375AF">
        <w:rPr>
          <w:rFonts w:eastAsia="SimSun"/>
          <w:lang w:val="es-ES_tradnl" w:eastAsia="zh-CN"/>
        </w:rPr>
        <w:t xml:space="preserve">el </w:t>
      </w:r>
      <w:r w:rsidR="00CD78BC" w:rsidRPr="005375AF">
        <w:rPr>
          <w:rFonts w:eastAsia="SimSun"/>
          <w:lang w:val="es-ES_tradnl" w:eastAsia="zh-CN"/>
        </w:rPr>
        <w:t>acimut medido para cada nivel</w:t>
      </w:r>
      <w:r w:rsidR="004C5476" w:rsidRPr="005375AF">
        <w:rPr>
          <w:rFonts w:eastAsia="SimSun"/>
          <w:lang w:val="es-ES_tradnl" w:eastAsia="zh-CN"/>
        </w:rPr>
        <w:t xml:space="preserve"> del generador de la señal</w:t>
      </w:r>
      <w:bookmarkEnd w:id="16"/>
      <w:r w:rsidR="00CD78BC" w:rsidRPr="005375AF">
        <w:rPr>
          <w:rFonts w:eastAsia="SimSun"/>
          <w:lang w:val="es-ES_tradnl" w:eastAsia="zh-CN"/>
        </w:rPr>
        <w:t xml:space="preserve"> (grados)</w:t>
      </w:r>
    </w:p>
    <w:p w:rsidR="00CF242E" w:rsidRPr="005375AF" w:rsidRDefault="00CF242E" w:rsidP="004C5476">
      <w:pPr>
        <w:pStyle w:val="Equationlegend"/>
        <w:spacing w:before="60"/>
        <w:rPr>
          <w:highlight w:val="yellow"/>
          <w:lang w:val="es-ES_tradnl"/>
        </w:rPr>
      </w:pPr>
      <w:r w:rsidRPr="005375AF">
        <w:rPr>
          <w:rFonts w:eastAsia="SimSun"/>
          <w:lang w:val="es-ES_tradnl" w:eastAsia="zh-CN"/>
        </w:rPr>
        <w:tab/>
      </w:r>
      <w:bookmarkStart w:id="17" w:name="lt_pId134"/>
      <w:r w:rsidRPr="005375AF">
        <w:rPr>
          <w:rFonts w:eastAsia="SimSun"/>
          <w:i/>
          <w:iCs/>
          <w:lang w:val="es-ES_tradnl" w:eastAsia="zh-CN"/>
        </w:rPr>
        <w:t>N</w:t>
      </w:r>
      <w:r w:rsidRPr="005375AF">
        <w:rPr>
          <w:rFonts w:eastAsia="SimSun"/>
          <w:lang w:val="es-ES_tradnl" w:eastAsia="zh-CN"/>
        </w:rPr>
        <w:t>:</w:t>
      </w:r>
      <w:bookmarkEnd w:id="17"/>
      <w:r w:rsidRPr="005375AF">
        <w:rPr>
          <w:rFonts w:eastAsia="SimSun"/>
          <w:lang w:val="es-ES_tradnl" w:eastAsia="zh-CN"/>
        </w:rPr>
        <w:tab/>
      </w:r>
      <w:bookmarkStart w:id="18" w:name="lt_pId135"/>
      <w:r w:rsidR="004C5476" w:rsidRPr="005375AF">
        <w:rPr>
          <w:rFonts w:eastAsia="SimSun"/>
          <w:lang w:val="es-ES_tradnl" w:eastAsia="zh-CN"/>
        </w:rPr>
        <w:t xml:space="preserve">el </w:t>
      </w:r>
      <w:r w:rsidR="00CD78BC" w:rsidRPr="005375AF">
        <w:rPr>
          <w:rFonts w:eastAsia="SimSun"/>
          <w:lang w:val="es-ES_tradnl" w:eastAsia="zh-CN"/>
        </w:rPr>
        <w:t>número de lecturas del acimut para cada nivel</w:t>
      </w:r>
      <w:r w:rsidR="004C5476" w:rsidRPr="005375AF">
        <w:rPr>
          <w:rFonts w:eastAsia="SimSun"/>
          <w:lang w:val="es-ES_tradnl" w:eastAsia="zh-CN"/>
        </w:rPr>
        <w:t xml:space="preserve"> del generador de la señal</w:t>
      </w:r>
      <w:bookmarkEnd w:id="18"/>
    </w:p>
    <w:p w:rsidR="00CF242E" w:rsidRPr="005375AF" w:rsidRDefault="004C5476" w:rsidP="004C5476">
      <w:pPr>
        <w:rPr>
          <w:rFonts w:eastAsia="SimSun"/>
          <w:lang w:val="es-ES_tradnl" w:eastAsia="zh-CN"/>
        </w:rPr>
      </w:pPr>
      <w:bookmarkStart w:id="19" w:name="lt_pId136"/>
      <w:r w:rsidRPr="005375AF">
        <w:rPr>
          <w:rFonts w:eastAsia="SimSun"/>
          <w:lang w:val="es-ES_tradnl" w:eastAsia="zh-CN"/>
        </w:rPr>
        <w:t xml:space="preserve">Se utilizarán, como mínimo, 10 </w:t>
      </w:r>
      <w:r w:rsidRPr="00211A09">
        <w:rPr>
          <w:rFonts w:eastAsia="SimSun"/>
          <w:lang w:val="es-ES_tradnl" w:eastAsia="zh-CN"/>
        </w:rPr>
        <w:t xml:space="preserve">lecturas </w:t>
      </w:r>
      <w:r w:rsidR="005375AF" w:rsidRPr="00211A09">
        <w:rPr>
          <w:rFonts w:eastAsia="SimSun"/>
          <w:lang w:val="es-ES_tradnl" w:eastAsia="zh-CN"/>
        </w:rPr>
        <w:t>consecutivas</w:t>
      </w:r>
      <w:r w:rsidRPr="005375AF">
        <w:rPr>
          <w:rFonts w:eastAsia="SimSun"/>
          <w:lang w:val="es-ES_tradnl" w:eastAsia="zh-CN"/>
        </w:rPr>
        <w:t xml:space="preserve"> del acimut para cada nivel del generador de la señal. Para poder realizar mediciones automáticas, podrá descartarse el 10% de estas lecturas para excluir los valores extremos, por ejemplo, debidos a interferencias de corta duración</w:t>
      </w:r>
      <w:bookmarkStart w:id="20" w:name="lt_pId137"/>
      <w:bookmarkEnd w:id="19"/>
      <w:r w:rsidR="00CF242E" w:rsidRPr="005375AF">
        <w:rPr>
          <w:rFonts w:eastAsia="SimSun"/>
          <w:lang w:val="es-ES_tradnl" w:eastAsia="zh-CN"/>
        </w:rPr>
        <w:t>.</w:t>
      </w:r>
      <w:bookmarkEnd w:id="20"/>
    </w:p>
    <w:p w:rsidR="00CF242E" w:rsidRPr="005375AF" w:rsidRDefault="004C5476" w:rsidP="004C5476">
      <w:pPr>
        <w:rPr>
          <w:rFonts w:eastAsia="SimSun"/>
          <w:lang w:val="es-ES_tradnl" w:eastAsia="zh-CN"/>
        </w:rPr>
      </w:pPr>
      <w:bookmarkStart w:id="21" w:name="lt_pId138"/>
      <w:r w:rsidRPr="005375AF">
        <w:rPr>
          <w:rFonts w:eastAsia="SimSun"/>
          <w:lang w:val="es-ES_tradnl" w:eastAsia="zh-CN"/>
        </w:rPr>
        <w:t>Se registra el nivel de la señal del transmisor y la intensidad de campo en la posición de la antena del radiogoniómetro,</w:t>
      </w:r>
      <w:r w:rsidR="00CF242E" w:rsidRPr="005375AF">
        <w:rPr>
          <w:rFonts w:eastAsia="SimSun"/>
          <w:lang w:val="es-ES_tradnl" w:eastAsia="zh-CN"/>
        </w:rPr>
        <w:t xml:space="preserve"> E(</w:t>
      </w:r>
      <w:r w:rsidR="00CF242E" w:rsidRPr="005375AF">
        <w:rPr>
          <w:lang w:val="es-ES_tradnl"/>
        </w:rPr>
        <w:t>μV/m</w:t>
      </w:r>
      <w:r w:rsidR="00CF242E" w:rsidRPr="005375AF">
        <w:rPr>
          <w:rFonts w:eastAsia="SimSun"/>
          <w:lang w:val="es-ES_tradnl" w:eastAsia="zh-CN"/>
        </w:rPr>
        <w:t>).</w:t>
      </w:r>
      <w:bookmarkEnd w:id="21"/>
    </w:p>
    <w:p w:rsidR="00CF242E" w:rsidRPr="005375AF" w:rsidRDefault="004C5476" w:rsidP="004C5476">
      <w:pPr>
        <w:rPr>
          <w:rFonts w:eastAsia="SimSun"/>
          <w:lang w:val="es-ES_tradnl" w:eastAsia="zh-CN"/>
        </w:rPr>
      </w:pPr>
      <w:bookmarkStart w:id="22" w:name="lt_pId139"/>
      <w:r w:rsidRPr="005375AF">
        <w:rPr>
          <w:rFonts w:eastAsia="SimSun"/>
          <w:lang w:val="es-ES_tradnl" w:eastAsia="zh-CN"/>
        </w:rPr>
        <w:t>Se modifica la frecuencia de prueba y se repite el procedimiento anterior hasta que se hayan completado todas las frecuencias</w:t>
      </w:r>
      <w:r w:rsidR="00CF242E" w:rsidRPr="005375AF">
        <w:rPr>
          <w:lang w:val="es-ES_tradnl"/>
        </w:rPr>
        <w:t>.</w:t>
      </w:r>
      <w:bookmarkEnd w:id="22"/>
      <w:r w:rsidR="00CF242E" w:rsidRPr="005375AF">
        <w:rPr>
          <w:rStyle w:val="FootnoteReference"/>
          <w:lang w:val="es-ES_tradnl"/>
        </w:rPr>
        <w:footnoteReference w:id="2"/>
      </w:r>
    </w:p>
    <w:p w:rsidR="00CF242E" w:rsidRDefault="00AD2023" w:rsidP="00211A09">
      <w:pPr>
        <w:rPr>
          <w:lang w:val="es-ES_tradnl"/>
        </w:rPr>
      </w:pPr>
      <w:bookmarkStart w:id="25" w:name="lt_pId140"/>
      <w:r w:rsidRPr="005375AF">
        <w:rPr>
          <w:lang w:val="es-ES_tradnl"/>
        </w:rPr>
        <w:t>El resultado final se presenta en un cuadro o gráfico donde se indique</w:t>
      </w:r>
      <w:r w:rsidR="004C5476" w:rsidRPr="005375AF">
        <w:rPr>
          <w:lang w:val="es-ES_tradnl"/>
        </w:rPr>
        <w:t xml:space="preserve"> la intensidad de campo de</w:t>
      </w:r>
      <w:bookmarkEnd w:id="25"/>
      <w:r w:rsidRPr="005375AF">
        <w:rPr>
          <w:lang w:val="es-ES_tradnl"/>
        </w:rPr>
        <w:t xml:space="preserve"> cada frecuencia de medición, como se muestra en el Cuadro 1.</w:t>
      </w:r>
      <w:r w:rsidR="00CF242E" w:rsidRPr="005375AF">
        <w:rPr>
          <w:lang w:val="es-ES_tradnl"/>
        </w:rPr>
        <w:t xml:space="preserve"> </w:t>
      </w:r>
      <w:bookmarkStart w:id="26" w:name="lt_pId141"/>
      <w:r w:rsidRPr="005375AF">
        <w:rPr>
          <w:lang w:val="es-ES_tradnl"/>
        </w:rPr>
        <w:t>Cabe señalar que el procedimiento de medición recomendado se centra en</w:t>
      </w:r>
      <w:r w:rsidR="004C5476" w:rsidRPr="005375AF">
        <w:rPr>
          <w:lang w:val="es-ES_tradnl"/>
        </w:rPr>
        <w:t xml:space="preserve"> señales no moduladas de banda estrecha. Sin embargo, puede acordarse la medición de distintos tipos de señales adaptando las condiciones específicas de la prueba.</w:t>
      </w:r>
      <w:bookmarkEnd w:id="26"/>
      <w:r w:rsidR="00CF242E" w:rsidRPr="005375AF">
        <w:rPr>
          <w:rFonts w:eastAsia="SimSun"/>
          <w:lang w:val="es-ES_tradnl" w:eastAsia="zh-CN"/>
        </w:rPr>
        <w:t xml:space="preserve"> </w:t>
      </w:r>
      <w:bookmarkStart w:id="27" w:name="lt_pId143"/>
      <w:r w:rsidRPr="005375AF">
        <w:rPr>
          <w:lang w:val="es-ES_tradnl"/>
        </w:rPr>
        <w:t>En el informe de la prueba se indicará si se han aplicado tales condiciones de prueba específicas.</w:t>
      </w:r>
      <w:bookmarkEnd w:id="27"/>
      <w:r w:rsidR="00CF242E" w:rsidRPr="005375AF">
        <w:rPr>
          <w:lang w:val="es-ES_tradnl" w:eastAsia="zh-CN"/>
        </w:rPr>
        <w:t xml:space="preserve"> </w:t>
      </w:r>
      <w:bookmarkStart w:id="28" w:name="lt_pId144"/>
      <w:r w:rsidR="004C5476" w:rsidRPr="005375AF">
        <w:rPr>
          <w:lang w:val="es-ES_tradnl" w:eastAsia="zh-CN"/>
        </w:rPr>
        <w:t>Todos los parámetros de medición serán conformes con el Manual de Comprobación Técnica del Espectro (ancho de banda, etc.) y los resultados se especificarán en</w:t>
      </w:r>
      <w:r w:rsidR="00CF242E" w:rsidRPr="005375AF">
        <w:rPr>
          <w:lang w:val="es-ES_tradnl"/>
        </w:rPr>
        <w:t xml:space="preserve"> μV/m </w:t>
      </w:r>
      <w:r w:rsidR="004C5476" w:rsidRPr="005375AF">
        <w:rPr>
          <w:lang w:val="es-ES_tradnl"/>
        </w:rPr>
        <w:t>para que sean comparables</w:t>
      </w:r>
      <w:r w:rsidR="00CF242E" w:rsidRPr="005375AF">
        <w:rPr>
          <w:lang w:val="es-ES_tradnl"/>
        </w:rPr>
        <w:t>.</w:t>
      </w:r>
      <w:bookmarkEnd w:id="28"/>
    </w:p>
    <w:p w:rsidR="00CF242E" w:rsidRPr="005375AF" w:rsidRDefault="00CF242E" w:rsidP="00B65CF5">
      <w:pPr>
        <w:pStyle w:val="FigureNo"/>
        <w:rPr>
          <w:lang w:val="es-ES_tradnl"/>
        </w:rPr>
      </w:pPr>
      <w:bookmarkStart w:id="29" w:name="lt_pId145"/>
      <w:r w:rsidRPr="00330BA9">
        <w:rPr>
          <w:lang w:val="es-ES_tradnl"/>
        </w:rPr>
        <w:t>Figur</w:t>
      </w:r>
      <w:r w:rsidR="004C5476" w:rsidRPr="00330BA9">
        <w:rPr>
          <w:lang w:val="es-ES_tradnl"/>
        </w:rPr>
        <w:t>A</w:t>
      </w:r>
      <w:r w:rsidRPr="005375AF">
        <w:rPr>
          <w:lang w:val="es-ES_tradnl"/>
        </w:rPr>
        <w:t xml:space="preserve"> 1</w:t>
      </w:r>
      <w:bookmarkEnd w:id="29"/>
    </w:p>
    <w:p w:rsidR="00CF242E" w:rsidRPr="005375AF" w:rsidRDefault="004C5476" w:rsidP="004C5476">
      <w:pPr>
        <w:pStyle w:val="Figuretitle"/>
        <w:rPr>
          <w:rFonts w:eastAsia="SimSun"/>
          <w:lang w:val="es-ES_tradnl"/>
        </w:rPr>
      </w:pPr>
      <w:bookmarkStart w:id="30" w:name="lt_pId146"/>
      <w:r w:rsidRPr="005375AF">
        <w:rPr>
          <w:rFonts w:eastAsia="MS Mincho"/>
          <w:lang w:val="es-ES_tradnl"/>
        </w:rPr>
        <w:t xml:space="preserve">Configuración de la medición de la precisión de radiogoniometría para </w:t>
      </w:r>
      <w:r w:rsidR="00211A09">
        <w:rPr>
          <w:rFonts w:eastAsia="MS Mincho"/>
          <w:lang w:val="es-ES_tradnl"/>
        </w:rPr>
        <w:br/>
      </w:r>
      <w:r w:rsidRPr="005375AF">
        <w:rPr>
          <w:rFonts w:eastAsia="MS Mincho"/>
          <w:lang w:val="es-ES_tradnl"/>
        </w:rPr>
        <w:t>un sistema de radiogoniometría en EPZA</w:t>
      </w:r>
      <w:bookmarkEnd w:id="30"/>
    </w:p>
    <w:p w:rsidR="00CF242E" w:rsidRPr="005375AF" w:rsidRDefault="00226614" w:rsidP="00CF242E">
      <w:pPr>
        <w:pStyle w:val="Figure"/>
        <w:rPr>
          <w:lang w:val="es-ES_tradnl"/>
        </w:rPr>
      </w:pPr>
      <w:r w:rsidRPr="005375AF">
        <w:rPr>
          <w:lang w:val="es-ES_tradnl"/>
        </w:rPr>
        <w:object w:dxaOrig="6459" w:dyaOrig="32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pt;height:158.5pt" o:ole="">
            <v:imagedata r:id="rId14" o:title=""/>
          </v:shape>
          <o:OLEObject Type="Embed" ProgID="CorelDraw.Graphic.16" ShapeID="_x0000_i1025" DrawAspect="Content" ObjectID="_1569216983" r:id="rId15"/>
        </w:object>
      </w:r>
    </w:p>
    <w:p w:rsidR="00CF242E" w:rsidRPr="005375AF" w:rsidRDefault="00AD2023" w:rsidP="00CF242E">
      <w:pPr>
        <w:pStyle w:val="TableNo"/>
        <w:spacing w:before="480"/>
        <w:rPr>
          <w:lang w:val="es-ES_tradnl"/>
        </w:rPr>
      </w:pPr>
      <w:r w:rsidRPr="005375AF">
        <w:rPr>
          <w:rFonts w:eastAsia="MS Mincho"/>
          <w:lang w:val="es-ES_tradnl"/>
        </w:rPr>
        <w:lastRenderedPageBreak/>
        <w:t>CUADRO 1</w:t>
      </w:r>
    </w:p>
    <w:p w:rsidR="00CF242E" w:rsidRPr="005375AF" w:rsidRDefault="00AD2023" w:rsidP="00CF242E">
      <w:pPr>
        <w:pStyle w:val="Tabletitle"/>
        <w:spacing w:after="0"/>
        <w:rPr>
          <w:lang w:val="es-ES_tradnl"/>
        </w:rPr>
      </w:pPr>
      <w:r w:rsidRPr="005375AF">
        <w:rPr>
          <w:rFonts w:eastAsia="MS Mincho"/>
          <w:lang w:val="es-ES_tradnl"/>
        </w:rPr>
        <w:t>Cuadro de muestras de prueba</w:t>
      </w:r>
    </w:p>
    <w:p w:rsidR="00CF242E" w:rsidRPr="005375AF" w:rsidRDefault="00AD2023" w:rsidP="00AD2023">
      <w:pPr>
        <w:keepNext/>
        <w:keepLines/>
        <w:tabs>
          <w:tab w:val="left" w:pos="284"/>
          <w:tab w:val="left" w:pos="567"/>
          <w:tab w:val="left" w:pos="851"/>
          <w:tab w:val="left" w:pos="1418"/>
          <w:tab w:val="left" w:pos="1701"/>
          <w:tab w:val="left" w:pos="2552"/>
          <w:tab w:val="left" w:pos="2835"/>
          <w:tab w:val="left" w:pos="3119"/>
          <w:tab w:val="left" w:pos="3402"/>
          <w:tab w:val="left" w:pos="3686"/>
          <w:tab w:val="left" w:pos="3969"/>
        </w:tabs>
        <w:spacing w:after="120"/>
        <w:ind w:firstLineChars="550" w:firstLine="1100"/>
        <w:rPr>
          <w:sz w:val="20"/>
          <w:lang w:val="es-ES_tradnl"/>
        </w:rPr>
      </w:pPr>
      <w:bookmarkStart w:id="31" w:name="lt_pId149"/>
      <w:r w:rsidRPr="005375AF">
        <w:rPr>
          <w:sz w:val="20"/>
          <w:lang w:val="es-ES_tradnl"/>
        </w:rPr>
        <w:t>Modulación de la señal</w:t>
      </w:r>
      <w:r w:rsidR="00CF242E" w:rsidRPr="005375AF">
        <w:rPr>
          <w:sz w:val="20"/>
          <w:lang w:val="es-ES_tradnl"/>
        </w:rPr>
        <w:t>: _____________</w:t>
      </w:r>
      <w:r w:rsidRPr="005375AF">
        <w:rPr>
          <w:sz w:val="20"/>
          <w:lang w:val="es-ES_tradnl"/>
        </w:rPr>
        <w:t>Polarización de la señal</w:t>
      </w:r>
      <w:r w:rsidR="00CF242E" w:rsidRPr="005375AF">
        <w:rPr>
          <w:sz w:val="20"/>
          <w:lang w:val="es-ES_tradnl"/>
        </w:rPr>
        <w:t>:</w:t>
      </w:r>
      <w:bookmarkEnd w:id="31"/>
      <w:r w:rsidR="00CF242E" w:rsidRPr="005375AF">
        <w:rPr>
          <w:sz w:val="20"/>
          <w:lang w:val="es-ES_tradnl"/>
        </w:rPr>
        <w:t xml:space="preserve"> _______</w:t>
      </w:r>
    </w:p>
    <w:tbl>
      <w:tblPr>
        <w:tblW w:w="0" w:type="auto"/>
        <w:tblInd w:w="6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42"/>
        <w:gridCol w:w="2935"/>
        <w:gridCol w:w="2888"/>
      </w:tblGrid>
      <w:tr w:rsidR="00CF242E" w:rsidRPr="00330BA9" w:rsidTr="00E26B1D">
        <w:trPr>
          <w:trHeight w:val="315"/>
        </w:trPr>
        <w:tc>
          <w:tcPr>
            <w:tcW w:w="2142" w:type="dxa"/>
          </w:tcPr>
          <w:p w:rsidR="00CF242E" w:rsidRPr="005375AF" w:rsidRDefault="00AD2023" w:rsidP="00B618C8">
            <w:pPr>
              <w:pStyle w:val="Tablehead"/>
              <w:rPr>
                <w:rFonts w:eastAsia="SimSun"/>
                <w:lang w:val="es-ES_tradnl" w:eastAsia="zh-CN"/>
              </w:rPr>
            </w:pPr>
            <w:r w:rsidRPr="005375AF">
              <w:rPr>
                <w:lang w:val="es-ES_tradnl"/>
              </w:rPr>
              <w:t>Frecuencia</w:t>
            </w:r>
            <w:r w:rsidR="00CF242E" w:rsidRPr="005375AF">
              <w:rPr>
                <w:lang w:val="es-ES_tradnl"/>
              </w:rPr>
              <w:br/>
            </w:r>
            <w:bookmarkStart w:id="32" w:name="lt_pId152"/>
            <w:r w:rsidR="00CF242E" w:rsidRPr="005375AF">
              <w:rPr>
                <w:rFonts w:eastAsia="SimSun"/>
                <w:lang w:val="es-ES_tradnl" w:eastAsia="zh-CN"/>
              </w:rPr>
              <w:t>(MHz)</w:t>
            </w:r>
            <w:bookmarkEnd w:id="32"/>
          </w:p>
        </w:tc>
        <w:tc>
          <w:tcPr>
            <w:tcW w:w="2935" w:type="dxa"/>
          </w:tcPr>
          <w:p w:rsidR="00CF242E" w:rsidRPr="005375AF" w:rsidRDefault="004C5476" w:rsidP="004C5476">
            <w:pPr>
              <w:pStyle w:val="Tablehead"/>
              <w:rPr>
                <w:lang w:val="es-ES_tradnl"/>
              </w:rPr>
            </w:pPr>
            <w:bookmarkStart w:id="33" w:name="lt_pId153"/>
            <w:r w:rsidRPr="005375AF">
              <w:rPr>
                <w:lang w:val="es-ES_tradnl"/>
              </w:rPr>
              <w:t>Acimut verdadero</w:t>
            </w:r>
            <w:bookmarkEnd w:id="33"/>
            <w:r w:rsidRPr="005375AF">
              <w:rPr>
                <w:lang w:val="es-ES_tradnl"/>
              </w:rPr>
              <w:t xml:space="preserve"> </w:t>
            </w:r>
            <w:r w:rsidR="00CF242E" w:rsidRPr="005375AF">
              <w:rPr>
                <w:lang w:val="es-ES_tradnl"/>
              </w:rPr>
              <w:br/>
            </w:r>
            <m:oMath>
              <m:sSub>
                <m:sSubPr>
                  <m:ctrlPr>
                    <w:rPr>
                      <w:rFonts w:ascii="Cambria Math" w:eastAsia="SimSun" w:hAnsi="Cambria Math"/>
                      <w:i/>
                      <w:lang w:val="es-ES_tradnl" w:eastAsia="zh-CN"/>
                    </w:rPr>
                  </m:ctrlPr>
                </m:sSubPr>
                <m:e>
                  <m:r>
                    <m:rPr>
                      <m:sty m:val="b"/>
                    </m:rPr>
                    <w:rPr>
                      <w:rFonts w:ascii="Cambria Math" w:eastAsia="SimSun" w:hAnsi="Cambria Math"/>
                      <w:lang w:val="es-ES_tradnl" w:eastAsia="zh-CN"/>
                    </w:rPr>
                    <m:t>θ</m:t>
                  </m:r>
                </m:e>
                <m:sub>
                  <m:r>
                    <m:rPr>
                      <m:sty m:val="bi"/>
                    </m:rPr>
                    <w:rPr>
                      <w:rFonts w:ascii="Cambria Math" w:eastAsia="SimSun" w:hAnsi="Cambria Math"/>
                      <w:lang w:val="es-ES_tradnl" w:eastAsia="zh-CN"/>
                    </w:rPr>
                    <m:t>0</m:t>
                  </m:r>
                </m:sub>
              </m:sSub>
            </m:oMath>
            <w:r w:rsidR="00CF242E" w:rsidRPr="005375AF">
              <w:rPr>
                <w:rFonts w:eastAsia="SimSun"/>
                <w:lang w:val="es-ES_tradnl" w:eastAsia="zh-CN"/>
              </w:rPr>
              <w:t xml:space="preserve"> </w:t>
            </w:r>
            <w:bookmarkStart w:id="34" w:name="lt_pId154"/>
            <w:r w:rsidR="00CF242E" w:rsidRPr="005375AF">
              <w:rPr>
                <w:rFonts w:eastAsia="SimSun"/>
                <w:lang w:val="es-ES_tradnl" w:eastAsia="zh-CN"/>
              </w:rPr>
              <w:t>(</w:t>
            </w:r>
            <w:r w:rsidRPr="005375AF">
              <w:rPr>
                <w:rFonts w:eastAsia="SimSun"/>
                <w:lang w:val="es-ES_tradnl" w:eastAsia="zh-CN"/>
              </w:rPr>
              <w:t>grados</w:t>
            </w:r>
            <w:r w:rsidR="00CF242E" w:rsidRPr="005375AF">
              <w:rPr>
                <w:rFonts w:eastAsia="SimSun"/>
                <w:lang w:val="es-ES_tradnl" w:eastAsia="zh-CN"/>
              </w:rPr>
              <w:t>)</w:t>
            </w:r>
            <w:bookmarkEnd w:id="34"/>
          </w:p>
        </w:tc>
        <w:tc>
          <w:tcPr>
            <w:tcW w:w="2888" w:type="dxa"/>
          </w:tcPr>
          <w:p w:rsidR="00CF242E" w:rsidRPr="005375AF" w:rsidRDefault="004C5476" w:rsidP="008212D7">
            <w:pPr>
              <w:pStyle w:val="Tablehead"/>
              <w:rPr>
                <w:rFonts w:eastAsia="Arial Unicode MS"/>
                <w:lang w:val="es-ES_tradnl"/>
              </w:rPr>
            </w:pPr>
            <w:bookmarkStart w:id="35" w:name="lt_pId155"/>
            <w:r w:rsidRPr="005375AF">
              <w:rPr>
                <w:rFonts w:eastAsia="SimSun"/>
                <w:lang w:val="es-ES_tradnl" w:eastAsia="zh-CN"/>
              </w:rPr>
              <w:t>Intensidad de campo</w:t>
            </w:r>
            <w:r w:rsidR="008212D7">
              <w:rPr>
                <w:rFonts w:eastAsia="SimSun"/>
                <w:lang w:val="es-ES_tradnl" w:eastAsia="zh-CN"/>
              </w:rPr>
              <w:t xml:space="preserve"> </w:t>
            </w:r>
            <w:bookmarkEnd w:id="35"/>
            <w:r w:rsidR="00CF242E" w:rsidRPr="005375AF">
              <w:rPr>
                <w:rFonts w:eastAsia="SimSun"/>
                <w:lang w:val="es-ES_tradnl" w:eastAsia="zh-CN"/>
              </w:rPr>
              <w:br/>
            </w:r>
            <w:bookmarkStart w:id="36" w:name="lt_pId156"/>
            <w:r w:rsidR="00B657C4">
              <w:rPr>
                <w:rFonts w:eastAsia="SimSun"/>
                <w:lang w:val="es-ES_tradnl" w:eastAsia="zh-CN"/>
              </w:rPr>
              <w:t>E</w:t>
            </w:r>
            <w:r w:rsidR="00CF242E" w:rsidRPr="005375AF">
              <w:rPr>
                <w:rFonts w:eastAsia="SimSun"/>
                <w:lang w:val="es-ES_tradnl" w:eastAsia="zh-CN"/>
              </w:rPr>
              <w:t xml:space="preserve"> (</w:t>
            </w:r>
            <w:r w:rsidR="00CF242E" w:rsidRPr="005375AF">
              <w:rPr>
                <w:lang w:val="es-ES_tradnl"/>
              </w:rPr>
              <w:t>μV/m</w:t>
            </w:r>
            <w:r w:rsidR="00CF242E" w:rsidRPr="005375AF">
              <w:rPr>
                <w:rFonts w:eastAsia="SimSun"/>
                <w:lang w:val="es-ES_tradnl" w:eastAsia="zh-CN"/>
              </w:rPr>
              <w:t>)</w:t>
            </w:r>
            <w:bookmarkEnd w:id="36"/>
          </w:p>
        </w:tc>
      </w:tr>
      <w:tr w:rsidR="00CF242E" w:rsidRPr="005375AF" w:rsidTr="00E26B1D">
        <w:trPr>
          <w:trHeight w:val="315"/>
        </w:trPr>
        <w:tc>
          <w:tcPr>
            <w:tcW w:w="2142" w:type="dxa"/>
          </w:tcPr>
          <w:p w:rsidR="00CF242E" w:rsidRPr="005375AF" w:rsidRDefault="00CF242E" w:rsidP="00B618C8">
            <w:pPr>
              <w:pStyle w:val="Tabletext"/>
              <w:jc w:val="center"/>
              <w:rPr>
                <w:rFonts w:eastAsia="Arial Unicode MS"/>
                <w:lang w:val="es-ES_tradnl"/>
              </w:rPr>
            </w:pPr>
            <w:r w:rsidRPr="005375AF">
              <w:rPr>
                <w:lang w:val="es-ES_tradnl"/>
              </w:rPr>
              <w:t>1</w:t>
            </w:r>
          </w:p>
        </w:tc>
        <w:tc>
          <w:tcPr>
            <w:tcW w:w="2935" w:type="dxa"/>
          </w:tcPr>
          <w:p w:rsidR="00CF242E" w:rsidRPr="005375AF" w:rsidRDefault="00CF242E" w:rsidP="00B618C8">
            <w:pPr>
              <w:pStyle w:val="Tabletext"/>
              <w:jc w:val="center"/>
              <w:rPr>
                <w:lang w:val="es-ES_tradnl"/>
              </w:rPr>
            </w:pPr>
          </w:p>
        </w:tc>
        <w:tc>
          <w:tcPr>
            <w:tcW w:w="2888" w:type="dxa"/>
          </w:tcPr>
          <w:p w:rsidR="00CF242E" w:rsidRPr="005375AF" w:rsidRDefault="00CF242E" w:rsidP="00B618C8">
            <w:pPr>
              <w:pStyle w:val="Tabletext"/>
              <w:jc w:val="center"/>
              <w:rPr>
                <w:rFonts w:eastAsia="Arial Unicode MS"/>
                <w:lang w:val="es-ES_tradnl"/>
              </w:rPr>
            </w:pPr>
          </w:p>
        </w:tc>
      </w:tr>
      <w:tr w:rsidR="00CF242E" w:rsidRPr="005375AF" w:rsidTr="00E26B1D">
        <w:trPr>
          <w:trHeight w:val="255"/>
        </w:trPr>
        <w:tc>
          <w:tcPr>
            <w:tcW w:w="2142" w:type="dxa"/>
          </w:tcPr>
          <w:p w:rsidR="00CF242E" w:rsidRPr="005375AF" w:rsidRDefault="00CF242E" w:rsidP="00B618C8">
            <w:pPr>
              <w:pStyle w:val="Tabletext"/>
              <w:jc w:val="center"/>
              <w:rPr>
                <w:rFonts w:eastAsia="Arial Unicode MS"/>
                <w:lang w:val="es-ES_tradnl"/>
              </w:rPr>
            </w:pPr>
            <w:r w:rsidRPr="005375AF">
              <w:rPr>
                <w:lang w:val="es-ES_tradnl"/>
              </w:rPr>
              <w:t>2</w:t>
            </w:r>
          </w:p>
        </w:tc>
        <w:tc>
          <w:tcPr>
            <w:tcW w:w="2935" w:type="dxa"/>
          </w:tcPr>
          <w:p w:rsidR="00CF242E" w:rsidRPr="005375AF" w:rsidRDefault="00CF242E" w:rsidP="00B618C8">
            <w:pPr>
              <w:pStyle w:val="Tabletext"/>
              <w:jc w:val="center"/>
              <w:rPr>
                <w:rFonts w:eastAsia="Arial Unicode MS"/>
                <w:lang w:val="es-ES_tradnl"/>
              </w:rPr>
            </w:pPr>
          </w:p>
        </w:tc>
        <w:tc>
          <w:tcPr>
            <w:tcW w:w="2888" w:type="dxa"/>
          </w:tcPr>
          <w:p w:rsidR="00CF242E" w:rsidRPr="005375AF" w:rsidRDefault="00CF242E" w:rsidP="00B618C8">
            <w:pPr>
              <w:pStyle w:val="Tabletext"/>
              <w:jc w:val="center"/>
              <w:rPr>
                <w:rFonts w:eastAsia="Arial Unicode MS"/>
                <w:lang w:val="es-ES_tradnl"/>
              </w:rPr>
            </w:pPr>
          </w:p>
        </w:tc>
      </w:tr>
      <w:tr w:rsidR="00CF242E" w:rsidRPr="005375AF" w:rsidTr="00E26B1D">
        <w:trPr>
          <w:trHeight w:val="255"/>
        </w:trPr>
        <w:tc>
          <w:tcPr>
            <w:tcW w:w="2142" w:type="dxa"/>
          </w:tcPr>
          <w:p w:rsidR="00CF242E" w:rsidRPr="005375AF" w:rsidRDefault="00CF242E" w:rsidP="00B618C8">
            <w:pPr>
              <w:pStyle w:val="Tabletext"/>
              <w:jc w:val="center"/>
              <w:rPr>
                <w:rFonts w:eastAsia="Arial Unicode MS"/>
                <w:lang w:val="es-ES_tradnl"/>
              </w:rPr>
            </w:pPr>
            <w:r w:rsidRPr="005375AF">
              <w:rPr>
                <w:lang w:val="es-ES_tradnl"/>
              </w:rPr>
              <w:t>3</w:t>
            </w:r>
          </w:p>
        </w:tc>
        <w:tc>
          <w:tcPr>
            <w:tcW w:w="2935" w:type="dxa"/>
          </w:tcPr>
          <w:p w:rsidR="00CF242E" w:rsidRPr="005375AF" w:rsidRDefault="00CF242E" w:rsidP="00B618C8">
            <w:pPr>
              <w:pStyle w:val="Tabletext"/>
              <w:jc w:val="center"/>
              <w:rPr>
                <w:rFonts w:eastAsia="Arial Unicode MS"/>
                <w:lang w:val="es-ES_tradnl"/>
              </w:rPr>
            </w:pPr>
          </w:p>
        </w:tc>
        <w:tc>
          <w:tcPr>
            <w:tcW w:w="2888" w:type="dxa"/>
          </w:tcPr>
          <w:p w:rsidR="00CF242E" w:rsidRPr="005375AF" w:rsidRDefault="00CF242E" w:rsidP="00B618C8">
            <w:pPr>
              <w:pStyle w:val="Tabletext"/>
              <w:jc w:val="center"/>
              <w:rPr>
                <w:rFonts w:eastAsia="Arial Unicode MS"/>
                <w:lang w:val="es-ES_tradnl"/>
              </w:rPr>
            </w:pPr>
          </w:p>
        </w:tc>
      </w:tr>
      <w:tr w:rsidR="00CF242E" w:rsidRPr="005375AF" w:rsidTr="00E26B1D">
        <w:trPr>
          <w:trHeight w:val="255"/>
        </w:trPr>
        <w:tc>
          <w:tcPr>
            <w:tcW w:w="2142" w:type="dxa"/>
          </w:tcPr>
          <w:p w:rsidR="00CF242E" w:rsidRPr="005375AF" w:rsidRDefault="00CF242E" w:rsidP="00B618C8">
            <w:pPr>
              <w:pStyle w:val="Tabletext"/>
              <w:jc w:val="center"/>
              <w:rPr>
                <w:rFonts w:eastAsia="Arial Unicode MS"/>
                <w:lang w:val="es-ES_tradnl"/>
              </w:rPr>
            </w:pPr>
            <w:r w:rsidRPr="005375AF">
              <w:rPr>
                <w:rFonts w:eastAsia="Arial Unicode MS"/>
                <w:lang w:val="es-ES_tradnl"/>
              </w:rPr>
              <w:t>…</w:t>
            </w:r>
          </w:p>
        </w:tc>
        <w:tc>
          <w:tcPr>
            <w:tcW w:w="2935" w:type="dxa"/>
          </w:tcPr>
          <w:p w:rsidR="00CF242E" w:rsidRPr="005375AF" w:rsidRDefault="00CF242E" w:rsidP="00B618C8">
            <w:pPr>
              <w:pStyle w:val="Tabletext"/>
              <w:jc w:val="center"/>
              <w:rPr>
                <w:rFonts w:eastAsia="Arial Unicode MS"/>
                <w:lang w:val="es-ES_tradnl"/>
              </w:rPr>
            </w:pPr>
            <w:r w:rsidRPr="005375AF">
              <w:rPr>
                <w:rFonts w:eastAsia="Arial Unicode MS"/>
                <w:lang w:val="es-ES_tradnl"/>
              </w:rPr>
              <w:t>…</w:t>
            </w:r>
          </w:p>
        </w:tc>
        <w:tc>
          <w:tcPr>
            <w:tcW w:w="2888" w:type="dxa"/>
          </w:tcPr>
          <w:p w:rsidR="00CF242E" w:rsidRPr="005375AF" w:rsidRDefault="00CF242E" w:rsidP="00B618C8">
            <w:pPr>
              <w:pStyle w:val="Tabletext"/>
              <w:jc w:val="center"/>
              <w:rPr>
                <w:rFonts w:eastAsia="Arial Unicode MS"/>
                <w:lang w:val="es-ES_tradnl"/>
              </w:rPr>
            </w:pPr>
            <w:r w:rsidRPr="005375AF">
              <w:rPr>
                <w:rFonts w:eastAsia="Arial Unicode MS"/>
                <w:lang w:val="es-ES_tradnl"/>
              </w:rPr>
              <w:t>…</w:t>
            </w:r>
          </w:p>
        </w:tc>
      </w:tr>
    </w:tbl>
    <w:p w:rsidR="00CF242E" w:rsidRPr="005375AF" w:rsidRDefault="00CF242E" w:rsidP="00CF242E">
      <w:pPr>
        <w:pStyle w:val="Tablefin"/>
        <w:rPr>
          <w:lang w:val="es-ES_tradnl"/>
        </w:rPr>
      </w:pPr>
    </w:p>
    <w:p w:rsidR="00CF242E" w:rsidRPr="005375AF" w:rsidRDefault="00AD2023" w:rsidP="00565560">
      <w:pPr>
        <w:spacing w:before="240" w:after="120"/>
        <w:rPr>
          <w:lang w:val="es-ES_tradnl"/>
        </w:rPr>
      </w:pPr>
      <w:bookmarkStart w:id="37" w:name="lt_pId163"/>
      <w:r w:rsidRPr="005375AF">
        <w:rPr>
          <w:lang w:val="es-ES_tradnl"/>
        </w:rPr>
        <w:t xml:space="preserve">Ejemplo de especificación en una hoja de cálculo de </w:t>
      </w:r>
      <w:r w:rsidR="00272648" w:rsidRPr="005375AF">
        <w:rPr>
          <w:lang w:val="es-ES_tradnl"/>
        </w:rPr>
        <w:t>precisión de radiogoniometría</w:t>
      </w:r>
      <w:r w:rsidR="00CF242E" w:rsidRPr="005375AF">
        <w:rPr>
          <w:lang w:val="es-ES_tradnl"/>
        </w:rPr>
        <w:t>:</w:t>
      </w:r>
      <w:bookmarkEnd w:id="3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9"/>
        <w:gridCol w:w="170"/>
        <w:gridCol w:w="1536"/>
        <w:gridCol w:w="130"/>
        <w:gridCol w:w="1680"/>
        <w:gridCol w:w="1735"/>
        <w:gridCol w:w="742"/>
        <w:gridCol w:w="1714"/>
      </w:tblGrid>
      <w:tr w:rsidR="00CF242E" w:rsidRPr="005375AF" w:rsidTr="00A04878">
        <w:trPr>
          <w:jc w:val="center"/>
        </w:trPr>
        <w:tc>
          <w:tcPr>
            <w:tcW w:w="1519" w:type="dxa"/>
          </w:tcPr>
          <w:p w:rsidR="00CF242E" w:rsidRPr="005375AF" w:rsidRDefault="00AD2023" w:rsidP="00B618C8">
            <w:pPr>
              <w:pStyle w:val="Tablehead"/>
              <w:rPr>
                <w:lang w:val="es-ES_tradnl" w:eastAsia="zh-CN"/>
              </w:rPr>
            </w:pPr>
            <w:r w:rsidRPr="005375AF">
              <w:rPr>
                <w:lang w:val="es-ES_tradnl" w:eastAsia="zh-CN"/>
              </w:rPr>
              <w:t>Frecuencia</w:t>
            </w:r>
          </w:p>
        </w:tc>
        <w:tc>
          <w:tcPr>
            <w:tcW w:w="1706" w:type="dxa"/>
            <w:gridSpan w:val="2"/>
          </w:tcPr>
          <w:p w:rsidR="00CF242E" w:rsidRPr="005375AF" w:rsidRDefault="00CF242E" w:rsidP="00B618C8">
            <w:pPr>
              <w:pStyle w:val="Tablehead"/>
              <w:rPr>
                <w:lang w:val="es-ES_tradnl" w:eastAsia="zh-CN"/>
              </w:rPr>
            </w:pPr>
            <w:bookmarkStart w:id="38" w:name="lt_pId165"/>
            <w:r w:rsidRPr="005375AF">
              <w:rPr>
                <w:i/>
                <w:iCs/>
                <w:lang w:val="es-ES_tradnl" w:eastAsia="zh-CN"/>
              </w:rPr>
              <w:t>f</w:t>
            </w:r>
            <w:r w:rsidRPr="005375AF">
              <w:rPr>
                <w:vertAlign w:val="subscript"/>
                <w:lang w:val="es-ES_tradnl" w:eastAsia="zh-CN"/>
              </w:rPr>
              <w:t>1</w:t>
            </w:r>
            <w:bookmarkEnd w:id="38"/>
          </w:p>
        </w:tc>
        <w:tc>
          <w:tcPr>
            <w:tcW w:w="1810" w:type="dxa"/>
            <w:gridSpan w:val="2"/>
          </w:tcPr>
          <w:p w:rsidR="00CF242E" w:rsidRPr="005375AF" w:rsidRDefault="00CF242E" w:rsidP="00B618C8">
            <w:pPr>
              <w:pStyle w:val="Tablehead"/>
              <w:rPr>
                <w:lang w:val="es-ES_tradnl" w:eastAsia="zh-CN"/>
              </w:rPr>
            </w:pPr>
            <w:bookmarkStart w:id="39" w:name="lt_pId166"/>
            <w:r w:rsidRPr="005375AF">
              <w:rPr>
                <w:i/>
                <w:iCs/>
                <w:lang w:val="es-ES_tradnl" w:eastAsia="zh-CN"/>
              </w:rPr>
              <w:t>f</w:t>
            </w:r>
            <w:r w:rsidRPr="005375AF">
              <w:rPr>
                <w:vertAlign w:val="subscript"/>
                <w:lang w:val="es-ES_tradnl" w:eastAsia="zh-CN"/>
              </w:rPr>
              <w:t>2</w:t>
            </w:r>
            <w:bookmarkEnd w:id="39"/>
          </w:p>
        </w:tc>
        <w:tc>
          <w:tcPr>
            <w:tcW w:w="1735" w:type="dxa"/>
          </w:tcPr>
          <w:p w:rsidR="00CF242E" w:rsidRPr="005375AF" w:rsidRDefault="00CF242E" w:rsidP="00B618C8">
            <w:pPr>
              <w:pStyle w:val="Tablehead"/>
              <w:rPr>
                <w:lang w:val="es-ES_tradnl" w:eastAsia="zh-CN"/>
              </w:rPr>
            </w:pPr>
            <w:bookmarkStart w:id="40" w:name="lt_pId167"/>
            <w:r w:rsidRPr="005375AF">
              <w:rPr>
                <w:i/>
                <w:iCs/>
                <w:lang w:val="es-ES_tradnl" w:eastAsia="zh-CN"/>
              </w:rPr>
              <w:t>f</w:t>
            </w:r>
            <w:r w:rsidRPr="005375AF">
              <w:rPr>
                <w:vertAlign w:val="subscript"/>
                <w:lang w:val="es-ES_tradnl" w:eastAsia="zh-CN"/>
              </w:rPr>
              <w:t>3</w:t>
            </w:r>
            <w:bookmarkEnd w:id="40"/>
          </w:p>
        </w:tc>
        <w:tc>
          <w:tcPr>
            <w:tcW w:w="742" w:type="dxa"/>
          </w:tcPr>
          <w:p w:rsidR="00CF242E" w:rsidRPr="005375AF" w:rsidRDefault="00CF242E" w:rsidP="00B618C8">
            <w:pPr>
              <w:pStyle w:val="Tablehead"/>
              <w:rPr>
                <w:lang w:val="es-ES_tradnl" w:eastAsia="zh-CN"/>
              </w:rPr>
            </w:pPr>
            <w:r w:rsidRPr="005375AF">
              <w:rPr>
                <w:lang w:val="es-ES_tradnl" w:eastAsia="zh-CN"/>
              </w:rPr>
              <w:t>…</w:t>
            </w:r>
          </w:p>
        </w:tc>
        <w:tc>
          <w:tcPr>
            <w:tcW w:w="1714" w:type="dxa"/>
          </w:tcPr>
          <w:p w:rsidR="00CF242E" w:rsidRPr="005375AF" w:rsidRDefault="00CF242E" w:rsidP="00B618C8">
            <w:pPr>
              <w:pStyle w:val="Tablehead"/>
              <w:rPr>
                <w:i/>
                <w:iCs/>
                <w:lang w:val="es-ES_tradnl" w:eastAsia="zh-CN"/>
              </w:rPr>
            </w:pPr>
            <w:bookmarkStart w:id="41" w:name="lt_pId169"/>
            <w:r w:rsidRPr="005375AF">
              <w:rPr>
                <w:i/>
                <w:iCs/>
                <w:lang w:val="es-ES_tradnl" w:eastAsia="zh-CN"/>
              </w:rPr>
              <w:t>f</w:t>
            </w:r>
            <w:r w:rsidRPr="005375AF">
              <w:rPr>
                <w:i/>
                <w:iCs/>
                <w:vertAlign w:val="subscript"/>
                <w:lang w:val="es-ES_tradnl" w:eastAsia="zh-CN"/>
              </w:rPr>
              <w:t>N</w:t>
            </w:r>
            <w:bookmarkEnd w:id="41"/>
          </w:p>
        </w:tc>
      </w:tr>
      <w:tr w:rsidR="00CF242E" w:rsidRPr="00330BA9" w:rsidTr="00A04878">
        <w:trPr>
          <w:jc w:val="center"/>
        </w:trPr>
        <w:tc>
          <w:tcPr>
            <w:tcW w:w="1689" w:type="dxa"/>
            <w:gridSpan w:val="2"/>
          </w:tcPr>
          <w:p w:rsidR="00CF242E" w:rsidRPr="00A04878" w:rsidRDefault="00272648" w:rsidP="00A04878">
            <w:pPr>
              <w:pStyle w:val="Tabletext"/>
              <w:jc w:val="center"/>
              <w:rPr>
                <w:sz w:val="21"/>
                <w:szCs w:val="21"/>
                <w:lang w:val="es-ES_tradnl" w:eastAsia="zh-CN"/>
              </w:rPr>
            </w:pPr>
            <w:bookmarkStart w:id="42" w:name="lt_pId170"/>
            <w:r w:rsidRPr="00A04878">
              <w:rPr>
                <w:sz w:val="21"/>
                <w:szCs w:val="21"/>
                <w:lang w:val="es-ES_tradnl"/>
              </w:rPr>
              <w:t xml:space="preserve">Precisión de </w:t>
            </w:r>
            <w:r w:rsidR="00A04878" w:rsidRPr="00A04878">
              <w:rPr>
                <w:sz w:val="21"/>
                <w:szCs w:val="21"/>
                <w:lang w:val="es-ES_tradnl"/>
              </w:rPr>
              <w:t>radio</w:t>
            </w:r>
            <w:r w:rsidRPr="00A04878">
              <w:rPr>
                <w:sz w:val="21"/>
                <w:szCs w:val="21"/>
                <w:lang w:val="es-ES_tradnl"/>
              </w:rPr>
              <w:t>goniometría</w:t>
            </w:r>
            <w:bookmarkEnd w:id="42"/>
          </w:p>
        </w:tc>
        <w:tc>
          <w:tcPr>
            <w:tcW w:w="1666" w:type="dxa"/>
            <w:gridSpan w:val="2"/>
          </w:tcPr>
          <w:p w:rsidR="00CF242E" w:rsidRPr="00A04878" w:rsidRDefault="00272648" w:rsidP="00272648">
            <w:pPr>
              <w:pStyle w:val="Tabletext"/>
              <w:jc w:val="center"/>
              <w:rPr>
                <w:sz w:val="21"/>
                <w:szCs w:val="21"/>
                <w:lang w:val="es-ES_tradnl" w:eastAsia="zh-CN"/>
              </w:rPr>
            </w:pPr>
            <w:bookmarkStart w:id="43" w:name="lt_pId171"/>
            <w:r w:rsidRPr="00A04878">
              <w:rPr>
                <w:sz w:val="21"/>
                <w:szCs w:val="21"/>
                <w:lang w:val="es-ES_tradnl"/>
              </w:rPr>
              <w:t>P</w:t>
            </w:r>
            <w:r w:rsidR="00A04878" w:rsidRPr="00A04878">
              <w:rPr>
                <w:sz w:val="21"/>
                <w:szCs w:val="21"/>
                <w:lang w:val="es-ES_tradnl"/>
              </w:rPr>
              <w:t>recisión de radio</w:t>
            </w:r>
            <w:r w:rsidRPr="00A04878">
              <w:rPr>
                <w:sz w:val="21"/>
                <w:szCs w:val="21"/>
                <w:lang w:val="es-ES_tradnl"/>
              </w:rPr>
              <w:t>goniometría</w:t>
            </w:r>
            <w:r w:rsidR="00CF242E" w:rsidRPr="00A04878">
              <w:rPr>
                <w:sz w:val="21"/>
                <w:szCs w:val="21"/>
                <w:lang w:val="es-ES_tradnl" w:eastAsia="zh-CN"/>
              </w:rPr>
              <w:t xml:space="preserve"> </w:t>
            </w:r>
            <w:r w:rsidRPr="00A04878">
              <w:rPr>
                <w:sz w:val="21"/>
                <w:szCs w:val="21"/>
                <w:lang w:val="es-ES_tradnl" w:eastAsia="zh-CN"/>
              </w:rPr>
              <w:t>en</w:t>
            </w:r>
            <w:r w:rsidR="00CF242E" w:rsidRPr="00A04878">
              <w:rPr>
                <w:sz w:val="21"/>
                <w:szCs w:val="21"/>
                <w:lang w:val="es-ES_tradnl" w:eastAsia="zh-CN"/>
              </w:rPr>
              <w:t> </w:t>
            </w:r>
            <w:r w:rsidR="00CF242E" w:rsidRPr="00A04878">
              <w:rPr>
                <w:i/>
                <w:iCs/>
                <w:sz w:val="21"/>
                <w:szCs w:val="21"/>
                <w:lang w:val="es-ES_tradnl" w:eastAsia="zh-CN"/>
              </w:rPr>
              <w:t>f</w:t>
            </w:r>
            <w:r w:rsidR="00CF242E" w:rsidRPr="00A04878">
              <w:rPr>
                <w:sz w:val="21"/>
                <w:szCs w:val="21"/>
                <w:vertAlign w:val="subscript"/>
                <w:lang w:val="es-ES_tradnl" w:eastAsia="zh-CN"/>
              </w:rPr>
              <w:t>1</w:t>
            </w:r>
            <w:bookmarkEnd w:id="43"/>
          </w:p>
        </w:tc>
        <w:tc>
          <w:tcPr>
            <w:tcW w:w="1680" w:type="dxa"/>
          </w:tcPr>
          <w:p w:rsidR="00CF242E" w:rsidRPr="00A04878" w:rsidRDefault="00272648" w:rsidP="00A04878">
            <w:pPr>
              <w:pStyle w:val="Tabletext"/>
              <w:jc w:val="center"/>
              <w:rPr>
                <w:sz w:val="21"/>
                <w:szCs w:val="21"/>
                <w:lang w:val="es-ES_tradnl" w:eastAsia="zh-CN"/>
              </w:rPr>
            </w:pPr>
            <w:bookmarkStart w:id="44" w:name="lt_pId172"/>
            <w:r w:rsidRPr="00A04878">
              <w:rPr>
                <w:sz w:val="21"/>
                <w:szCs w:val="21"/>
                <w:lang w:val="es-ES_tradnl"/>
              </w:rPr>
              <w:t>Precisión de radiogoniometría</w:t>
            </w:r>
            <w:r w:rsidR="00CF242E" w:rsidRPr="00A04878">
              <w:rPr>
                <w:sz w:val="21"/>
                <w:szCs w:val="21"/>
                <w:lang w:val="es-ES_tradnl" w:eastAsia="zh-CN"/>
              </w:rPr>
              <w:t xml:space="preserve"> </w:t>
            </w:r>
            <w:r w:rsidRPr="00A04878">
              <w:rPr>
                <w:sz w:val="21"/>
                <w:szCs w:val="21"/>
                <w:lang w:val="es-ES_tradnl" w:eastAsia="zh-CN"/>
              </w:rPr>
              <w:t>en</w:t>
            </w:r>
            <w:r w:rsidR="00CF242E" w:rsidRPr="00A04878">
              <w:rPr>
                <w:sz w:val="21"/>
                <w:szCs w:val="21"/>
                <w:lang w:val="es-ES_tradnl" w:eastAsia="zh-CN"/>
              </w:rPr>
              <w:t> </w:t>
            </w:r>
            <w:r w:rsidR="00CF242E" w:rsidRPr="00A04878">
              <w:rPr>
                <w:i/>
                <w:iCs/>
                <w:sz w:val="21"/>
                <w:szCs w:val="21"/>
                <w:lang w:val="es-ES_tradnl" w:eastAsia="zh-CN"/>
              </w:rPr>
              <w:t>f</w:t>
            </w:r>
            <w:r w:rsidR="00CF242E" w:rsidRPr="00A04878">
              <w:rPr>
                <w:sz w:val="21"/>
                <w:szCs w:val="21"/>
                <w:vertAlign w:val="subscript"/>
                <w:lang w:val="es-ES_tradnl" w:eastAsia="zh-CN"/>
              </w:rPr>
              <w:t>2</w:t>
            </w:r>
            <w:bookmarkEnd w:id="44"/>
          </w:p>
        </w:tc>
        <w:tc>
          <w:tcPr>
            <w:tcW w:w="1735" w:type="dxa"/>
          </w:tcPr>
          <w:p w:rsidR="00CF242E" w:rsidRPr="00A04878" w:rsidRDefault="00272648" w:rsidP="00A04878">
            <w:pPr>
              <w:pStyle w:val="Tabletext"/>
              <w:jc w:val="center"/>
              <w:rPr>
                <w:sz w:val="21"/>
                <w:szCs w:val="21"/>
                <w:lang w:val="es-ES_tradnl" w:eastAsia="zh-CN"/>
              </w:rPr>
            </w:pPr>
            <w:bookmarkStart w:id="45" w:name="lt_pId173"/>
            <w:r w:rsidRPr="00A04878">
              <w:rPr>
                <w:sz w:val="21"/>
                <w:szCs w:val="21"/>
                <w:lang w:val="es-ES_tradnl"/>
              </w:rPr>
              <w:t>Precisión de radiogoniometría</w:t>
            </w:r>
            <w:r w:rsidR="00CF242E" w:rsidRPr="00A04878">
              <w:rPr>
                <w:sz w:val="21"/>
                <w:szCs w:val="21"/>
                <w:lang w:val="es-ES_tradnl" w:eastAsia="zh-CN"/>
              </w:rPr>
              <w:t xml:space="preserve"> </w:t>
            </w:r>
            <w:r w:rsidRPr="00A04878">
              <w:rPr>
                <w:sz w:val="21"/>
                <w:szCs w:val="21"/>
                <w:lang w:val="es-ES_tradnl" w:eastAsia="zh-CN"/>
              </w:rPr>
              <w:t>en</w:t>
            </w:r>
            <w:r w:rsidR="00CF242E" w:rsidRPr="00A04878">
              <w:rPr>
                <w:sz w:val="21"/>
                <w:szCs w:val="21"/>
                <w:lang w:val="es-ES_tradnl" w:eastAsia="zh-CN"/>
              </w:rPr>
              <w:t> </w:t>
            </w:r>
            <w:r w:rsidR="00CF242E" w:rsidRPr="00A04878">
              <w:rPr>
                <w:i/>
                <w:iCs/>
                <w:sz w:val="21"/>
                <w:szCs w:val="21"/>
                <w:lang w:val="es-ES_tradnl" w:eastAsia="zh-CN"/>
              </w:rPr>
              <w:t>f</w:t>
            </w:r>
            <w:r w:rsidR="00CF242E" w:rsidRPr="00A04878">
              <w:rPr>
                <w:sz w:val="21"/>
                <w:szCs w:val="21"/>
                <w:vertAlign w:val="subscript"/>
                <w:lang w:val="es-ES_tradnl" w:eastAsia="zh-CN"/>
              </w:rPr>
              <w:t>3</w:t>
            </w:r>
            <w:bookmarkEnd w:id="45"/>
          </w:p>
        </w:tc>
        <w:tc>
          <w:tcPr>
            <w:tcW w:w="742" w:type="dxa"/>
          </w:tcPr>
          <w:p w:rsidR="00CF242E" w:rsidRPr="00A04878" w:rsidRDefault="00CF242E" w:rsidP="00B618C8">
            <w:pPr>
              <w:pStyle w:val="Tabletext"/>
              <w:jc w:val="center"/>
              <w:rPr>
                <w:sz w:val="21"/>
                <w:szCs w:val="21"/>
                <w:lang w:val="es-ES_tradnl" w:eastAsia="zh-CN"/>
              </w:rPr>
            </w:pPr>
            <w:r w:rsidRPr="00A04878">
              <w:rPr>
                <w:sz w:val="21"/>
                <w:szCs w:val="21"/>
                <w:lang w:val="es-ES_tradnl" w:eastAsia="zh-CN"/>
              </w:rPr>
              <w:t>…</w:t>
            </w:r>
          </w:p>
        </w:tc>
        <w:tc>
          <w:tcPr>
            <w:tcW w:w="1714" w:type="dxa"/>
          </w:tcPr>
          <w:p w:rsidR="00CF242E" w:rsidRPr="00A04878" w:rsidRDefault="00272648" w:rsidP="00A04878">
            <w:pPr>
              <w:pStyle w:val="Tabletext"/>
              <w:jc w:val="center"/>
              <w:rPr>
                <w:sz w:val="21"/>
                <w:szCs w:val="21"/>
                <w:lang w:val="es-ES_tradnl" w:eastAsia="zh-CN"/>
              </w:rPr>
            </w:pPr>
            <w:bookmarkStart w:id="46" w:name="lt_pId175"/>
            <w:r w:rsidRPr="00A04878">
              <w:rPr>
                <w:sz w:val="21"/>
                <w:szCs w:val="21"/>
                <w:lang w:val="es-ES_tradnl"/>
              </w:rPr>
              <w:t>Precisión de radiogoniometría</w:t>
            </w:r>
            <w:r w:rsidR="00CF242E" w:rsidRPr="00A04878">
              <w:rPr>
                <w:sz w:val="21"/>
                <w:szCs w:val="21"/>
                <w:lang w:val="es-ES_tradnl" w:eastAsia="zh-CN"/>
              </w:rPr>
              <w:t xml:space="preserve"> </w:t>
            </w:r>
            <w:r w:rsidRPr="00A04878">
              <w:rPr>
                <w:sz w:val="21"/>
                <w:szCs w:val="21"/>
                <w:lang w:val="es-ES_tradnl" w:eastAsia="zh-CN"/>
              </w:rPr>
              <w:t>en</w:t>
            </w:r>
            <w:r w:rsidR="00CF242E" w:rsidRPr="00A04878">
              <w:rPr>
                <w:sz w:val="21"/>
                <w:szCs w:val="21"/>
                <w:lang w:val="es-ES_tradnl" w:eastAsia="zh-CN"/>
              </w:rPr>
              <w:t> </w:t>
            </w:r>
            <w:r w:rsidR="00CF242E" w:rsidRPr="00A04878">
              <w:rPr>
                <w:i/>
                <w:iCs/>
                <w:sz w:val="21"/>
                <w:szCs w:val="21"/>
                <w:lang w:val="es-ES_tradnl" w:eastAsia="zh-CN"/>
              </w:rPr>
              <w:t>f</w:t>
            </w:r>
            <w:r w:rsidR="00CF242E" w:rsidRPr="00A04878">
              <w:rPr>
                <w:i/>
                <w:iCs/>
                <w:sz w:val="21"/>
                <w:szCs w:val="21"/>
                <w:vertAlign w:val="subscript"/>
                <w:lang w:val="es-ES_tradnl" w:eastAsia="zh-CN"/>
              </w:rPr>
              <w:t>N</w:t>
            </w:r>
            <w:bookmarkEnd w:id="46"/>
          </w:p>
        </w:tc>
      </w:tr>
    </w:tbl>
    <w:p w:rsidR="00BC685F" w:rsidRDefault="00BC685F" w:rsidP="00B75C9E">
      <w:pPr>
        <w:rPr>
          <w:lang w:val="es-ES_tradnl"/>
        </w:rPr>
      </w:pPr>
    </w:p>
    <w:p w:rsidR="00B75C9E" w:rsidRPr="005375AF" w:rsidRDefault="00B75C9E" w:rsidP="00B75C9E">
      <w:pPr>
        <w:pStyle w:val="Line"/>
      </w:pPr>
    </w:p>
    <w:sectPr w:rsidR="00B75C9E" w:rsidRPr="005375AF" w:rsidSect="00A763D8">
      <w:headerReference w:type="even" r:id="rId16"/>
      <w:headerReference w:type="default" r:id="rId17"/>
      <w:footerReference w:type="even" r:id="rId18"/>
      <w:footerReference w:type="default" r:id="rId19"/>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58B8" w:rsidRDefault="008758B8">
      <w:r>
        <w:separator/>
      </w:r>
    </w:p>
  </w:endnote>
  <w:endnote w:type="continuationSeparator" w:id="0">
    <w:p w:rsidR="008758B8" w:rsidRDefault="008758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41BB" w:rsidRPr="00330BA9" w:rsidRDefault="001041BB" w:rsidP="00330BA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685F" w:rsidRPr="00330BA9" w:rsidRDefault="00BC685F" w:rsidP="00330B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58B8" w:rsidRDefault="008758B8">
      <w:r>
        <w:separator/>
      </w:r>
    </w:p>
  </w:footnote>
  <w:footnote w:type="continuationSeparator" w:id="0">
    <w:p w:rsidR="008758B8" w:rsidRDefault="008758B8">
      <w:r>
        <w:continuationSeparator/>
      </w:r>
    </w:p>
  </w:footnote>
  <w:footnote w:id="1">
    <w:p w:rsidR="006E7B9B" w:rsidRPr="006E7B9B" w:rsidRDefault="006E7B9B" w:rsidP="006E7B9B">
      <w:pPr>
        <w:pStyle w:val="FootnoteText"/>
        <w:rPr>
          <w:lang w:val="es-ES_tradnl"/>
        </w:rPr>
      </w:pPr>
      <w:r>
        <w:rPr>
          <w:rStyle w:val="FootnoteReference"/>
        </w:rPr>
        <w:footnoteRef/>
      </w:r>
      <w:r w:rsidRPr="006E7B9B">
        <w:rPr>
          <w:lang w:val="es-ES_tradnl"/>
        </w:rPr>
        <w:tab/>
        <w:t>La definición de EPZA puede encontrarse en diversas normas, como ANSI C63.7, CISPR o EN55 022. Se considera que una EPZA debe tener visibilidad directa sin señal interferente, reflexión ni campo lejano (Región Fraunhofer).</w:t>
      </w:r>
    </w:p>
  </w:footnote>
  <w:footnote w:id="2">
    <w:p w:rsidR="00CF242E" w:rsidRPr="00A04878" w:rsidRDefault="00CF242E" w:rsidP="004C5476">
      <w:pPr>
        <w:pStyle w:val="FootnoteText"/>
        <w:rPr>
          <w:lang w:val="es-ES_tradnl"/>
        </w:rPr>
      </w:pPr>
      <w:r>
        <w:rPr>
          <w:rStyle w:val="FootnoteReference"/>
        </w:rPr>
        <w:footnoteRef/>
      </w:r>
      <w:r w:rsidRPr="004C5476">
        <w:rPr>
          <w:lang w:val="es-ES_tradnl"/>
        </w:rPr>
        <w:tab/>
      </w:r>
      <w:bookmarkStart w:id="23" w:name="lt_pId178"/>
      <w:r w:rsidR="004C5476" w:rsidRPr="004C5476">
        <w:rPr>
          <w:lang w:val="es-ES_tradnl"/>
        </w:rPr>
        <w:t>Este tipo de prueba por repetición puede realizarse eficazmente utilizando un software para controlar el transmisor y el sistema de radiogoniom</w:t>
      </w:r>
      <w:r w:rsidR="004C5476">
        <w:rPr>
          <w:lang w:val="es-ES_tradnl"/>
        </w:rPr>
        <w:t xml:space="preserve">etría, recopilar y rendir cuenta de los resultados. </w:t>
      </w:r>
      <w:r w:rsidR="004C5476" w:rsidRPr="00A04878">
        <w:rPr>
          <w:lang w:val="es-ES_tradnl"/>
        </w:rPr>
        <w:t>La eficacia de la prueba puede mejorar drásticamente</w:t>
      </w:r>
      <w:bookmarkStart w:id="24" w:name="lt_pId179"/>
      <w:bookmarkEnd w:id="23"/>
      <w:r w:rsidRPr="00A04878">
        <w:rPr>
          <w:rFonts w:eastAsia="SimSun"/>
          <w:lang w:val="es-ES_tradnl" w:eastAsia="zh-CN"/>
        </w:rPr>
        <w:t>.</w:t>
      </w:r>
      <w:bookmarkEnd w:id="24"/>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B8" w:rsidRDefault="008758B8">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B8" w:rsidRDefault="008758B8" w:rsidP="00D62884">
    <w:pPr>
      <w:pStyle w:val="Header"/>
      <w:ind w:right="360" w:firstLine="360"/>
    </w:pPr>
    <w:r>
      <w:rPr>
        <w:noProof/>
        <w:lang w:val="en-GB" w:eastAsia="en-GB"/>
      </w:rPr>
      <w:drawing>
        <wp:anchor distT="0" distB="0" distL="114300" distR="114300" simplePos="0" relativeHeight="251659264" behindDoc="1" locked="0" layoutInCell="1" allowOverlap="1" wp14:anchorId="0538C7CD" wp14:editId="6E55B66C">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B8" w:rsidRDefault="008758B8" w:rsidP="007F3B59">
    <w:pPr>
      <w:pStyle w:val="Header"/>
      <w:jc w:val="both"/>
    </w:pPr>
    <w:r>
      <w:tab/>
    </w:r>
    <w:fldSimple w:instr=" DOCPROPERTY &quot;Header&quot; \* MERGEFORMAT ">
      <w:r w:rsidR="00D32DA5" w:rsidRPr="00D32D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32DA5">
      <w:rPr>
        <w:b/>
        <w:bCs/>
        <w:noProof/>
      </w:rPr>
      <w:t>UIT-R  SM.2096-0</w:t>
    </w:r>
    <w:r>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B8" w:rsidRDefault="008758B8" w:rsidP="00B1717A">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D32DA5">
      <w:rPr>
        <w:rStyle w:val="PageNumber"/>
        <w:b/>
        <w:bCs/>
        <w:noProof/>
      </w:rPr>
      <w:t>ii</w:t>
    </w:r>
    <w:r>
      <w:rPr>
        <w:rStyle w:val="PageNumber"/>
        <w:b/>
        <w:bCs/>
      </w:rPr>
      <w:fldChar w:fldCharType="end"/>
    </w:r>
    <w:r>
      <w:tab/>
    </w:r>
    <w:fldSimple w:instr=" DOCPROPERTY &quot;Header&quot; \* MERGEFORMAT ">
      <w:r w:rsidR="00D32DA5" w:rsidRPr="00D32DA5">
        <w:rPr>
          <w:b/>
          <w:bCs/>
          <w:lang w:val="fr-CH"/>
        </w:rPr>
        <w:t xml:space="preserve">Rec. </w:t>
      </w:r>
    </w:fldSimple>
    <w:r>
      <w:rPr>
        <w:b/>
        <w:bCs/>
      </w:rPr>
      <w:t xml:space="preserve"> </w:t>
    </w:r>
    <w:r>
      <w:rPr>
        <w:b/>
        <w:bCs/>
      </w:rPr>
      <w:fldChar w:fldCharType="begin"/>
    </w:r>
    <w:r>
      <w:rPr>
        <w:b/>
        <w:bCs/>
      </w:rPr>
      <w:instrText>styleref href</w:instrText>
    </w:r>
    <w:r>
      <w:rPr>
        <w:b/>
        <w:bCs/>
      </w:rPr>
      <w:fldChar w:fldCharType="separate"/>
    </w:r>
    <w:r w:rsidR="00D32DA5">
      <w:rPr>
        <w:b/>
        <w:bCs/>
        <w:noProof/>
      </w:rPr>
      <w:t>UIT-R  SM.2096-0</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758B8" w:rsidRDefault="008758B8" w:rsidP="007F3B59">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tab/>
    </w:r>
    <w:fldSimple w:instr=" DOCPROPERTY &quot;Header&quot; \* MERGEFORMAT ">
      <w:r w:rsidR="00D32DA5" w:rsidRPr="00D32D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32DA5">
      <w:rPr>
        <w:b/>
        <w:bCs/>
        <w:noProof/>
      </w:rPr>
      <w:t>UIT-R  SM.2096-0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D32DA5">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D32DA5" w:rsidRPr="00D32DA5">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D32DA5">
      <w:rPr>
        <w:b/>
        <w:bCs/>
        <w:noProof/>
      </w:rPr>
      <w:t>UIT-R  SM.2096-0</w:t>
    </w:r>
    <w:r>
      <w:rPr>
        <w:b/>
        <w:bCs/>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D32DA5" w:rsidRPr="00D32DA5">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D32DA5">
      <w:rPr>
        <w:b/>
        <w:bCs/>
        <w:noProof/>
      </w:rPr>
      <w:t>UIT-R  SM.2096-0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32DA5">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40"/>
  <w:embedSystemFonts/>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es-ES_tradnl" w:vendorID="64" w:dllVersion="131078" w:nlCheck="1" w:checkStyle="0"/>
  <w:activeWritingStyle w:appName="MSWord" w:lang="fr-CH"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58B8"/>
    <w:rsid w:val="000464C6"/>
    <w:rsid w:val="00047839"/>
    <w:rsid w:val="000A00A9"/>
    <w:rsid w:val="000A609F"/>
    <w:rsid w:val="000F1762"/>
    <w:rsid w:val="001041BB"/>
    <w:rsid w:val="00211A09"/>
    <w:rsid w:val="00217EBF"/>
    <w:rsid w:val="002203BB"/>
    <w:rsid w:val="00226614"/>
    <w:rsid w:val="00242AEE"/>
    <w:rsid w:val="0024493E"/>
    <w:rsid w:val="00251AE7"/>
    <w:rsid w:val="00272648"/>
    <w:rsid w:val="002D30BF"/>
    <w:rsid w:val="002D76C4"/>
    <w:rsid w:val="00303620"/>
    <w:rsid w:val="00313878"/>
    <w:rsid w:val="00330BA9"/>
    <w:rsid w:val="00371FAD"/>
    <w:rsid w:val="003811CD"/>
    <w:rsid w:val="0049385F"/>
    <w:rsid w:val="004C5476"/>
    <w:rsid w:val="0052529D"/>
    <w:rsid w:val="005317B1"/>
    <w:rsid w:val="00535F50"/>
    <w:rsid w:val="005375AF"/>
    <w:rsid w:val="00562FB7"/>
    <w:rsid w:val="00565560"/>
    <w:rsid w:val="00583F08"/>
    <w:rsid w:val="005B5769"/>
    <w:rsid w:val="005D485F"/>
    <w:rsid w:val="005E7ACB"/>
    <w:rsid w:val="00607D68"/>
    <w:rsid w:val="006B6F6E"/>
    <w:rsid w:val="006E7B9B"/>
    <w:rsid w:val="007468DA"/>
    <w:rsid w:val="00785256"/>
    <w:rsid w:val="00791BCB"/>
    <w:rsid w:val="007E70D5"/>
    <w:rsid w:val="00810649"/>
    <w:rsid w:val="008212D7"/>
    <w:rsid w:val="008758B8"/>
    <w:rsid w:val="00942C29"/>
    <w:rsid w:val="009E00A8"/>
    <w:rsid w:val="00A011A1"/>
    <w:rsid w:val="00A0157D"/>
    <w:rsid w:val="00A04878"/>
    <w:rsid w:val="00A60862"/>
    <w:rsid w:val="00A6617B"/>
    <w:rsid w:val="00A763D8"/>
    <w:rsid w:val="00AB0DC8"/>
    <w:rsid w:val="00AC6B47"/>
    <w:rsid w:val="00AD2023"/>
    <w:rsid w:val="00B44E24"/>
    <w:rsid w:val="00B56EBD"/>
    <w:rsid w:val="00B657C4"/>
    <w:rsid w:val="00B65CF5"/>
    <w:rsid w:val="00B75C9E"/>
    <w:rsid w:val="00BA26B4"/>
    <w:rsid w:val="00BA7891"/>
    <w:rsid w:val="00BC685F"/>
    <w:rsid w:val="00BC7BC2"/>
    <w:rsid w:val="00BE5FBA"/>
    <w:rsid w:val="00C1251E"/>
    <w:rsid w:val="00CC0D75"/>
    <w:rsid w:val="00CC569F"/>
    <w:rsid w:val="00CD78BC"/>
    <w:rsid w:val="00CF242E"/>
    <w:rsid w:val="00D273CF"/>
    <w:rsid w:val="00D32DA5"/>
    <w:rsid w:val="00D43B49"/>
    <w:rsid w:val="00D70702"/>
    <w:rsid w:val="00D763A0"/>
    <w:rsid w:val="00DC65AB"/>
    <w:rsid w:val="00DE12F5"/>
    <w:rsid w:val="00DF4176"/>
    <w:rsid w:val="00E11C37"/>
    <w:rsid w:val="00E20022"/>
    <w:rsid w:val="00E26B1D"/>
    <w:rsid w:val="00E33443"/>
    <w:rsid w:val="00E41EFD"/>
    <w:rsid w:val="00E54E07"/>
    <w:rsid w:val="00E72D3E"/>
    <w:rsid w:val="00E80190"/>
    <w:rsid w:val="00E87AC9"/>
    <w:rsid w:val="00E93327"/>
    <w:rsid w:val="00FE04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15:docId w15:val="{5FBF54D5-F42B-4EE7-9596-E4032CB8A8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58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uiPriority w:val="99"/>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uiPriority w:val="99"/>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uiPriority w:val="99"/>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8758B8"/>
    <w:rPr>
      <w:color w:val="0000FF"/>
      <w:u w:val="single"/>
    </w:rPr>
  </w:style>
  <w:style w:type="table" w:styleId="TableGrid">
    <w:name w:val="Table Grid"/>
    <w:basedOn w:val="TableNormal"/>
    <w:rsid w:val="008758B8"/>
    <w:pPr>
      <w:tabs>
        <w:tab w:val="left" w:pos="794"/>
        <w:tab w:val="left" w:pos="1191"/>
        <w:tab w:val="left" w:pos="1588"/>
        <w:tab w:val="left" w:pos="1985"/>
      </w:tabs>
      <w:overflowPunct w:val="0"/>
      <w:autoSpaceDE w:val="0"/>
      <w:autoSpaceDN w:val="0"/>
      <w:adjustRightInd w:val="0"/>
      <w:spacing w:before="120"/>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8758B8"/>
    <w:rPr>
      <w:b/>
      <w:sz w:val="24"/>
      <w:lang w:val="fr-FR" w:eastAsia="en-US"/>
    </w:rPr>
  </w:style>
  <w:style w:type="character" w:customStyle="1" w:styleId="HeaderChar">
    <w:name w:val="Header Char"/>
    <w:basedOn w:val="DefaultParagraphFont"/>
    <w:link w:val="Header"/>
    <w:rsid w:val="008758B8"/>
    <w:rPr>
      <w:sz w:val="24"/>
      <w:lang w:val="fr-FR" w:eastAsia="en-US"/>
    </w:rPr>
  </w:style>
  <w:style w:type="character" w:customStyle="1" w:styleId="FootnoteTextChar">
    <w:name w:val="Footnote Text Char"/>
    <w:basedOn w:val="DefaultParagraphFont"/>
    <w:link w:val="FootnoteText"/>
    <w:rsid w:val="008758B8"/>
    <w:rPr>
      <w:sz w:val="22"/>
      <w:lang w:val="fr-FR" w:eastAsia="en-US"/>
    </w:rPr>
  </w:style>
  <w:style w:type="paragraph" w:customStyle="1" w:styleId="Reasons">
    <w:name w:val="Reasons"/>
    <w:basedOn w:val="Normal"/>
    <w:qFormat/>
    <w:rsid w:val="008758B8"/>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styleId="FollowedHyperlink">
    <w:name w:val="FollowedHyperlink"/>
    <w:basedOn w:val="DefaultParagraphFont"/>
    <w:semiHidden/>
    <w:unhideWhenUsed/>
    <w:rsid w:val="00CF242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 Type="http://schemas.openxmlformats.org/officeDocument/2006/relationships/styles" Target="styles.xml"/><Relationship Id="rId16" Type="http://schemas.openxmlformats.org/officeDocument/2006/relationships/header" Target="header6.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itu.int/publ/R-REC/es" TargetMode="External"/><Relationship Id="rId5" Type="http://schemas.openxmlformats.org/officeDocument/2006/relationships/footnotes" Target="footnotes.xml"/><Relationship Id="rId15" Type="http://schemas.openxmlformats.org/officeDocument/2006/relationships/oleObject" Target="embeddings/oleObject1.bin"/><Relationship Id="rId10" Type="http://schemas.openxmlformats.org/officeDocument/2006/relationships/hyperlink" Target="http://www.itu.int/ITU-R/go/patents/es"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F1AB8-E4A5-4C10-A62C-FDD2922A7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9</TotalTime>
  <Pages>1</Pages>
  <Words>1911</Words>
  <Characters>11102</Characters>
  <Application>Microsoft Office Word</Application>
  <DocSecurity>0</DocSecurity>
  <Lines>740</Lines>
  <Paragraphs>188</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6</cp:revision>
  <cp:lastPrinted>2017-10-11T06:47:00Z</cp:lastPrinted>
  <dcterms:created xsi:type="dcterms:W3CDTF">2017-10-11T06:38:00Z</dcterms:created>
  <dcterms:modified xsi:type="dcterms:W3CDTF">2017-10-11T06:48:00Z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