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p w:rsidR="006D667B" w:rsidRDefault="006D667B"/>
    <w:tbl>
      <w:tblPr>
        <w:tblW w:w="10089" w:type="dxa"/>
        <w:tblLook w:val="01E0" w:firstRow="1" w:lastRow="1" w:firstColumn="1" w:lastColumn="1" w:noHBand="0" w:noVBand="0"/>
      </w:tblPr>
      <w:tblGrid>
        <w:gridCol w:w="10089"/>
      </w:tblGrid>
      <w:tr w:rsidR="006D667B" w:rsidRPr="00A443C2">
        <w:tc>
          <w:tcPr>
            <w:tcW w:w="10089" w:type="dxa"/>
          </w:tcPr>
          <w:p w:rsidR="006D667B" w:rsidRPr="00B033C8" w:rsidRDefault="006D667B" w:rsidP="00DD45B4">
            <w:pPr>
              <w:spacing w:before="380" w:line="280" w:lineRule="exact"/>
              <w:jc w:val="right"/>
              <w:rPr>
                <w:rFonts w:ascii="Tahoma" w:hAnsi="Tahoma" w:cs="Tahoma"/>
                <w:b/>
                <w:bCs/>
                <w:iCs/>
                <w:color w:val="243285"/>
                <w:sz w:val="32"/>
                <w:szCs w:val="32"/>
                <w:lang w:val="en-US"/>
              </w:rPr>
            </w:pPr>
          </w:p>
          <w:p w:rsidR="006D667B" w:rsidRPr="00A443C2" w:rsidRDefault="006D667B" w:rsidP="00F6162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F61620">
              <w:rPr>
                <w:rFonts w:ascii="Tahoma" w:hAnsi="Tahoma" w:cs="Tahoma"/>
                <w:b/>
                <w:bCs/>
                <w:iCs/>
                <w:color w:val="243285"/>
                <w:sz w:val="36"/>
                <w:szCs w:val="36"/>
              </w:rPr>
              <w:t>1446</w:t>
            </w:r>
          </w:p>
          <w:p w:rsidR="006D667B" w:rsidRPr="00A443C2" w:rsidRDefault="006D667B" w:rsidP="00F6162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61620">
              <w:rPr>
                <w:rFonts w:ascii="Tahoma" w:hAnsi="Tahoma" w:cs="Tahoma"/>
                <w:b/>
                <w:bCs/>
                <w:iCs/>
                <w:color w:val="243285"/>
                <w:szCs w:val="24"/>
              </w:rPr>
              <w:t>04</w:t>
            </w:r>
            <w:r w:rsidRPr="00A443C2">
              <w:rPr>
                <w:rFonts w:ascii="Tahoma" w:hAnsi="Tahoma" w:cs="Tahoma"/>
                <w:b/>
                <w:bCs/>
                <w:iCs/>
                <w:color w:val="243285"/>
                <w:szCs w:val="24"/>
              </w:rPr>
              <w:t>/</w:t>
            </w:r>
            <w:r w:rsidR="00F61620">
              <w:rPr>
                <w:rFonts w:ascii="Tahoma" w:hAnsi="Tahoma" w:cs="Tahoma"/>
                <w:b/>
                <w:bCs/>
                <w:iCs/>
                <w:color w:val="243285"/>
                <w:szCs w:val="24"/>
              </w:rPr>
              <w:t>2000</w:t>
            </w:r>
            <w:r w:rsidRPr="00A443C2">
              <w:rPr>
                <w:rFonts w:ascii="Tahoma" w:hAnsi="Tahoma" w:cs="Tahoma"/>
                <w:b/>
                <w:bCs/>
                <w:iCs/>
                <w:color w:val="243285"/>
                <w:szCs w:val="24"/>
              </w:rPr>
              <w:t>)</w:t>
            </w:r>
          </w:p>
        </w:tc>
      </w:tr>
      <w:tr w:rsidR="006D667B" w:rsidRPr="00F54FBD">
        <w:tc>
          <w:tcPr>
            <w:tcW w:w="10089" w:type="dxa"/>
          </w:tcPr>
          <w:p w:rsidR="006D667B" w:rsidRDefault="006D667B" w:rsidP="00DD45B4">
            <w:pPr>
              <w:spacing w:before="80" w:line="500" w:lineRule="exact"/>
              <w:jc w:val="right"/>
              <w:rPr>
                <w:rFonts w:ascii="Tahoma" w:hAnsi="Tahoma" w:cs="Tahoma"/>
                <w:b/>
                <w:bCs/>
                <w:iCs/>
                <w:color w:val="243285"/>
                <w:sz w:val="44"/>
                <w:szCs w:val="44"/>
              </w:rPr>
            </w:pPr>
          </w:p>
          <w:p w:rsidR="006D667B" w:rsidRPr="00DD45B4" w:rsidRDefault="00DD45B4" w:rsidP="00DD45B4">
            <w:pPr>
              <w:spacing w:before="80" w:line="500" w:lineRule="exact"/>
              <w:jc w:val="right"/>
              <w:rPr>
                <w:rFonts w:ascii="Tahoma" w:hAnsi="Tahoma" w:cs="Tahoma"/>
                <w:b/>
                <w:bCs/>
                <w:iCs/>
                <w:color w:val="243285"/>
                <w:sz w:val="44"/>
                <w:szCs w:val="44"/>
              </w:rPr>
            </w:pPr>
            <w:r w:rsidRPr="00DD45B4">
              <w:rPr>
                <w:rFonts w:ascii="Tahoma" w:hAnsi="Tahoma" w:cs="Tahoma"/>
                <w:b/>
                <w:bCs/>
                <w:color w:val="243285"/>
                <w:sz w:val="44"/>
                <w:szCs w:val="44"/>
              </w:rPr>
              <w:t>Définition et mesure des produits d'intermodulation dans un émetteur utilisant des techniques de modulation de fréquence, de phase ou d'autres techniques de modulation complexes</w:t>
            </w:r>
          </w:p>
          <w:p w:rsidR="006D667B" w:rsidRPr="00F54FBD" w:rsidRDefault="006D667B" w:rsidP="00DD45B4">
            <w:pPr>
              <w:spacing w:before="80" w:line="500" w:lineRule="exact"/>
              <w:jc w:val="right"/>
              <w:rPr>
                <w:rFonts w:ascii="Tahoma" w:hAnsi="Tahoma" w:cs="Tahoma"/>
                <w:b/>
                <w:bCs/>
                <w:iCs/>
                <w:color w:val="243285"/>
                <w:sz w:val="44"/>
                <w:szCs w:val="44"/>
              </w:rPr>
            </w:pPr>
          </w:p>
        </w:tc>
      </w:tr>
      <w:tr w:rsidR="006D667B" w:rsidRPr="00F54FBD">
        <w:tc>
          <w:tcPr>
            <w:tcW w:w="10089" w:type="dxa"/>
          </w:tcPr>
          <w:p w:rsidR="006D667B" w:rsidRPr="00F54FBD" w:rsidRDefault="006D667B" w:rsidP="00DD45B4">
            <w:pPr>
              <w:spacing w:before="80" w:line="280" w:lineRule="exact"/>
              <w:ind w:right="640"/>
              <w:rPr>
                <w:rFonts w:ascii="Tahoma" w:hAnsi="Tahoma" w:cs="Tahoma"/>
                <w:b/>
                <w:bCs/>
                <w:iCs/>
                <w:color w:val="243285"/>
                <w:sz w:val="32"/>
                <w:szCs w:val="32"/>
              </w:rPr>
            </w:pPr>
          </w:p>
          <w:p w:rsidR="006D667B" w:rsidRPr="00F54FBD" w:rsidRDefault="006D667B" w:rsidP="00DD45B4">
            <w:pPr>
              <w:spacing w:before="80" w:line="280" w:lineRule="exact"/>
              <w:ind w:right="640"/>
              <w:rPr>
                <w:rFonts w:ascii="Tahoma" w:hAnsi="Tahoma" w:cs="Tahoma"/>
                <w:b/>
                <w:bCs/>
                <w:iCs/>
                <w:color w:val="243285"/>
                <w:sz w:val="32"/>
                <w:szCs w:val="32"/>
              </w:rPr>
            </w:pPr>
          </w:p>
          <w:p w:rsidR="006D667B" w:rsidRPr="00F54FBD" w:rsidRDefault="006D667B" w:rsidP="00DD45B4">
            <w:pPr>
              <w:spacing w:before="80" w:after="180" w:line="360" w:lineRule="exact"/>
              <w:ind w:right="720"/>
              <w:rPr>
                <w:rFonts w:ascii="Tahoma" w:hAnsi="Tahoma" w:cs="Tahoma"/>
                <w:b/>
                <w:bCs/>
                <w:iCs/>
                <w:color w:val="243285"/>
                <w:sz w:val="36"/>
                <w:szCs w:val="36"/>
              </w:rPr>
            </w:pPr>
          </w:p>
          <w:p w:rsidR="006D667B" w:rsidRPr="00F54FBD" w:rsidRDefault="006D667B" w:rsidP="00DD45B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6D667B" w:rsidRPr="00F54FBD" w:rsidRDefault="006D667B" w:rsidP="00DD45B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6D667B" w:rsidRPr="00F54FBD" w:rsidRDefault="006D667B" w:rsidP="00DD45B4">
      <w:pPr>
        <w:spacing w:before="80"/>
        <w:rPr>
          <w:i/>
          <w:sz w:val="22"/>
        </w:rPr>
      </w:pPr>
    </w:p>
    <w:p w:rsidR="006D667B" w:rsidRPr="00F54FBD" w:rsidRDefault="006D667B" w:rsidP="00DD45B4">
      <w:pPr>
        <w:spacing w:before="80"/>
        <w:rPr>
          <w:i/>
          <w:sz w:val="22"/>
        </w:rPr>
      </w:pPr>
    </w:p>
    <w:p w:rsidR="006D667B" w:rsidRPr="00F54FBD" w:rsidRDefault="006D667B" w:rsidP="00DD45B4">
      <w:pPr>
        <w:spacing w:before="80"/>
        <w:rPr>
          <w:i/>
          <w:sz w:val="22"/>
        </w:rPr>
      </w:pPr>
    </w:p>
    <w:p w:rsidR="006D667B" w:rsidRPr="00F54FBD" w:rsidRDefault="006D667B" w:rsidP="00DD45B4">
      <w:pPr>
        <w:spacing w:before="80"/>
        <w:rPr>
          <w:i/>
          <w:sz w:val="22"/>
        </w:rPr>
      </w:pPr>
    </w:p>
    <w:p w:rsidR="006D667B" w:rsidRPr="00F54FBD" w:rsidRDefault="006D667B" w:rsidP="00DD45B4">
      <w:pPr>
        <w:spacing w:before="80"/>
        <w:rPr>
          <w:i/>
          <w:sz w:val="22"/>
        </w:rPr>
      </w:pPr>
    </w:p>
    <w:p w:rsidR="006D667B" w:rsidRPr="00F54FBD" w:rsidRDefault="006D667B" w:rsidP="00DD45B4">
      <w:pPr>
        <w:pStyle w:val="Equation"/>
        <w:tabs>
          <w:tab w:val="clear" w:pos="4820"/>
          <w:tab w:val="clear" w:pos="9639"/>
          <w:tab w:val="left" w:pos="1191"/>
          <w:tab w:val="left" w:pos="1588"/>
          <w:tab w:val="left" w:pos="1985"/>
        </w:tabs>
        <w:rPr>
          <w:rFonts w:ascii="Palatino Linotype" w:hAnsi="Palatino Linotype"/>
        </w:rPr>
        <w:sectPr w:rsidR="006D667B" w:rsidRPr="00F54FBD" w:rsidSect="00DD45B4">
          <w:headerReference w:type="even" r:id="rId7"/>
          <w:headerReference w:type="default" r:id="rId8"/>
          <w:pgSz w:w="11907" w:h="16834" w:code="9"/>
          <w:pgMar w:top="1418" w:right="1134" w:bottom="1134" w:left="1134" w:header="720" w:footer="482" w:gutter="0"/>
          <w:paperSrc w:first="15" w:other="15"/>
          <w:cols w:space="720"/>
        </w:sectPr>
      </w:pPr>
    </w:p>
    <w:p w:rsidR="006D667B" w:rsidRPr="00F54FBD"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D667B" w:rsidRPr="00F54FBD" w:rsidRDefault="006D667B" w:rsidP="00DD45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667B" w:rsidRPr="00F54FBD" w:rsidRDefault="006D667B" w:rsidP="00DD45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D667B" w:rsidRPr="00E44CBB" w:rsidRDefault="006D667B" w:rsidP="00DD45B4">
      <w:pPr>
        <w:pStyle w:val="Heading1"/>
        <w:spacing w:before="360"/>
        <w:jc w:val="center"/>
        <w:rPr>
          <w:szCs w:val="24"/>
        </w:rPr>
      </w:pPr>
      <w:bookmarkStart w:id="1" w:name="_Toc303683190"/>
      <w:bookmarkStart w:id="2" w:name="_Toc303683388"/>
      <w:r w:rsidRPr="003F6436">
        <w:rPr>
          <w:szCs w:val="24"/>
        </w:rPr>
        <w:t>Politique en matière de droits de propriété intellectuelle</w:t>
      </w:r>
      <w:r w:rsidRPr="00E44CBB">
        <w:rPr>
          <w:szCs w:val="24"/>
        </w:rPr>
        <w:t xml:space="preserve"> (IPR)</w:t>
      </w:r>
      <w:bookmarkEnd w:id="1"/>
      <w:bookmarkEnd w:id="2"/>
    </w:p>
    <w:p w:rsidR="006D667B" w:rsidRPr="00E44CBB" w:rsidRDefault="006D667B" w:rsidP="00DD45B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D667B" w:rsidRPr="00A63080" w:rsidRDefault="006D667B" w:rsidP="00DD45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D667B" w:rsidRPr="009454F8">
        <w:tc>
          <w:tcPr>
            <w:tcW w:w="9360" w:type="dxa"/>
            <w:gridSpan w:val="2"/>
          </w:tcPr>
          <w:p w:rsidR="006D667B" w:rsidRPr="009454F8" w:rsidRDefault="006D667B" w:rsidP="00DD45B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D667B" w:rsidRPr="009454F8"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D667B" w:rsidRPr="00036EE3" w:rsidTr="00DD45B4">
        <w:tc>
          <w:tcPr>
            <w:tcW w:w="1140" w:type="dxa"/>
            <w:tcBorders>
              <w:bottom w:val="nil"/>
            </w:tcBorders>
          </w:tcPr>
          <w:p w:rsidR="006D667B" w:rsidRPr="00614CC6" w:rsidRDefault="006D667B" w:rsidP="00DD45B4">
            <w:pPr>
              <w:spacing w:before="90" w:after="100"/>
              <w:ind w:left="57"/>
              <w:rPr>
                <w:b/>
                <w:bCs/>
                <w:sz w:val="20"/>
                <w:lang w:val="en-US"/>
              </w:rPr>
            </w:pPr>
            <w:r w:rsidRPr="00614CC6">
              <w:rPr>
                <w:b/>
                <w:bCs/>
                <w:sz w:val="20"/>
                <w:lang w:val="en-US"/>
              </w:rPr>
              <w:t>Séries</w:t>
            </w:r>
          </w:p>
        </w:tc>
        <w:tc>
          <w:tcPr>
            <w:tcW w:w="8220" w:type="dxa"/>
            <w:tcBorders>
              <w:bottom w:val="nil"/>
            </w:tcBorders>
          </w:tcPr>
          <w:p w:rsidR="006D667B" w:rsidRPr="00614CC6"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D667B" w:rsidRPr="005E427C" w:rsidTr="00DD45B4">
        <w:tc>
          <w:tcPr>
            <w:tcW w:w="1140" w:type="dxa"/>
            <w:tcBorders>
              <w:top w:val="nil"/>
              <w:bottom w:val="nil"/>
            </w:tcBorders>
            <w:shd w:val="clear" w:color="auto" w:fill="auto"/>
          </w:tcPr>
          <w:p w:rsidR="006D667B" w:rsidRPr="005E427C" w:rsidRDefault="006D667B" w:rsidP="00DD45B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D667B" w:rsidRPr="005E427C"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D667B" w:rsidRPr="009454F8" w:rsidTr="00DD45B4">
        <w:tc>
          <w:tcPr>
            <w:tcW w:w="1140" w:type="dxa"/>
            <w:tcBorders>
              <w:top w:val="nil"/>
              <w:bottom w:val="nil"/>
            </w:tcBorders>
          </w:tcPr>
          <w:p w:rsidR="006D667B" w:rsidRPr="00614CC6" w:rsidRDefault="006D667B" w:rsidP="00DD45B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D667B" w:rsidRPr="00614CC6"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D667B" w:rsidRPr="00E80F1D" w:rsidTr="00DD45B4">
        <w:tc>
          <w:tcPr>
            <w:tcW w:w="1140" w:type="dxa"/>
            <w:tcBorders>
              <w:top w:val="nil"/>
              <w:bottom w:val="nil"/>
            </w:tcBorders>
            <w:shd w:val="clear" w:color="auto" w:fill="auto"/>
          </w:tcPr>
          <w:p w:rsidR="006D667B" w:rsidRPr="00E80F1D" w:rsidRDefault="006D667B" w:rsidP="00DD45B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D667B" w:rsidRPr="00E80F1D"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D667B" w:rsidRPr="00ED2695" w:rsidTr="00DD45B4">
        <w:tc>
          <w:tcPr>
            <w:tcW w:w="1140" w:type="dxa"/>
            <w:tcBorders>
              <w:top w:val="nil"/>
              <w:bottom w:val="nil"/>
            </w:tcBorders>
            <w:shd w:val="clear" w:color="auto" w:fill="auto"/>
          </w:tcPr>
          <w:p w:rsidR="006D667B" w:rsidRPr="00614CC6" w:rsidRDefault="006D667B" w:rsidP="00DD45B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D667B" w:rsidRPr="00614CC6"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D667B" w:rsidRPr="00DE5EA2" w:rsidTr="00DD45B4">
        <w:tc>
          <w:tcPr>
            <w:tcW w:w="1140" w:type="dxa"/>
            <w:tcBorders>
              <w:top w:val="nil"/>
              <w:bottom w:val="nil"/>
            </w:tcBorders>
            <w:shd w:val="clear" w:color="auto" w:fill="auto"/>
          </w:tcPr>
          <w:p w:rsidR="006D667B" w:rsidRPr="00DE5EA2" w:rsidRDefault="006D667B" w:rsidP="00DD45B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D667B" w:rsidRPr="00DE5EA2" w:rsidRDefault="006D667B" w:rsidP="00DD45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D667B" w:rsidRPr="00B21066" w:rsidTr="00DD45B4">
        <w:tc>
          <w:tcPr>
            <w:tcW w:w="1140" w:type="dxa"/>
            <w:tcBorders>
              <w:top w:val="nil"/>
              <w:bottom w:val="nil"/>
            </w:tcBorders>
            <w:shd w:val="clear" w:color="auto" w:fill="auto"/>
          </w:tcPr>
          <w:p w:rsidR="006D667B" w:rsidRPr="00B21066" w:rsidRDefault="006D667B" w:rsidP="00DD45B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D667B" w:rsidRPr="00B21066" w:rsidRDefault="006D667B" w:rsidP="00DD45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D667B" w:rsidRPr="00EC361D" w:rsidTr="00DD45B4">
        <w:tc>
          <w:tcPr>
            <w:tcW w:w="1140" w:type="dxa"/>
            <w:tcBorders>
              <w:top w:val="nil"/>
              <w:bottom w:val="nil"/>
            </w:tcBorders>
            <w:shd w:val="clear" w:color="auto" w:fill="auto"/>
          </w:tcPr>
          <w:p w:rsidR="006D667B" w:rsidRPr="00EC361D" w:rsidRDefault="006D667B" w:rsidP="00DD45B4">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6D667B" w:rsidRPr="00EC361D" w:rsidRDefault="006D667B" w:rsidP="00DD45B4">
            <w:pPr>
              <w:spacing w:before="30" w:after="30"/>
              <w:jc w:val="left"/>
              <w:rPr>
                <w:sz w:val="20"/>
                <w:lang w:val="fr-CH"/>
              </w:rPr>
            </w:pPr>
            <w:r w:rsidRPr="00EC361D">
              <w:rPr>
                <w:sz w:val="20"/>
              </w:rPr>
              <w:t>Propagation des ondes radioélectriques</w:t>
            </w:r>
          </w:p>
        </w:tc>
      </w:tr>
      <w:tr w:rsidR="006D667B" w:rsidRPr="004822EF" w:rsidTr="00DD45B4">
        <w:tc>
          <w:tcPr>
            <w:tcW w:w="1140" w:type="dxa"/>
            <w:tcBorders>
              <w:top w:val="nil"/>
              <w:bottom w:val="nil"/>
            </w:tcBorders>
            <w:shd w:val="clear" w:color="auto" w:fill="auto"/>
          </w:tcPr>
          <w:p w:rsidR="006D667B" w:rsidRPr="004822EF" w:rsidRDefault="006D667B" w:rsidP="00DD45B4">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6D667B" w:rsidRPr="004822EF" w:rsidRDefault="006D667B" w:rsidP="00DD45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6D667B" w:rsidRPr="00326525" w:rsidTr="00DD45B4">
        <w:tc>
          <w:tcPr>
            <w:tcW w:w="1140" w:type="dxa"/>
            <w:tcBorders>
              <w:top w:val="nil"/>
              <w:bottom w:val="nil"/>
            </w:tcBorders>
            <w:shd w:val="clear" w:color="auto" w:fill="auto"/>
          </w:tcPr>
          <w:p w:rsidR="006D667B" w:rsidRPr="00326525" w:rsidRDefault="006D667B" w:rsidP="00DD45B4">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6D667B" w:rsidRPr="00326525" w:rsidRDefault="006D667B" w:rsidP="00DD45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6D667B" w:rsidRPr="00C40D3E" w:rsidTr="00DD45B4">
        <w:tc>
          <w:tcPr>
            <w:tcW w:w="1140" w:type="dxa"/>
            <w:tcBorders>
              <w:top w:val="nil"/>
              <w:bottom w:val="nil"/>
            </w:tcBorders>
            <w:shd w:val="clear" w:color="auto" w:fill="auto"/>
          </w:tcPr>
          <w:p w:rsidR="006D667B" w:rsidRPr="00C40D3E" w:rsidRDefault="006D667B" w:rsidP="00DD45B4">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6D667B" w:rsidRPr="00C40D3E" w:rsidRDefault="006D667B" w:rsidP="00DD45B4">
            <w:pPr>
              <w:spacing w:before="30" w:after="30"/>
              <w:jc w:val="left"/>
              <w:rPr>
                <w:sz w:val="20"/>
                <w:lang w:val="en-US"/>
              </w:rPr>
            </w:pPr>
            <w:r w:rsidRPr="00C40D3E">
              <w:rPr>
                <w:sz w:val="20"/>
              </w:rPr>
              <w:t>Service fixe par satellite</w:t>
            </w:r>
          </w:p>
        </w:tc>
      </w:tr>
      <w:tr w:rsidR="006D667B" w:rsidRPr="00595D3D" w:rsidTr="00DD45B4">
        <w:tc>
          <w:tcPr>
            <w:tcW w:w="1140" w:type="dxa"/>
            <w:tcBorders>
              <w:top w:val="nil"/>
              <w:bottom w:val="nil"/>
            </w:tcBorders>
            <w:shd w:val="clear" w:color="auto" w:fill="auto"/>
          </w:tcPr>
          <w:p w:rsidR="006D667B" w:rsidRPr="00595D3D" w:rsidRDefault="006D667B" w:rsidP="00DD45B4">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6D667B" w:rsidRPr="00595D3D" w:rsidRDefault="006D667B" w:rsidP="00DD45B4">
            <w:pPr>
              <w:spacing w:before="30" w:after="30"/>
              <w:jc w:val="left"/>
              <w:rPr>
                <w:sz w:val="20"/>
                <w:lang w:val="en-US"/>
              </w:rPr>
            </w:pPr>
            <w:r w:rsidRPr="00595D3D">
              <w:rPr>
                <w:sz w:val="20"/>
              </w:rPr>
              <w:t>Applications spatiales et météorologie</w:t>
            </w:r>
          </w:p>
        </w:tc>
      </w:tr>
      <w:tr w:rsidR="006D667B" w:rsidRPr="009B5564" w:rsidTr="00DD45B4">
        <w:tc>
          <w:tcPr>
            <w:tcW w:w="1140" w:type="dxa"/>
            <w:tcBorders>
              <w:top w:val="nil"/>
              <w:bottom w:val="nil"/>
            </w:tcBorders>
            <w:shd w:val="clear" w:color="auto" w:fill="auto"/>
          </w:tcPr>
          <w:p w:rsidR="006D667B" w:rsidRPr="009B5564" w:rsidRDefault="006D667B" w:rsidP="00DD45B4">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6D667B" w:rsidRPr="009B5564" w:rsidRDefault="006D667B" w:rsidP="00DD45B4">
            <w:pPr>
              <w:spacing w:before="30" w:after="30"/>
              <w:jc w:val="left"/>
              <w:rPr>
                <w:bCs/>
                <w:sz w:val="20"/>
              </w:rPr>
            </w:pPr>
            <w:r w:rsidRPr="009B5564">
              <w:rPr>
                <w:bCs/>
                <w:sz w:val="20"/>
              </w:rPr>
              <w:t>Partage des fréquences et coordination entre les systèmes du service fixe par satellite et du service fixe</w:t>
            </w:r>
          </w:p>
        </w:tc>
      </w:tr>
      <w:tr w:rsidR="006D667B" w:rsidRPr="009B5564" w:rsidTr="00DD45B4">
        <w:tc>
          <w:tcPr>
            <w:tcW w:w="1140" w:type="dxa"/>
            <w:tcBorders>
              <w:top w:val="nil"/>
              <w:bottom w:val="nil"/>
            </w:tcBorders>
            <w:shd w:val="clear" w:color="auto" w:fill="F3F3F3"/>
          </w:tcPr>
          <w:p w:rsidR="006D667B" w:rsidRPr="009B5564" w:rsidRDefault="006D667B" w:rsidP="00DD45B4">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6D667B" w:rsidRPr="009B5564" w:rsidRDefault="006D667B" w:rsidP="00DD45B4">
            <w:pPr>
              <w:spacing w:before="30" w:after="30"/>
              <w:jc w:val="left"/>
              <w:rPr>
                <w:b/>
                <w:bCs/>
                <w:color w:val="000080"/>
                <w:sz w:val="20"/>
                <w:lang w:val="en-US"/>
              </w:rPr>
            </w:pPr>
            <w:r w:rsidRPr="009B5564">
              <w:rPr>
                <w:b/>
                <w:bCs/>
                <w:color w:val="000080"/>
                <w:sz w:val="20"/>
              </w:rPr>
              <w:t>Gestion du spectre</w:t>
            </w:r>
          </w:p>
        </w:tc>
      </w:tr>
      <w:tr w:rsidR="006D667B" w:rsidRPr="00036EE3" w:rsidTr="00DD45B4">
        <w:tc>
          <w:tcPr>
            <w:tcW w:w="1140" w:type="dxa"/>
            <w:tcBorders>
              <w:top w:val="nil"/>
            </w:tcBorders>
          </w:tcPr>
          <w:p w:rsidR="006D667B" w:rsidRPr="00614CC6" w:rsidRDefault="006D667B" w:rsidP="00DD45B4">
            <w:pPr>
              <w:spacing w:before="30" w:after="30"/>
              <w:ind w:left="57"/>
              <w:jc w:val="left"/>
              <w:rPr>
                <w:b/>
                <w:bCs/>
                <w:sz w:val="20"/>
                <w:lang w:val="en-US"/>
              </w:rPr>
            </w:pPr>
            <w:r w:rsidRPr="00614CC6">
              <w:rPr>
                <w:b/>
                <w:bCs/>
                <w:sz w:val="20"/>
                <w:lang w:val="en-US"/>
              </w:rPr>
              <w:t>SNG</w:t>
            </w:r>
          </w:p>
        </w:tc>
        <w:tc>
          <w:tcPr>
            <w:tcW w:w="8220" w:type="dxa"/>
            <w:tcBorders>
              <w:top w:val="nil"/>
            </w:tcBorders>
          </w:tcPr>
          <w:p w:rsidR="006D667B" w:rsidRPr="00614CC6" w:rsidRDefault="006D667B" w:rsidP="00DD45B4">
            <w:pPr>
              <w:spacing w:before="30" w:after="30"/>
              <w:jc w:val="left"/>
              <w:rPr>
                <w:sz w:val="20"/>
                <w:lang w:val="en-US"/>
              </w:rPr>
            </w:pPr>
            <w:r w:rsidRPr="00614CC6">
              <w:rPr>
                <w:sz w:val="20"/>
              </w:rPr>
              <w:t>Reportage d'actualités par satellite</w:t>
            </w:r>
          </w:p>
        </w:tc>
      </w:tr>
      <w:tr w:rsidR="006D667B" w:rsidRPr="00614CC6">
        <w:tc>
          <w:tcPr>
            <w:tcW w:w="1140" w:type="dxa"/>
          </w:tcPr>
          <w:p w:rsidR="006D667B" w:rsidRPr="00614CC6" w:rsidRDefault="006D667B" w:rsidP="00DD45B4">
            <w:pPr>
              <w:spacing w:before="30" w:after="30"/>
              <w:ind w:left="57"/>
              <w:jc w:val="left"/>
              <w:rPr>
                <w:b/>
                <w:bCs/>
                <w:sz w:val="20"/>
                <w:lang w:val="en-US"/>
              </w:rPr>
            </w:pPr>
            <w:r w:rsidRPr="00614CC6">
              <w:rPr>
                <w:b/>
                <w:bCs/>
                <w:sz w:val="20"/>
                <w:lang w:val="en-US"/>
              </w:rPr>
              <w:t>TF</w:t>
            </w:r>
          </w:p>
        </w:tc>
        <w:tc>
          <w:tcPr>
            <w:tcW w:w="8220" w:type="dxa"/>
          </w:tcPr>
          <w:p w:rsidR="006D667B" w:rsidRPr="00614CC6" w:rsidRDefault="006D667B" w:rsidP="00DD45B4">
            <w:pPr>
              <w:spacing w:before="30" w:after="30"/>
              <w:jc w:val="left"/>
              <w:rPr>
                <w:sz w:val="20"/>
              </w:rPr>
            </w:pPr>
            <w:r w:rsidRPr="00614CC6">
              <w:rPr>
                <w:sz w:val="20"/>
              </w:rPr>
              <w:t>Emissions de fréquences étalon et de signaux horaires</w:t>
            </w:r>
          </w:p>
        </w:tc>
      </w:tr>
      <w:tr w:rsidR="006D667B" w:rsidRPr="00036EE3">
        <w:tc>
          <w:tcPr>
            <w:tcW w:w="1140" w:type="dxa"/>
          </w:tcPr>
          <w:p w:rsidR="006D667B" w:rsidRPr="00614CC6" w:rsidRDefault="006D667B" w:rsidP="00DD45B4">
            <w:pPr>
              <w:spacing w:before="30" w:after="30"/>
              <w:ind w:left="57"/>
              <w:jc w:val="left"/>
              <w:rPr>
                <w:b/>
                <w:bCs/>
                <w:sz w:val="20"/>
                <w:lang w:val="en-US"/>
              </w:rPr>
            </w:pPr>
            <w:r w:rsidRPr="00614CC6">
              <w:rPr>
                <w:b/>
                <w:bCs/>
                <w:sz w:val="20"/>
                <w:lang w:val="en-US"/>
              </w:rPr>
              <w:t>V</w:t>
            </w:r>
          </w:p>
        </w:tc>
        <w:tc>
          <w:tcPr>
            <w:tcW w:w="8220" w:type="dxa"/>
          </w:tcPr>
          <w:p w:rsidR="006D667B" w:rsidRPr="00614CC6" w:rsidRDefault="006D667B" w:rsidP="00DD45B4">
            <w:pPr>
              <w:spacing w:before="30" w:after="140"/>
              <w:jc w:val="left"/>
              <w:rPr>
                <w:sz w:val="20"/>
                <w:lang w:val="en-US"/>
              </w:rPr>
            </w:pPr>
            <w:r w:rsidRPr="00614CC6">
              <w:rPr>
                <w:sz w:val="20"/>
              </w:rPr>
              <w:t>Vocabulaire et sujets associés</w:t>
            </w:r>
          </w:p>
        </w:tc>
      </w:tr>
    </w:tbl>
    <w:p w:rsidR="006D667B" w:rsidRPr="00036EE3" w:rsidRDefault="006D667B" w:rsidP="00DD45B4">
      <w:pPr>
        <w:spacing w:before="0"/>
        <w:jc w:val="center"/>
        <w:rPr>
          <w:sz w:val="20"/>
          <w:lang w:val="en-US"/>
        </w:rPr>
      </w:pPr>
    </w:p>
    <w:p w:rsidR="006D667B" w:rsidRPr="00036EE3" w:rsidRDefault="006D667B" w:rsidP="00DD45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D667B" w:rsidRPr="00756B4D">
        <w:tc>
          <w:tcPr>
            <w:tcW w:w="9360" w:type="dxa"/>
          </w:tcPr>
          <w:p w:rsidR="006D667B" w:rsidRPr="00756B4D" w:rsidRDefault="006D667B" w:rsidP="00DD45B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D667B" w:rsidRPr="00756B4D" w:rsidRDefault="006D667B" w:rsidP="00DD45B4">
      <w:pPr>
        <w:spacing w:before="0"/>
        <w:jc w:val="center"/>
        <w:rPr>
          <w:sz w:val="22"/>
        </w:rPr>
      </w:pPr>
    </w:p>
    <w:p w:rsidR="006D667B" w:rsidRPr="00614CC6" w:rsidRDefault="006D667B" w:rsidP="00DD45B4">
      <w:pPr>
        <w:spacing w:before="100"/>
        <w:jc w:val="right"/>
        <w:rPr>
          <w:i/>
          <w:iCs/>
          <w:sz w:val="20"/>
        </w:rPr>
      </w:pPr>
      <w:r w:rsidRPr="00614CC6">
        <w:rPr>
          <w:i/>
          <w:iCs/>
          <w:sz w:val="20"/>
        </w:rPr>
        <w:t>Publication électronique</w:t>
      </w:r>
    </w:p>
    <w:p w:rsidR="006D667B" w:rsidRPr="00614CC6" w:rsidRDefault="006D667B" w:rsidP="00DD45B4">
      <w:pPr>
        <w:spacing w:before="0"/>
        <w:jc w:val="right"/>
        <w:rPr>
          <w:sz w:val="20"/>
        </w:rPr>
      </w:pPr>
      <w:r w:rsidRPr="00614CC6">
        <w:rPr>
          <w:sz w:val="20"/>
        </w:rPr>
        <w:t>Genève, 20</w:t>
      </w:r>
      <w:r w:rsidR="00DD45B4">
        <w:rPr>
          <w:sz w:val="20"/>
        </w:rPr>
        <w:t>11</w:t>
      </w:r>
    </w:p>
    <w:p w:rsidR="006D667B" w:rsidRPr="00614CC6" w:rsidRDefault="006D667B" w:rsidP="00DD45B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DD45B4">
        <w:rPr>
          <w:sz w:val="20"/>
        </w:rPr>
        <w:t>11</w:t>
      </w:r>
    </w:p>
    <w:p w:rsidR="006D667B" w:rsidRPr="00614CC6" w:rsidRDefault="006D667B" w:rsidP="00DD45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D667B" w:rsidRPr="00614CC6" w:rsidRDefault="006D667B" w:rsidP="00DD45B4">
      <w:pPr>
        <w:spacing w:before="160"/>
        <w:rPr>
          <w:i/>
          <w:sz w:val="20"/>
          <w:highlight w:val="yellow"/>
        </w:rPr>
        <w:sectPr w:rsidR="006D667B" w:rsidRPr="00614CC6" w:rsidSect="00DD45B4">
          <w:headerReference w:type="even" r:id="rId11"/>
          <w:headerReference w:type="default" r:id="rId12"/>
          <w:pgSz w:w="11907" w:h="16834" w:code="9"/>
          <w:pgMar w:top="1418" w:right="1134" w:bottom="1134" w:left="1134" w:header="720" w:footer="482" w:gutter="0"/>
          <w:pgNumType w:fmt="lowerRoman" w:start="2"/>
          <w:cols w:space="720"/>
        </w:sectPr>
      </w:pPr>
    </w:p>
    <w:p w:rsidR="006D667B" w:rsidRPr="00B06B5D" w:rsidRDefault="006D667B" w:rsidP="00B916B1">
      <w:pPr>
        <w:pStyle w:val="RecNoBR"/>
        <w:spacing w:before="0"/>
      </w:pPr>
      <w:bookmarkStart w:id="4" w:name="irecnoe"/>
      <w:bookmarkEnd w:id="4"/>
      <w:r w:rsidRPr="00137D00">
        <w:rPr>
          <w:sz w:val="20"/>
        </w:rPr>
        <w:lastRenderedPageBreak/>
        <w:t xml:space="preserve">RECOMMANDATION </w:t>
      </w:r>
      <w:r w:rsidRPr="00137D00">
        <w:rPr>
          <w:rStyle w:val="href"/>
          <w:sz w:val="20"/>
        </w:rPr>
        <w:t>UIT-R SM.</w:t>
      </w:r>
      <w:r w:rsidR="00137D00" w:rsidRPr="00137D00">
        <w:rPr>
          <w:rStyle w:val="href"/>
          <w:sz w:val="20"/>
        </w:rPr>
        <w:t>1446</w:t>
      </w:r>
      <w:r w:rsidR="00137D00">
        <w:rPr>
          <w:rStyle w:val="FootnoteReference"/>
        </w:rPr>
        <w:footnoteReference w:customMarkFollows="1" w:id="1"/>
        <w:t>*</w:t>
      </w:r>
    </w:p>
    <w:p w:rsidR="006D667B" w:rsidRDefault="006D667B" w:rsidP="006D667B">
      <w:pPr>
        <w:pStyle w:val="RecTitle0"/>
        <w:rPr>
          <w:lang w:val="fr-FR"/>
        </w:rPr>
      </w:pPr>
      <w:r>
        <w:rPr>
          <w:lang w:val="fr-FR"/>
        </w:rPr>
        <w:t>DÉFINITION  ET  MESURE  DES  PRODUITS  D'INTERMODULATION  DANS  UN  ÉMETTEUR</w:t>
      </w:r>
      <w:r>
        <w:rPr>
          <w:lang w:val="fr-FR"/>
        </w:rPr>
        <w:br/>
        <w:t>UTILISANT  DES  TECHNIQUES  DE  MODULATION  DE  FRÉQUENCE,  DE  PHASE</w:t>
      </w:r>
      <w:r>
        <w:rPr>
          <w:lang w:val="fr-FR"/>
        </w:rPr>
        <w:br/>
        <w:t>OU  D'AUTRES  TECHNIQUES  DE  MODULATION  COMPLEXES</w:t>
      </w:r>
    </w:p>
    <w:p w:rsidR="006D667B" w:rsidRDefault="006D667B" w:rsidP="006D667B"/>
    <w:p w:rsidR="006D667B" w:rsidRDefault="006D667B" w:rsidP="00BE5A04">
      <w:pPr>
        <w:pStyle w:val="RecTitleDate"/>
        <w:spacing w:before="240"/>
        <w:rPr>
          <w:lang w:val="fr-FR"/>
        </w:rPr>
      </w:pPr>
      <w:r>
        <w:rPr>
          <w:lang w:val="fr-FR"/>
        </w:rPr>
        <w:t>(2000)</w:t>
      </w:r>
    </w:p>
    <w:p w:rsidR="006D667B" w:rsidRDefault="006D667B" w:rsidP="006D667B">
      <w:pPr>
        <w:pStyle w:val="headfoot"/>
        <w:rPr>
          <w:lang w:val="fr-FR"/>
        </w:rPr>
      </w:pPr>
      <w:r>
        <w:rPr>
          <w:lang w:val="fr-FR"/>
        </w:rPr>
        <w:t>Rec. UIT-R SM.1446</w:t>
      </w:r>
    </w:p>
    <w:p w:rsidR="00BE5A04" w:rsidRPr="00BE5A04" w:rsidRDefault="00BE5A04" w:rsidP="00BE5A04">
      <w:pPr>
        <w:pStyle w:val="Normalaftertitle0"/>
        <w:spacing w:before="360"/>
        <w:rPr>
          <w:b/>
          <w:bCs/>
          <w:lang w:val="fr-CH"/>
        </w:rPr>
      </w:pPr>
      <w:r w:rsidRPr="00BE5A04">
        <w:rPr>
          <w:b/>
          <w:bCs/>
          <w:lang w:val="fr-CH"/>
        </w:rPr>
        <w:t>Domaine d'application</w:t>
      </w:r>
    </w:p>
    <w:p w:rsidR="00BE5A04" w:rsidRPr="00E05BDC" w:rsidRDefault="00BE5A04" w:rsidP="00BE5A04">
      <w:pPr>
        <w:pStyle w:val="Normalaftertitle0"/>
        <w:spacing w:before="120"/>
        <w:rPr>
          <w:lang w:val="fr-CH"/>
        </w:rPr>
      </w:pPr>
      <w:r w:rsidRPr="00E05BDC">
        <w:rPr>
          <w:lang w:val="fr-CH"/>
        </w:rPr>
        <w:t xml:space="preserve">La présente Recommandation sert de base concernant </w:t>
      </w:r>
      <w:r w:rsidRPr="00BE5A04">
        <w:rPr>
          <w:lang w:val="fr-CH"/>
        </w:rPr>
        <w:t xml:space="preserve">les </w:t>
      </w:r>
      <w:r w:rsidRPr="00E05BDC">
        <w:rPr>
          <w:lang w:val="fr-CH"/>
        </w:rPr>
        <w:t>d</w:t>
      </w:r>
      <w:r w:rsidRPr="00BE5A04">
        <w:rPr>
          <w:lang w:val="fr-CH"/>
        </w:rPr>
        <w:t>é</w:t>
      </w:r>
      <w:r w:rsidRPr="00E05BDC">
        <w:rPr>
          <w:lang w:val="fr-CH"/>
        </w:rPr>
        <w:t xml:space="preserve">finitions </w:t>
      </w:r>
      <w:r w:rsidRPr="00BE5A04">
        <w:rPr>
          <w:lang w:val="fr-CH"/>
        </w:rPr>
        <w:t xml:space="preserve">des </w:t>
      </w:r>
      <w:r w:rsidRPr="00E05BDC">
        <w:rPr>
          <w:lang w:val="fr-CH"/>
        </w:rPr>
        <w:t>diff</w:t>
      </w:r>
      <w:r w:rsidRPr="00BE5A04">
        <w:rPr>
          <w:lang w:val="fr-CH"/>
        </w:rPr>
        <w:t>é</w:t>
      </w:r>
      <w:r w:rsidRPr="00E05BDC">
        <w:rPr>
          <w:lang w:val="fr-CH"/>
        </w:rPr>
        <w:t>rent</w:t>
      </w:r>
      <w:r w:rsidRPr="00BE5A04">
        <w:rPr>
          <w:lang w:val="fr-CH"/>
        </w:rPr>
        <w:t>s types d'</w:t>
      </w:r>
      <w:r w:rsidRPr="00E05BDC">
        <w:rPr>
          <w:lang w:val="fr-CH"/>
        </w:rPr>
        <w:t xml:space="preserve">intermodulation </w:t>
      </w:r>
      <w:r w:rsidRPr="00BE5A04">
        <w:rPr>
          <w:lang w:val="fr-CH"/>
        </w:rPr>
        <w:t xml:space="preserve">dans l'émetteur et de divers </w:t>
      </w:r>
      <w:r w:rsidRPr="00E05BDC">
        <w:rPr>
          <w:lang w:val="fr-CH"/>
        </w:rPr>
        <w:t xml:space="preserve">types </w:t>
      </w:r>
      <w:r w:rsidRPr="00BE5A04">
        <w:rPr>
          <w:lang w:val="fr-CH"/>
        </w:rPr>
        <w:t xml:space="preserve">de </w:t>
      </w:r>
      <w:r w:rsidRPr="00E05BDC">
        <w:rPr>
          <w:lang w:val="fr-CH"/>
        </w:rPr>
        <w:t>techniques</w:t>
      </w:r>
      <w:r w:rsidRPr="00BE5A04">
        <w:rPr>
          <w:lang w:val="fr-CH"/>
        </w:rPr>
        <w:t xml:space="preserve"> de mesure</w:t>
      </w:r>
      <w:r w:rsidRPr="00E05BDC">
        <w:rPr>
          <w:lang w:val="fr-CH"/>
        </w:rPr>
        <w:t>.</w:t>
      </w:r>
    </w:p>
    <w:p w:rsidR="00BE5A04" w:rsidRPr="00E05BDC" w:rsidRDefault="00BE5A04" w:rsidP="00BE5A04">
      <w:pPr>
        <w:pStyle w:val="Normalaftertitle0"/>
        <w:spacing w:before="120"/>
        <w:rPr>
          <w:b/>
        </w:rPr>
      </w:pPr>
      <w:r w:rsidRPr="00E05BDC">
        <w:rPr>
          <w:b/>
        </w:rPr>
        <w:t>Mots clés</w:t>
      </w:r>
    </w:p>
    <w:p w:rsidR="00BE5A04" w:rsidRDefault="00BE5A04" w:rsidP="00BE5A04">
      <w:pPr>
        <w:pStyle w:val="Normalaftertitle0"/>
        <w:spacing w:before="120"/>
        <w:rPr>
          <w:lang w:val="fr-FR"/>
        </w:rPr>
      </w:pPr>
      <w:r w:rsidRPr="00E05BDC">
        <w:rPr>
          <w:lang w:val="fr-FR"/>
        </w:rPr>
        <w:t>Produits d'intermodulation, techniques</w:t>
      </w:r>
      <w:r w:rsidRPr="00BE5A04">
        <w:rPr>
          <w:lang w:val="fr-FR"/>
        </w:rPr>
        <w:t xml:space="preserve"> de mesure</w:t>
      </w:r>
      <w:r w:rsidRPr="00E05BDC">
        <w:rPr>
          <w:lang w:val="fr-FR"/>
        </w:rPr>
        <w:t xml:space="preserve">, </w:t>
      </w:r>
      <w:r w:rsidRPr="00BE5A04">
        <w:rPr>
          <w:lang w:val="fr-FR"/>
        </w:rPr>
        <w:t>rayonnements non désirés</w:t>
      </w:r>
    </w:p>
    <w:p w:rsidR="006D667B" w:rsidRDefault="006D667B" w:rsidP="006D667B">
      <w:pPr>
        <w:pStyle w:val="Normalaftertitle0"/>
        <w:rPr>
          <w:lang w:val="fr-FR"/>
        </w:rPr>
      </w:pPr>
      <w:r>
        <w:rPr>
          <w:lang w:val="fr-FR"/>
        </w:rPr>
        <w:t>L'Assemblée des radiocommunications de l'UIT,</w:t>
      </w:r>
    </w:p>
    <w:p w:rsidR="006D667B" w:rsidRDefault="006D667B" w:rsidP="006D667B">
      <w:pPr>
        <w:pStyle w:val="call0"/>
        <w:rPr>
          <w:lang w:val="fr-FR"/>
        </w:rPr>
      </w:pPr>
      <w:r>
        <w:rPr>
          <w:lang w:val="fr-FR"/>
        </w:rPr>
        <w:t>considérant</w:t>
      </w:r>
    </w:p>
    <w:p w:rsidR="006D667B" w:rsidRPr="00137D00" w:rsidRDefault="006D667B" w:rsidP="006D667B">
      <w:pPr>
        <w:rPr>
          <w:sz w:val="20"/>
        </w:rPr>
      </w:pPr>
      <w:r w:rsidRPr="00137D00">
        <w:rPr>
          <w:sz w:val="20"/>
        </w:rPr>
        <w:t>a)</w:t>
      </w:r>
      <w:r w:rsidRPr="00137D00">
        <w:rPr>
          <w:sz w:val="20"/>
        </w:rPr>
        <w:tab/>
        <w:t>que les produits d'intermodulation (IM) font partie des rayonnements non désirés (numéro 1.146 du RR);</w:t>
      </w:r>
    </w:p>
    <w:p w:rsidR="006D667B" w:rsidRPr="00137D00" w:rsidRDefault="006D667B" w:rsidP="006D667B">
      <w:pPr>
        <w:rPr>
          <w:sz w:val="20"/>
        </w:rPr>
      </w:pPr>
      <w:r w:rsidRPr="00137D00">
        <w:rPr>
          <w:sz w:val="20"/>
        </w:rPr>
        <w:t>b)</w:t>
      </w:r>
      <w:r w:rsidRPr="00137D00">
        <w:rPr>
          <w:sz w:val="20"/>
        </w:rPr>
        <w:tab/>
        <w:t>que les produits d'IM sont générés dans le système de transmission radioélectrique lui-même et/ou par interaction entre différents éléments rayonnants situés sur le même site radioélectrique;</w:t>
      </w:r>
    </w:p>
    <w:p w:rsidR="006D667B" w:rsidRPr="00137D00" w:rsidRDefault="006D667B" w:rsidP="001311E5">
      <w:pPr>
        <w:rPr>
          <w:sz w:val="20"/>
        </w:rPr>
      </w:pPr>
      <w:r w:rsidRPr="00137D00">
        <w:rPr>
          <w:sz w:val="20"/>
        </w:rPr>
        <w:t>c)</w:t>
      </w:r>
      <w:r w:rsidRPr="00137D00">
        <w:rPr>
          <w:sz w:val="20"/>
        </w:rPr>
        <w:tab/>
      </w:r>
      <w:r w:rsidR="001311E5" w:rsidRPr="001311E5">
        <w:rPr>
          <w:sz w:val="20"/>
        </w:rPr>
        <w:t>que les limites des rayonnements non désirés dans le domaine des rayonnements non essentiels fixées dans l'Appendice 3 du RR et la Recommandation UIT</w:t>
      </w:r>
      <w:r w:rsidR="001311E5" w:rsidRPr="001311E5">
        <w:rPr>
          <w:sz w:val="20"/>
        </w:rPr>
        <w:noBreakHyphen/>
        <w:t>R SM.329 ne concernent que les produits d'IM par un seul ou plusieurs canaux</w:t>
      </w:r>
      <w:r w:rsidRPr="00137D00">
        <w:rPr>
          <w:sz w:val="20"/>
        </w:rPr>
        <w:t>;</w:t>
      </w:r>
    </w:p>
    <w:p w:rsidR="006D667B" w:rsidRPr="00137D00" w:rsidRDefault="006D667B" w:rsidP="006D667B">
      <w:pPr>
        <w:rPr>
          <w:sz w:val="20"/>
        </w:rPr>
      </w:pPr>
      <w:r w:rsidRPr="00137D00">
        <w:rPr>
          <w:sz w:val="20"/>
        </w:rPr>
        <w:t>d)</w:t>
      </w:r>
      <w:r w:rsidRPr="00137D00">
        <w:rPr>
          <w:sz w:val="20"/>
        </w:rPr>
        <w:tab/>
        <w:t>que les limites des émissions hors bande ne concernent que les produits d'IM par un seul ou plusieurs canaux et qu'elles sont actuellement à l'étude;</w:t>
      </w:r>
    </w:p>
    <w:p w:rsidR="006D667B" w:rsidRPr="00137D00" w:rsidRDefault="006D667B" w:rsidP="006D667B">
      <w:pPr>
        <w:rPr>
          <w:sz w:val="20"/>
        </w:rPr>
      </w:pPr>
      <w:r w:rsidRPr="00137D00">
        <w:rPr>
          <w:sz w:val="20"/>
        </w:rPr>
        <w:t>e)</w:t>
      </w:r>
      <w:r w:rsidRPr="00137D00">
        <w:rPr>
          <w:sz w:val="20"/>
        </w:rPr>
        <w:tab/>
        <w:t>qu'aucune limite n'est définie pour l'IM entre émetteurs de différents systèmes;</w:t>
      </w:r>
    </w:p>
    <w:p w:rsidR="006D667B" w:rsidRPr="00137D00" w:rsidRDefault="006D667B" w:rsidP="006D667B">
      <w:pPr>
        <w:rPr>
          <w:sz w:val="20"/>
        </w:rPr>
      </w:pPr>
      <w:r w:rsidRPr="00137D00">
        <w:rPr>
          <w:sz w:val="20"/>
        </w:rPr>
        <w:t>f)</w:t>
      </w:r>
      <w:r w:rsidRPr="00137D00">
        <w:rPr>
          <w:sz w:val="20"/>
        </w:rPr>
        <w:tab/>
        <w:t>que le nombre de sites radioélectriques partagés est en augmentation rapide et que chaque site peut rayonner de façon anormale et incontrôlée des produits d'IM passifs et actifs qui viendront s'ajouter au niveau des récepteurs;</w:t>
      </w:r>
    </w:p>
    <w:p w:rsidR="006D667B" w:rsidRPr="00137D00" w:rsidRDefault="006D667B" w:rsidP="006D667B">
      <w:pPr>
        <w:rPr>
          <w:sz w:val="20"/>
        </w:rPr>
      </w:pPr>
      <w:r w:rsidRPr="00137D00">
        <w:rPr>
          <w:sz w:val="20"/>
        </w:rPr>
        <w:t>g)</w:t>
      </w:r>
      <w:r w:rsidRPr="00137D00">
        <w:rPr>
          <w:sz w:val="20"/>
        </w:rPr>
        <w:tab/>
        <w:t>que les produits d'IM imputables à un émetteur radioélectrique en modulation d'amplitude sont examinés dans la Recommandation UIT</w:t>
      </w:r>
      <w:r w:rsidRPr="00137D00">
        <w:rPr>
          <w:sz w:val="20"/>
        </w:rPr>
        <w:noBreakHyphen/>
        <w:t>R SM.326;</w:t>
      </w:r>
    </w:p>
    <w:p w:rsidR="006D667B" w:rsidRPr="00137D00" w:rsidRDefault="006D667B" w:rsidP="006D667B">
      <w:pPr>
        <w:rPr>
          <w:sz w:val="20"/>
        </w:rPr>
      </w:pPr>
      <w:r w:rsidRPr="00137D00">
        <w:rPr>
          <w:sz w:val="20"/>
        </w:rPr>
        <w:t>h)</w:t>
      </w:r>
      <w:r w:rsidRPr="00137D00">
        <w:rPr>
          <w:sz w:val="20"/>
        </w:rPr>
        <w:tab/>
        <w:t>qu'il est nécessaire de définir des méthodes de mesure des produits d'IM, en particulier pour des techniques de modulation numériques,</w:t>
      </w:r>
    </w:p>
    <w:p w:rsidR="006D667B" w:rsidRDefault="006D667B" w:rsidP="006D667B">
      <w:pPr>
        <w:pStyle w:val="call0"/>
        <w:rPr>
          <w:lang w:val="fr-FR"/>
        </w:rPr>
      </w:pPr>
      <w:r>
        <w:rPr>
          <w:lang w:val="fr-FR"/>
        </w:rPr>
        <w:t>notant</w:t>
      </w:r>
    </w:p>
    <w:p w:rsidR="006D667B" w:rsidRPr="00137D00" w:rsidRDefault="006D667B" w:rsidP="006D667B">
      <w:pPr>
        <w:rPr>
          <w:sz w:val="20"/>
        </w:rPr>
      </w:pPr>
      <w:r w:rsidRPr="00137D00">
        <w:rPr>
          <w:sz w:val="20"/>
        </w:rPr>
        <w:t>a)</w:t>
      </w:r>
      <w:r w:rsidRPr="00137D00">
        <w:rPr>
          <w:sz w:val="20"/>
        </w:rPr>
        <w:tab/>
        <w:t>que le Rapport UIT-R SM.2021 expose des principes généraux sur la génération de produits d'IM et sur les techniques de réduction des brouillages permettant de minimiser les produits d'IM,</w:t>
      </w:r>
    </w:p>
    <w:p w:rsidR="006D667B" w:rsidRDefault="006D667B" w:rsidP="006D667B">
      <w:pPr>
        <w:pStyle w:val="call0"/>
        <w:rPr>
          <w:lang w:val="fr-FR"/>
        </w:rPr>
      </w:pPr>
      <w:r>
        <w:rPr>
          <w:lang w:val="fr-FR"/>
        </w:rPr>
        <w:t>recommande</w:t>
      </w:r>
    </w:p>
    <w:p w:rsidR="006D667B" w:rsidRPr="00137D00" w:rsidRDefault="006D667B" w:rsidP="006D667B">
      <w:pPr>
        <w:rPr>
          <w:sz w:val="20"/>
        </w:rPr>
      </w:pPr>
      <w:r w:rsidRPr="00137D00">
        <w:rPr>
          <w:b/>
          <w:bCs/>
          <w:sz w:val="20"/>
        </w:rPr>
        <w:t>1</w:t>
      </w:r>
      <w:r w:rsidRPr="00137D00">
        <w:rPr>
          <w:sz w:val="20"/>
        </w:rPr>
        <w:tab/>
        <w:t>de se fonder, pour l'examen des types de mécanismes qui génèrent des produits d'IM dans le système de transmission, sur les définitions et les techniques de mesure données dans l'Annexe 1 pour chaque type d'IM.</w:t>
      </w:r>
    </w:p>
    <w:p w:rsidR="006D667B" w:rsidRDefault="006D667B" w:rsidP="006D667B"/>
    <w:p w:rsidR="006D667B" w:rsidRDefault="006D667B" w:rsidP="006D667B"/>
    <w:p w:rsidR="006D667B" w:rsidRDefault="006D667B" w:rsidP="006D667B"/>
    <w:p w:rsidR="006D667B" w:rsidRDefault="006D667B" w:rsidP="006D667B"/>
    <w:p w:rsidR="006D667B" w:rsidRDefault="006D667B" w:rsidP="006D667B"/>
    <w:p w:rsidR="006D667B" w:rsidRDefault="006D667B" w:rsidP="006D667B">
      <w:bookmarkStart w:id="5" w:name="_GoBack"/>
      <w:bookmarkEnd w:id="5"/>
    </w:p>
    <w:p w:rsidR="006D667B" w:rsidRDefault="00E05BDC" w:rsidP="00DD45B4">
      <w:pPr>
        <w:pStyle w:val="Annex"/>
        <w:spacing w:before="0"/>
        <w:rPr>
          <w:lang w:val="fr-FR"/>
        </w:rPr>
      </w:pPr>
      <w:r>
        <w:rPr>
          <w:lang w:val="fr-FR"/>
        </w:rPr>
        <w:t>A</w:t>
      </w:r>
      <w:r w:rsidR="006D667B">
        <w:rPr>
          <w:lang w:val="fr-FR"/>
        </w:rPr>
        <w:t>NNEXE  1</w:t>
      </w:r>
    </w:p>
    <w:p w:rsidR="006D667B" w:rsidRDefault="006D667B" w:rsidP="006D667B">
      <w:pPr>
        <w:pStyle w:val="AnnexTitle"/>
        <w:rPr>
          <w:lang w:val="fr-FR"/>
        </w:rPr>
      </w:pPr>
      <w:r>
        <w:rPr>
          <w:lang w:val="fr-FR"/>
        </w:rPr>
        <w:t>Produits d'IM dans l'émetteur</w:t>
      </w:r>
    </w:p>
    <w:p w:rsidR="006D667B" w:rsidRPr="00DD45B4" w:rsidRDefault="006D667B" w:rsidP="006D667B">
      <w:pPr>
        <w:jc w:val="center"/>
        <w:rPr>
          <w:sz w:val="20"/>
        </w:rPr>
      </w:pPr>
      <w:r w:rsidRPr="00DD45B4">
        <w:rPr>
          <w:sz w:val="20"/>
        </w:rPr>
        <w:t>TABLE  DES  MATIÈRES</w:t>
      </w:r>
    </w:p>
    <w:p w:rsidR="006D667B" w:rsidRPr="00DD45B4" w:rsidRDefault="006D667B" w:rsidP="006D667B">
      <w:pPr>
        <w:jc w:val="right"/>
        <w:rPr>
          <w:i/>
          <w:iCs/>
          <w:sz w:val="20"/>
        </w:rPr>
      </w:pPr>
      <w:r w:rsidRPr="00DD45B4">
        <w:rPr>
          <w:i/>
          <w:iCs/>
          <w:sz w:val="20"/>
        </w:rPr>
        <w:t>Page</w:t>
      </w:r>
    </w:p>
    <w:p w:rsidR="00C16A45" w:rsidRPr="00C16A45" w:rsidRDefault="00C16A45">
      <w:pPr>
        <w:pStyle w:val="TOC1"/>
        <w:rPr>
          <w:rFonts w:eastAsiaTheme="minorEastAsia"/>
          <w:lang w:val="fr-CH"/>
        </w:rPr>
      </w:pPr>
      <w:r w:rsidRPr="00C16A45">
        <w:rPr>
          <w:lang w:val="fr-CH"/>
        </w:rPr>
        <w:t>1</w:t>
      </w:r>
      <w:r w:rsidRPr="00C16A45">
        <w:rPr>
          <w:rFonts w:eastAsiaTheme="minorEastAsia"/>
          <w:lang w:val="fr-CH"/>
        </w:rPr>
        <w:tab/>
      </w:r>
      <w:r w:rsidRPr="00C16A45">
        <w:rPr>
          <w:lang w:val="fr-CH"/>
        </w:rPr>
        <w:t>Définition des différents types d'IM dans l'émetteur</w:t>
      </w:r>
      <w:r w:rsidRPr="00C16A45">
        <w:rPr>
          <w:webHidden/>
          <w:lang w:val="fr-CH"/>
        </w:rPr>
        <w:tab/>
      </w:r>
      <w:r>
        <w:rPr>
          <w:webHidden/>
          <w:lang w:val="fr-CH"/>
        </w:rPr>
        <w:tab/>
      </w:r>
      <w:r w:rsidR="00AC5A8C">
        <w:rPr>
          <w:webHidden/>
          <w:lang w:val="fr-CH"/>
        </w:rPr>
        <w:t>2</w:t>
      </w:r>
    </w:p>
    <w:p w:rsidR="00C16A45" w:rsidRPr="00C16A45" w:rsidRDefault="00C16A45">
      <w:pPr>
        <w:pStyle w:val="TOC2"/>
        <w:rPr>
          <w:rFonts w:eastAsiaTheme="minorEastAsia"/>
          <w:lang w:val="fr-CH"/>
        </w:rPr>
      </w:pPr>
      <w:r w:rsidRPr="00C16A45">
        <w:rPr>
          <w:lang w:val="fr-CH"/>
        </w:rPr>
        <w:t>1.1</w:t>
      </w:r>
      <w:r w:rsidRPr="00C16A45">
        <w:rPr>
          <w:rFonts w:eastAsiaTheme="minorEastAsia"/>
          <w:lang w:val="fr-CH"/>
        </w:rPr>
        <w:tab/>
      </w:r>
      <w:r w:rsidRPr="00C16A45">
        <w:rPr>
          <w:lang w:val="fr-CH"/>
        </w:rPr>
        <w:t>Type 1 – IM par un seul canal</w:t>
      </w:r>
      <w:r w:rsidRPr="00C16A45">
        <w:rPr>
          <w:webHidden/>
          <w:lang w:val="fr-CH"/>
        </w:rPr>
        <w:tab/>
      </w:r>
      <w:r>
        <w:rPr>
          <w:webHidden/>
          <w:lang w:val="fr-CH"/>
        </w:rPr>
        <w:tab/>
      </w:r>
      <w:r w:rsidRPr="00C16A45">
        <w:rPr>
          <w:webHidden/>
          <w:lang w:val="fr-CH"/>
        </w:rPr>
        <w:t>3</w:t>
      </w:r>
    </w:p>
    <w:p w:rsidR="00C16A45" w:rsidRPr="00C16A45" w:rsidRDefault="00C16A45">
      <w:pPr>
        <w:pStyle w:val="TOC2"/>
        <w:rPr>
          <w:rFonts w:eastAsiaTheme="minorEastAsia"/>
          <w:lang w:val="fr-CH"/>
        </w:rPr>
      </w:pPr>
      <w:r w:rsidRPr="00C16A45">
        <w:rPr>
          <w:lang w:val="fr-CH"/>
        </w:rPr>
        <w:t>1.2</w:t>
      </w:r>
      <w:r w:rsidRPr="00C16A45">
        <w:rPr>
          <w:rFonts w:eastAsiaTheme="minorEastAsia"/>
          <w:lang w:val="fr-CH"/>
        </w:rPr>
        <w:tab/>
      </w:r>
      <w:r w:rsidRPr="00C16A45">
        <w:rPr>
          <w:lang w:val="fr-CH"/>
        </w:rPr>
        <w:t>Type 2 – IM par plusieurs canaux</w:t>
      </w:r>
      <w:r w:rsidRPr="00C16A45">
        <w:rPr>
          <w:webHidden/>
          <w:lang w:val="fr-CH"/>
        </w:rPr>
        <w:tab/>
      </w:r>
      <w:r>
        <w:rPr>
          <w:webHidden/>
          <w:lang w:val="fr-CH"/>
        </w:rPr>
        <w:tab/>
      </w:r>
      <w:r w:rsidR="00AC5A8C">
        <w:rPr>
          <w:webHidden/>
          <w:lang w:val="fr-CH"/>
        </w:rPr>
        <w:t>4</w:t>
      </w:r>
    </w:p>
    <w:p w:rsidR="00C16A45" w:rsidRPr="00C16A45" w:rsidRDefault="00C16A45">
      <w:pPr>
        <w:pStyle w:val="TOC2"/>
        <w:rPr>
          <w:rFonts w:eastAsiaTheme="minorEastAsia"/>
          <w:lang w:val="fr-CH"/>
        </w:rPr>
      </w:pPr>
      <w:r w:rsidRPr="00C16A45">
        <w:rPr>
          <w:lang w:val="fr-CH"/>
        </w:rPr>
        <w:t>1.3</w:t>
      </w:r>
      <w:r w:rsidRPr="00C16A45">
        <w:rPr>
          <w:rFonts w:eastAsiaTheme="minorEastAsia"/>
          <w:lang w:val="fr-CH"/>
        </w:rPr>
        <w:tab/>
      </w:r>
      <w:r w:rsidRPr="00C16A45">
        <w:rPr>
          <w:lang w:val="fr-CH"/>
        </w:rPr>
        <w:t>Type 3 – IM entre émetteurs</w:t>
      </w:r>
      <w:r w:rsidRPr="00C16A45">
        <w:rPr>
          <w:webHidden/>
          <w:lang w:val="fr-CH"/>
        </w:rPr>
        <w:tab/>
      </w:r>
      <w:r>
        <w:rPr>
          <w:webHidden/>
          <w:lang w:val="fr-CH"/>
        </w:rPr>
        <w:tab/>
      </w:r>
      <w:r w:rsidR="00AC5A8C">
        <w:rPr>
          <w:webHidden/>
          <w:lang w:val="fr-CH"/>
        </w:rPr>
        <w:t>5</w:t>
      </w:r>
    </w:p>
    <w:p w:rsidR="00C16A45" w:rsidRPr="00C16A45" w:rsidRDefault="00C16A45">
      <w:pPr>
        <w:pStyle w:val="TOC2"/>
        <w:rPr>
          <w:rFonts w:eastAsiaTheme="minorEastAsia"/>
          <w:lang w:val="fr-CH"/>
        </w:rPr>
      </w:pPr>
      <w:r w:rsidRPr="00C16A45">
        <w:rPr>
          <w:lang w:val="fr-CH"/>
        </w:rPr>
        <w:t>1.4</w:t>
      </w:r>
      <w:r w:rsidRPr="00C16A45">
        <w:rPr>
          <w:rFonts w:eastAsiaTheme="minorEastAsia"/>
          <w:lang w:val="fr-CH"/>
        </w:rPr>
        <w:tab/>
      </w:r>
      <w:r w:rsidRPr="00C16A45">
        <w:rPr>
          <w:lang w:val="fr-CH"/>
        </w:rPr>
        <w:t>Type 4 – IM due à des antennes actives</w:t>
      </w:r>
      <w:r w:rsidRPr="00C16A45">
        <w:rPr>
          <w:webHidden/>
          <w:lang w:val="fr-CH"/>
        </w:rPr>
        <w:tab/>
      </w:r>
      <w:r>
        <w:rPr>
          <w:webHidden/>
          <w:lang w:val="fr-CH"/>
        </w:rPr>
        <w:tab/>
      </w:r>
      <w:r w:rsidRPr="00C16A45">
        <w:rPr>
          <w:webHidden/>
          <w:lang w:val="fr-CH"/>
        </w:rPr>
        <w:t>6</w:t>
      </w:r>
    </w:p>
    <w:p w:rsidR="00C16A45" w:rsidRPr="00C16A45" w:rsidRDefault="00C16A45">
      <w:pPr>
        <w:pStyle w:val="TOC2"/>
        <w:rPr>
          <w:rFonts w:eastAsiaTheme="minorEastAsia"/>
          <w:lang w:val="fr-CH"/>
        </w:rPr>
      </w:pPr>
      <w:r w:rsidRPr="00C16A45">
        <w:rPr>
          <w:lang w:val="fr-CH"/>
        </w:rPr>
        <w:t>1.5</w:t>
      </w:r>
      <w:r w:rsidRPr="00C16A45">
        <w:rPr>
          <w:rFonts w:eastAsiaTheme="minorEastAsia"/>
          <w:lang w:val="fr-CH"/>
        </w:rPr>
        <w:tab/>
      </w:r>
      <w:r w:rsidRPr="00C16A45">
        <w:rPr>
          <w:lang w:val="fr-CH"/>
        </w:rPr>
        <w:t>Type 5 – IM due à des circuits passifs</w:t>
      </w:r>
      <w:r w:rsidRPr="00C16A45">
        <w:rPr>
          <w:webHidden/>
          <w:lang w:val="fr-CH"/>
        </w:rPr>
        <w:tab/>
      </w:r>
      <w:r>
        <w:rPr>
          <w:webHidden/>
          <w:lang w:val="fr-CH"/>
        </w:rPr>
        <w:tab/>
      </w:r>
      <w:r w:rsidR="00AC5A8C">
        <w:rPr>
          <w:webHidden/>
          <w:lang w:val="fr-CH"/>
        </w:rPr>
        <w:t>6</w:t>
      </w:r>
    </w:p>
    <w:p w:rsidR="00C16A45" w:rsidRPr="00C16A45" w:rsidRDefault="00C16A45">
      <w:pPr>
        <w:pStyle w:val="TOC2"/>
        <w:rPr>
          <w:rFonts w:eastAsiaTheme="minorEastAsia"/>
          <w:lang w:val="fr-CH"/>
        </w:rPr>
      </w:pPr>
      <w:r w:rsidRPr="00C16A45">
        <w:rPr>
          <w:lang w:val="fr-CH"/>
        </w:rPr>
        <w:t>1.6</w:t>
      </w:r>
      <w:r w:rsidRPr="00C16A45">
        <w:rPr>
          <w:rFonts w:eastAsiaTheme="minorEastAsia"/>
          <w:lang w:val="fr-CH"/>
        </w:rPr>
        <w:tab/>
      </w:r>
      <w:r w:rsidRPr="00C16A45">
        <w:rPr>
          <w:lang w:val="fr-CH"/>
        </w:rPr>
        <w:t>Affaiblissement de l'IM de l'émetteur</w:t>
      </w:r>
      <w:r w:rsidRPr="00C16A45">
        <w:rPr>
          <w:webHidden/>
          <w:lang w:val="fr-CH"/>
        </w:rPr>
        <w:tab/>
      </w:r>
      <w:r>
        <w:rPr>
          <w:webHidden/>
          <w:lang w:val="fr-CH"/>
        </w:rPr>
        <w:tab/>
      </w:r>
      <w:r w:rsidR="00AC5A8C">
        <w:rPr>
          <w:webHidden/>
          <w:lang w:val="fr-CH"/>
        </w:rPr>
        <w:t>7</w:t>
      </w:r>
    </w:p>
    <w:p w:rsidR="00C16A45" w:rsidRPr="00C16A45" w:rsidRDefault="00C16A45">
      <w:pPr>
        <w:pStyle w:val="TOC1"/>
        <w:rPr>
          <w:rFonts w:eastAsiaTheme="minorEastAsia"/>
          <w:lang w:val="fr-CH"/>
        </w:rPr>
      </w:pPr>
      <w:r w:rsidRPr="00C16A45">
        <w:rPr>
          <w:lang w:val="fr-CH"/>
        </w:rPr>
        <w:t>2</w:t>
      </w:r>
      <w:r w:rsidRPr="00C16A45">
        <w:rPr>
          <w:rFonts w:eastAsiaTheme="minorEastAsia"/>
          <w:lang w:val="fr-CH"/>
        </w:rPr>
        <w:tab/>
      </w:r>
      <w:r w:rsidRPr="00C16A45">
        <w:rPr>
          <w:lang w:val="fr-CH"/>
        </w:rPr>
        <w:t>Considérations touchant aux services de radiocommunication</w:t>
      </w:r>
      <w:r w:rsidRPr="00C16A45">
        <w:rPr>
          <w:webHidden/>
          <w:lang w:val="fr-CH"/>
        </w:rPr>
        <w:tab/>
      </w:r>
      <w:r>
        <w:rPr>
          <w:webHidden/>
          <w:lang w:val="fr-CH"/>
        </w:rPr>
        <w:tab/>
      </w:r>
      <w:r w:rsidRPr="00C16A45">
        <w:rPr>
          <w:webHidden/>
          <w:lang w:val="fr-CH"/>
        </w:rPr>
        <w:t>8</w:t>
      </w:r>
    </w:p>
    <w:p w:rsidR="00C16A45" w:rsidRPr="00C16A45" w:rsidRDefault="00C16A45">
      <w:pPr>
        <w:pStyle w:val="TOC1"/>
        <w:rPr>
          <w:rFonts w:eastAsiaTheme="minorEastAsia"/>
          <w:lang w:val="fr-CH"/>
        </w:rPr>
      </w:pPr>
      <w:r w:rsidRPr="00C16A45">
        <w:rPr>
          <w:lang w:val="fr-CH"/>
        </w:rPr>
        <w:t>3</w:t>
      </w:r>
      <w:r w:rsidRPr="00C16A45">
        <w:rPr>
          <w:rFonts w:eastAsiaTheme="minorEastAsia"/>
          <w:lang w:val="fr-CH"/>
        </w:rPr>
        <w:tab/>
      </w:r>
      <w:r w:rsidRPr="00C16A45">
        <w:rPr>
          <w:lang w:val="fr-CH"/>
        </w:rPr>
        <w:t>Techniques de mesure</w:t>
      </w:r>
      <w:r w:rsidRPr="00C16A45">
        <w:rPr>
          <w:webHidden/>
          <w:lang w:val="fr-CH"/>
        </w:rPr>
        <w:tab/>
      </w:r>
      <w:r>
        <w:rPr>
          <w:webHidden/>
          <w:lang w:val="fr-CH"/>
        </w:rPr>
        <w:tab/>
      </w:r>
      <w:r w:rsidRPr="00C16A45">
        <w:rPr>
          <w:webHidden/>
          <w:lang w:val="fr-CH"/>
        </w:rPr>
        <w:t>8</w:t>
      </w:r>
    </w:p>
    <w:p w:rsidR="00C16A45" w:rsidRPr="00C16A45" w:rsidRDefault="00C16A45">
      <w:pPr>
        <w:pStyle w:val="TOC2"/>
        <w:rPr>
          <w:rFonts w:eastAsiaTheme="minorEastAsia"/>
          <w:lang w:val="fr-CH"/>
        </w:rPr>
      </w:pPr>
      <w:r w:rsidRPr="00C16A45">
        <w:rPr>
          <w:lang w:val="fr-CH"/>
        </w:rPr>
        <w:t>3.1</w:t>
      </w:r>
      <w:r w:rsidRPr="00C16A45">
        <w:rPr>
          <w:rFonts w:eastAsiaTheme="minorEastAsia"/>
          <w:lang w:val="fr-CH"/>
        </w:rPr>
        <w:tab/>
      </w:r>
      <w:r w:rsidRPr="00C16A45">
        <w:rPr>
          <w:lang w:val="fr-CH"/>
        </w:rPr>
        <w:t>Méthodes génériques de mesure des produits d'IM par un seul canal (Type 1)</w:t>
      </w:r>
      <w:r w:rsidRPr="00C16A45">
        <w:rPr>
          <w:webHidden/>
          <w:lang w:val="fr-CH"/>
        </w:rPr>
        <w:tab/>
      </w:r>
      <w:r>
        <w:rPr>
          <w:webHidden/>
          <w:lang w:val="fr-CH"/>
        </w:rPr>
        <w:tab/>
      </w:r>
      <w:r w:rsidR="00AC5A8C">
        <w:rPr>
          <w:webHidden/>
          <w:lang w:val="fr-CH"/>
        </w:rPr>
        <w:t>8</w:t>
      </w:r>
    </w:p>
    <w:p w:rsidR="00C16A45" w:rsidRPr="00C16A45" w:rsidRDefault="00C16A45">
      <w:pPr>
        <w:pStyle w:val="TOC3"/>
        <w:rPr>
          <w:rFonts w:eastAsiaTheme="minorEastAsia"/>
          <w:lang w:val="fr-CH"/>
        </w:rPr>
      </w:pPr>
      <w:r w:rsidRPr="00C16A45">
        <w:rPr>
          <w:lang w:val="fr-CH"/>
        </w:rPr>
        <w:t>3.1.1</w:t>
      </w:r>
      <w:r w:rsidRPr="00C16A45">
        <w:rPr>
          <w:rFonts w:eastAsiaTheme="minorEastAsia"/>
          <w:lang w:val="fr-CH"/>
        </w:rPr>
        <w:tab/>
      </w:r>
      <w:r w:rsidRPr="00C16A45">
        <w:rPr>
          <w:lang w:val="fr-CH"/>
        </w:rPr>
        <w:t>Modulation analogique</w:t>
      </w:r>
      <w:r w:rsidRPr="00C16A45">
        <w:rPr>
          <w:webHidden/>
          <w:lang w:val="fr-CH"/>
        </w:rPr>
        <w:tab/>
      </w:r>
      <w:r>
        <w:rPr>
          <w:webHidden/>
          <w:lang w:val="fr-CH"/>
        </w:rPr>
        <w:tab/>
      </w:r>
      <w:r w:rsidR="00AC5A8C">
        <w:rPr>
          <w:webHidden/>
          <w:lang w:val="fr-CH"/>
        </w:rPr>
        <w:t>8</w:t>
      </w:r>
    </w:p>
    <w:p w:rsidR="00C16A45" w:rsidRPr="00C16A45" w:rsidRDefault="00C16A45">
      <w:pPr>
        <w:pStyle w:val="TOC3"/>
        <w:rPr>
          <w:rFonts w:eastAsiaTheme="minorEastAsia"/>
          <w:lang w:val="fr-CH"/>
        </w:rPr>
      </w:pPr>
      <w:r w:rsidRPr="00C16A45">
        <w:rPr>
          <w:lang w:val="fr-CH"/>
        </w:rPr>
        <w:t>3.1.2</w:t>
      </w:r>
      <w:r w:rsidRPr="00C16A45">
        <w:rPr>
          <w:rFonts w:eastAsiaTheme="minorEastAsia"/>
          <w:lang w:val="fr-CH"/>
        </w:rPr>
        <w:tab/>
      </w:r>
      <w:r w:rsidRPr="00C16A45">
        <w:rPr>
          <w:lang w:val="fr-CH"/>
        </w:rPr>
        <w:t>Modulations numériques</w:t>
      </w:r>
      <w:r w:rsidRPr="00C16A45">
        <w:rPr>
          <w:webHidden/>
          <w:lang w:val="fr-CH"/>
        </w:rPr>
        <w:tab/>
      </w:r>
      <w:r>
        <w:rPr>
          <w:webHidden/>
          <w:lang w:val="fr-CH"/>
        </w:rPr>
        <w:tab/>
      </w:r>
      <w:r w:rsidR="00AC5A8C">
        <w:rPr>
          <w:webHidden/>
          <w:lang w:val="fr-CH"/>
        </w:rPr>
        <w:t>9</w:t>
      </w:r>
    </w:p>
    <w:p w:rsidR="00C16A45" w:rsidRPr="00C16A45" w:rsidRDefault="00C16A45">
      <w:pPr>
        <w:pStyle w:val="TOC2"/>
        <w:rPr>
          <w:rFonts w:eastAsiaTheme="minorEastAsia"/>
          <w:lang w:val="fr-CH"/>
        </w:rPr>
      </w:pPr>
      <w:r w:rsidRPr="00C16A45">
        <w:rPr>
          <w:lang w:val="fr-CH"/>
        </w:rPr>
        <w:t>3.2</w:t>
      </w:r>
      <w:r w:rsidRPr="00C16A45">
        <w:rPr>
          <w:rFonts w:eastAsiaTheme="minorEastAsia"/>
          <w:lang w:val="fr-CH"/>
        </w:rPr>
        <w:tab/>
      </w:r>
      <w:r w:rsidRPr="00C16A45">
        <w:rPr>
          <w:lang w:val="fr-CH"/>
        </w:rPr>
        <w:t>Méthodes génériques pour mesurer les produits d'IM par porteuses multiples (Type 2)</w:t>
      </w:r>
      <w:r w:rsidRPr="00C16A45">
        <w:rPr>
          <w:webHidden/>
          <w:lang w:val="fr-CH"/>
        </w:rPr>
        <w:tab/>
      </w:r>
      <w:r>
        <w:rPr>
          <w:webHidden/>
          <w:lang w:val="fr-CH"/>
        </w:rPr>
        <w:tab/>
      </w:r>
      <w:r w:rsidR="00AC5A8C">
        <w:rPr>
          <w:webHidden/>
          <w:lang w:val="fr-CH"/>
        </w:rPr>
        <w:t>9</w:t>
      </w:r>
    </w:p>
    <w:p w:rsidR="00C16A45" w:rsidRPr="00C16A45" w:rsidRDefault="00C16A45">
      <w:pPr>
        <w:pStyle w:val="TOC3"/>
        <w:rPr>
          <w:rFonts w:eastAsiaTheme="minorEastAsia"/>
          <w:lang w:val="fr-CH"/>
        </w:rPr>
      </w:pPr>
      <w:r w:rsidRPr="00C16A45">
        <w:rPr>
          <w:lang w:val="fr-CH"/>
        </w:rPr>
        <w:t>3.2.1</w:t>
      </w:r>
      <w:r w:rsidRPr="00C16A45">
        <w:rPr>
          <w:rFonts w:eastAsiaTheme="minorEastAsia"/>
          <w:lang w:val="fr-CH"/>
        </w:rPr>
        <w:tab/>
      </w:r>
      <w:r w:rsidRPr="00C16A45">
        <w:rPr>
          <w:lang w:val="fr-CH"/>
        </w:rPr>
        <w:t>Description des méthodes de mesure</w:t>
      </w:r>
      <w:r w:rsidRPr="00C16A45">
        <w:rPr>
          <w:webHidden/>
          <w:lang w:val="fr-CH"/>
        </w:rPr>
        <w:tab/>
      </w:r>
      <w:r>
        <w:rPr>
          <w:webHidden/>
          <w:lang w:val="fr-CH"/>
        </w:rPr>
        <w:tab/>
      </w:r>
      <w:r w:rsidRPr="00C16A45">
        <w:rPr>
          <w:webHidden/>
          <w:lang w:val="fr-CH"/>
        </w:rPr>
        <w:t>10</w:t>
      </w:r>
    </w:p>
    <w:p w:rsidR="00C16A45" w:rsidRPr="00C16A45" w:rsidRDefault="00C16A45">
      <w:pPr>
        <w:pStyle w:val="TOC3"/>
        <w:rPr>
          <w:rFonts w:eastAsiaTheme="minorEastAsia"/>
          <w:lang w:val="fr-CH"/>
        </w:rPr>
      </w:pPr>
      <w:r w:rsidRPr="00C16A45">
        <w:rPr>
          <w:lang w:val="fr-CH"/>
        </w:rPr>
        <w:t>3.2.2</w:t>
      </w:r>
      <w:r w:rsidRPr="00C16A45">
        <w:rPr>
          <w:rFonts w:eastAsiaTheme="minorEastAsia"/>
          <w:lang w:val="fr-CH"/>
        </w:rPr>
        <w:tab/>
      </w:r>
      <w:r w:rsidRPr="00C16A45">
        <w:rPr>
          <w:lang w:val="fr-CH"/>
        </w:rPr>
        <w:t>Comparaison des méthodes</w:t>
      </w:r>
      <w:r w:rsidRPr="00C16A45">
        <w:rPr>
          <w:webHidden/>
          <w:lang w:val="fr-CH"/>
        </w:rPr>
        <w:tab/>
      </w:r>
      <w:r>
        <w:rPr>
          <w:webHidden/>
          <w:lang w:val="fr-CH"/>
        </w:rPr>
        <w:tab/>
      </w:r>
      <w:r w:rsidRPr="00C16A45">
        <w:rPr>
          <w:webHidden/>
          <w:lang w:val="fr-CH"/>
        </w:rPr>
        <w:t>11</w:t>
      </w:r>
    </w:p>
    <w:p w:rsidR="00C16A45" w:rsidRPr="00C16A45" w:rsidRDefault="00C16A45">
      <w:pPr>
        <w:pStyle w:val="TOC2"/>
        <w:rPr>
          <w:rFonts w:eastAsiaTheme="minorEastAsia"/>
          <w:lang w:val="fr-CH"/>
        </w:rPr>
      </w:pPr>
      <w:r w:rsidRPr="00C16A45">
        <w:rPr>
          <w:lang w:val="fr-CH"/>
        </w:rPr>
        <w:t>3.3</w:t>
      </w:r>
      <w:r w:rsidRPr="00C16A45">
        <w:rPr>
          <w:rFonts w:eastAsiaTheme="minorEastAsia"/>
          <w:lang w:val="fr-CH"/>
        </w:rPr>
        <w:tab/>
      </w:r>
      <w:r w:rsidRPr="00C16A45">
        <w:rPr>
          <w:lang w:val="fr-CH"/>
        </w:rPr>
        <w:t>Méthodes génériques pour mesurer l'IM entre émetteurs (Type 3)</w:t>
      </w:r>
      <w:r w:rsidRPr="00C16A45">
        <w:rPr>
          <w:webHidden/>
          <w:lang w:val="fr-CH"/>
        </w:rPr>
        <w:tab/>
      </w:r>
      <w:r>
        <w:rPr>
          <w:webHidden/>
          <w:lang w:val="fr-CH"/>
        </w:rPr>
        <w:tab/>
      </w:r>
      <w:r w:rsidRPr="00C16A45">
        <w:rPr>
          <w:webHidden/>
          <w:lang w:val="fr-CH"/>
        </w:rPr>
        <w:t>12</w:t>
      </w:r>
    </w:p>
    <w:p w:rsidR="00C16A45" w:rsidRPr="00C16A45" w:rsidRDefault="00C16A45">
      <w:pPr>
        <w:pStyle w:val="TOC3"/>
        <w:rPr>
          <w:rFonts w:eastAsiaTheme="minorEastAsia"/>
          <w:lang w:val="fr-CH"/>
        </w:rPr>
      </w:pPr>
      <w:r w:rsidRPr="00C16A45">
        <w:rPr>
          <w:lang w:val="fr-CH"/>
        </w:rPr>
        <w:t>3.3.1</w:t>
      </w:r>
      <w:r w:rsidRPr="00C16A45">
        <w:rPr>
          <w:rFonts w:eastAsiaTheme="minorEastAsia"/>
          <w:lang w:val="fr-CH"/>
        </w:rPr>
        <w:tab/>
      </w:r>
      <w:r w:rsidRPr="00C16A45">
        <w:rPr>
          <w:lang w:val="fr-CH"/>
        </w:rPr>
        <w:t>Principe</w:t>
      </w:r>
      <w:r w:rsidRPr="00C16A45">
        <w:rPr>
          <w:webHidden/>
          <w:lang w:val="fr-CH"/>
        </w:rPr>
        <w:tab/>
      </w:r>
      <w:r>
        <w:rPr>
          <w:webHidden/>
          <w:lang w:val="fr-CH"/>
        </w:rPr>
        <w:tab/>
      </w:r>
      <w:r w:rsidRPr="00C16A45">
        <w:rPr>
          <w:webHidden/>
          <w:lang w:val="fr-CH"/>
        </w:rPr>
        <w:t>12</w:t>
      </w:r>
    </w:p>
    <w:p w:rsidR="00C16A45" w:rsidRPr="00C16A45" w:rsidRDefault="00C16A45">
      <w:pPr>
        <w:pStyle w:val="TOC3"/>
        <w:rPr>
          <w:rFonts w:eastAsiaTheme="minorEastAsia"/>
          <w:lang w:val="fr-CH"/>
        </w:rPr>
      </w:pPr>
      <w:r w:rsidRPr="00C16A45">
        <w:rPr>
          <w:lang w:val="fr-CH"/>
        </w:rPr>
        <w:t>3.3.2</w:t>
      </w:r>
      <w:r w:rsidRPr="00C16A45">
        <w:rPr>
          <w:rFonts w:eastAsiaTheme="minorEastAsia"/>
          <w:lang w:val="fr-CH"/>
        </w:rPr>
        <w:tab/>
      </w:r>
      <w:r w:rsidRPr="00C16A45">
        <w:rPr>
          <w:lang w:val="fr-CH"/>
        </w:rPr>
        <w:t>Dispositif de mesure</w:t>
      </w:r>
      <w:r w:rsidRPr="00C16A45">
        <w:rPr>
          <w:webHidden/>
          <w:lang w:val="fr-CH"/>
        </w:rPr>
        <w:tab/>
      </w:r>
      <w:r>
        <w:rPr>
          <w:webHidden/>
          <w:lang w:val="fr-CH"/>
        </w:rPr>
        <w:tab/>
      </w:r>
      <w:r w:rsidRPr="00C16A45">
        <w:rPr>
          <w:webHidden/>
          <w:lang w:val="fr-CH"/>
        </w:rPr>
        <w:t>1</w:t>
      </w:r>
      <w:r w:rsidR="00AC5A8C">
        <w:rPr>
          <w:webHidden/>
          <w:lang w:val="fr-CH"/>
        </w:rPr>
        <w:t>2</w:t>
      </w:r>
    </w:p>
    <w:p w:rsidR="00C16A45" w:rsidRPr="00C16A45" w:rsidRDefault="00C16A45" w:rsidP="00C16A45">
      <w:pPr>
        <w:pStyle w:val="TOC1"/>
        <w:rPr>
          <w:rFonts w:eastAsiaTheme="minorEastAsia"/>
          <w:lang w:val="fr-CH"/>
        </w:rPr>
      </w:pPr>
      <w:r w:rsidRPr="00C16A45">
        <w:rPr>
          <w:lang w:val="fr-FR"/>
        </w:rPr>
        <w:t>Appendice 1 à l'Annexe 1</w:t>
      </w:r>
      <w:r>
        <w:rPr>
          <w:lang w:val="fr-FR"/>
        </w:rPr>
        <w:t xml:space="preserve"> </w:t>
      </w:r>
      <w:r w:rsidRPr="00C16A45">
        <w:rPr>
          <w:lang w:val="fr-FR"/>
        </w:rPr>
        <w:t>–</w:t>
      </w:r>
      <w:r>
        <w:rPr>
          <w:lang w:val="fr-FR"/>
        </w:rPr>
        <w:t xml:space="preserve"> Exemples de caractéristiques d'IM</w:t>
      </w:r>
      <w:r w:rsidRPr="00C16A45">
        <w:rPr>
          <w:webHidden/>
          <w:lang w:val="fr-CH"/>
        </w:rPr>
        <w:tab/>
      </w:r>
      <w:r>
        <w:rPr>
          <w:webHidden/>
          <w:lang w:val="fr-CH"/>
        </w:rPr>
        <w:tab/>
      </w:r>
      <w:r w:rsidRPr="00C16A45">
        <w:rPr>
          <w:webHidden/>
          <w:lang w:val="fr-CH"/>
        </w:rPr>
        <w:t>1</w:t>
      </w:r>
      <w:r w:rsidR="00AC5A8C">
        <w:rPr>
          <w:webHidden/>
          <w:lang w:val="fr-CH"/>
        </w:rPr>
        <w:t>4</w:t>
      </w:r>
    </w:p>
    <w:p w:rsidR="00C16A45" w:rsidRPr="00C16A45" w:rsidRDefault="00C16A45" w:rsidP="00C16A45">
      <w:pPr>
        <w:pStyle w:val="TOC1"/>
        <w:rPr>
          <w:rFonts w:eastAsiaTheme="minorEastAsia"/>
          <w:lang w:val="fr-CH"/>
        </w:rPr>
      </w:pPr>
    </w:p>
    <w:p w:rsidR="006D667B" w:rsidRPr="00EF34AC" w:rsidRDefault="006D667B" w:rsidP="006D667B">
      <w:pPr>
        <w:rPr>
          <w:lang w:val="fr-CH"/>
        </w:rPr>
      </w:pPr>
    </w:p>
    <w:p w:rsidR="006D667B" w:rsidRDefault="006D667B" w:rsidP="006D667B">
      <w:pPr>
        <w:pStyle w:val="Heading1"/>
      </w:pPr>
      <w:bookmarkStart w:id="6" w:name="_Toc303683191"/>
      <w:bookmarkStart w:id="7" w:name="_Toc303683389"/>
      <w:r>
        <w:t>1</w:t>
      </w:r>
      <w:r>
        <w:tab/>
        <w:t>Définition des différents types d'IM dans l'émetteur</w:t>
      </w:r>
      <w:bookmarkEnd w:id="6"/>
      <w:bookmarkEnd w:id="7"/>
    </w:p>
    <w:p w:rsidR="006D667B" w:rsidRPr="00DD45B4" w:rsidRDefault="006D667B" w:rsidP="006D667B">
      <w:pPr>
        <w:rPr>
          <w:sz w:val="20"/>
        </w:rPr>
      </w:pPr>
      <w:r w:rsidRPr="00DD45B4">
        <w:rPr>
          <w:sz w:val="20"/>
        </w:rPr>
        <w:t>Les produits d'IM sont dus à des points de non</w:t>
      </w:r>
      <w:r w:rsidRPr="00DD45B4">
        <w:rPr>
          <w:sz w:val="20"/>
        </w:rPr>
        <w:noBreakHyphen/>
        <w:t>linéarité dans l'amplificateur de sortie de l'émetteur, (par exemple du niveau des semi-conducteurs, des klystrons, etc. et dans des dispositifs passifs (par exemple au niveau des combineurs, des circulateurs, des connecteurs, etc.)).</w:t>
      </w:r>
    </w:p>
    <w:p w:rsidR="006D667B" w:rsidRPr="00DD45B4" w:rsidRDefault="006D667B" w:rsidP="00047638">
      <w:pPr>
        <w:rPr>
          <w:sz w:val="20"/>
        </w:rPr>
      </w:pPr>
      <w:r w:rsidRPr="00DD45B4">
        <w:rPr>
          <w:sz w:val="20"/>
        </w:rPr>
        <w:lastRenderedPageBreak/>
        <w:t xml:space="preserve">Les produits d'IM à la fréquence </w:t>
      </w:r>
      <w:r w:rsidRPr="00DD45B4">
        <w:rPr>
          <w:i/>
          <w:iCs/>
          <w:sz w:val="20"/>
        </w:rPr>
        <w:t>f</w:t>
      </w:r>
      <w:r w:rsidRPr="00DD45B4">
        <w:rPr>
          <w:i/>
          <w:iCs/>
          <w:position w:val="-4"/>
          <w:sz w:val="20"/>
        </w:rPr>
        <w:t>IM</w:t>
      </w:r>
      <w:r w:rsidRPr="00DD45B4">
        <w:rPr>
          <w:sz w:val="20"/>
        </w:rPr>
        <w:t xml:space="preserve"> sont causés par deux ou plus de deux signaux brouilleurs aux fréquences </w:t>
      </w:r>
      <w:r w:rsidRPr="00DD45B4">
        <w:rPr>
          <w:i/>
          <w:iCs/>
          <w:sz w:val="20"/>
        </w:rPr>
        <w:t>f</w:t>
      </w:r>
      <w:r w:rsidRPr="00DD45B4">
        <w:rPr>
          <w:position w:val="-4"/>
          <w:sz w:val="20"/>
        </w:rPr>
        <w:t>1</w:t>
      </w:r>
      <w:r w:rsidRPr="00DD45B4">
        <w:rPr>
          <w:sz w:val="20"/>
        </w:rPr>
        <w:t xml:space="preserve">, </w:t>
      </w:r>
      <w:r w:rsidRPr="00DD45B4">
        <w:rPr>
          <w:i/>
          <w:iCs/>
          <w:sz w:val="20"/>
        </w:rPr>
        <w:t>f</w:t>
      </w:r>
      <w:r w:rsidRPr="00DD45B4">
        <w:rPr>
          <w:position w:val="-4"/>
          <w:sz w:val="20"/>
        </w:rPr>
        <w:t>2</w:t>
      </w:r>
      <w:r w:rsidRPr="00DD45B4">
        <w:rPr>
          <w:sz w:val="20"/>
        </w:rPr>
        <w:t xml:space="preserve">, </w:t>
      </w:r>
      <w:r w:rsidR="00047638" w:rsidRPr="00047638">
        <w:rPr>
          <w:sz w:val="20"/>
        </w:rPr>
        <w:t>...</w:t>
      </w:r>
      <w:r w:rsidRPr="00DD45B4">
        <w:rPr>
          <w:sz w:val="20"/>
        </w:rPr>
        <w:t xml:space="preserve"> correspondant aux points de non-linéarité, au niveau de la sortie d'un émetteur. La relation entre </w:t>
      </w:r>
      <w:r w:rsidRPr="00DD45B4">
        <w:rPr>
          <w:i/>
          <w:iCs/>
          <w:sz w:val="20"/>
        </w:rPr>
        <w:t>f</w:t>
      </w:r>
      <w:r w:rsidRPr="00DD45B4">
        <w:rPr>
          <w:i/>
          <w:iCs/>
          <w:position w:val="-4"/>
          <w:sz w:val="20"/>
        </w:rPr>
        <w:t>IM</w:t>
      </w:r>
      <w:r w:rsidRPr="00DD45B4">
        <w:rPr>
          <w:sz w:val="20"/>
        </w:rPr>
        <w:t xml:space="preserve"> et </w:t>
      </w:r>
      <w:r w:rsidRPr="00DD45B4">
        <w:rPr>
          <w:i/>
          <w:iCs/>
          <w:sz w:val="20"/>
        </w:rPr>
        <w:t>f</w:t>
      </w:r>
      <w:r w:rsidRPr="00DD45B4">
        <w:rPr>
          <w:position w:val="-4"/>
          <w:sz w:val="20"/>
        </w:rPr>
        <w:t>1</w:t>
      </w:r>
      <w:r w:rsidRPr="00DD45B4">
        <w:rPr>
          <w:sz w:val="20"/>
        </w:rPr>
        <w:t xml:space="preserve">, </w:t>
      </w:r>
      <w:r w:rsidRPr="00DD45B4">
        <w:rPr>
          <w:i/>
          <w:iCs/>
          <w:sz w:val="20"/>
        </w:rPr>
        <w:t>f</w:t>
      </w:r>
      <w:r w:rsidRPr="00DD45B4">
        <w:rPr>
          <w:position w:val="-4"/>
          <w:sz w:val="20"/>
        </w:rPr>
        <w:t>2</w:t>
      </w:r>
      <w:r w:rsidRPr="00DD45B4">
        <w:rPr>
          <w:sz w:val="20"/>
        </w:rPr>
        <w:t xml:space="preserve">, </w:t>
      </w:r>
      <w:r w:rsidR="00047638" w:rsidRPr="00047638">
        <w:rPr>
          <w:sz w:val="20"/>
        </w:rPr>
        <w:t>...</w:t>
      </w:r>
      <w:r w:rsidRPr="00DD45B4">
        <w:rPr>
          <w:sz w:val="20"/>
        </w:rPr>
        <w:t xml:space="preserve"> s'exprime de façon très générale:</w:t>
      </w:r>
    </w:p>
    <w:p w:rsidR="006D667B" w:rsidRPr="00DD45B4" w:rsidRDefault="006D667B" w:rsidP="00A50FAD">
      <w:pPr>
        <w:pStyle w:val="Equation"/>
        <w:jc w:val="center"/>
        <w:rPr>
          <w:sz w:val="20"/>
        </w:rPr>
      </w:pPr>
      <w:r w:rsidRPr="00DD45B4">
        <w:rPr>
          <w:i/>
          <w:iCs/>
          <w:sz w:val="20"/>
        </w:rPr>
        <w:t>f</w:t>
      </w:r>
      <w:r w:rsidRPr="00DD45B4">
        <w:rPr>
          <w:i/>
          <w:iCs/>
          <w:position w:val="-4"/>
          <w:sz w:val="20"/>
        </w:rPr>
        <w:t>IM</w:t>
      </w:r>
      <w:r w:rsidRPr="00DD45B4">
        <w:rPr>
          <w:sz w:val="20"/>
        </w:rPr>
        <w:t xml:space="preserve"> </w:t>
      </w:r>
      <w:r w:rsidR="00A50FAD" w:rsidRPr="00A50FAD">
        <w:rPr>
          <w:sz w:val="20"/>
        </w:rPr>
        <w:t>=</w:t>
      </w:r>
      <w:r w:rsidRPr="00DD45B4">
        <w:rPr>
          <w:sz w:val="20"/>
        </w:rPr>
        <w:t xml:space="preserve"> </w:t>
      </w:r>
      <w:r w:rsidR="00A50FAD" w:rsidRPr="00A50FAD">
        <w:rPr>
          <w:sz w:val="20"/>
        </w:rPr>
        <w:t>|</w:t>
      </w:r>
      <w:r w:rsidRPr="00DD45B4">
        <w:rPr>
          <w:rFonts w:ascii="Tms Rmn" w:hAnsi="Tms Rmn"/>
          <w:sz w:val="20"/>
        </w:rPr>
        <w:t> </w:t>
      </w:r>
      <w:r w:rsidRPr="00DD45B4">
        <w:rPr>
          <w:rFonts w:ascii="Tms Rmn" w:hAnsi="Tms Rmn"/>
          <w:i/>
          <w:iCs/>
          <w:sz w:val="20"/>
        </w:rPr>
        <w:t>m</w:t>
      </w:r>
      <w:r w:rsidRPr="00DD45B4">
        <w:rPr>
          <w:rFonts w:ascii="Tms Rmn" w:hAnsi="Tms Rmn"/>
          <w:position w:val="-4"/>
          <w:sz w:val="20"/>
        </w:rPr>
        <w:t>1</w:t>
      </w:r>
      <w:r w:rsidRPr="00DD45B4">
        <w:rPr>
          <w:rFonts w:ascii="Tms Rmn" w:hAnsi="Tms Rmn"/>
          <w:sz w:val="20"/>
        </w:rPr>
        <w:t> </w:t>
      </w:r>
      <w:r w:rsidRPr="00DD45B4">
        <w:rPr>
          <w:rFonts w:ascii="Tms Rmn" w:hAnsi="Tms Rmn"/>
          <w:i/>
          <w:iCs/>
          <w:sz w:val="20"/>
        </w:rPr>
        <w:t>f</w:t>
      </w:r>
      <w:r w:rsidRPr="00DD45B4">
        <w:rPr>
          <w:rFonts w:ascii="Tms Rmn" w:hAnsi="Tms Rmn"/>
          <w:position w:val="-4"/>
          <w:sz w:val="20"/>
        </w:rPr>
        <w:t>1</w:t>
      </w:r>
      <w:r w:rsidRPr="00DD45B4">
        <w:rPr>
          <w:sz w:val="20"/>
        </w:rPr>
        <w:t xml:space="preserve"> </w:t>
      </w:r>
      <w:r w:rsidR="00A50FAD" w:rsidRPr="00A50FAD">
        <w:rPr>
          <w:sz w:val="20"/>
        </w:rPr>
        <w:t>+</w:t>
      </w:r>
      <w:r w:rsidRPr="00DD45B4">
        <w:rPr>
          <w:sz w:val="20"/>
        </w:rPr>
        <w:t xml:space="preserve"> </w:t>
      </w:r>
      <w:r w:rsidRPr="00DD45B4">
        <w:rPr>
          <w:i/>
          <w:iCs/>
          <w:sz w:val="20"/>
        </w:rPr>
        <w:t>m</w:t>
      </w:r>
      <w:r w:rsidRPr="00DD45B4">
        <w:rPr>
          <w:position w:val="-4"/>
          <w:sz w:val="20"/>
        </w:rPr>
        <w:t>2</w:t>
      </w:r>
      <w:r w:rsidRPr="00DD45B4">
        <w:rPr>
          <w:rFonts w:ascii="Tms Rmn" w:hAnsi="Tms Rmn"/>
          <w:sz w:val="20"/>
        </w:rPr>
        <w:t> </w:t>
      </w:r>
      <w:r w:rsidRPr="00DD45B4">
        <w:rPr>
          <w:rFonts w:ascii="Tms Rmn" w:hAnsi="Tms Rmn"/>
          <w:i/>
          <w:iCs/>
          <w:sz w:val="20"/>
        </w:rPr>
        <w:t> </w:t>
      </w:r>
      <w:r w:rsidRPr="00DD45B4">
        <w:rPr>
          <w:i/>
          <w:iCs/>
          <w:sz w:val="20"/>
        </w:rPr>
        <w:t>f</w:t>
      </w:r>
      <w:r w:rsidRPr="00DD45B4">
        <w:rPr>
          <w:position w:val="-4"/>
          <w:sz w:val="20"/>
        </w:rPr>
        <w:t>2</w:t>
      </w:r>
      <w:r w:rsidRPr="00DD45B4">
        <w:rPr>
          <w:sz w:val="20"/>
        </w:rPr>
        <w:t xml:space="preserve"> </w:t>
      </w:r>
      <w:r w:rsidR="00047638" w:rsidRPr="00047638">
        <w:rPr>
          <w:sz w:val="20"/>
        </w:rPr>
        <w:t>+</w:t>
      </w:r>
      <w:r w:rsidRPr="00DD45B4">
        <w:rPr>
          <w:sz w:val="20"/>
        </w:rPr>
        <w:t xml:space="preserve"> </w:t>
      </w:r>
      <w:r w:rsidR="00047638" w:rsidRPr="00047638">
        <w:rPr>
          <w:sz w:val="20"/>
        </w:rPr>
        <w:t>...</w:t>
      </w:r>
      <w:r w:rsidRPr="00DD45B4">
        <w:rPr>
          <w:rFonts w:ascii="Tms Rmn" w:hAnsi="Tms Rmn"/>
          <w:sz w:val="20"/>
        </w:rPr>
        <w:t> </w:t>
      </w:r>
      <w:r w:rsidR="00047638" w:rsidRPr="00047638">
        <w:rPr>
          <w:sz w:val="20"/>
        </w:rPr>
        <w:t>|</w:t>
      </w:r>
      <w:r w:rsidRPr="00DD45B4">
        <w:rPr>
          <w:sz w:val="20"/>
        </w:rPr>
        <w:t>         avec         </w:t>
      </w:r>
      <w:r w:rsidRPr="00DD45B4">
        <w:rPr>
          <w:i/>
          <w:iCs/>
          <w:sz w:val="20"/>
        </w:rPr>
        <w:t>m</w:t>
      </w:r>
      <w:r w:rsidR="00047638" w:rsidRPr="00C446F0">
        <w:rPr>
          <w:vertAlign w:val="subscript"/>
        </w:rPr>
        <w:sym w:font="Symbol" w:char="F075"/>
      </w:r>
      <w:r w:rsidRPr="00DD45B4">
        <w:rPr>
          <w:sz w:val="20"/>
        </w:rPr>
        <w:t xml:space="preserve"> </w:t>
      </w:r>
      <w:r w:rsidR="00047638" w:rsidRPr="00047638">
        <w:rPr>
          <w:sz w:val="20"/>
        </w:rPr>
        <w:t>=</w:t>
      </w:r>
      <w:r w:rsidRPr="00DD45B4">
        <w:rPr>
          <w:sz w:val="20"/>
        </w:rPr>
        <w:t xml:space="preserve"> 0, </w:t>
      </w:r>
      <w:r w:rsidR="00047638" w:rsidRPr="00047638">
        <w:rPr>
          <w:sz w:val="20"/>
        </w:rPr>
        <w:sym w:font="Symbol" w:char="F0B1"/>
      </w:r>
      <w:r w:rsidRPr="00DD45B4">
        <w:rPr>
          <w:rFonts w:ascii="Tms Rmn" w:hAnsi="Tms Rmn"/>
          <w:sz w:val="20"/>
        </w:rPr>
        <w:t xml:space="preserve"> 1, </w:t>
      </w:r>
      <w:r w:rsidR="00047638" w:rsidRPr="00047638">
        <w:rPr>
          <w:sz w:val="20"/>
        </w:rPr>
        <w:sym w:font="Symbol" w:char="F0B1"/>
      </w:r>
      <w:r w:rsidRPr="00DD45B4">
        <w:rPr>
          <w:rFonts w:ascii="Tms Rmn" w:hAnsi="Tms Rmn"/>
          <w:sz w:val="20"/>
        </w:rPr>
        <w:t xml:space="preserve"> 2, </w:t>
      </w:r>
      <w:r w:rsidR="00047638" w:rsidRPr="00047638">
        <w:rPr>
          <w:sz w:val="20"/>
        </w:rPr>
        <w:t>...</w:t>
      </w:r>
    </w:p>
    <w:p w:rsidR="006D667B" w:rsidRPr="00DD45B4" w:rsidRDefault="006D667B" w:rsidP="00047638">
      <w:pPr>
        <w:rPr>
          <w:sz w:val="20"/>
        </w:rPr>
      </w:pPr>
      <w:r w:rsidRPr="00DD45B4">
        <w:rPr>
          <w:sz w:val="20"/>
        </w:rPr>
        <w:t xml:space="preserve">L'ordre du produit d'IM est donné par </w:t>
      </w:r>
      <w:r w:rsidRPr="00DD45B4">
        <w:rPr>
          <w:i/>
          <w:iCs/>
          <w:sz w:val="20"/>
        </w:rPr>
        <w:t>n</w:t>
      </w:r>
      <w:r w:rsidRPr="00DD45B4">
        <w:rPr>
          <w:sz w:val="20"/>
        </w:rPr>
        <w:t> </w:t>
      </w:r>
      <w:r w:rsidR="00047638" w:rsidRPr="00047638">
        <w:rPr>
          <w:sz w:val="20"/>
        </w:rPr>
        <w:t>=</w:t>
      </w:r>
      <w:r w:rsidRPr="00DD45B4">
        <w:rPr>
          <w:sz w:val="20"/>
        </w:rPr>
        <w:t> </w:t>
      </w:r>
      <w:r w:rsidRPr="00DD45B4">
        <w:rPr>
          <w:i/>
          <w:iCs/>
          <w:sz w:val="20"/>
        </w:rPr>
        <w:t>m</w:t>
      </w:r>
      <w:r w:rsidRPr="00DD45B4">
        <w:rPr>
          <w:position w:val="-4"/>
          <w:sz w:val="20"/>
        </w:rPr>
        <w:t>1</w:t>
      </w:r>
      <w:r w:rsidRPr="00DD45B4">
        <w:rPr>
          <w:sz w:val="20"/>
        </w:rPr>
        <w:t> </w:t>
      </w:r>
      <w:r w:rsidR="00047638" w:rsidRPr="00047638">
        <w:rPr>
          <w:sz w:val="20"/>
        </w:rPr>
        <w:t>+</w:t>
      </w:r>
      <w:r w:rsidRPr="00DD45B4">
        <w:rPr>
          <w:sz w:val="20"/>
        </w:rPr>
        <w:t> </w:t>
      </w:r>
      <w:r w:rsidRPr="00DD45B4">
        <w:rPr>
          <w:i/>
          <w:iCs/>
          <w:sz w:val="20"/>
        </w:rPr>
        <w:t>m</w:t>
      </w:r>
      <w:r w:rsidRPr="00DD45B4">
        <w:rPr>
          <w:position w:val="-4"/>
          <w:sz w:val="20"/>
        </w:rPr>
        <w:t>2</w:t>
      </w:r>
      <w:r w:rsidRPr="00DD45B4">
        <w:rPr>
          <w:sz w:val="20"/>
        </w:rPr>
        <w:t> </w:t>
      </w:r>
      <w:r w:rsidR="00047638" w:rsidRPr="00047638">
        <w:rPr>
          <w:sz w:val="20"/>
        </w:rPr>
        <w:t>+</w:t>
      </w:r>
      <w:r w:rsidRPr="00DD45B4">
        <w:rPr>
          <w:sz w:val="20"/>
        </w:rPr>
        <w:t> </w:t>
      </w:r>
      <w:r w:rsidR="00047638" w:rsidRPr="00047638">
        <w:rPr>
          <w:sz w:val="20"/>
        </w:rPr>
        <w:t>...</w:t>
      </w:r>
      <w:r w:rsidRPr="00DD45B4">
        <w:rPr>
          <w:sz w:val="20"/>
        </w:rPr>
        <w:t xml:space="preserve">. Cela signifie que la fréquence pour des produits d'IM de 2ème ordre, </w:t>
      </w:r>
      <w:r w:rsidRPr="00DD45B4">
        <w:rPr>
          <w:i/>
          <w:iCs/>
          <w:sz w:val="20"/>
        </w:rPr>
        <w:t>IM</w:t>
      </w:r>
      <w:r w:rsidRPr="00DD45B4">
        <w:rPr>
          <w:position w:val="-4"/>
          <w:sz w:val="20"/>
        </w:rPr>
        <w:t>2</w:t>
      </w:r>
      <w:r w:rsidRPr="00DD45B4">
        <w:rPr>
          <w:sz w:val="20"/>
        </w:rPr>
        <w:t xml:space="preserve"> avec </w:t>
      </w:r>
      <w:r w:rsidRPr="00DD45B4">
        <w:rPr>
          <w:i/>
          <w:iCs/>
          <w:sz w:val="20"/>
        </w:rPr>
        <w:t>n</w:t>
      </w:r>
      <w:r w:rsidRPr="00DD45B4">
        <w:rPr>
          <w:sz w:val="20"/>
        </w:rPr>
        <w:t> </w:t>
      </w:r>
      <w:r w:rsidR="00047638" w:rsidRPr="00047638">
        <w:rPr>
          <w:sz w:val="20"/>
        </w:rPr>
        <w:t>=</w:t>
      </w:r>
      <w:r w:rsidRPr="00DD45B4">
        <w:rPr>
          <w:sz w:val="20"/>
        </w:rPr>
        <w:t> 2, </w:t>
      </w:r>
      <w:r w:rsidRPr="00DD45B4">
        <w:rPr>
          <w:i/>
          <w:iCs/>
          <w:sz w:val="20"/>
        </w:rPr>
        <w:t>m</w:t>
      </w:r>
      <w:r w:rsidRPr="00C446F0">
        <w:rPr>
          <w:vertAlign w:val="subscript"/>
        </w:rPr>
        <w:t>1</w:t>
      </w:r>
      <w:r w:rsidRPr="00DD45B4">
        <w:rPr>
          <w:sz w:val="20"/>
        </w:rPr>
        <w:t> </w:t>
      </w:r>
      <w:r w:rsidR="00047638" w:rsidRPr="00047638">
        <w:rPr>
          <w:sz w:val="20"/>
        </w:rPr>
        <w:t>=</w:t>
      </w:r>
      <w:r w:rsidRPr="00DD45B4">
        <w:rPr>
          <w:sz w:val="20"/>
        </w:rPr>
        <w:t> </w:t>
      </w:r>
      <w:r w:rsidRPr="00DD45B4">
        <w:rPr>
          <w:i/>
          <w:iCs/>
          <w:sz w:val="20"/>
        </w:rPr>
        <w:t>m</w:t>
      </w:r>
      <w:r w:rsidRPr="00C446F0">
        <w:rPr>
          <w:sz w:val="20"/>
          <w:vertAlign w:val="subscript"/>
        </w:rPr>
        <w:t>2</w:t>
      </w:r>
      <w:r w:rsidRPr="00DD45B4">
        <w:rPr>
          <w:sz w:val="20"/>
        </w:rPr>
        <w:t> </w:t>
      </w:r>
      <w:r w:rsidR="00047638" w:rsidRPr="00047638">
        <w:rPr>
          <w:sz w:val="20"/>
        </w:rPr>
        <w:t>=</w:t>
      </w:r>
      <w:r w:rsidRPr="00DD45B4">
        <w:rPr>
          <w:sz w:val="20"/>
        </w:rPr>
        <w:t xml:space="preserve"> 1 se traduit par </w:t>
      </w:r>
      <w:r w:rsidRPr="00DD45B4">
        <w:rPr>
          <w:i/>
          <w:iCs/>
          <w:sz w:val="20"/>
        </w:rPr>
        <w:t>f</w:t>
      </w:r>
      <w:r w:rsidRPr="00C446F0">
        <w:rPr>
          <w:i/>
          <w:iCs/>
          <w:position w:val="-4"/>
          <w:sz w:val="16"/>
          <w:szCs w:val="16"/>
        </w:rPr>
        <w:t>IM</w:t>
      </w:r>
      <w:r w:rsidRPr="00DD45B4">
        <w:rPr>
          <w:sz w:val="20"/>
        </w:rPr>
        <w:t> </w:t>
      </w:r>
      <w:r w:rsidR="00047638" w:rsidRPr="00047638">
        <w:rPr>
          <w:sz w:val="20"/>
        </w:rPr>
        <w:t>=</w:t>
      </w:r>
      <w:r w:rsidRPr="00DD45B4">
        <w:rPr>
          <w:sz w:val="20"/>
        </w:rPr>
        <w:t> </w:t>
      </w:r>
      <w:r w:rsidR="00047638" w:rsidRPr="00047638">
        <w:rPr>
          <w:sz w:val="20"/>
        </w:rPr>
        <w:t>|</w:t>
      </w:r>
      <w:r w:rsidRPr="00DD45B4">
        <w:rPr>
          <w:rFonts w:ascii="Tms Rmn" w:hAnsi="Tms Rmn"/>
          <w:sz w:val="20"/>
        </w:rPr>
        <w:t> </w:t>
      </w:r>
      <w:r w:rsidRPr="00DD45B4">
        <w:rPr>
          <w:i/>
          <w:iCs/>
          <w:sz w:val="20"/>
        </w:rPr>
        <w:t>f</w:t>
      </w:r>
      <w:r w:rsidRPr="00C446F0">
        <w:rPr>
          <w:position w:val="-4"/>
          <w:sz w:val="16"/>
          <w:szCs w:val="16"/>
        </w:rPr>
        <w:t>1</w:t>
      </w:r>
      <w:r w:rsidRPr="00DD45B4">
        <w:rPr>
          <w:sz w:val="20"/>
        </w:rPr>
        <w:t> </w:t>
      </w:r>
      <w:r w:rsidR="00047638" w:rsidRPr="00047638">
        <w:rPr>
          <w:sz w:val="20"/>
        </w:rPr>
        <w:sym w:font="Symbol" w:char="F0B1"/>
      </w:r>
      <w:r w:rsidRPr="00DD45B4">
        <w:rPr>
          <w:sz w:val="20"/>
        </w:rPr>
        <w:t> </w:t>
      </w:r>
      <w:r w:rsidRPr="00DD45B4">
        <w:rPr>
          <w:rFonts w:ascii="Tms Rmn" w:hAnsi="Tms Rmn"/>
          <w:sz w:val="20"/>
        </w:rPr>
        <w:t> </w:t>
      </w:r>
      <w:r w:rsidRPr="00DD45B4">
        <w:rPr>
          <w:i/>
          <w:iCs/>
          <w:sz w:val="20"/>
        </w:rPr>
        <w:t>f</w:t>
      </w:r>
      <w:r w:rsidRPr="00C446F0">
        <w:rPr>
          <w:position w:val="-4"/>
          <w:sz w:val="16"/>
          <w:szCs w:val="16"/>
        </w:rPr>
        <w:t>2</w:t>
      </w:r>
      <w:r w:rsidRPr="00DD45B4">
        <w:rPr>
          <w:rFonts w:ascii="Tms Rmn" w:hAnsi="Tms Rmn"/>
          <w:sz w:val="20"/>
        </w:rPr>
        <w:t> </w:t>
      </w:r>
      <w:r w:rsidR="00047638" w:rsidRPr="00047638">
        <w:rPr>
          <w:sz w:val="20"/>
        </w:rPr>
        <w:t>|</w:t>
      </w:r>
      <w:r w:rsidRPr="00DD45B4">
        <w:rPr>
          <w:sz w:val="20"/>
        </w:rPr>
        <w:t xml:space="preserve"> et pour des produits d'IM de 3ème ordre </w:t>
      </w:r>
      <w:r w:rsidRPr="00DD45B4">
        <w:rPr>
          <w:i/>
          <w:iCs/>
          <w:sz w:val="20"/>
        </w:rPr>
        <w:t>IM</w:t>
      </w:r>
      <w:r w:rsidRPr="00C446F0">
        <w:rPr>
          <w:position w:val="-4"/>
          <w:sz w:val="16"/>
          <w:szCs w:val="16"/>
        </w:rPr>
        <w:t>3</w:t>
      </w:r>
      <w:r w:rsidRPr="00DD45B4">
        <w:rPr>
          <w:sz w:val="20"/>
        </w:rPr>
        <w:t> (</w:t>
      </w:r>
      <w:r w:rsidRPr="00DD45B4">
        <w:rPr>
          <w:i/>
          <w:iCs/>
          <w:sz w:val="20"/>
        </w:rPr>
        <w:t>n</w:t>
      </w:r>
      <w:r w:rsidRPr="00DD45B4">
        <w:rPr>
          <w:sz w:val="20"/>
        </w:rPr>
        <w:t> </w:t>
      </w:r>
      <w:r w:rsidR="00047638" w:rsidRPr="00047638">
        <w:rPr>
          <w:sz w:val="20"/>
        </w:rPr>
        <w:t>=</w:t>
      </w:r>
      <w:r w:rsidRPr="00DD45B4">
        <w:rPr>
          <w:sz w:val="20"/>
        </w:rPr>
        <w:t> 3, </w:t>
      </w:r>
      <w:r w:rsidRPr="00DD45B4">
        <w:rPr>
          <w:i/>
          <w:iCs/>
          <w:sz w:val="20"/>
        </w:rPr>
        <w:t>m</w:t>
      </w:r>
      <w:r w:rsidRPr="00DD45B4">
        <w:rPr>
          <w:position w:val="-4"/>
          <w:sz w:val="20"/>
        </w:rPr>
        <w:t>1</w:t>
      </w:r>
      <w:r w:rsidRPr="00DD45B4">
        <w:rPr>
          <w:sz w:val="20"/>
        </w:rPr>
        <w:t> </w:t>
      </w:r>
      <w:r w:rsidR="00047638" w:rsidRPr="00047638">
        <w:rPr>
          <w:sz w:val="20"/>
        </w:rPr>
        <w:t>=</w:t>
      </w:r>
      <w:r w:rsidRPr="00DD45B4">
        <w:rPr>
          <w:sz w:val="20"/>
        </w:rPr>
        <w:t> 2, </w:t>
      </w:r>
      <w:r w:rsidRPr="00DD45B4">
        <w:rPr>
          <w:i/>
          <w:iCs/>
          <w:sz w:val="20"/>
        </w:rPr>
        <w:t>m</w:t>
      </w:r>
      <w:r w:rsidRPr="00DD45B4">
        <w:rPr>
          <w:position w:val="-4"/>
          <w:sz w:val="20"/>
        </w:rPr>
        <w:t>2</w:t>
      </w:r>
      <w:r w:rsidRPr="00DD45B4">
        <w:rPr>
          <w:sz w:val="20"/>
        </w:rPr>
        <w:t> </w:t>
      </w:r>
      <w:r w:rsidR="00047638" w:rsidRPr="00047638">
        <w:rPr>
          <w:sz w:val="20"/>
        </w:rPr>
        <w:t>=</w:t>
      </w:r>
      <w:r w:rsidRPr="00DD45B4">
        <w:rPr>
          <w:sz w:val="20"/>
        </w:rPr>
        <w:t xml:space="preserve"> 1) par </w:t>
      </w:r>
      <w:r w:rsidRPr="00DD45B4">
        <w:rPr>
          <w:i/>
          <w:iCs/>
          <w:sz w:val="20"/>
        </w:rPr>
        <w:t>f</w:t>
      </w:r>
      <w:r w:rsidRPr="00C446F0">
        <w:rPr>
          <w:i/>
          <w:iCs/>
          <w:position w:val="-4"/>
          <w:sz w:val="16"/>
          <w:szCs w:val="16"/>
        </w:rPr>
        <w:t>IM</w:t>
      </w:r>
      <w:r w:rsidRPr="00DD45B4">
        <w:rPr>
          <w:sz w:val="20"/>
        </w:rPr>
        <w:t> =</w:t>
      </w:r>
      <w:r w:rsidRPr="00047638">
        <w:rPr>
          <w:sz w:val="20"/>
        </w:rPr>
        <w:t> </w:t>
      </w:r>
      <w:r w:rsidR="00047638" w:rsidRPr="00047638">
        <w:rPr>
          <w:sz w:val="20"/>
        </w:rPr>
        <w:t>|</w:t>
      </w:r>
      <w:r w:rsidRPr="00047638">
        <w:rPr>
          <w:sz w:val="20"/>
        </w:rPr>
        <w:t> </w:t>
      </w:r>
      <w:r w:rsidRPr="00DD45B4">
        <w:rPr>
          <w:sz w:val="20"/>
        </w:rPr>
        <w:t>2</w:t>
      </w:r>
      <w:r w:rsidRPr="00DD45B4">
        <w:rPr>
          <w:rFonts w:ascii="Tms Rmn" w:hAnsi="Tms Rmn"/>
          <w:sz w:val="20"/>
        </w:rPr>
        <w:t> </w:t>
      </w:r>
      <w:r w:rsidRPr="00DD45B4">
        <w:rPr>
          <w:i/>
          <w:iCs/>
          <w:sz w:val="20"/>
        </w:rPr>
        <w:t>f</w:t>
      </w:r>
      <w:r w:rsidRPr="00C446F0">
        <w:rPr>
          <w:vertAlign w:val="subscript"/>
        </w:rPr>
        <w:t>1</w:t>
      </w:r>
      <w:r w:rsidRPr="00DD45B4">
        <w:rPr>
          <w:sz w:val="20"/>
        </w:rPr>
        <w:t> </w:t>
      </w:r>
      <w:r w:rsidR="00047638" w:rsidRPr="00047638">
        <w:rPr>
          <w:sz w:val="20"/>
        </w:rPr>
        <w:sym w:font="Symbol" w:char="F0B1"/>
      </w:r>
      <w:r w:rsidRPr="00DD45B4">
        <w:rPr>
          <w:sz w:val="20"/>
        </w:rPr>
        <w:t> </w:t>
      </w:r>
      <w:r w:rsidRPr="00DD45B4">
        <w:rPr>
          <w:rFonts w:ascii="Tms Rmn" w:hAnsi="Tms Rmn"/>
          <w:sz w:val="20"/>
        </w:rPr>
        <w:t> </w:t>
      </w:r>
      <w:r w:rsidRPr="00DD45B4">
        <w:rPr>
          <w:i/>
          <w:iCs/>
          <w:sz w:val="20"/>
        </w:rPr>
        <w:t>f</w:t>
      </w:r>
      <w:r w:rsidRPr="00C446F0">
        <w:rPr>
          <w:sz w:val="20"/>
          <w:vertAlign w:val="subscript"/>
        </w:rPr>
        <w:t>2</w:t>
      </w:r>
      <w:r w:rsidR="00047638" w:rsidRPr="00047638">
        <w:rPr>
          <w:sz w:val="20"/>
        </w:rPr>
        <w:t> | </w:t>
      </w:r>
      <w:r w:rsidRPr="00DD45B4">
        <w:rPr>
          <w:sz w:val="20"/>
        </w:rPr>
        <w:t xml:space="preserve">ou par </w:t>
      </w:r>
      <w:r w:rsidRPr="00DD45B4">
        <w:rPr>
          <w:i/>
          <w:iCs/>
          <w:sz w:val="20"/>
        </w:rPr>
        <w:t>f</w:t>
      </w:r>
      <w:r w:rsidRPr="00C446F0">
        <w:rPr>
          <w:i/>
          <w:iCs/>
          <w:position w:val="-4"/>
          <w:sz w:val="16"/>
          <w:szCs w:val="16"/>
        </w:rPr>
        <w:t>IM</w:t>
      </w:r>
      <w:r w:rsidRPr="00DD45B4">
        <w:rPr>
          <w:sz w:val="20"/>
        </w:rPr>
        <w:t> </w:t>
      </w:r>
      <w:r w:rsidR="00047638" w:rsidRPr="00047638">
        <w:rPr>
          <w:sz w:val="20"/>
        </w:rPr>
        <w:t>=</w:t>
      </w:r>
      <w:r w:rsidRPr="00047638">
        <w:rPr>
          <w:sz w:val="20"/>
        </w:rPr>
        <w:t> </w:t>
      </w:r>
      <w:r w:rsidR="00047638" w:rsidRPr="00047638">
        <w:rPr>
          <w:sz w:val="20"/>
        </w:rPr>
        <w:t>|</w:t>
      </w:r>
      <w:r w:rsidRPr="00047638">
        <w:rPr>
          <w:sz w:val="20"/>
        </w:rPr>
        <w:t> </w:t>
      </w:r>
      <w:r w:rsidRPr="00DD45B4">
        <w:rPr>
          <w:sz w:val="20"/>
        </w:rPr>
        <w:t>2</w:t>
      </w:r>
      <w:r w:rsidRPr="00DD45B4">
        <w:rPr>
          <w:rFonts w:ascii="Tms Rmn" w:hAnsi="Tms Rmn"/>
          <w:sz w:val="20"/>
        </w:rPr>
        <w:t> </w:t>
      </w:r>
      <w:r w:rsidRPr="00DD45B4">
        <w:rPr>
          <w:i/>
          <w:iCs/>
          <w:sz w:val="20"/>
        </w:rPr>
        <w:t>f</w:t>
      </w:r>
      <w:r w:rsidRPr="00C446F0">
        <w:rPr>
          <w:position w:val="-4"/>
          <w:sz w:val="16"/>
          <w:szCs w:val="16"/>
        </w:rPr>
        <w:t>2</w:t>
      </w:r>
      <w:r w:rsidRPr="00DD45B4">
        <w:rPr>
          <w:sz w:val="20"/>
        </w:rPr>
        <w:t> </w:t>
      </w:r>
      <w:r w:rsidR="00047638" w:rsidRPr="00047638">
        <w:rPr>
          <w:sz w:val="20"/>
        </w:rPr>
        <w:sym w:font="Symbol" w:char="F0B1"/>
      </w:r>
      <w:r w:rsidRPr="00DD45B4">
        <w:rPr>
          <w:sz w:val="20"/>
        </w:rPr>
        <w:t> </w:t>
      </w:r>
      <w:r w:rsidRPr="00DD45B4">
        <w:rPr>
          <w:rFonts w:ascii="Tms Rmn" w:hAnsi="Tms Rmn"/>
          <w:sz w:val="20"/>
        </w:rPr>
        <w:t> </w:t>
      </w:r>
      <w:r w:rsidRPr="00DD45B4">
        <w:rPr>
          <w:i/>
          <w:iCs/>
          <w:sz w:val="20"/>
        </w:rPr>
        <w:t>f</w:t>
      </w:r>
      <w:r w:rsidRPr="00C446F0">
        <w:rPr>
          <w:position w:val="-4"/>
          <w:sz w:val="16"/>
          <w:szCs w:val="16"/>
        </w:rPr>
        <w:t>1</w:t>
      </w:r>
      <w:r w:rsidRPr="00047638">
        <w:rPr>
          <w:sz w:val="20"/>
        </w:rPr>
        <w:t> </w:t>
      </w:r>
      <w:r w:rsidR="00047638" w:rsidRPr="00047638">
        <w:rPr>
          <w:sz w:val="20"/>
        </w:rPr>
        <w:t>|</w:t>
      </w:r>
      <w:r w:rsidRPr="00047638">
        <w:rPr>
          <w:sz w:val="20"/>
        </w:rPr>
        <w:t xml:space="preserve"> </w:t>
      </w:r>
      <w:r w:rsidRPr="00DD45B4">
        <w:rPr>
          <w:sz w:val="20"/>
        </w:rPr>
        <w:t xml:space="preserve">avec </w:t>
      </w:r>
      <w:r w:rsidRPr="00DD45B4">
        <w:rPr>
          <w:i/>
          <w:iCs/>
          <w:sz w:val="20"/>
        </w:rPr>
        <w:t>m</w:t>
      </w:r>
      <w:r w:rsidRPr="00C446F0">
        <w:rPr>
          <w:position w:val="-4"/>
          <w:sz w:val="16"/>
          <w:szCs w:val="16"/>
        </w:rPr>
        <w:t>1</w:t>
      </w:r>
      <w:r w:rsidRPr="00DD45B4">
        <w:rPr>
          <w:sz w:val="20"/>
        </w:rPr>
        <w:t> </w:t>
      </w:r>
      <w:r w:rsidR="00047638" w:rsidRPr="00047638">
        <w:rPr>
          <w:sz w:val="20"/>
        </w:rPr>
        <w:t>=</w:t>
      </w:r>
      <w:r w:rsidRPr="00DD45B4">
        <w:rPr>
          <w:sz w:val="20"/>
        </w:rPr>
        <w:t xml:space="preserve"> 1, </w:t>
      </w:r>
      <w:r w:rsidRPr="00DD45B4">
        <w:rPr>
          <w:i/>
          <w:iCs/>
          <w:sz w:val="20"/>
        </w:rPr>
        <w:t>m</w:t>
      </w:r>
      <w:r w:rsidRPr="00C446F0">
        <w:rPr>
          <w:position w:val="-4"/>
          <w:sz w:val="16"/>
          <w:szCs w:val="16"/>
        </w:rPr>
        <w:t>2</w:t>
      </w:r>
      <w:r w:rsidRPr="00DD45B4">
        <w:rPr>
          <w:sz w:val="20"/>
        </w:rPr>
        <w:t> </w:t>
      </w:r>
      <w:r w:rsidR="00047638" w:rsidRPr="00047638">
        <w:rPr>
          <w:sz w:val="20"/>
        </w:rPr>
        <w:t>=</w:t>
      </w:r>
      <w:r w:rsidRPr="00DD45B4">
        <w:rPr>
          <w:sz w:val="20"/>
        </w:rPr>
        <w:t> 2. Les produits 2</w:t>
      </w:r>
      <w:r w:rsidRPr="00DD45B4">
        <w:rPr>
          <w:rFonts w:ascii="Tms Rmn" w:hAnsi="Tms Rmn"/>
          <w:sz w:val="20"/>
        </w:rPr>
        <w:t> </w:t>
      </w:r>
      <w:r w:rsidRPr="00DD45B4">
        <w:rPr>
          <w:i/>
          <w:iCs/>
          <w:sz w:val="20"/>
        </w:rPr>
        <w:t>f</w:t>
      </w:r>
      <w:r w:rsidRPr="00C446F0">
        <w:rPr>
          <w:position w:val="-4"/>
          <w:sz w:val="16"/>
          <w:szCs w:val="16"/>
        </w:rPr>
        <w:t>1</w:t>
      </w:r>
      <w:r w:rsidRPr="00DD45B4">
        <w:rPr>
          <w:sz w:val="20"/>
        </w:rPr>
        <w:t> – </w:t>
      </w:r>
      <w:r w:rsidRPr="00DD45B4">
        <w:rPr>
          <w:i/>
          <w:iCs/>
          <w:sz w:val="20"/>
        </w:rPr>
        <w:t>f</w:t>
      </w:r>
      <w:r w:rsidRPr="00C446F0">
        <w:rPr>
          <w:position w:val="-4"/>
          <w:sz w:val="16"/>
          <w:szCs w:val="16"/>
        </w:rPr>
        <w:t>2</w:t>
      </w:r>
      <w:r w:rsidRPr="00DD45B4">
        <w:rPr>
          <w:sz w:val="20"/>
        </w:rPr>
        <w:t xml:space="preserve"> et 2</w:t>
      </w:r>
      <w:r w:rsidRPr="00DD45B4">
        <w:rPr>
          <w:rFonts w:ascii="Tms Rmn" w:hAnsi="Tms Rmn"/>
          <w:sz w:val="20"/>
        </w:rPr>
        <w:t> </w:t>
      </w:r>
      <w:r w:rsidRPr="00DD45B4">
        <w:rPr>
          <w:i/>
          <w:iCs/>
          <w:sz w:val="20"/>
        </w:rPr>
        <w:t>f</w:t>
      </w:r>
      <w:r w:rsidRPr="00C446F0">
        <w:rPr>
          <w:position w:val="-4"/>
          <w:sz w:val="16"/>
          <w:szCs w:val="16"/>
        </w:rPr>
        <w:t>2</w:t>
      </w:r>
      <w:r w:rsidRPr="00DD45B4">
        <w:rPr>
          <w:sz w:val="20"/>
        </w:rPr>
        <w:t> </w:t>
      </w:r>
      <w:r w:rsidR="00047638" w:rsidRPr="00047638">
        <w:rPr>
          <w:sz w:val="20"/>
        </w:rPr>
        <w:t>–</w:t>
      </w:r>
      <w:r w:rsidRPr="00DD45B4">
        <w:rPr>
          <w:sz w:val="20"/>
        </w:rPr>
        <w:t> </w:t>
      </w:r>
      <w:r w:rsidRPr="00DD45B4">
        <w:rPr>
          <w:i/>
          <w:iCs/>
          <w:sz w:val="20"/>
        </w:rPr>
        <w:t>f</w:t>
      </w:r>
      <w:r w:rsidRPr="00C446F0">
        <w:rPr>
          <w:position w:val="-4"/>
          <w:sz w:val="16"/>
          <w:szCs w:val="16"/>
        </w:rPr>
        <w:t>1</w:t>
      </w:r>
      <w:r w:rsidRPr="00DD45B4">
        <w:rPr>
          <w:sz w:val="20"/>
        </w:rPr>
        <w:t xml:space="preserve"> sont ceux qui intéressent le plus les concepteurs car ils sont souvent spécifiés dans des normes même si les produits </w:t>
      </w:r>
      <w:r w:rsidRPr="00DD45B4">
        <w:rPr>
          <w:i/>
          <w:iCs/>
          <w:sz w:val="20"/>
        </w:rPr>
        <w:t>f</w:t>
      </w:r>
      <w:r w:rsidRPr="00C446F0">
        <w:rPr>
          <w:position w:val="-4"/>
          <w:sz w:val="16"/>
          <w:szCs w:val="16"/>
        </w:rPr>
        <w:t>1</w:t>
      </w:r>
      <w:r w:rsidRPr="00DD45B4">
        <w:rPr>
          <w:sz w:val="20"/>
        </w:rPr>
        <w:t> </w:t>
      </w:r>
      <w:r w:rsidR="00047638" w:rsidRPr="00047638">
        <w:rPr>
          <w:sz w:val="20"/>
        </w:rPr>
        <w:t>+</w:t>
      </w:r>
      <w:r w:rsidRPr="00DD45B4">
        <w:rPr>
          <w:sz w:val="20"/>
        </w:rPr>
        <w:t> </w:t>
      </w:r>
      <w:r w:rsidRPr="00DD45B4">
        <w:rPr>
          <w:i/>
          <w:iCs/>
          <w:sz w:val="20"/>
        </w:rPr>
        <w:t>f</w:t>
      </w:r>
      <w:r w:rsidRPr="00C446F0">
        <w:rPr>
          <w:position w:val="-4"/>
          <w:sz w:val="16"/>
          <w:szCs w:val="16"/>
        </w:rPr>
        <w:t>2</w:t>
      </w:r>
      <w:r w:rsidRPr="00DD45B4">
        <w:rPr>
          <w:sz w:val="20"/>
        </w:rPr>
        <w:t> – </w:t>
      </w:r>
      <w:r w:rsidRPr="00DD45B4">
        <w:rPr>
          <w:i/>
          <w:iCs/>
          <w:sz w:val="20"/>
        </w:rPr>
        <w:t>f</w:t>
      </w:r>
      <w:r w:rsidRPr="00C446F0">
        <w:rPr>
          <w:position w:val="-4"/>
          <w:sz w:val="16"/>
          <w:szCs w:val="16"/>
        </w:rPr>
        <w:t>3</w:t>
      </w:r>
      <w:r w:rsidRPr="00DD45B4">
        <w:rPr>
          <w:sz w:val="20"/>
        </w:rPr>
        <w:t xml:space="preserve"> sont de plus grande ampleur et plus nombreux s'il y a plus de deux signaux brouilleurs. Pour certaines applications, les produits d'IM de cinquième ordre, </w:t>
      </w:r>
      <w:r w:rsidRPr="00DD45B4">
        <w:rPr>
          <w:i/>
          <w:iCs/>
          <w:sz w:val="20"/>
        </w:rPr>
        <w:t>IM</w:t>
      </w:r>
      <w:r w:rsidRPr="00C446F0">
        <w:rPr>
          <w:position w:val="-4"/>
          <w:sz w:val="16"/>
          <w:szCs w:val="16"/>
        </w:rPr>
        <w:t>5</w:t>
      </w:r>
      <w:r w:rsidRPr="00DD45B4">
        <w:rPr>
          <w:sz w:val="20"/>
        </w:rPr>
        <w:t>, se produisant respectivement à 3</w:t>
      </w:r>
      <w:r w:rsidRPr="00DD45B4">
        <w:rPr>
          <w:rFonts w:ascii="Tms Rmn" w:hAnsi="Tms Rmn"/>
          <w:sz w:val="20"/>
        </w:rPr>
        <w:t> </w:t>
      </w:r>
      <w:r w:rsidRPr="00DD45B4">
        <w:rPr>
          <w:i/>
          <w:iCs/>
          <w:sz w:val="20"/>
        </w:rPr>
        <w:t>f</w:t>
      </w:r>
      <w:r w:rsidRPr="00C446F0">
        <w:rPr>
          <w:position w:val="-4"/>
          <w:sz w:val="16"/>
          <w:szCs w:val="16"/>
        </w:rPr>
        <w:t>1</w:t>
      </w:r>
      <w:r w:rsidRPr="00DD45B4">
        <w:rPr>
          <w:sz w:val="20"/>
        </w:rPr>
        <w:t> – 2</w:t>
      </w:r>
      <w:r w:rsidRPr="00DD45B4">
        <w:rPr>
          <w:rFonts w:ascii="Tms Rmn" w:hAnsi="Tms Rmn"/>
          <w:sz w:val="20"/>
        </w:rPr>
        <w:t> </w:t>
      </w:r>
      <w:r w:rsidRPr="00DD45B4">
        <w:rPr>
          <w:i/>
          <w:iCs/>
          <w:sz w:val="20"/>
        </w:rPr>
        <w:t>f</w:t>
      </w:r>
      <w:r w:rsidRPr="00C446F0">
        <w:rPr>
          <w:position w:val="-4"/>
          <w:sz w:val="16"/>
          <w:szCs w:val="16"/>
        </w:rPr>
        <w:t>2</w:t>
      </w:r>
      <w:r w:rsidRPr="00DD45B4">
        <w:rPr>
          <w:sz w:val="20"/>
        </w:rPr>
        <w:t xml:space="preserve"> ou </w:t>
      </w:r>
      <w:r w:rsidR="00047638">
        <w:rPr>
          <w:sz w:val="20"/>
        </w:rPr>
        <w:br/>
      </w:r>
      <w:r w:rsidRPr="00DD45B4">
        <w:rPr>
          <w:sz w:val="20"/>
        </w:rPr>
        <w:t>3</w:t>
      </w:r>
      <w:r w:rsidRPr="00047638">
        <w:rPr>
          <w:sz w:val="20"/>
        </w:rPr>
        <w:t> </w:t>
      </w:r>
      <w:r w:rsidRPr="00DD45B4">
        <w:rPr>
          <w:i/>
          <w:iCs/>
          <w:sz w:val="20"/>
        </w:rPr>
        <w:t>f</w:t>
      </w:r>
      <w:r w:rsidRPr="00C446F0">
        <w:rPr>
          <w:position w:val="-4"/>
          <w:sz w:val="16"/>
          <w:szCs w:val="16"/>
        </w:rPr>
        <w:t>2</w:t>
      </w:r>
      <w:r w:rsidRPr="00047638">
        <w:rPr>
          <w:sz w:val="20"/>
        </w:rPr>
        <w:t> </w:t>
      </w:r>
      <w:r w:rsidR="00047638" w:rsidRPr="00047638">
        <w:rPr>
          <w:sz w:val="20"/>
        </w:rPr>
        <w:t>–</w:t>
      </w:r>
      <w:r w:rsidRPr="00DD45B4">
        <w:rPr>
          <w:sz w:val="20"/>
        </w:rPr>
        <w:t> 2</w:t>
      </w:r>
      <w:r w:rsidRPr="00DD45B4">
        <w:rPr>
          <w:rFonts w:ascii="Tms Rmn" w:hAnsi="Tms Rmn"/>
          <w:sz w:val="20"/>
        </w:rPr>
        <w:t> </w:t>
      </w:r>
      <w:r w:rsidRPr="00DD45B4">
        <w:rPr>
          <w:i/>
          <w:iCs/>
          <w:sz w:val="20"/>
        </w:rPr>
        <w:t>f</w:t>
      </w:r>
      <w:r w:rsidRPr="00C446F0">
        <w:rPr>
          <w:position w:val="-4"/>
          <w:sz w:val="16"/>
          <w:szCs w:val="16"/>
        </w:rPr>
        <w:t>1</w:t>
      </w:r>
      <w:r w:rsidRPr="00DD45B4">
        <w:rPr>
          <w:sz w:val="20"/>
        </w:rPr>
        <w:t>, doivent eux aussi être pris en considération. La relation entre les différents produits d'IM est illustrée à la Fig. 1.</w:t>
      </w:r>
    </w:p>
    <w:p w:rsidR="006D667B" w:rsidRDefault="006D667B" w:rsidP="006D667B">
      <w:pPr>
        <w:pStyle w:val="Figure0"/>
        <w:rPr>
          <w:lang w:val="fr-FR"/>
        </w:rPr>
      </w:pPr>
      <w:r>
        <w:rPr>
          <w:noProof/>
          <w:lang w:val="fr-CH" w:eastAsia="fr-CH"/>
        </w:rPr>
        <w:drawing>
          <wp:inline distT="0" distB="0" distL="0" distR="0" wp14:anchorId="3A2FCFCB" wp14:editId="57436481">
            <wp:extent cx="4678680" cy="31603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160395"/>
                    </a:xfrm>
                    <a:prstGeom prst="rect">
                      <a:avLst/>
                    </a:prstGeom>
                    <a:noFill/>
                    <a:ln>
                      <a:noFill/>
                    </a:ln>
                  </pic:spPr>
                </pic:pic>
              </a:graphicData>
            </a:graphic>
          </wp:inline>
        </w:drawing>
      </w:r>
    </w:p>
    <w:p w:rsidR="006D667B" w:rsidRPr="006D667B" w:rsidRDefault="006D667B" w:rsidP="006D667B">
      <w:pPr>
        <w:pStyle w:val="Fig"/>
        <w:spacing w:before="0"/>
        <w:rPr>
          <w:lang w:val="fr-CH"/>
        </w:rPr>
      </w:pPr>
      <w:r w:rsidRPr="006D667B">
        <w:rPr>
          <w:lang w:val="fr-CH"/>
        </w:rPr>
        <w:t xml:space="preserve">FIGURE 1/SM.1446 [1446-01] = 8 CM </w:t>
      </w:r>
    </w:p>
    <w:p w:rsidR="006D667B" w:rsidRPr="00DD45B4" w:rsidRDefault="006D667B" w:rsidP="006D667B">
      <w:pPr>
        <w:rPr>
          <w:sz w:val="20"/>
        </w:rPr>
      </w:pPr>
      <w:r w:rsidRPr="00DD45B4">
        <w:rPr>
          <w:sz w:val="20"/>
        </w:rPr>
        <w:t>On définit cinq différents types d'IM.</w:t>
      </w:r>
    </w:p>
    <w:p w:rsidR="006D667B" w:rsidRPr="00DD45B4" w:rsidRDefault="006D667B" w:rsidP="006D667B">
      <w:pPr>
        <w:pStyle w:val="Heading2"/>
        <w:rPr>
          <w:sz w:val="22"/>
          <w:szCs w:val="22"/>
        </w:rPr>
      </w:pPr>
      <w:bookmarkStart w:id="8" w:name="_Toc445524173"/>
      <w:bookmarkStart w:id="9" w:name="_Toc445529689"/>
      <w:bookmarkStart w:id="10" w:name="_Toc460747452"/>
      <w:bookmarkStart w:id="11" w:name="_Toc303683192"/>
      <w:bookmarkStart w:id="12" w:name="_Toc303683390"/>
      <w:r w:rsidRPr="00DD45B4">
        <w:rPr>
          <w:sz w:val="22"/>
          <w:szCs w:val="22"/>
        </w:rPr>
        <w:t>1.1</w:t>
      </w:r>
      <w:r w:rsidRPr="00DD45B4">
        <w:rPr>
          <w:sz w:val="22"/>
          <w:szCs w:val="22"/>
        </w:rPr>
        <w:tab/>
        <w:t xml:space="preserve">Type 1 – </w:t>
      </w:r>
      <w:bookmarkEnd w:id="8"/>
      <w:bookmarkEnd w:id="9"/>
      <w:bookmarkEnd w:id="10"/>
      <w:r w:rsidRPr="00DD45B4">
        <w:rPr>
          <w:sz w:val="22"/>
          <w:szCs w:val="22"/>
        </w:rPr>
        <w:t>IM par un seul canal</w:t>
      </w:r>
      <w:bookmarkEnd w:id="11"/>
      <w:bookmarkEnd w:id="12"/>
    </w:p>
    <w:p w:rsidR="006D667B" w:rsidRPr="00DD45B4" w:rsidRDefault="006D667B" w:rsidP="006D667B">
      <w:pPr>
        <w:rPr>
          <w:sz w:val="20"/>
        </w:rPr>
      </w:pPr>
      <w:r w:rsidRPr="00DD45B4">
        <w:rPr>
          <w:sz w:val="20"/>
        </w:rPr>
        <w:t>Par IM par un seul canal, on entend la distorsion du signal utile due à la non-linéarité au niveau des circuits de l'émetteur, y compris tous les dispositifs passifs, par exemple les combineurs, etc.</w:t>
      </w:r>
    </w:p>
    <w:p w:rsidR="006D667B" w:rsidRPr="00DD45B4" w:rsidRDefault="006D667B" w:rsidP="006D667B">
      <w:pPr>
        <w:rPr>
          <w:sz w:val="20"/>
        </w:rPr>
      </w:pPr>
      <w:r w:rsidRPr="00DD45B4">
        <w:rPr>
          <w:sz w:val="20"/>
        </w:rPr>
        <w:t>La Fig. 2 illustre ce type d'IM.</w:t>
      </w:r>
    </w:p>
    <w:p w:rsidR="006D667B" w:rsidRDefault="006D667B" w:rsidP="006D667B">
      <w:pPr>
        <w:pStyle w:val="Figure0"/>
        <w:rPr>
          <w:lang w:val="fr-FR"/>
        </w:rPr>
      </w:pPr>
      <w:r>
        <w:rPr>
          <w:noProof/>
          <w:lang w:val="fr-CH" w:eastAsia="fr-CH"/>
        </w:rPr>
        <w:lastRenderedPageBreak/>
        <w:drawing>
          <wp:inline distT="0" distB="0" distL="0" distR="0" wp14:anchorId="4F7386D3" wp14:editId="1E081DF4">
            <wp:extent cx="2494915" cy="20593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4915" cy="2059305"/>
                    </a:xfrm>
                    <a:prstGeom prst="rect">
                      <a:avLst/>
                    </a:prstGeom>
                    <a:noFill/>
                    <a:ln>
                      <a:noFill/>
                    </a:ln>
                  </pic:spPr>
                </pic:pic>
              </a:graphicData>
            </a:graphic>
          </wp:inline>
        </w:drawing>
      </w:r>
    </w:p>
    <w:p w:rsidR="006D667B" w:rsidRDefault="006D667B" w:rsidP="006D667B">
      <w:pPr>
        <w:pStyle w:val="Fig"/>
        <w:spacing w:before="0"/>
        <w:rPr>
          <w:sz w:val="8"/>
          <w:lang w:val="fr-FR"/>
        </w:rPr>
      </w:pPr>
      <w:r>
        <w:rPr>
          <w:sz w:val="8"/>
          <w:lang w:val="fr-FR"/>
        </w:rPr>
        <w:t xml:space="preserve">FIGURE 2/SM.1446 [1446-02] = 5 CM </w:t>
      </w:r>
    </w:p>
    <w:p w:rsidR="006D667B" w:rsidRPr="00DD45B4" w:rsidRDefault="006D667B" w:rsidP="006D667B">
      <w:pPr>
        <w:rPr>
          <w:sz w:val="20"/>
        </w:rPr>
      </w:pPr>
      <w:r w:rsidRPr="00DD45B4">
        <w:rPr>
          <w:sz w:val="20"/>
        </w:rPr>
        <w:t>Outre les phénomènes de distorsion d'IM dus au mélange de deux signaux ou plus de transmission RF, on peut observer des émissions dans la bande et des émissions hors bande à partir d'un seul signal de modulation en bande de base dû au mélange de composantes de fréquences discrètes d'un signal d'entrée complexe de l'émetteur. Cela peut se produire avec un signal analogique, par exemple un signal vocal qui se compose généralement de plusieurs composantes de fréquences variant dans le temps. Cela peut aussi se produire avec des signaux numériques en raison du mélange de fréquences de série de Fourier pour produire de nouvelles composantes de fréquences. Il en résulte une distorsion du signal numérique qui est émis et une augmentation de l'amplitude dans une portion du spectre du signal d'origine. Un signal numérique véritablement aléatoire contiendra un nombre infini de ces composantes spectrales se traduisant par un spectre continu assimilable à du bruit modelé par le filtre passe-bande. La distorsion d'IM a pour effet d'accroître l'énergie dans des sous-bandes du spectre assimilable à du bruit, en particulier, celle associée aux produits d'IM de 3ème ordre. Cette augmen</w:t>
      </w:r>
      <w:r w:rsidRPr="00DD45B4">
        <w:rPr>
          <w:sz w:val="20"/>
        </w:rPr>
        <w:softHyphen/>
        <w:t>tation d'énergie dans le spectre assimilable à du bruit appelée à la fois bruit d'IM ou croissance spectrale apparaît souvent dans les courbes spectrales de modulation numérique sous forme de bosses ou d'épaulements à proximité des bords du filtre passe-bande qui entraînent un excès de la puissance de bruit dans la bande adjacente et des risques de brouillage (voir la Fig. 3 ci</w:t>
      </w:r>
      <w:r w:rsidRPr="00DD45B4">
        <w:rPr>
          <w:sz w:val="20"/>
        </w:rPr>
        <w:noBreakHyphen/>
        <w:t>après).</w:t>
      </w:r>
    </w:p>
    <w:p w:rsidR="006D667B" w:rsidRDefault="006D667B" w:rsidP="006D667B">
      <w:pPr>
        <w:pStyle w:val="Figure0"/>
        <w:rPr>
          <w:lang w:val="fr-FR"/>
        </w:rPr>
      </w:pPr>
      <w:r>
        <w:rPr>
          <w:noProof/>
          <w:lang w:val="fr-CH" w:eastAsia="fr-CH"/>
        </w:rPr>
        <w:lastRenderedPageBreak/>
        <w:drawing>
          <wp:inline distT="0" distB="0" distL="0" distR="0" wp14:anchorId="3871D030" wp14:editId="014CA446">
            <wp:extent cx="4500880" cy="4288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880" cy="4288155"/>
                    </a:xfrm>
                    <a:prstGeom prst="rect">
                      <a:avLst/>
                    </a:prstGeom>
                    <a:noFill/>
                    <a:ln>
                      <a:noFill/>
                    </a:ln>
                  </pic:spPr>
                </pic:pic>
              </a:graphicData>
            </a:graphic>
          </wp:inline>
        </w:drawing>
      </w:r>
    </w:p>
    <w:p w:rsidR="006D667B" w:rsidRDefault="006D667B" w:rsidP="006D667B">
      <w:pPr>
        <w:pStyle w:val="Fig"/>
        <w:rPr>
          <w:lang w:val="fr-FR"/>
        </w:rPr>
      </w:pPr>
      <w:r>
        <w:rPr>
          <w:lang w:val="fr-FR"/>
        </w:rPr>
        <w:t xml:space="preserve">FIGURE 3/SM.1446 [1446-03] = 10 CM </w:t>
      </w:r>
    </w:p>
    <w:p w:rsidR="006D667B" w:rsidRPr="00DD45B4" w:rsidRDefault="006D667B" w:rsidP="006D667B">
      <w:pPr>
        <w:pStyle w:val="Heading2"/>
        <w:rPr>
          <w:sz w:val="22"/>
          <w:szCs w:val="22"/>
        </w:rPr>
      </w:pPr>
      <w:bookmarkStart w:id="13" w:name="_Toc303683193"/>
      <w:bookmarkStart w:id="14" w:name="_Toc303683391"/>
      <w:r w:rsidRPr="00DD45B4">
        <w:rPr>
          <w:sz w:val="22"/>
          <w:szCs w:val="22"/>
        </w:rPr>
        <w:t>1.2</w:t>
      </w:r>
      <w:r w:rsidRPr="00DD45B4">
        <w:rPr>
          <w:sz w:val="22"/>
          <w:szCs w:val="22"/>
        </w:rPr>
        <w:tab/>
        <w:t>Type 2 – IM par plusieurs canaux</w:t>
      </w:r>
      <w:bookmarkEnd w:id="13"/>
      <w:bookmarkEnd w:id="14"/>
    </w:p>
    <w:p w:rsidR="006D667B" w:rsidRPr="00DD45B4" w:rsidRDefault="006D667B" w:rsidP="006D667B">
      <w:pPr>
        <w:rPr>
          <w:sz w:val="20"/>
        </w:rPr>
      </w:pPr>
      <w:r w:rsidRPr="00DD45B4">
        <w:rPr>
          <w:sz w:val="20"/>
        </w:rPr>
        <w:t>Il y a IM par plusieurs canaux lorsque la distorsion des signaux utiles de plusieurs canaux est causée par la non</w:t>
      </w:r>
      <w:r w:rsidRPr="00DD45B4">
        <w:rPr>
          <w:sz w:val="20"/>
        </w:rPr>
        <w:noBreakHyphen/>
        <w:t>linéarité dans des circuits d'émetteur identiques.</w:t>
      </w:r>
    </w:p>
    <w:p w:rsidR="006D667B" w:rsidRPr="00DD45B4" w:rsidRDefault="006D667B" w:rsidP="006D667B">
      <w:pPr>
        <w:rPr>
          <w:sz w:val="20"/>
        </w:rPr>
      </w:pPr>
      <w:r w:rsidRPr="00DD45B4">
        <w:rPr>
          <w:sz w:val="20"/>
        </w:rPr>
        <w:t>Les signaux dans les différents canaux peuvent avoir des modulations différentes, des largeurs de bande différentes ou des espacements différents dans toute la bande.</w:t>
      </w:r>
    </w:p>
    <w:p w:rsidR="006D667B" w:rsidRDefault="006D667B" w:rsidP="006D667B"/>
    <w:p w:rsidR="006D667B" w:rsidRDefault="006D667B" w:rsidP="006D667B">
      <w:pPr>
        <w:pStyle w:val="Figure0"/>
        <w:rPr>
          <w:lang w:val="fr-FR"/>
        </w:rPr>
      </w:pPr>
      <w:r>
        <w:rPr>
          <w:noProof/>
          <w:lang w:val="fr-CH" w:eastAsia="fr-CH"/>
        </w:rPr>
        <w:drawing>
          <wp:inline distT="0" distB="0" distL="0" distR="0" wp14:anchorId="7446B4F1" wp14:editId="57988580">
            <wp:extent cx="2494915" cy="20510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4915" cy="2051050"/>
                    </a:xfrm>
                    <a:prstGeom prst="rect">
                      <a:avLst/>
                    </a:prstGeom>
                    <a:noFill/>
                    <a:ln>
                      <a:noFill/>
                    </a:ln>
                  </pic:spPr>
                </pic:pic>
              </a:graphicData>
            </a:graphic>
          </wp:inline>
        </w:drawing>
      </w:r>
    </w:p>
    <w:p w:rsidR="006D667B" w:rsidRDefault="006D667B" w:rsidP="006D667B">
      <w:pPr>
        <w:pStyle w:val="Fig"/>
        <w:rPr>
          <w:lang w:val="fr-FR"/>
        </w:rPr>
      </w:pPr>
      <w:r>
        <w:rPr>
          <w:lang w:val="fr-FR"/>
        </w:rPr>
        <w:t xml:space="preserve">FIGURE 4/SM.1446 [1446-04] = 5 CM </w:t>
      </w:r>
    </w:p>
    <w:p w:rsidR="006D667B" w:rsidRDefault="006D667B" w:rsidP="006D667B"/>
    <w:p w:rsidR="006D667B" w:rsidRPr="00DD45B4" w:rsidRDefault="006D667B" w:rsidP="006D667B">
      <w:pPr>
        <w:pStyle w:val="Heading2"/>
        <w:rPr>
          <w:sz w:val="22"/>
          <w:szCs w:val="22"/>
        </w:rPr>
      </w:pPr>
      <w:bookmarkStart w:id="15" w:name="_Toc303683194"/>
      <w:bookmarkStart w:id="16" w:name="_Toc303683392"/>
      <w:r w:rsidRPr="00DD45B4">
        <w:rPr>
          <w:sz w:val="22"/>
          <w:szCs w:val="22"/>
        </w:rPr>
        <w:lastRenderedPageBreak/>
        <w:t>1.3</w:t>
      </w:r>
      <w:r w:rsidRPr="00DD45B4">
        <w:rPr>
          <w:sz w:val="22"/>
          <w:szCs w:val="22"/>
        </w:rPr>
        <w:tab/>
        <w:t>Type 3 – IM entre émetteurs</w:t>
      </w:r>
      <w:bookmarkEnd w:id="15"/>
      <w:bookmarkEnd w:id="16"/>
    </w:p>
    <w:p w:rsidR="006D667B" w:rsidRPr="00DD45B4" w:rsidRDefault="006D667B" w:rsidP="006D667B">
      <w:pPr>
        <w:rPr>
          <w:sz w:val="20"/>
        </w:rPr>
      </w:pPr>
      <w:r w:rsidRPr="00DD45B4">
        <w:rPr>
          <w:sz w:val="20"/>
        </w:rPr>
        <w:t>Il y a IM entre émetteurs situés sur un même site soit dans les émetteurs eux</w:t>
      </w:r>
      <w:r w:rsidRPr="00DD45B4">
        <w:rPr>
          <w:sz w:val="20"/>
        </w:rPr>
        <w:noBreakHyphen/>
        <w:t xml:space="preserve">mêmes soit dans une composante non linéaire sur le site pour produire des produits d'IM à des fréquences qui peuvent être très éloignées des fréquences d'émission effectives. Ce phénomène, effet du boulon rouillé souvent appelé en anglais </w:t>
      </w:r>
      <w:r w:rsidRPr="00DD45B4">
        <w:rPr>
          <w:i/>
          <w:iCs/>
          <w:sz w:val="20"/>
        </w:rPr>
        <w:t>rusty bolt effect</w:t>
      </w:r>
      <w:r w:rsidRPr="00DD45B4">
        <w:rPr>
          <w:sz w:val="20"/>
        </w:rPr>
        <w:t>, est fonction des divers problèmes que pose essentiellement l'exploitation de divers équipements sur un même site, même si on peut soumettre les émetteurs eux</w:t>
      </w:r>
      <w:r w:rsidRPr="00DD45B4">
        <w:rPr>
          <w:sz w:val="20"/>
        </w:rPr>
        <w:noBreakHyphen/>
        <w:t xml:space="preserve">mêmes à certains essais. </w:t>
      </w:r>
    </w:p>
    <w:p w:rsidR="006D667B" w:rsidRPr="00DD45B4" w:rsidRDefault="006D667B" w:rsidP="006D667B">
      <w:pPr>
        <w:rPr>
          <w:sz w:val="20"/>
        </w:rPr>
      </w:pPr>
      <w:r w:rsidRPr="00DD45B4">
        <w:rPr>
          <w:sz w:val="20"/>
        </w:rPr>
        <w:t>Les produits d'IM entre émetteurs (Type 3) sont induits par des signaux brouilleurs qui pénètrent dans l'émetteur via l'antenne. Si la fréquence de ces signaux est proche de la fréquence nominale de l'émetteur, ils peuvent être à l'origine de très importants produits d'IM au niveau de la sortie de l'émetteur. Si leur fréquence est éloignée de la fréquence nominale, c'est</w:t>
      </w:r>
      <w:r w:rsidRPr="00DD45B4">
        <w:rPr>
          <w:sz w:val="20"/>
        </w:rPr>
        <w:noBreakHyphen/>
        <w:t>à</w:t>
      </w:r>
      <w:r w:rsidRPr="00DD45B4">
        <w:rPr>
          <w:sz w:val="20"/>
        </w:rPr>
        <w:noBreakHyphen/>
        <w:t>dire si elle se situe en dehors de la largeur de bande de fonctionnement utile, il faut prendre en ligne de compte la sélectivité de fréquence du système.</w:t>
      </w:r>
    </w:p>
    <w:p w:rsidR="006D667B" w:rsidRPr="00DD45B4" w:rsidRDefault="006D667B" w:rsidP="006D667B">
      <w:pPr>
        <w:rPr>
          <w:sz w:val="20"/>
        </w:rPr>
      </w:pPr>
      <w:r w:rsidRPr="00DD45B4">
        <w:rPr>
          <w:sz w:val="20"/>
        </w:rPr>
        <w:t>La Fig. 5 illustre ce type d'IM.</w:t>
      </w:r>
    </w:p>
    <w:p w:rsidR="006D667B" w:rsidRDefault="006D667B" w:rsidP="006D667B">
      <w:pPr>
        <w:pStyle w:val="Figure0"/>
        <w:rPr>
          <w:lang w:val="fr-FR"/>
        </w:rPr>
      </w:pPr>
      <w:r>
        <w:rPr>
          <w:noProof/>
          <w:lang w:val="fr-CH" w:eastAsia="fr-CH"/>
        </w:rPr>
        <w:drawing>
          <wp:inline distT="0" distB="0" distL="0" distR="0" wp14:anchorId="11465FC9" wp14:editId="53D56528">
            <wp:extent cx="4385310" cy="3275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5310" cy="3275965"/>
                    </a:xfrm>
                    <a:prstGeom prst="rect">
                      <a:avLst/>
                    </a:prstGeom>
                    <a:noFill/>
                    <a:ln>
                      <a:noFill/>
                    </a:ln>
                  </pic:spPr>
                </pic:pic>
              </a:graphicData>
            </a:graphic>
          </wp:inline>
        </w:drawing>
      </w:r>
    </w:p>
    <w:p w:rsidR="006D667B" w:rsidRDefault="006D667B" w:rsidP="006D667B">
      <w:pPr>
        <w:pStyle w:val="Fig"/>
        <w:rPr>
          <w:lang w:val="fr-FR"/>
        </w:rPr>
      </w:pPr>
      <w:r>
        <w:rPr>
          <w:lang w:val="fr-FR"/>
        </w:rPr>
        <w:t xml:space="preserve">FIGURE 5/SM.1446 [1446-05] = 8 CM </w:t>
      </w:r>
    </w:p>
    <w:p w:rsidR="006D667B" w:rsidRPr="00DD45B4" w:rsidRDefault="006D667B" w:rsidP="006D667B">
      <w:pPr>
        <w:pStyle w:val="Heading2"/>
        <w:rPr>
          <w:sz w:val="22"/>
          <w:szCs w:val="22"/>
        </w:rPr>
      </w:pPr>
      <w:bookmarkStart w:id="17" w:name="_Toc303683195"/>
      <w:bookmarkStart w:id="18" w:name="_Toc303683393"/>
      <w:r w:rsidRPr="00DD45B4">
        <w:rPr>
          <w:sz w:val="22"/>
          <w:szCs w:val="22"/>
        </w:rPr>
        <w:t>1.4</w:t>
      </w:r>
      <w:r w:rsidRPr="00DD45B4">
        <w:rPr>
          <w:sz w:val="22"/>
          <w:szCs w:val="22"/>
        </w:rPr>
        <w:tab/>
        <w:t>Type 4 – IM due à des antennes actives</w:t>
      </w:r>
      <w:bookmarkEnd w:id="17"/>
      <w:bookmarkEnd w:id="18"/>
    </w:p>
    <w:p w:rsidR="006D667B" w:rsidRPr="00DD45B4" w:rsidRDefault="006D667B" w:rsidP="006D667B">
      <w:pPr>
        <w:rPr>
          <w:sz w:val="20"/>
        </w:rPr>
      </w:pPr>
      <w:r w:rsidRPr="00DD45B4">
        <w:rPr>
          <w:sz w:val="20"/>
        </w:rPr>
        <w:t>La Fig. 6 illustre un type de structure d'antenne active utilisée avec un satellite.</w:t>
      </w:r>
    </w:p>
    <w:p w:rsidR="006D667B" w:rsidRPr="00DD45B4" w:rsidRDefault="006D667B" w:rsidP="006D667B">
      <w:pPr>
        <w:rPr>
          <w:sz w:val="20"/>
        </w:rPr>
      </w:pPr>
      <w:r w:rsidRPr="00DD45B4">
        <w:rPr>
          <w:sz w:val="20"/>
        </w:rPr>
        <w:t xml:space="preserve">La formation de faisceaux en amont des amplificateurs de puissance permet de limiter les pertes de puissance RF mais impose aux amplificateurs de fonctionner en mode multiporteuses: chaque amplificateur reçoit tous les signaux à transmettre et fonctionne donc sur toute la largeur de bande du système. Cette distribution de la puissance du signal sur les différents trajets d'antenne permet des échanges de puissance entre les faisceaux et une reconfiguration de ces faisceaux par simple transmission d'un signal de télécommande. </w:t>
      </w:r>
    </w:p>
    <w:p w:rsidR="006D667B" w:rsidRPr="00DD45B4" w:rsidRDefault="006D667B" w:rsidP="006D667B">
      <w:pPr>
        <w:rPr>
          <w:sz w:val="20"/>
        </w:rPr>
      </w:pPr>
      <w:r w:rsidRPr="00DD45B4">
        <w:rPr>
          <w:sz w:val="20"/>
        </w:rPr>
        <w:t>Le mode de fonctionnement multiporteuses d'une antenne active et la non</w:t>
      </w:r>
      <w:r w:rsidRPr="00DD45B4">
        <w:rPr>
          <w:sz w:val="20"/>
        </w:rPr>
        <w:noBreakHyphen/>
        <w:t>linéarité des amplificateurs induisent des rayonnements non essentiels sous forme de signaux d'IM. L'analyse de ces signaux est rendue très complexe par l'architecture active de l'antenne.</w:t>
      </w:r>
    </w:p>
    <w:p w:rsidR="006D667B" w:rsidRPr="00DD45B4" w:rsidRDefault="006D667B" w:rsidP="006D667B">
      <w:pPr>
        <w:pStyle w:val="Note"/>
        <w:rPr>
          <w:sz w:val="18"/>
          <w:szCs w:val="18"/>
        </w:rPr>
      </w:pPr>
      <w:r w:rsidRPr="00DD45B4">
        <w:rPr>
          <w:sz w:val="18"/>
          <w:szCs w:val="18"/>
        </w:rPr>
        <w:t>NOTE 1 – Des antennes actives sont actuellement mises au point, et le système se diversifie de plus en plus dans la technologie et les applications des services de communication. On envisage d'utiliser ces systèmes largement dans de nombreux domaines dans l'avenir, par exemple pour les communications très grande vitesse à un débit de plus de 1 Gbit/s pour l'imagerie, radar, etc. Par conséquent, les produits d'IM causés par des antennes actives et la méthode de mesure de ces produits devraient être examinés plus avant.</w:t>
      </w:r>
    </w:p>
    <w:p w:rsidR="006D667B" w:rsidRDefault="006D667B" w:rsidP="006D667B">
      <w:pPr>
        <w:pStyle w:val="Figure0"/>
        <w:spacing w:before="0"/>
        <w:rPr>
          <w:lang w:val="fr-FR"/>
        </w:rPr>
      </w:pPr>
      <w:r>
        <w:rPr>
          <w:noProof/>
          <w:lang w:val="fr-CH" w:eastAsia="fr-CH"/>
        </w:rPr>
        <w:lastRenderedPageBreak/>
        <w:drawing>
          <wp:inline distT="0" distB="0" distL="0" distR="0" wp14:anchorId="3C967FC8" wp14:editId="74B0E3BC">
            <wp:extent cx="3284855" cy="3746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855" cy="3746500"/>
                    </a:xfrm>
                    <a:prstGeom prst="rect">
                      <a:avLst/>
                    </a:prstGeom>
                    <a:noFill/>
                    <a:ln>
                      <a:noFill/>
                    </a:ln>
                  </pic:spPr>
                </pic:pic>
              </a:graphicData>
            </a:graphic>
          </wp:inline>
        </w:drawing>
      </w:r>
    </w:p>
    <w:p w:rsidR="006D667B" w:rsidRDefault="006D667B" w:rsidP="006D667B">
      <w:pPr>
        <w:pStyle w:val="Fig"/>
        <w:spacing w:before="0"/>
        <w:rPr>
          <w:sz w:val="8"/>
          <w:lang w:val="fr-FR"/>
        </w:rPr>
      </w:pPr>
      <w:r>
        <w:rPr>
          <w:sz w:val="8"/>
          <w:lang w:val="fr-FR"/>
        </w:rPr>
        <w:t xml:space="preserve">FIGURE 6/SM.1446 [1446-06] = 9 CM </w:t>
      </w:r>
    </w:p>
    <w:p w:rsidR="006D667B" w:rsidRPr="00DD45B4" w:rsidRDefault="006D667B" w:rsidP="006D667B">
      <w:pPr>
        <w:pStyle w:val="Heading2"/>
        <w:rPr>
          <w:sz w:val="22"/>
          <w:szCs w:val="22"/>
        </w:rPr>
      </w:pPr>
      <w:bookmarkStart w:id="19" w:name="_Toc303683196"/>
      <w:bookmarkStart w:id="20" w:name="_Toc303683394"/>
      <w:r w:rsidRPr="00DD45B4">
        <w:rPr>
          <w:sz w:val="22"/>
          <w:szCs w:val="22"/>
        </w:rPr>
        <w:t>1.5</w:t>
      </w:r>
      <w:r w:rsidRPr="00DD45B4">
        <w:rPr>
          <w:sz w:val="22"/>
          <w:szCs w:val="22"/>
        </w:rPr>
        <w:tab/>
        <w:t>Type 5 – IM due à des circuits passifs</w:t>
      </w:r>
      <w:bookmarkEnd w:id="19"/>
      <w:bookmarkEnd w:id="20"/>
    </w:p>
    <w:p w:rsidR="006D667B" w:rsidRPr="00DD45B4" w:rsidRDefault="006D667B" w:rsidP="006D667B">
      <w:pPr>
        <w:rPr>
          <w:sz w:val="20"/>
        </w:rPr>
      </w:pPr>
      <w:r w:rsidRPr="00DD45B4">
        <w:rPr>
          <w:sz w:val="20"/>
        </w:rPr>
        <w:t>La Fig. 7 illustre une station radioélectrique dans laquelle plusieurs émetteurs et récepteurs partagent une même antenne. Habituellement, on peut considérer que les circuits passifs – guides d'ondes, câbles et connecteurs – ne produisent pas de produits d'IM car on les assimile à des circuits linéaires. Toutefois, lorsque leur qualité de fonctionnement se dégrade en raison du vieillissement ou d'un mauvais contact, certains points de non</w:t>
      </w:r>
      <w:r w:rsidRPr="00DD45B4">
        <w:rPr>
          <w:sz w:val="20"/>
        </w:rPr>
        <w:noBreakHyphen/>
        <w:t xml:space="preserve">linéarité peuvent apparaître. Si plusieurs émetteurs fonctionnent simultanément, la combinaison des fréquences d'émission peut être à l'origine de produits d'IM. On a constaté dans le passé que, dans un cas extrême, des produits d'IM du neuvième ordre nuisent gravement à la qualité de fonctionnement du récepteur. </w:t>
      </w:r>
    </w:p>
    <w:p w:rsidR="006D667B" w:rsidRDefault="006D667B" w:rsidP="006D667B">
      <w:pPr>
        <w:pStyle w:val="Figure0"/>
        <w:spacing w:before="300"/>
        <w:rPr>
          <w:lang w:val="fr-FR"/>
        </w:rPr>
      </w:pPr>
      <w:r>
        <w:rPr>
          <w:noProof/>
          <w:lang w:val="fr-CH" w:eastAsia="fr-CH"/>
        </w:rPr>
        <w:drawing>
          <wp:inline distT="0" distB="0" distL="0" distR="0" wp14:anchorId="411D9976" wp14:editId="27950894">
            <wp:extent cx="5247005" cy="31781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005" cy="3178175"/>
                    </a:xfrm>
                    <a:prstGeom prst="rect">
                      <a:avLst/>
                    </a:prstGeom>
                    <a:noFill/>
                    <a:ln>
                      <a:noFill/>
                    </a:ln>
                  </pic:spPr>
                </pic:pic>
              </a:graphicData>
            </a:graphic>
          </wp:inline>
        </w:drawing>
      </w:r>
    </w:p>
    <w:p w:rsidR="006D667B" w:rsidRDefault="006D667B" w:rsidP="006D667B">
      <w:pPr>
        <w:pStyle w:val="Fig"/>
        <w:spacing w:before="0"/>
        <w:rPr>
          <w:sz w:val="8"/>
          <w:lang w:val="fr-FR"/>
        </w:rPr>
      </w:pPr>
      <w:r>
        <w:rPr>
          <w:sz w:val="8"/>
          <w:lang w:val="fr-FR"/>
        </w:rPr>
        <w:t xml:space="preserve">FIGURE 7/SM.1446 [1446-07] = 8 CM </w:t>
      </w:r>
    </w:p>
    <w:p w:rsidR="006D667B" w:rsidRPr="00DD45B4" w:rsidRDefault="006D667B" w:rsidP="006D667B">
      <w:pPr>
        <w:rPr>
          <w:sz w:val="20"/>
        </w:rPr>
      </w:pPr>
      <w:r w:rsidRPr="00DD45B4">
        <w:rPr>
          <w:sz w:val="20"/>
        </w:rPr>
        <w:lastRenderedPageBreak/>
        <w:t>Il est donc important de maintenir la linéarité des circuits passifs, comme les guides d'ondes, les câbles et les connecteurs.</w:t>
      </w:r>
    </w:p>
    <w:p w:rsidR="006D667B" w:rsidRPr="00DD45B4" w:rsidRDefault="006D667B" w:rsidP="006D667B">
      <w:pPr>
        <w:pStyle w:val="Heading2"/>
        <w:rPr>
          <w:sz w:val="22"/>
          <w:szCs w:val="22"/>
        </w:rPr>
      </w:pPr>
      <w:bookmarkStart w:id="21" w:name="_Toc303683197"/>
      <w:bookmarkStart w:id="22" w:name="_Toc303683395"/>
      <w:r w:rsidRPr="00DD45B4">
        <w:rPr>
          <w:sz w:val="22"/>
          <w:szCs w:val="22"/>
        </w:rPr>
        <w:t>1.6</w:t>
      </w:r>
      <w:r w:rsidRPr="00DD45B4">
        <w:rPr>
          <w:sz w:val="22"/>
          <w:szCs w:val="22"/>
        </w:rPr>
        <w:tab/>
        <w:t>Affaiblissement de l'IM de l'émetteur</w:t>
      </w:r>
      <w:bookmarkEnd w:id="21"/>
      <w:bookmarkEnd w:id="22"/>
    </w:p>
    <w:p w:rsidR="006D667B" w:rsidRPr="00DD45B4" w:rsidRDefault="006D667B" w:rsidP="006D667B">
      <w:pPr>
        <w:rPr>
          <w:i/>
          <w:sz w:val="20"/>
        </w:rPr>
      </w:pPr>
      <w:r w:rsidRPr="00DD45B4">
        <w:rPr>
          <w:sz w:val="20"/>
        </w:rPr>
        <w:t>L'affaiblissement de l'IM de l'émetteur mesure la capacité d'un émetteur à neutraliser la formation de signaux dans ces éléments non</w:t>
      </w:r>
      <w:r w:rsidRPr="00DD45B4">
        <w:rPr>
          <w:sz w:val="20"/>
        </w:rPr>
        <w:noBreakHyphen/>
        <w:t xml:space="preserve">linéaires en raison de la présence de la porteuse. Cette définition est illustrée à la Fig. 8, </w:t>
      </w:r>
      <w:r w:rsidRPr="00DD45B4">
        <w:rPr>
          <w:i/>
          <w:iCs/>
          <w:sz w:val="20"/>
        </w:rPr>
        <w:t>f</w:t>
      </w:r>
      <w:r w:rsidRPr="00C446F0">
        <w:rPr>
          <w:position w:val="-4"/>
          <w:sz w:val="16"/>
          <w:szCs w:val="16"/>
        </w:rPr>
        <w:t>1</w:t>
      </w:r>
      <w:r w:rsidRPr="00DD45B4">
        <w:rPr>
          <w:sz w:val="20"/>
        </w:rPr>
        <w:t xml:space="preserve"> étant la fréquence porteuse, </w:t>
      </w:r>
      <w:r w:rsidRPr="00DD45B4">
        <w:rPr>
          <w:i/>
          <w:iCs/>
          <w:sz w:val="20"/>
        </w:rPr>
        <w:t>P</w:t>
      </w:r>
      <w:r w:rsidRPr="00C446F0">
        <w:rPr>
          <w:position w:val="-4"/>
          <w:sz w:val="16"/>
          <w:szCs w:val="16"/>
        </w:rPr>
        <w:t>1</w:t>
      </w:r>
      <w:r w:rsidRPr="00DD45B4">
        <w:rPr>
          <w:sz w:val="20"/>
        </w:rPr>
        <w:t>(</w:t>
      </w:r>
      <w:r w:rsidRPr="00DD45B4">
        <w:rPr>
          <w:i/>
          <w:iCs/>
          <w:sz w:val="20"/>
        </w:rPr>
        <w:t>f</w:t>
      </w:r>
      <w:r w:rsidRPr="00C446F0">
        <w:rPr>
          <w:position w:val="-4"/>
          <w:sz w:val="16"/>
          <w:szCs w:val="16"/>
        </w:rPr>
        <w:t>1</w:t>
      </w:r>
      <w:r w:rsidRPr="00DD45B4">
        <w:rPr>
          <w:sz w:val="20"/>
        </w:rPr>
        <w:t xml:space="preserve">) la puissance de sortie et </w:t>
      </w:r>
      <w:r w:rsidRPr="00DD45B4">
        <w:rPr>
          <w:i/>
          <w:iCs/>
          <w:sz w:val="20"/>
        </w:rPr>
        <w:t>f</w:t>
      </w:r>
      <w:r w:rsidRPr="00C446F0">
        <w:rPr>
          <w:position w:val="-4"/>
          <w:sz w:val="16"/>
          <w:szCs w:val="16"/>
        </w:rPr>
        <w:t>2</w:t>
      </w:r>
      <w:r w:rsidRPr="00DD45B4">
        <w:rPr>
          <w:sz w:val="20"/>
        </w:rPr>
        <w:t xml:space="preserve"> le signal brouilleur ayant la puissance </w:t>
      </w:r>
      <w:r w:rsidRPr="00DD45B4">
        <w:rPr>
          <w:i/>
          <w:sz w:val="20"/>
        </w:rPr>
        <w:t>P</w:t>
      </w:r>
      <w:r w:rsidRPr="00C446F0">
        <w:rPr>
          <w:position w:val="-4"/>
          <w:sz w:val="16"/>
          <w:szCs w:val="16"/>
        </w:rPr>
        <w:t>2</w:t>
      </w:r>
      <w:r w:rsidRPr="00DD45B4">
        <w:rPr>
          <w:i/>
          <w:sz w:val="20"/>
        </w:rPr>
        <w:t>.</w:t>
      </w:r>
    </w:p>
    <w:p w:rsidR="006D667B" w:rsidRDefault="006D667B" w:rsidP="006D667B">
      <w:pPr>
        <w:pStyle w:val="Index1"/>
      </w:pPr>
    </w:p>
    <w:p w:rsidR="006D667B" w:rsidRDefault="006D667B" w:rsidP="006D667B">
      <w:pPr>
        <w:pStyle w:val="Figure0"/>
        <w:rPr>
          <w:lang w:val="fr-FR"/>
        </w:rPr>
      </w:pPr>
      <w:r>
        <w:rPr>
          <w:noProof/>
          <w:lang w:val="fr-CH" w:eastAsia="fr-CH"/>
        </w:rPr>
        <w:drawing>
          <wp:inline distT="0" distB="0" distL="0" distR="0" wp14:anchorId="1B76DEE6" wp14:editId="3A51DBD2">
            <wp:extent cx="29210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0" cy="2254885"/>
                    </a:xfrm>
                    <a:prstGeom prst="rect">
                      <a:avLst/>
                    </a:prstGeom>
                    <a:noFill/>
                    <a:ln>
                      <a:noFill/>
                    </a:ln>
                  </pic:spPr>
                </pic:pic>
              </a:graphicData>
            </a:graphic>
          </wp:inline>
        </w:drawing>
      </w:r>
    </w:p>
    <w:p w:rsidR="006D667B" w:rsidRDefault="006D667B" w:rsidP="006D667B">
      <w:pPr>
        <w:pStyle w:val="Fig"/>
        <w:rPr>
          <w:lang w:val="fr-FR"/>
        </w:rPr>
      </w:pPr>
      <w:r>
        <w:rPr>
          <w:lang w:val="fr-FR"/>
        </w:rPr>
        <w:t xml:space="preserve">FIGURE 8/SM.1446 [1446-08] = 5 CM </w:t>
      </w:r>
    </w:p>
    <w:p w:rsidR="006D667B" w:rsidRPr="00DD45B4" w:rsidRDefault="006D667B" w:rsidP="006D667B">
      <w:pPr>
        <w:rPr>
          <w:sz w:val="20"/>
        </w:rPr>
      </w:pPr>
      <w:r w:rsidRPr="00DD45B4">
        <w:rPr>
          <w:sz w:val="20"/>
        </w:rPr>
        <w:t xml:space="preserve">L'affaiblissement de l'IM de l'émetteur </w:t>
      </w:r>
      <w:r w:rsidRPr="00DD45B4">
        <w:rPr>
          <w:i/>
          <w:iCs/>
          <w:sz w:val="20"/>
        </w:rPr>
        <w:t>A</w:t>
      </w:r>
      <w:r w:rsidRPr="00DD45B4">
        <w:rPr>
          <w:i/>
          <w:iCs/>
          <w:position w:val="-4"/>
          <w:sz w:val="20"/>
        </w:rPr>
        <w:t>IM</w:t>
      </w:r>
      <w:r w:rsidRPr="00DD45B4">
        <w:rPr>
          <w:sz w:val="20"/>
        </w:rPr>
        <w:t xml:space="preserve"> est alors défini par:</w:t>
      </w:r>
    </w:p>
    <w:p w:rsidR="006D667B" w:rsidRPr="00DD45B4" w:rsidRDefault="006D667B" w:rsidP="00047638">
      <w:pPr>
        <w:pStyle w:val="Equation"/>
        <w:jc w:val="center"/>
        <w:rPr>
          <w:sz w:val="20"/>
        </w:rPr>
      </w:pPr>
      <w:r w:rsidRPr="00DD45B4">
        <w:rPr>
          <w:i/>
          <w:iCs/>
          <w:sz w:val="20"/>
        </w:rPr>
        <w:t>IM</w:t>
      </w:r>
      <w:r w:rsidRPr="00C446F0">
        <w:rPr>
          <w:position w:val="-4"/>
          <w:sz w:val="16"/>
          <w:szCs w:val="16"/>
        </w:rPr>
        <w:t>3</w:t>
      </w:r>
      <w:r w:rsidRPr="00DD45B4">
        <w:rPr>
          <w:sz w:val="20"/>
        </w:rPr>
        <w:t> </w:t>
      </w:r>
      <w:r w:rsidR="00047638" w:rsidRPr="00047638">
        <w:rPr>
          <w:sz w:val="20"/>
        </w:rPr>
        <w:t>&lt;</w:t>
      </w:r>
      <w:r w:rsidRPr="00DD45B4">
        <w:rPr>
          <w:sz w:val="20"/>
        </w:rPr>
        <w:t> </w:t>
      </w:r>
      <w:r w:rsidRPr="00DD45B4">
        <w:rPr>
          <w:i/>
          <w:iCs/>
          <w:sz w:val="20"/>
        </w:rPr>
        <w:t>P</w:t>
      </w:r>
      <w:r w:rsidRPr="00C446F0">
        <w:rPr>
          <w:position w:val="-4"/>
          <w:sz w:val="16"/>
          <w:szCs w:val="16"/>
        </w:rPr>
        <w:t>1</w:t>
      </w:r>
      <w:r w:rsidRPr="00DD45B4">
        <w:rPr>
          <w:sz w:val="20"/>
        </w:rPr>
        <w:t> – </w:t>
      </w:r>
      <w:r w:rsidRPr="00DD45B4">
        <w:rPr>
          <w:i/>
          <w:iCs/>
          <w:sz w:val="20"/>
        </w:rPr>
        <w:t>A</w:t>
      </w:r>
      <w:r w:rsidRPr="00C446F0">
        <w:rPr>
          <w:i/>
          <w:iCs/>
          <w:position w:val="-4"/>
          <w:sz w:val="16"/>
          <w:szCs w:val="16"/>
        </w:rPr>
        <w:t>IM</w:t>
      </w:r>
      <w:r w:rsidRPr="00DD45B4">
        <w:rPr>
          <w:sz w:val="20"/>
        </w:rPr>
        <w:t>         dB</w:t>
      </w:r>
    </w:p>
    <w:p w:rsidR="006D667B" w:rsidRPr="00DD45B4" w:rsidRDefault="006D667B" w:rsidP="006D667B">
      <w:pPr>
        <w:rPr>
          <w:sz w:val="20"/>
        </w:rPr>
      </w:pPr>
      <w:r w:rsidRPr="00DD45B4">
        <w:rPr>
          <w:sz w:val="20"/>
        </w:rPr>
        <w:t xml:space="preserve">Un autre concept qui s'applique particulièrement au Type 3, et appelé facteur d'IM inverse, </w:t>
      </w:r>
      <w:r w:rsidRPr="00DD45B4">
        <w:rPr>
          <w:i/>
          <w:iCs/>
          <w:sz w:val="20"/>
        </w:rPr>
        <w:t>A</w:t>
      </w:r>
      <w:r w:rsidRPr="00C446F0">
        <w:rPr>
          <w:i/>
          <w:iCs/>
          <w:position w:val="-4"/>
          <w:sz w:val="16"/>
          <w:szCs w:val="16"/>
        </w:rPr>
        <w:t>RIM</w:t>
      </w:r>
      <w:r w:rsidRPr="00DD45B4">
        <w:rPr>
          <w:sz w:val="20"/>
        </w:rPr>
        <w:t xml:space="preserve">, définit la suppression d'IM provenant de sources extérieures de signaux: </w:t>
      </w:r>
    </w:p>
    <w:p w:rsidR="006D667B" w:rsidRPr="00DD45B4" w:rsidRDefault="006D667B" w:rsidP="00047638">
      <w:pPr>
        <w:pStyle w:val="Equation"/>
        <w:jc w:val="center"/>
        <w:rPr>
          <w:sz w:val="20"/>
        </w:rPr>
      </w:pPr>
      <w:r w:rsidRPr="00DD45B4">
        <w:rPr>
          <w:i/>
          <w:iCs/>
          <w:sz w:val="20"/>
        </w:rPr>
        <w:t>IM</w:t>
      </w:r>
      <w:r w:rsidRPr="00C446F0">
        <w:rPr>
          <w:position w:val="-4"/>
          <w:sz w:val="16"/>
          <w:szCs w:val="16"/>
        </w:rPr>
        <w:t>3</w:t>
      </w:r>
      <w:r w:rsidRPr="00DD45B4">
        <w:rPr>
          <w:sz w:val="20"/>
        </w:rPr>
        <w:t> </w:t>
      </w:r>
      <w:r w:rsidR="00047638" w:rsidRPr="00047638">
        <w:rPr>
          <w:sz w:val="20"/>
        </w:rPr>
        <w:t>&lt;</w:t>
      </w:r>
      <w:r w:rsidRPr="00DD45B4">
        <w:rPr>
          <w:sz w:val="20"/>
        </w:rPr>
        <w:t> </w:t>
      </w:r>
      <w:r w:rsidRPr="00DD45B4">
        <w:rPr>
          <w:i/>
          <w:iCs/>
          <w:sz w:val="20"/>
        </w:rPr>
        <w:t>P</w:t>
      </w:r>
      <w:r w:rsidRPr="00C446F0">
        <w:rPr>
          <w:position w:val="-4"/>
          <w:sz w:val="16"/>
          <w:szCs w:val="16"/>
        </w:rPr>
        <w:t>2</w:t>
      </w:r>
      <w:r w:rsidRPr="00DD45B4">
        <w:rPr>
          <w:sz w:val="20"/>
        </w:rPr>
        <w:t> – </w:t>
      </w:r>
      <w:r w:rsidRPr="00DD45B4">
        <w:rPr>
          <w:i/>
          <w:iCs/>
          <w:sz w:val="20"/>
        </w:rPr>
        <w:t>A</w:t>
      </w:r>
      <w:r w:rsidRPr="00C446F0">
        <w:rPr>
          <w:i/>
          <w:iCs/>
          <w:position w:val="-4"/>
          <w:sz w:val="16"/>
          <w:szCs w:val="16"/>
        </w:rPr>
        <w:t>RIM</w:t>
      </w:r>
      <w:r w:rsidRPr="00DD45B4">
        <w:rPr>
          <w:sz w:val="20"/>
        </w:rPr>
        <w:t>         dB</w:t>
      </w:r>
    </w:p>
    <w:p w:rsidR="006D667B" w:rsidRPr="00DD45B4" w:rsidRDefault="006D667B" w:rsidP="006D667B">
      <w:pPr>
        <w:rPr>
          <w:sz w:val="20"/>
        </w:rPr>
      </w:pPr>
      <w:r w:rsidRPr="00DD45B4">
        <w:rPr>
          <w:sz w:val="20"/>
        </w:rPr>
        <w:t>Ces définitions utilisées pour des émetteurs ne doivent pas être confondues avec le rejet d'IM du récepteur qui mesure la capacité d'un récepteur à recevoir un signal modulé utile sans dépasser une dégradation donnée en raison de la présence de produits d'IM.</w:t>
      </w:r>
    </w:p>
    <w:p w:rsidR="006D667B" w:rsidRDefault="006D667B" w:rsidP="006D667B">
      <w:pPr>
        <w:pStyle w:val="Heading1"/>
      </w:pPr>
      <w:bookmarkStart w:id="23" w:name="_Toc303683198"/>
      <w:bookmarkStart w:id="24" w:name="_Toc303683396"/>
      <w:r>
        <w:t>2</w:t>
      </w:r>
      <w:r>
        <w:tab/>
        <w:t>Considérations touchant aux services de radiocommunication</w:t>
      </w:r>
      <w:bookmarkEnd w:id="23"/>
      <w:bookmarkEnd w:id="24"/>
    </w:p>
    <w:p w:rsidR="006D667B" w:rsidRPr="00DD45B4" w:rsidRDefault="006D667B" w:rsidP="006D667B">
      <w:pPr>
        <w:rPr>
          <w:sz w:val="20"/>
        </w:rPr>
      </w:pPr>
      <w:r w:rsidRPr="00DD45B4">
        <w:rPr>
          <w:sz w:val="20"/>
        </w:rPr>
        <w:t>Quelques exemples de produits et de caractéristiques d'IM pour le SFS, le SMS et le service de radiodiffusion sont données dans l'Appendice 1 à l'Annexe 1. En règle générale, les caractéristiques d'IM dépendent de facteurs très divers, par exemple les techniques de modulation et d'accès, les composantes matériel, le coût de l'équipement, etc ... Les exemples choisis ont pour seul but d'illustrer les plages de suppression de produits d'IM réalisables dans des systèmes réels. Ils ne sont pas censés définir des limites pour les produits d'IM.</w:t>
      </w:r>
    </w:p>
    <w:p w:rsidR="006D667B" w:rsidRDefault="006D667B" w:rsidP="006D667B">
      <w:pPr>
        <w:pStyle w:val="Heading1"/>
      </w:pPr>
      <w:bookmarkStart w:id="25" w:name="_Toc303683199"/>
      <w:bookmarkStart w:id="26" w:name="_Toc303683397"/>
      <w:r>
        <w:t>3</w:t>
      </w:r>
      <w:r>
        <w:tab/>
        <w:t>Techniques de mesure</w:t>
      </w:r>
      <w:bookmarkEnd w:id="25"/>
      <w:bookmarkEnd w:id="26"/>
    </w:p>
    <w:p w:rsidR="006D667B" w:rsidRPr="00DD45B4" w:rsidRDefault="006D667B" w:rsidP="006D667B">
      <w:pPr>
        <w:rPr>
          <w:sz w:val="20"/>
        </w:rPr>
      </w:pPr>
      <w:r w:rsidRPr="00DD45B4">
        <w:rPr>
          <w:sz w:val="20"/>
        </w:rPr>
        <w:t>Pour mesurer les produits d'IM ou le bruit, on utilise en général les mêmes techniques que pour mesurer les émissions hors bande ou les rayonnements non essentiels. Il y a quelques règles à suivre: les niveaux d'IM ne doivent pas être affectés par la présence du signal de sortie de l'émetteur et il faut prévoir pour l'équipement de mesure une dynamique suffisante pour qu'il puisse détecter des signaux d'IM de faible niveau en présence de signaux utiles.</w:t>
      </w:r>
    </w:p>
    <w:p w:rsidR="006D667B" w:rsidRPr="00DD45B4" w:rsidRDefault="006D667B" w:rsidP="006D667B">
      <w:pPr>
        <w:rPr>
          <w:sz w:val="20"/>
        </w:rPr>
      </w:pPr>
      <w:r w:rsidRPr="00DD45B4">
        <w:rPr>
          <w:sz w:val="20"/>
        </w:rPr>
        <w:t>Quelques méthodes particulières de mesure des produits d'IM sont décrites ci</w:t>
      </w:r>
      <w:r w:rsidRPr="00DD45B4">
        <w:rPr>
          <w:sz w:val="20"/>
        </w:rPr>
        <w:noBreakHyphen/>
        <w:t>après.</w:t>
      </w:r>
    </w:p>
    <w:p w:rsidR="006D667B" w:rsidRPr="00DD45B4" w:rsidRDefault="006D667B" w:rsidP="006D667B">
      <w:pPr>
        <w:pStyle w:val="Heading2"/>
        <w:rPr>
          <w:sz w:val="22"/>
          <w:szCs w:val="22"/>
        </w:rPr>
      </w:pPr>
      <w:bookmarkStart w:id="27" w:name="_Toc303683200"/>
      <w:bookmarkStart w:id="28" w:name="_Toc303683398"/>
      <w:r w:rsidRPr="00DD45B4">
        <w:rPr>
          <w:sz w:val="22"/>
          <w:szCs w:val="22"/>
        </w:rPr>
        <w:lastRenderedPageBreak/>
        <w:t>3.1</w:t>
      </w:r>
      <w:r w:rsidRPr="00DD45B4">
        <w:rPr>
          <w:sz w:val="22"/>
          <w:szCs w:val="22"/>
        </w:rPr>
        <w:tab/>
        <w:t>Méthodes génériques de mesure des produits d'IM par un seul canal (Type 1)</w:t>
      </w:r>
      <w:bookmarkEnd w:id="27"/>
      <w:bookmarkEnd w:id="28"/>
    </w:p>
    <w:p w:rsidR="006D667B" w:rsidRPr="00DD45B4" w:rsidRDefault="006D667B" w:rsidP="006D667B">
      <w:pPr>
        <w:rPr>
          <w:sz w:val="20"/>
        </w:rPr>
      </w:pPr>
      <w:r w:rsidRPr="00DD45B4">
        <w:rPr>
          <w:sz w:val="20"/>
        </w:rPr>
        <w:t>En général, les méthodes sont subdivisées entres méthodes s'appliquant aux émetteurs classiques analogiques et méthodes s'appliquant aux émetteurs numériques.</w:t>
      </w:r>
    </w:p>
    <w:p w:rsidR="006D667B" w:rsidRPr="00DD45B4" w:rsidRDefault="006D667B" w:rsidP="006D667B">
      <w:pPr>
        <w:pStyle w:val="Heading3"/>
        <w:rPr>
          <w:sz w:val="20"/>
        </w:rPr>
      </w:pPr>
      <w:bookmarkStart w:id="29" w:name="_Toc303683201"/>
      <w:bookmarkStart w:id="30" w:name="_Toc303683399"/>
      <w:r w:rsidRPr="00DD45B4">
        <w:rPr>
          <w:sz w:val="20"/>
        </w:rPr>
        <w:t>3.1.1</w:t>
      </w:r>
      <w:r w:rsidRPr="00DD45B4">
        <w:rPr>
          <w:sz w:val="20"/>
        </w:rPr>
        <w:tab/>
        <w:t>Modulation analogique</w:t>
      </w:r>
      <w:bookmarkEnd w:id="29"/>
      <w:bookmarkEnd w:id="30"/>
    </w:p>
    <w:p w:rsidR="006D667B" w:rsidRPr="00DD45B4" w:rsidRDefault="006D667B" w:rsidP="006D667B">
      <w:pPr>
        <w:rPr>
          <w:sz w:val="20"/>
        </w:rPr>
      </w:pPr>
      <w:r w:rsidRPr="00DD45B4">
        <w:rPr>
          <w:sz w:val="20"/>
        </w:rPr>
        <w:t>Dans toutes les méthodes, il importe de faire en sorte qu'il n'y ait pas IM entre les signaux d'entrée de l'émetteur soumis à l'essai et que ces signaux ne soient pas affectés par la sortie RF de l'émetteur. Il existe diverses méthodes de combinaison des signaux.</w:t>
      </w:r>
    </w:p>
    <w:p w:rsidR="006D667B" w:rsidRPr="00DD45B4" w:rsidRDefault="006D667B" w:rsidP="006D667B">
      <w:pPr>
        <w:pStyle w:val="Heading4"/>
        <w:rPr>
          <w:sz w:val="20"/>
        </w:rPr>
      </w:pPr>
      <w:r w:rsidRPr="00DD45B4">
        <w:rPr>
          <w:sz w:val="20"/>
        </w:rPr>
        <w:t>3.1.1.1</w:t>
      </w:r>
      <w:r w:rsidRPr="00DD45B4">
        <w:rPr>
          <w:sz w:val="20"/>
        </w:rPr>
        <w:tab/>
        <w:t>Test à deux tonalités</w:t>
      </w:r>
    </w:p>
    <w:p w:rsidR="006D667B" w:rsidRPr="00DD45B4" w:rsidRDefault="006D667B" w:rsidP="006D667B">
      <w:pPr>
        <w:rPr>
          <w:sz w:val="20"/>
        </w:rPr>
      </w:pPr>
      <w:r w:rsidRPr="00DD45B4">
        <w:rPr>
          <w:sz w:val="20"/>
        </w:rPr>
        <w:t>Il s'agit ici du cas classique d'un émetteur à bande latérale unique ou d'un émetteur à bande latérale indépendante (BLI). L'application à l'entrée de deux tonalités sinusoïdales, d'amplitude égale et dont les fréquences ne sont pas liées harmoniquement est bien connue; en général on mesure les produits d'IM de troisième et de cinquième ordre à l'aide d'un analyseur de spectre bien qu'il existe d'autres méthodes. Il y a quelques différences dans les spécifications: l'affaiblis</w:t>
      </w:r>
      <w:r w:rsidRPr="00DD45B4">
        <w:rPr>
          <w:sz w:val="20"/>
        </w:rPr>
        <w:softHyphen/>
        <w:t>sement des produits d'IM peut être spécifié par rapport à l'une des deux tonalités ou à la puissance en crête du signal; il y a une différence de 6 dB entre ces deux niveaux. Un signal de 24 dB inférieur au niveau de l'une des deux tonalités est donc de 30 dB inférieur à la puissance en crête.</w:t>
      </w:r>
    </w:p>
    <w:p w:rsidR="006D667B" w:rsidRPr="00DD45B4" w:rsidRDefault="006D667B" w:rsidP="00EF34AC">
      <w:pPr>
        <w:rPr>
          <w:sz w:val="20"/>
        </w:rPr>
      </w:pPr>
      <w:r w:rsidRPr="00DD45B4">
        <w:rPr>
          <w:sz w:val="20"/>
        </w:rPr>
        <w:t>Bien qu'utilisée depuis de nombreuses années et bien qu'elle ait l'avantage d'être simple, cette méthode présente des lacunes pour des modulations comme les signaux vocaux. Dans la cas de signaux vocaux, même si la largeur de bande peut être limitée de 300 à 2</w:t>
      </w:r>
      <w:r w:rsidRPr="00DD45B4">
        <w:rPr>
          <w:rFonts w:ascii="Tms Rmn" w:hAnsi="Tms Rmn"/>
          <w:sz w:val="20"/>
        </w:rPr>
        <w:t> </w:t>
      </w:r>
      <w:r w:rsidRPr="00DD45B4">
        <w:rPr>
          <w:sz w:val="20"/>
        </w:rPr>
        <w:t>400 Hz, il y a encore une variation du débit syllabique qui tombe à 10 ou 15 Hz. Par conséquent, un émetteur qui donne de bons résultats sur un test à deux tonalités, avec un espacement entre tonalités de 700 Hz peut donner des résultats médiocres pour ce qui est des produits d'IM et donc pour les émissions hors bande sur des signaux vocaux, en particulier lorsqu'il y a traitement poussé des signaux vocaux pour réduire le rapport crête/moyenne. On a essayé de trouver une solution à ce problème dans certaines spécifications des émetteurs en exigeant des tests avec des espacements entre tonalités aussi faibles que 30 Hz mais il peut alors être difficile d'effectuer des mesures.</w:t>
      </w:r>
    </w:p>
    <w:p w:rsidR="006D667B" w:rsidRPr="00DD45B4" w:rsidRDefault="006D667B" w:rsidP="006D667B">
      <w:pPr>
        <w:pStyle w:val="Heading4"/>
        <w:rPr>
          <w:sz w:val="20"/>
        </w:rPr>
      </w:pPr>
      <w:r w:rsidRPr="00DD45B4">
        <w:rPr>
          <w:sz w:val="20"/>
        </w:rPr>
        <w:t>3.1.1.2</w:t>
      </w:r>
      <w:r w:rsidRPr="00DD45B4">
        <w:rPr>
          <w:sz w:val="20"/>
        </w:rPr>
        <w:tab/>
        <w:t>Test à trois tonalités</w:t>
      </w:r>
    </w:p>
    <w:p w:rsidR="006D667B" w:rsidRPr="00DD45B4" w:rsidRDefault="006D667B" w:rsidP="006D667B">
      <w:pPr>
        <w:rPr>
          <w:sz w:val="20"/>
        </w:rPr>
      </w:pPr>
      <w:r w:rsidRPr="00DD45B4">
        <w:rPr>
          <w:sz w:val="20"/>
        </w:rPr>
        <w:t>Autre formule utilisée comme dans la télévision par câble, un test à trois tonalités (mais les modalités du test sont différentes de celles utilisées dans la télévision par câble). On utilise dans ce cas 3 tonalités sinusoïdales, d'amplitude égale, dont les fréquences ne sont pas liées harmoniquement, avec un espacement entre deux d'entre elles d'environ 30 Hz. L'interprétation des résultats affichés par l'analyseur de spectre devient plus complexe en ce sens qu'il y a maintenant six produits d'IM de troisième ordre alors qu'il n'y en avait que deux dans un test à deux tonalités. De même il y aura 6 produits d'IM de cinquième ordre, etc. Toutefois, ces tests permettent de bien montrer les carences de la régulation dynamique de l'alimentation de l'amplificateur final.</w:t>
      </w:r>
    </w:p>
    <w:p w:rsidR="006D667B" w:rsidRPr="00DD45B4" w:rsidRDefault="006D667B" w:rsidP="006D667B">
      <w:pPr>
        <w:pStyle w:val="Heading4"/>
        <w:rPr>
          <w:sz w:val="20"/>
        </w:rPr>
      </w:pPr>
      <w:r w:rsidRPr="00DD45B4">
        <w:rPr>
          <w:sz w:val="20"/>
        </w:rPr>
        <w:t>3.1.1.3</w:t>
      </w:r>
      <w:r w:rsidRPr="00DD45B4">
        <w:rPr>
          <w:sz w:val="20"/>
        </w:rPr>
        <w:tab/>
        <w:t>Test de bruit</w:t>
      </w:r>
    </w:p>
    <w:p w:rsidR="006D667B" w:rsidRPr="00DD45B4" w:rsidRDefault="006D667B" w:rsidP="006D667B">
      <w:pPr>
        <w:pStyle w:val="Heading5"/>
        <w:rPr>
          <w:sz w:val="20"/>
        </w:rPr>
      </w:pPr>
      <w:r w:rsidRPr="00DD45B4">
        <w:rPr>
          <w:sz w:val="20"/>
        </w:rPr>
        <w:t>3.1.1.3.1</w:t>
      </w:r>
      <w:r w:rsidRPr="00DD45B4">
        <w:rPr>
          <w:sz w:val="20"/>
        </w:rPr>
        <w:tab/>
        <w:t>Bruit non continu dans le domaine fréquence</w:t>
      </w:r>
    </w:p>
    <w:p w:rsidR="006D667B" w:rsidRPr="00DD45B4" w:rsidRDefault="006D667B" w:rsidP="000E3CE8">
      <w:pPr>
        <w:rPr>
          <w:sz w:val="20"/>
        </w:rPr>
      </w:pPr>
      <w:r w:rsidRPr="00DD45B4">
        <w:rPr>
          <w:sz w:val="20"/>
        </w:rPr>
        <w:t>Une autre méthode utilisée consiste à appliquer du bruit à l'entrée de l'émetteur. Cette technique est utilisée depuis de nombreuses années avec les systèmes analogiques de multiplexage par répartition en fréquence: on applique à l'équipement un bruit dont le spectre présente une discontinuité dans le domaine fréquence d'entrée. Les effets de la distorsion d'IM peuvent alors être mesurés par le niveau du signal qui apparaît dans la discontinuité équivalente à la sortie. Toutefois, à moins que le bruit d'entrée ne soit modulé au débit syllabique, cette méthode offre peu d'avantages réels dans le cas d'un équipement monocanal. Dans le cas d'un équipement multicanal, par exemple un émetteur à BLI acheminant 2 canaux vocaux et 12 signaux télégraphiques à fréquence vocale, cette méthode donne une meilleure approximation qu'avec un test à deux tonalités. Le plus gros avantage de cette méthode c'est qu'elle permet d'obtenir un rapport crête/ moyenne plus réaliste que la méthode à tonalité continue.</w:t>
      </w:r>
    </w:p>
    <w:p w:rsidR="006D667B" w:rsidRPr="00DD45B4" w:rsidRDefault="006D667B" w:rsidP="006D667B">
      <w:pPr>
        <w:pStyle w:val="Heading5"/>
        <w:rPr>
          <w:sz w:val="20"/>
        </w:rPr>
      </w:pPr>
      <w:r w:rsidRPr="00DD45B4">
        <w:rPr>
          <w:sz w:val="20"/>
        </w:rPr>
        <w:t>3.1.1.3.2</w:t>
      </w:r>
      <w:r w:rsidRPr="00DD45B4">
        <w:rPr>
          <w:sz w:val="20"/>
        </w:rPr>
        <w:tab/>
        <w:t>Bruit continu dans le domaine fréquence</w:t>
      </w:r>
    </w:p>
    <w:p w:rsidR="006D667B" w:rsidRPr="00DD45B4" w:rsidRDefault="006D667B" w:rsidP="006D667B">
      <w:pPr>
        <w:rPr>
          <w:sz w:val="20"/>
        </w:rPr>
      </w:pPr>
      <w:r w:rsidRPr="00DD45B4">
        <w:rPr>
          <w:sz w:val="20"/>
        </w:rPr>
        <w:t>Au lieu de prévoir une discontinuité dans le domaine fréquence du signal entrée, on peut, autre solution, examiner l'amplification spectrale du signal modulé par du bruit par rapport au spectre produit par l'émetteur sans produits d'IM. Les résultats sont plus difficiles à interpréter mais leur applicabilité dépend de l'application. Dans les applications où les produits d'IM dans le canal sont importants pour le fonctionnement du système, cette méthode n'a aucune application. Lorsque les produits d'IM sont importants en raison de leurs conséquences sur les émissions hors bande, cette méthode donne une idée réaliste des performances de l'émetteur.</w:t>
      </w:r>
    </w:p>
    <w:p w:rsidR="006D667B" w:rsidRPr="00DD45B4" w:rsidRDefault="006D667B" w:rsidP="006D667B">
      <w:pPr>
        <w:pStyle w:val="Heading3"/>
        <w:rPr>
          <w:sz w:val="20"/>
        </w:rPr>
      </w:pPr>
      <w:bookmarkStart w:id="31" w:name="_Toc303683202"/>
      <w:bookmarkStart w:id="32" w:name="_Toc303683400"/>
      <w:r w:rsidRPr="00DD45B4">
        <w:rPr>
          <w:sz w:val="20"/>
        </w:rPr>
        <w:lastRenderedPageBreak/>
        <w:t>3.1.2</w:t>
      </w:r>
      <w:r w:rsidRPr="00DD45B4">
        <w:rPr>
          <w:sz w:val="20"/>
        </w:rPr>
        <w:tab/>
        <w:t>Modulations numériques</w:t>
      </w:r>
      <w:bookmarkEnd w:id="31"/>
      <w:bookmarkEnd w:id="32"/>
    </w:p>
    <w:p w:rsidR="006D667B" w:rsidRPr="00DD45B4" w:rsidRDefault="006D667B" w:rsidP="00047638">
      <w:pPr>
        <w:rPr>
          <w:sz w:val="20"/>
        </w:rPr>
      </w:pPr>
      <w:r w:rsidRPr="00DD45B4">
        <w:rPr>
          <w:sz w:val="20"/>
        </w:rPr>
        <w:t xml:space="preserve">Les produits d'IM dans ces émetteurs sont en général mesurés en termes de rapport de protection dans le canal adjacent. On utilise un train de bits pseudo-aléatoire approprié pour moduler l'émetteur et la puissance dans le canal adjacent ou alterné (adjacent </w:t>
      </w:r>
      <w:r w:rsidR="00047638" w:rsidRPr="00047638">
        <w:rPr>
          <w:sz w:val="20"/>
        </w:rPr>
        <w:t>+</w:t>
      </w:r>
      <w:r w:rsidRPr="00DD45B4">
        <w:rPr>
          <w:sz w:val="20"/>
        </w:rPr>
        <w:t xml:space="preserve"> un) est mesurée à l'aide d'un analyseur de spectre ou d'un récepteur de mesure appropriés. Pour le reste cette technique est analogue à celle décrite pour un canal unique (§ 3.1.1.3.2). Cela vaut pour un certain nombre de méthodes de modulation numérique, notamment le multiplexage par répartition de fréquences orthogonales.</w:t>
      </w:r>
    </w:p>
    <w:p w:rsidR="006D667B" w:rsidRPr="00DD45B4" w:rsidRDefault="006D667B" w:rsidP="00DD45B4">
      <w:pPr>
        <w:pStyle w:val="Heading2"/>
        <w:rPr>
          <w:sz w:val="22"/>
          <w:szCs w:val="22"/>
        </w:rPr>
      </w:pPr>
      <w:bookmarkStart w:id="33" w:name="_Toc303683203"/>
      <w:bookmarkStart w:id="34" w:name="_Toc303683401"/>
      <w:r w:rsidRPr="00DD45B4">
        <w:rPr>
          <w:sz w:val="22"/>
          <w:szCs w:val="22"/>
        </w:rPr>
        <w:t>3.2</w:t>
      </w:r>
      <w:r w:rsidRPr="00DD45B4">
        <w:rPr>
          <w:sz w:val="22"/>
          <w:szCs w:val="22"/>
        </w:rPr>
        <w:tab/>
        <w:t>Méthodes génériques pour mesurer les produits d'IM par porteuses multiples (Type</w:t>
      </w:r>
      <w:r w:rsidR="00DD45B4" w:rsidRPr="00DD45B4">
        <w:rPr>
          <w:sz w:val="22"/>
          <w:szCs w:val="22"/>
        </w:rPr>
        <w:t> </w:t>
      </w:r>
      <w:r w:rsidRPr="00DD45B4">
        <w:rPr>
          <w:sz w:val="22"/>
          <w:szCs w:val="22"/>
        </w:rPr>
        <w:t>2)</w:t>
      </w:r>
      <w:bookmarkEnd w:id="33"/>
      <w:bookmarkEnd w:id="34"/>
    </w:p>
    <w:p w:rsidR="006D667B" w:rsidRPr="00DD45B4" w:rsidRDefault="006D667B" w:rsidP="006D667B">
      <w:pPr>
        <w:rPr>
          <w:sz w:val="20"/>
        </w:rPr>
      </w:pPr>
      <w:r w:rsidRPr="00DD45B4">
        <w:rPr>
          <w:sz w:val="20"/>
        </w:rPr>
        <w:t xml:space="preserve">Les amplificateurs haute puissance, c'est-à-dire ceux utilisés dans des systèmes à satellites, sont exploités à une puissance aussi proche que possible de leur puissance de sortie maximale (de saturation), ce qui cause des produits d'IM qui dégradent le rapport signal/bruit lorsque le même amplificateur est utilisé pour transmettre plus d'une porteuse. Dans les systèmes numériques, le TEB est déterminé par le rapport énergie par bit/densité spectrale de bruit, </w:t>
      </w:r>
      <w:r w:rsidRPr="00DD45B4">
        <w:rPr>
          <w:i/>
          <w:iCs/>
          <w:sz w:val="20"/>
        </w:rPr>
        <w:t>E</w:t>
      </w:r>
      <w:r w:rsidRPr="00C446F0">
        <w:rPr>
          <w:i/>
          <w:iCs/>
          <w:position w:val="-4"/>
          <w:sz w:val="16"/>
          <w:szCs w:val="16"/>
        </w:rPr>
        <w:t>b</w:t>
      </w:r>
      <w:r w:rsidRPr="00DD45B4">
        <w:rPr>
          <w:sz w:val="20"/>
        </w:rPr>
        <w:t>/</w:t>
      </w:r>
      <w:r w:rsidRPr="00DD45B4">
        <w:rPr>
          <w:i/>
          <w:iCs/>
          <w:sz w:val="20"/>
        </w:rPr>
        <w:t>N</w:t>
      </w:r>
      <w:r w:rsidRPr="00C446F0">
        <w:rPr>
          <w:position w:val="-4"/>
          <w:sz w:val="16"/>
          <w:szCs w:val="16"/>
        </w:rPr>
        <w:t>0</w:t>
      </w:r>
      <w:r w:rsidRPr="00DD45B4">
        <w:rPr>
          <w:sz w:val="20"/>
        </w:rPr>
        <w:t xml:space="preserve"> où </w:t>
      </w:r>
      <w:r w:rsidRPr="00DD45B4">
        <w:rPr>
          <w:i/>
          <w:iCs/>
          <w:sz w:val="20"/>
        </w:rPr>
        <w:t>E</w:t>
      </w:r>
      <w:r w:rsidRPr="00C446F0">
        <w:rPr>
          <w:i/>
          <w:iCs/>
          <w:position w:val="-4"/>
          <w:sz w:val="16"/>
          <w:szCs w:val="16"/>
        </w:rPr>
        <w:t>b</w:t>
      </w:r>
      <w:r w:rsidRPr="00DD45B4">
        <w:rPr>
          <w:sz w:val="20"/>
        </w:rPr>
        <w:t xml:space="preserve"> est la puissance de la porteuse divisée par le débit binaire et </w:t>
      </w:r>
      <w:r w:rsidRPr="00DD45B4">
        <w:rPr>
          <w:i/>
          <w:iCs/>
          <w:sz w:val="20"/>
        </w:rPr>
        <w:t>N</w:t>
      </w:r>
      <w:r w:rsidRPr="00C446F0">
        <w:rPr>
          <w:position w:val="-4"/>
          <w:sz w:val="16"/>
          <w:szCs w:val="16"/>
        </w:rPr>
        <w:t>0</w:t>
      </w:r>
      <w:r w:rsidRPr="00DD45B4">
        <w:rPr>
          <w:sz w:val="20"/>
        </w:rPr>
        <w:t xml:space="preserve"> est la puissance de bruit sur une seule bande latérale par Hz de largeur de bande. Les contributions de bruit et de brouillage de la liaison montante et de la liaison descendante doivent être combinées au bruit d'IM de façon à ce que toutes les contributions soient rapportées à la puissance de la porteuse. La température de bruit équivalente, </w:t>
      </w:r>
      <w:r w:rsidRPr="00DD45B4">
        <w:rPr>
          <w:i/>
          <w:iCs/>
          <w:sz w:val="20"/>
        </w:rPr>
        <w:t>T</w:t>
      </w:r>
      <w:r w:rsidRPr="00C446F0">
        <w:rPr>
          <w:i/>
          <w:iCs/>
          <w:position w:val="-4"/>
          <w:sz w:val="16"/>
          <w:szCs w:val="16"/>
        </w:rPr>
        <w:t>im</w:t>
      </w:r>
      <w:r w:rsidRPr="00DD45B4">
        <w:rPr>
          <w:sz w:val="20"/>
        </w:rPr>
        <w:t xml:space="preserve">, caractérise bien le bruit d'IM. En règle générale la valeur escomptée de </w:t>
      </w:r>
      <w:r w:rsidRPr="00DD45B4">
        <w:rPr>
          <w:i/>
          <w:iCs/>
          <w:sz w:val="20"/>
        </w:rPr>
        <w:t>C</w:t>
      </w:r>
      <w:r w:rsidRPr="00DD45B4">
        <w:rPr>
          <w:sz w:val="20"/>
        </w:rPr>
        <w:t>/</w:t>
      </w:r>
      <w:r w:rsidRPr="00DD45B4">
        <w:rPr>
          <w:i/>
          <w:iCs/>
          <w:sz w:val="20"/>
        </w:rPr>
        <w:t>T</w:t>
      </w:r>
      <w:r w:rsidRPr="00C446F0">
        <w:rPr>
          <w:i/>
          <w:iCs/>
          <w:position w:val="-4"/>
          <w:sz w:val="16"/>
          <w:szCs w:val="16"/>
        </w:rPr>
        <w:t>im</w:t>
      </w:r>
      <w:r w:rsidRPr="00DD45B4">
        <w:rPr>
          <w:sz w:val="20"/>
        </w:rPr>
        <w:t xml:space="preserve"> est:</w:t>
      </w:r>
    </w:p>
    <w:p w:rsidR="006D667B" w:rsidRPr="00BE5A04" w:rsidRDefault="006D667B" w:rsidP="00047638">
      <w:pPr>
        <w:pStyle w:val="Equation"/>
        <w:jc w:val="center"/>
        <w:rPr>
          <w:sz w:val="20"/>
          <w:lang w:val="en-US"/>
        </w:rPr>
      </w:pPr>
      <w:r w:rsidRPr="00BE5A04">
        <w:rPr>
          <w:i/>
          <w:iCs/>
          <w:sz w:val="20"/>
          <w:lang w:val="en-US"/>
        </w:rPr>
        <w:t>C</w:t>
      </w:r>
      <w:r w:rsidRPr="00BE5A04">
        <w:rPr>
          <w:sz w:val="20"/>
          <w:lang w:val="en-US"/>
        </w:rPr>
        <w:t>/</w:t>
      </w:r>
      <w:r w:rsidRPr="00BE5A04">
        <w:rPr>
          <w:i/>
          <w:iCs/>
          <w:sz w:val="20"/>
          <w:lang w:val="en-US"/>
        </w:rPr>
        <w:t>T</w:t>
      </w:r>
      <w:r w:rsidRPr="00BE5A04">
        <w:rPr>
          <w:i/>
          <w:iCs/>
          <w:position w:val="-4"/>
          <w:sz w:val="16"/>
          <w:szCs w:val="16"/>
          <w:lang w:val="en-US"/>
        </w:rPr>
        <w:t>im</w:t>
      </w:r>
      <w:r w:rsidRPr="00BE5A04">
        <w:rPr>
          <w:sz w:val="20"/>
          <w:lang w:val="en-US"/>
        </w:rPr>
        <w:t> </w:t>
      </w:r>
      <w:r w:rsidR="00047638" w:rsidRPr="00BE5A04">
        <w:rPr>
          <w:sz w:val="20"/>
          <w:lang w:val="en-US"/>
        </w:rPr>
        <w:t>=</w:t>
      </w:r>
      <w:r w:rsidRPr="00BE5A04">
        <w:rPr>
          <w:sz w:val="20"/>
          <w:lang w:val="en-US"/>
        </w:rPr>
        <w:t> –150 – 10 log(</w:t>
      </w:r>
      <w:r w:rsidRPr="00BE5A04">
        <w:rPr>
          <w:i/>
          <w:iCs/>
          <w:sz w:val="20"/>
          <w:lang w:val="en-US"/>
        </w:rPr>
        <w:t>N</w:t>
      </w:r>
      <w:r w:rsidRPr="00BE5A04">
        <w:rPr>
          <w:sz w:val="20"/>
          <w:lang w:val="en-US"/>
        </w:rPr>
        <w:t>) </w:t>
      </w:r>
      <w:r w:rsidR="00047638" w:rsidRPr="00BE5A04">
        <w:rPr>
          <w:sz w:val="20"/>
          <w:lang w:val="en-US"/>
        </w:rPr>
        <w:t>+</w:t>
      </w:r>
      <w:r w:rsidRPr="00BE5A04">
        <w:rPr>
          <w:sz w:val="20"/>
          <w:lang w:val="en-US"/>
        </w:rPr>
        <w:t> 2</w:t>
      </w:r>
      <w:r w:rsidRPr="00BE5A04">
        <w:rPr>
          <w:i/>
          <w:iCs/>
          <w:sz w:val="20"/>
          <w:lang w:val="en-US"/>
        </w:rPr>
        <w:t>BO</w:t>
      </w:r>
      <w:r w:rsidRPr="00BE5A04">
        <w:rPr>
          <w:sz w:val="20"/>
          <w:lang w:val="en-US"/>
        </w:rPr>
        <w:t>         dB</w:t>
      </w:r>
    </w:p>
    <w:p w:rsidR="006D667B" w:rsidRPr="00DD45B4" w:rsidRDefault="006D667B" w:rsidP="006D667B">
      <w:pPr>
        <w:rPr>
          <w:sz w:val="20"/>
        </w:rPr>
      </w:pPr>
      <w:r w:rsidRPr="00DD45B4">
        <w:rPr>
          <w:sz w:val="20"/>
        </w:rPr>
        <w:t xml:space="preserve">où </w:t>
      </w:r>
      <w:r w:rsidRPr="00DD45B4">
        <w:rPr>
          <w:i/>
          <w:sz w:val="20"/>
        </w:rPr>
        <w:t>N</w:t>
      </w:r>
      <w:r w:rsidRPr="00DD45B4">
        <w:rPr>
          <w:sz w:val="20"/>
        </w:rPr>
        <w:t xml:space="preserve"> est le nombre de porteuses et </w:t>
      </w:r>
      <w:r w:rsidRPr="00DD45B4">
        <w:rPr>
          <w:i/>
          <w:sz w:val="20"/>
        </w:rPr>
        <w:t>BO</w:t>
      </w:r>
      <w:r w:rsidRPr="00DD45B4">
        <w:rPr>
          <w:sz w:val="20"/>
        </w:rPr>
        <w:t xml:space="preserve"> est le recul à la sortie, donné en fonction du recul à l'entrée </w:t>
      </w:r>
      <w:r w:rsidRPr="00DD45B4">
        <w:rPr>
          <w:i/>
          <w:sz w:val="20"/>
        </w:rPr>
        <w:t>BI</w:t>
      </w:r>
      <w:r w:rsidRPr="00DD45B4">
        <w:rPr>
          <w:sz w:val="20"/>
        </w:rPr>
        <w:t xml:space="preserve"> par:</w:t>
      </w:r>
    </w:p>
    <w:p w:rsidR="006D667B" w:rsidRPr="00DD45B4" w:rsidRDefault="006D667B" w:rsidP="00047638">
      <w:pPr>
        <w:pStyle w:val="Equation"/>
        <w:jc w:val="center"/>
        <w:rPr>
          <w:sz w:val="20"/>
        </w:rPr>
      </w:pPr>
      <w:r w:rsidRPr="00DD45B4">
        <w:rPr>
          <w:i/>
          <w:iCs/>
          <w:sz w:val="20"/>
        </w:rPr>
        <w:t>BO</w:t>
      </w:r>
      <w:r w:rsidRPr="00DD45B4">
        <w:rPr>
          <w:sz w:val="20"/>
        </w:rPr>
        <w:t> </w:t>
      </w:r>
      <w:r w:rsidR="00047638" w:rsidRPr="00047638">
        <w:rPr>
          <w:sz w:val="20"/>
        </w:rPr>
        <w:t>=</w:t>
      </w:r>
      <w:r w:rsidRPr="00DD45B4">
        <w:rPr>
          <w:sz w:val="20"/>
        </w:rPr>
        <w:t> 0,82(</w:t>
      </w:r>
      <w:r w:rsidRPr="00DD45B4">
        <w:rPr>
          <w:i/>
          <w:iCs/>
          <w:sz w:val="20"/>
        </w:rPr>
        <w:t>BI</w:t>
      </w:r>
      <w:r w:rsidRPr="00DD45B4">
        <w:rPr>
          <w:sz w:val="20"/>
        </w:rPr>
        <w:t> – 4,5)         dB</w:t>
      </w:r>
    </w:p>
    <w:p w:rsidR="006D667B" w:rsidRPr="00DD45B4" w:rsidRDefault="006D667B" w:rsidP="006D667B">
      <w:pPr>
        <w:rPr>
          <w:sz w:val="20"/>
        </w:rPr>
      </w:pPr>
      <w:r w:rsidRPr="00DD45B4">
        <w:rPr>
          <w:sz w:val="20"/>
        </w:rPr>
        <w:t>En supposant que toutes les porteuses ont la même puissance:</w:t>
      </w:r>
    </w:p>
    <w:p w:rsidR="006D667B" w:rsidRPr="00DD45B4" w:rsidRDefault="006D667B" w:rsidP="00047638">
      <w:pPr>
        <w:pStyle w:val="Equation"/>
        <w:jc w:val="center"/>
        <w:rPr>
          <w:sz w:val="20"/>
        </w:rPr>
      </w:pPr>
      <w:r w:rsidRPr="00DD45B4">
        <w:rPr>
          <w:i/>
          <w:iCs/>
          <w:sz w:val="20"/>
        </w:rPr>
        <w:t>C</w:t>
      </w:r>
      <w:r w:rsidRPr="00DD45B4">
        <w:rPr>
          <w:sz w:val="20"/>
        </w:rPr>
        <w:t> </w:t>
      </w:r>
      <w:r w:rsidR="00047638" w:rsidRPr="00047638">
        <w:rPr>
          <w:sz w:val="20"/>
        </w:rPr>
        <w:t>=</w:t>
      </w:r>
      <w:r w:rsidRPr="00DD45B4">
        <w:rPr>
          <w:sz w:val="20"/>
        </w:rPr>
        <w:t> </w:t>
      </w:r>
      <w:r w:rsidRPr="00DD45B4">
        <w:rPr>
          <w:i/>
          <w:iCs/>
          <w:sz w:val="20"/>
        </w:rPr>
        <w:t>P</w:t>
      </w:r>
      <w:r w:rsidRPr="00C446F0">
        <w:rPr>
          <w:i/>
          <w:iCs/>
          <w:position w:val="-4"/>
          <w:sz w:val="16"/>
          <w:szCs w:val="16"/>
        </w:rPr>
        <w:t>s</w:t>
      </w:r>
      <w:r w:rsidRPr="00DD45B4">
        <w:rPr>
          <w:sz w:val="20"/>
        </w:rPr>
        <w:t> – 10 log(</w:t>
      </w:r>
      <w:r w:rsidRPr="00DD45B4">
        <w:rPr>
          <w:i/>
          <w:iCs/>
          <w:sz w:val="20"/>
        </w:rPr>
        <w:t>N</w:t>
      </w:r>
      <w:r w:rsidRPr="00DD45B4">
        <w:rPr>
          <w:sz w:val="20"/>
        </w:rPr>
        <w:t>) – </w:t>
      </w:r>
      <w:r w:rsidRPr="00DD45B4">
        <w:rPr>
          <w:i/>
          <w:iCs/>
          <w:sz w:val="20"/>
        </w:rPr>
        <w:t>BO</w:t>
      </w:r>
      <w:r w:rsidRPr="00DD45B4">
        <w:rPr>
          <w:sz w:val="20"/>
        </w:rPr>
        <w:t>         dBW</w:t>
      </w:r>
    </w:p>
    <w:p w:rsidR="006D667B" w:rsidRPr="00DD45B4" w:rsidRDefault="006D667B" w:rsidP="006D667B">
      <w:pPr>
        <w:rPr>
          <w:sz w:val="20"/>
        </w:rPr>
      </w:pPr>
      <w:r w:rsidRPr="00DD45B4">
        <w:rPr>
          <w:sz w:val="20"/>
        </w:rPr>
        <w:t xml:space="preserve">où </w:t>
      </w:r>
      <w:r w:rsidRPr="00DD45B4">
        <w:rPr>
          <w:position w:val="-10"/>
          <w:sz w:val="20"/>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6.5pt" o:ole="">
            <v:imagedata r:id="rId21" o:title=""/>
          </v:shape>
          <o:OLEObject Type="Embed" ProgID="Equation.3" ShapeID="_x0000_i1025" DrawAspect="Content" ObjectID="_1649158501" r:id="rId22"/>
        </w:object>
      </w:r>
      <w:r w:rsidRPr="00DD45B4">
        <w:rPr>
          <w:sz w:val="20"/>
        </w:rPr>
        <w:t xml:space="preserve"> est la puissance de sortie de saturation. Ainsi:</w:t>
      </w:r>
    </w:p>
    <w:p w:rsidR="006D667B" w:rsidRPr="00EF34AC" w:rsidRDefault="006D667B" w:rsidP="00047638">
      <w:pPr>
        <w:pStyle w:val="Equation"/>
        <w:jc w:val="center"/>
        <w:rPr>
          <w:sz w:val="20"/>
          <w:lang w:val="fr-CH"/>
        </w:rPr>
      </w:pPr>
      <w:r w:rsidRPr="00EF34AC">
        <w:rPr>
          <w:i/>
          <w:iCs/>
          <w:sz w:val="20"/>
          <w:lang w:val="fr-CH"/>
        </w:rPr>
        <w:t>T</w:t>
      </w:r>
      <w:r w:rsidRPr="00EF34AC">
        <w:rPr>
          <w:i/>
          <w:iCs/>
          <w:position w:val="-4"/>
          <w:sz w:val="16"/>
          <w:szCs w:val="16"/>
          <w:lang w:val="fr-CH"/>
        </w:rPr>
        <w:t>im</w:t>
      </w:r>
      <w:r w:rsidRPr="00EF34AC">
        <w:rPr>
          <w:sz w:val="20"/>
          <w:lang w:val="fr-CH"/>
        </w:rPr>
        <w:t> = </w:t>
      </w:r>
      <w:r w:rsidRPr="00EF34AC">
        <w:rPr>
          <w:i/>
          <w:iCs/>
          <w:sz w:val="20"/>
          <w:lang w:val="fr-CH"/>
        </w:rPr>
        <w:t>P</w:t>
      </w:r>
      <w:r w:rsidRPr="00EF34AC">
        <w:rPr>
          <w:i/>
          <w:iCs/>
          <w:position w:val="-4"/>
          <w:sz w:val="16"/>
          <w:szCs w:val="16"/>
          <w:lang w:val="fr-CH"/>
        </w:rPr>
        <w:t>s</w:t>
      </w:r>
      <w:r w:rsidRPr="00EF34AC">
        <w:rPr>
          <w:sz w:val="20"/>
          <w:lang w:val="fr-CH"/>
        </w:rPr>
        <w:t> </w:t>
      </w:r>
      <w:r w:rsidR="00047638" w:rsidRPr="00047638">
        <w:rPr>
          <w:sz w:val="20"/>
        </w:rPr>
        <w:t>+</w:t>
      </w:r>
      <w:r w:rsidRPr="00EF34AC">
        <w:rPr>
          <w:sz w:val="20"/>
          <w:lang w:val="fr-CH"/>
        </w:rPr>
        <w:t> 150 – 3</w:t>
      </w:r>
      <w:r w:rsidRPr="00EF34AC">
        <w:rPr>
          <w:i/>
          <w:iCs/>
          <w:sz w:val="20"/>
          <w:lang w:val="fr-CH"/>
        </w:rPr>
        <w:t>BO</w:t>
      </w:r>
      <w:r w:rsidRPr="00EF34AC">
        <w:rPr>
          <w:sz w:val="20"/>
          <w:lang w:val="fr-CH"/>
        </w:rPr>
        <w:t>         dB(K)</w:t>
      </w:r>
    </w:p>
    <w:p w:rsidR="006D667B" w:rsidRPr="00DD45B4" w:rsidRDefault="006D667B" w:rsidP="006D667B">
      <w:pPr>
        <w:pStyle w:val="Index1"/>
        <w:rPr>
          <w:sz w:val="20"/>
        </w:rPr>
      </w:pPr>
      <w:r w:rsidRPr="00DD45B4">
        <w:rPr>
          <w:sz w:val="20"/>
        </w:rPr>
        <w:t>et</w:t>
      </w:r>
    </w:p>
    <w:p w:rsidR="006D667B" w:rsidRPr="00DD45B4" w:rsidRDefault="006D667B" w:rsidP="00047638">
      <w:pPr>
        <w:pStyle w:val="Equation"/>
        <w:jc w:val="center"/>
        <w:rPr>
          <w:sz w:val="20"/>
        </w:rPr>
      </w:pPr>
      <w:r w:rsidRPr="00DD45B4">
        <w:rPr>
          <w:i/>
          <w:iCs/>
          <w:sz w:val="20"/>
        </w:rPr>
        <w:t>N</w:t>
      </w:r>
      <w:r w:rsidRPr="00C446F0">
        <w:rPr>
          <w:position w:val="-4"/>
          <w:sz w:val="16"/>
          <w:szCs w:val="16"/>
        </w:rPr>
        <w:t>0</w:t>
      </w:r>
      <w:r w:rsidRPr="00DD45B4">
        <w:rPr>
          <w:sz w:val="20"/>
        </w:rPr>
        <w:t> </w:t>
      </w:r>
      <w:r w:rsidR="00047638" w:rsidRPr="00047638">
        <w:rPr>
          <w:sz w:val="20"/>
        </w:rPr>
        <w:t>=</w:t>
      </w:r>
      <w:r w:rsidRPr="00DD45B4">
        <w:rPr>
          <w:sz w:val="20"/>
        </w:rPr>
        <w:t> </w:t>
      </w:r>
      <w:r w:rsidRPr="00DD45B4">
        <w:rPr>
          <w:i/>
          <w:iCs/>
          <w:sz w:val="20"/>
        </w:rPr>
        <w:t>P</w:t>
      </w:r>
      <w:r w:rsidRPr="00C446F0">
        <w:rPr>
          <w:i/>
          <w:iCs/>
          <w:position w:val="-4"/>
          <w:sz w:val="16"/>
          <w:szCs w:val="16"/>
        </w:rPr>
        <w:t>s</w:t>
      </w:r>
      <w:r w:rsidRPr="00DD45B4">
        <w:rPr>
          <w:sz w:val="20"/>
        </w:rPr>
        <w:t> – 78,6 – 3</w:t>
      </w:r>
      <w:r w:rsidRPr="00DD45B4">
        <w:rPr>
          <w:i/>
          <w:iCs/>
          <w:sz w:val="20"/>
        </w:rPr>
        <w:t>BO</w:t>
      </w:r>
      <w:r w:rsidRPr="00DD45B4">
        <w:rPr>
          <w:sz w:val="20"/>
        </w:rPr>
        <w:t>         dB(W/Hz)</w:t>
      </w:r>
    </w:p>
    <w:p w:rsidR="006D667B" w:rsidRPr="00DD45B4" w:rsidRDefault="006D667B" w:rsidP="006D667B">
      <w:pPr>
        <w:rPr>
          <w:sz w:val="20"/>
        </w:rPr>
      </w:pPr>
      <w:r w:rsidRPr="00DD45B4">
        <w:rPr>
          <w:sz w:val="20"/>
        </w:rPr>
        <w:t xml:space="preserve">Ainsi, lorsque la puissance d'entrée est augmentée de 1 dB, la puissance de sortie est augmentée de 0,82 dB. Par ailleurs, le bruit d'IM augmente de 2,46 dB et le rapport </w:t>
      </w:r>
      <w:r w:rsidRPr="00DD45B4">
        <w:rPr>
          <w:i/>
          <w:sz w:val="20"/>
        </w:rPr>
        <w:t>C/T</w:t>
      </w:r>
      <w:r w:rsidRPr="00DD45B4">
        <w:rPr>
          <w:sz w:val="20"/>
        </w:rPr>
        <w:t xml:space="preserve"> est réduit de 1,64 dB. Cette approximation est valable sur une plage étroite proche de 4,5 dB jusqu'à la saturation pour tous les amplificateurs avec tube à ondes progressives sans linéarisation. Cette méthode est parfois appelée méthode d'essai «sans porteuse».</w:t>
      </w:r>
    </w:p>
    <w:p w:rsidR="006D667B" w:rsidRPr="00DD45B4" w:rsidRDefault="006D667B" w:rsidP="006D667B">
      <w:pPr>
        <w:pStyle w:val="Heading3"/>
        <w:rPr>
          <w:sz w:val="20"/>
        </w:rPr>
      </w:pPr>
      <w:bookmarkStart w:id="35" w:name="_Toc445524187"/>
      <w:bookmarkStart w:id="36" w:name="_Toc445529703"/>
      <w:bookmarkStart w:id="37" w:name="_Toc460747467"/>
      <w:bookmarkStart w:id="38" w:name="_Toc303683204"/>
      <w:bookmarkStart w:id="39" w:name="_Toc303683402"/>
      <w:r w:rsidRPr="00DD45B4">
        <w:rPr>
          <w:sz w:val="20"/>
        </w:rPr>
        <w:t>3.2.1</w:t>
      </w:r>
      <w:r w:rsidRPr="00DD45B4">
        <w:rPr>
          <w:sz w:val="20"/>
        </w:rPr>
        <w:tab/>
        <w:t>Description des méthodes de mesure</w:t>
      </w:r>
      <w:bookmarkEnd w:id="35"/>
      <w:bookmarkEnd w:id="36"/>
      <w:bookmarkEnd w:id="37"/>
      <w:bookmarkEnd w:id="38"/>
      <w:bookmarkEnd w:id="39"/>
    </w:p>
    <w:p w:rsidR="006D667B" w:rsidRPr="00DD45B4" w:rsidRDefault="006D667B" w:rsidP="006D667B">
      <w:pPr>
        <w:rPr>
          <w:sz w:val="20"/>
        </w:rPr>
      </w:pPr>
      <w:r w:rsidRPr="00DD45B4">
        <w:rPr>
          <w:sz w:val="20"/>
        </w:rPr>
        <w:t>Les principes et les méthodes d'essai applicables à cette procédure de mesure différente sont énumérés brièvement ci</w:t>
      </w:r>
      <w:r w:rsidRPr="00DD45B4">
        <w:rPr>
          <w:sz w:val="20"/>
        </w:rPr>
        <w:noBreakHyphen/>
        <w:t>après:</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à une seule porteuse</w:t>
      </w:r>
    </w:p>
    <w:p w:rsidR="006D667B" w:rsidRPr="00DD45B4" w:rsidRDefault="006D667B" w:rsidP="006D667B">
      <w:pPr>
        <w:pStyle w:val="enumlev1"/>
        <w:rPr>
          <w:sz w:val="20"/>
        </w:rPr>
      </w:pPr>
      <w:r w:rsidRPr="00DD45B4">
        <w:rPr>
          <w:sz w:val="20"/>
        </w:rPr>
        <w:tab/>
        <w:t>Le signal multiporteuse et les produits d'IM du deuxième et du troisième ordre sont modélisés par une fonction de Bessel qui dépend de la puissance de sortie et du déphasage de l'amplificateur. Une porteuse unique (à ondes entretenues) est appliquée à l'amplificateur. On fait varier l'amplitude du signal d'essai de zéro jusqu'à saturation de l'amplificateur. La puissance de sortie et le déphasage sont mesurés en fonction de la puissance d'entrée.</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à deux porteuses avec analyse d'interception</w:t>
      </w:r>
    </w:p>
    <w:p w:rsidR="006D667B" w:rsidRPr="00DD45B4" w:rsidRDefault="006D667B" w:rsidP="006D667B">
      <w:pPr>
        <w:pStyle w:val="enumlev1"/>
        <w:rPr>
          <w:sz w:val="20"/>
        </w:rPr>
      </w:pPr>
      <w:r w:rsidRPr="00DD45B4">
        <w:rPr>
          <w:sz w:val="20"/>
        </w:rPr>
        <w:tab/>
        <w:t xml:space="preserve">La caractéristique de transfert non linéaire est représentée par une expansion de la série de Taylor. Les performances en mode d'exploitation multiporteuse peuvent être déduites des séries de Taylor. Les signaux de sortie des deux générateurs de signaux fonctionnant sur </w:t>
      </w:r>
      <w:r w:rsidRPr="00DD45B4">
        <w:rPr>
          <w:i/>
          <w:iCs/>
          <w:sz w:val="20"/>
        </w:rPr>
        <w:t>f</w:t>
      </w:r>
      <w:r w:rsidRPr="00DD45B4">
        <w:rPr>
          <w:position w:val="-4"/>
          <w:sz w:val="20"/>
        </w:rPr>
        <w:t>1</w:t>
      </w:r>
      <w:r w:rsidRPr="00DD45B4">
        <w:rPr>
          <w:sz w:val="20"/>
        </w:rPr>
        <w:t xml:space="preserve"> et </w:t>
      </w:r>
      <w:r w:rsidRPr="00DD45B4">
        <w:rPr>
          <w:i/>
          <w:iCs/>
          <w:sz w:val="20"/>
        </w:rPr>
        <w:t>f</w:t>
      </w:r>
      <w:r w:rsidRPr="00DD45B4">
        <w:rPr>
          <w:position w:val="-4"/>
          <w:sz w:val="20"/>
        </w:rPr>
        <w:t>2</w:t>
      </w:r>
      <w:r w:rsidRPr="00DD45B4">
        <w:rPr>
          <w:sz w:val="20"/>
        </w:rPr>
        <w:t xml:space="preserve"> sont combinés et appliqués à l'entrée de l'amplificateur. Les puissances de sortie à ces fréquences fondamentales et les puissances des produits d'IM de troisième ordre à 2</w:t>
      </w:r>
      <w:r w:rsidRPr="00DD45B4">
        <w:rPr>
          <w:i/>
          <w:iCs/>
          <w:sz w:val="20"/>
        </w:rPr>
        <w:t>f</w:t>
      </w:r>
      <w:r w:rsidRPr="00DD45B4">
        <w:rPr>
          <w:position w:val="-4"/>
          <w:sz w:val="20"/>
        </w:rPr>
        <w:t>1</w:t>
      </w:r>
      <w:r w:rsidRPr="00DD45B4">
        <w:rPr>
          <w:sz w:val="20"/>
        </w:rPr>
        <w:t> </w:t>
      </w:r>
      <w:r w:rsidR="00047638" w:rsidRPr="00047638">
        <w:rPr>
          <w:sz w:val="20"/>
        </w:rPr>
        <w:t>–</w:t>
      </w:r>
      <w:r w:rsidRPr="00DD45B4">
        <w:rPr>
          <w:sz w:val="20"/>
        </w:rPr>
        <w:t> </w:t>
      </w:r>
      <w:r w:rsidRPr="00DD45B4">
        <w:rPr>
          <w:i/>
          <w:iCs/>
          <w:sz w:val="20"/>
        </w:rPr>
        <w:t>f</w:t>
      </w:r>
      <w:r w:rsidRPr="00DD45B4">
        <w:rPr>
          <w:position w:val="-4"/>
          <w:sz w:val="20"/>
        </w:rPr>
        <w:t>2</w:t>
      </w:r>
      <w:r w:rsidRPr="00DD45B4">
        <w:rPr>
          <w:sz w:val="20"/>
        </w:rPr>
        <w:t xml:space="preserve"> et </w:t>
      </w:r>
      <w:r w:rsidRPr="00DD45B4">
        <w:rPr>
          <w:i/>
          <w:iCs/>
          <w:sz w:val="20"/>
        </w:rPr>
        <w:t>f</w:t>
      </w:r>
      <w:r w:rsidRPr="00DD45B4">
        <w:rPr>
          <w:position w:val="-4"/>
          <w:sz w:val="20"/>
        </w:rPr>
        <w:t>2</w:t>
      </w:r>
      <w:r w:rsidRPr="00DD45B4">
        <w:rPr>
          <w:sz w:val="20"/>
        </w:rPr>
        <w:t> – </w:t>
      </w:r>
      <w:r w:rsidRPr="00DD45B4">
        <w:rPr>
          <w:i/>
          <w:iCs/>
          <w:sz w:val="20"/>
        </w:rPr>
        <w:t>f</w:t>
      </w:r>
      <w:r w:rsidRPr="00DD45B4">
        <w:rPr>
          <w:position w:val="-4"/>
          <w:sz w:val="20"/>
        </w:rPr>
        <w:t>1</w:t>
      </w:r>
      <w:r w:rsidRPr="00DD45B4">
        <w:rPr>
          <w:sz w:val="20"/>
        </w:rPr>
        <w:t xml:space="preserve"> etc. sont consignées et utilisées pour déterminer les points d'interception, lesquels servent à déterminer les coefficients des séries de Taylor.</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à plusieurs porteuses</w:t>
      </w:r>
    </w:p>
    <w:p w:rsidR="006D667B" w:rsidRPr="00DD45B4" w:rsidRDefault="006D667B" w:rsidP="006D667B">
      <w:pPr>
        <w:pStyle w:val="enumlev1"/>
        <w:rPr>
          <w:sz w:val="20"/>
        </w:rPr>
      </w:pPr>
      <w:r w:rsidRPr="00DD45B4">
        <w:rPr>
          <w:sz w:val="20"/>
        </w:rPr>
        <w:tab/>
        <w:t xml:space="preserve">On part de l'hypothèse que la somme de densité de puissance de bruit d'IM devient asymptotique vers la même valeur fixe au fur et à mesure que le nombre de porteuses augmente. On a montré que la somme des </w:t>
      </w:r>
      <w:r w:rsidRPr="00DD45B4">
        <w:rPr>
          <w:sz w:val="20"/>
        </w:rPr>
        <w:lastRenderedPageBreak/>
        <w:t>produits IM jusqu'au septième ordre représente environ 82,2% de la puissance d'IM, c'est</w:t>
      </w:r>
      <w:r w:rsidRPr="00DD45B4">
        <w:rPr>
          <w:sz w:val="20"/>
        </w:rPr>
        <w:noBreakHyphen/>
        <w:t>à</w:t>
      </w:r>
      <w:r w:rsidRPr="00DD45B4">
        <w:rPr>
          <w:sz w:val="20"/>
        </w:rPr>
        <w:noBreakHyphen/>
        <w:t>dire que si l'on peut négliger les produits d'IM d'ordre élevé, un minimum de sept à quinze porteuses suffit. Un certain nombre de porteuses indépen</w:t>
      </w:r>
      <w:r w:rsidRPr="00DD45B4">
        <w:rPr>
          <w:sz w:val="20"/>
        </w:rPr>
        <w:softHyphen/>
        <w:t>dantes (à ondes entretenues) plus ou moins également espacées avec un «trou» à proximité des produits d'IM escomptés et individuellement modulées par des signaux MF et MA sont combinées à l'entrée de l'amplificateur. A la sortie, dans le trou, les produits d'IM sont mesurés directement par un analyseur de spectre.</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à 2/3/4 porteuses avec approximation</w:t>
      </w:r>
    </w:p>
    <w:p w:rsidR="006D667B" w:rsidRPr="00DD45B4" w:rsidRDefault="006D667B" w:rsidP="006D667B">
      <w:pPr>
        <w:pStyle w:val="enumlev1"/>
        <w:rPr>
          <w:sz w:val="20"/>
        </w:rPr>
      </w:pPr>
      <w:r w:rsidRPr="00DD45B4">
        <w:rPr>
          <w:sz w:val="20"/>
        </w:rPr>
        <w:tab/>
        <w:t>Si l'on ne dispose pas d'un nombre suffisant de sources pour le test multiporteuse, on peut alors faire le test avec un nombre plus petit de porteuses et les caractéristiques multiporteuse peuvent être déduites par approximation. Le résultat asymptotique pour un grand nombre de porteuses est le suivant:</w:t>
      </w:r>
    </w:p>
    <w:p w:rsidR="006D667B" w:rsidRPr="00DD45B4" w:rsidRDefault="006D667B" w:rsidP="006D667B">
      <w:pPr>
        <w:pStyle w:val="Equation"/>
        <w:jc w:val="center"/>
        <w:rPr>
          <w:sz w:val="20"/>
        </w:rPr>
      </w:pPr>
      <w:r w:rsidRPr="00DD45B4">
        <w:rPr>
          <w:position w:val="-34"/>
          <w:sz w:val="20"/>
        </w:rPr>
        <w:object w:dxaOrig="2640" w:dyaOrig="859">
          <v:shape id="_x0000_i1026" type="#_x0000_t75" style="width:132pt;height:42.75pt" o:ole="">
            <v:imagedata r:id="rId23" o:title=""/>
          </v:shape>
          <o:OLEObject Type="Embed" ProgID="Equation.3" ShapeID="_x0000_i1026" DrawAspect="Content" ObjectID="_1649158502" r:id="rId24"/>
        </w:object>
      </w:r>
    </w:p>
    <w:p w:rsidR="006D667B" w:rsidRPr="00DD45B4" w:rsidRDefault="006D667B" w:rsidP="006D667B">
      <w:pPr>
        <w:pStyle w:val="enumlev1"/>
        <w:rPr>
          <w:sz w:val="20"/>
        </w:rPr>
      </w:pPr>
      <w:r w:rsidRPr="00DD45B4">
        <w:rPr>
          <w:sz w:val="20"/>
        </w:rPr>
        <w:tab/>
        <w:t>où (</w:t>
      </w:r>
      <w:r w:rsidRPr="00DD45B4">
        <w:rPr>
          <w:i/>
          <w:iCs/>
          <w:sz w:val="20"/>
        </w:rPr>
        <w:t>C</w:t>
      </w:r>
      <w:r w:rsidRPr="00DD45B4">
        <w:rPr>
          <w:sz w:val="20"/>
        </w:rPr>
        <w:t>/</w:t>
      </w:r>
      <w:r w:rsidRPr="00DD45B4">
        <w:rPr>
          <w:i/>
          <w:iCs/>
          <w:sz w:val="20"/>
        </w:rPr>
        <w:t>IM</w:t>
      </w:r>
      <w:r w:rsidRPr="00DD45B4">
        <w:rPr>
          <w:sz w:val="20"/>
        </w:rPr>
        <w:t>)</w:t>
      </w:r>
      <w:r w:rsidRPr="00DD45B4">
        <w:rPr>
          <w:position w:val="-4"/>
          <w:sz w:val="20"/>
        </w:rPr>
        <w:t>2</w:t>
      </w:r>
      <w:r w:rsidRPr="00DD45B4">
        <w:rPr>
          <w:sz w:val="20"/>
        </w:rPr>
        <w:t xml:space="preserve"> est le résultat mesuré avec deux porteuses.</w:t>
      </w:r>
    </w:p>
    <w:p w:rsidR="006D667B" w:rsidRPr="00DD45B4" w:rsidRDefault="006D667B" w:rsidP="006D667B">
      <w:pPr>
        <w:pStyle w:val="enumlev1"/>
        <w:rPr>
          <w:sz w:val="20"/>
        </w:rPr>
      </w:pPr>
      <w:r w:rsidRPr="00DD45B4">
        <w:rPr>
          <w:sz w:val="20"/>
        </w:rPr>
        <w:tab/>
        <w:t>Il s'agit dans ce test de mesurer directement les produits d'IM causés par 2, 3 ou 4 porteuses indépendantes de la même façon que décrit précédemment.</w:t>
      </w:r>
    </w:p>
    <w:p w:rsidR="006D667B" w:rsidRPr="00DD45B4" w:rsidRDefault="006D667B" w:rsidP="006D667B">
      <w:pPr>
        <w:pStyle w:val="enumlev1"/>
        <w:rPr>
          <w:sz w:val="20"/>
        </w:rPr>
      </w:pPr>
      <w:r w:rsidRPr="00DD45B4">
        <w:rPr>
          <w:sz w:val="20"/>
        </w:rPr>
        <w:tab/>
        <w:t xml:space="preserve">On utilise pour les mesures un générateur de bruit et un filtre ayant une largeur de bande de coupure différente. Ce filtre réjecteur supprime le bruit d'un seul canal appelé canal silencieux. A la sortie, un analyseur de spectre mesure les produits d'IM dans ce canal. On notera que le rapport bruit/puissance (NPR, </w:t>
      </w:r>
      <w:r w:rsidRPr="00DD45B4">
        <w:rPr>
          <w:i/>
          <w:iCs/>
          <w:sz w:val="20"/>
        </w:rPr>
        <w:t>noise power ratio</w:t>
      </w:r>
      <w:r w:rsidRPr="00DD45B4">
        <w:rPr>
          <w:sz w:val="20"/>
        </w:rPr>
        <w:t>) du filtre analogique réducteur de bruit doit être de 20 dB inférieur au niveau de NPR à mesurer et avoir une largeur de bande d'environ 10% de la largeur de bande de l'amplificateur.</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avec simulateur de signaux agile en fréquence (FASS, frequency agile signal simulator)</w:t>
      </w:r>
    </w:p>
    <w:p w:rsidR="006D667B" w:rsidRPr="00DD45B4" w:rsidRDefault="006D667B" w:rsidP="006D667B">
      <w:pPr>
        <w:pStyle w:val="enumlev1"/>
        <w:rPr>
          <w:sz w:val="20"/>
        </w:rPr>
      </w:pPr>
      <w:r w:rsidRPr="00DD45B4">
        <w:rPr>
          <w:sz w:val="20"/>
        </w:rPr>
        <w:tab/>
        <w:t>Le FASS est capable de synthétiser n'importe quels signaux arbitraires, y compris plusieurs porteuses modulées à des débits de données divers utilisant différents formats de modulation. Ce signal d'excitation est beaucoup plus proche du signal effectif que le bruit blanc gaussien mais en raison de la mémoire finie il doit être répété à certaines fréquences. Le bruit d'IM peut être mesuré directement pour différentes combinaisons de porteuses, de formats de modulation et de largeurs de bande.</w:t>
      </w:r>
    </w:p>
    <w:p w:rsidR="006D667B" w:rsidRPr="00DD45B4" w:rsidRDefault="006D667B" w:rsidP="006D667B">
      <w:pPr>
        <w:pStyle w:val="enumlev1"/>
        <w:rPr>
          <w:sz w:val="20"/>
        </w:rPr>
      </w:pPr>
      <w:r w:rsidRPr="00DD45B4">
        <w:rPr>
          <w:sz w:val="20"/>
        </w:rPr>
        <w:tab/>
        <w:t>On utilise une technique de synthèse numérique dans cette méthode pour générer un signal à l'aide d'un logiciel informatique. Ce signal se compose de données numériques téléchargées à un synthétiseur qui génère alors un signal via un convertisseur numérique/analogique. De tels FASS disponibles sur le marché peuvent synthétiser des signaux directement sur de très courtes fréquences en mode numérique.</w:t>
      </w:r>
    </w:p>
    <w:p w:rsidR="006D667B" w:rsidRPr="00DD45B4" w:rsidRDefault="006D667B" w:rsidP="006D667B">
      <w:pPr>
        <w:pStyle w:val="enumlev1"/>
        <w:rPr>
          <w:sz w:val="20"/>
        </w:rPr>
      </w:pPr>
      <w:r w:rsidRPr="00DD45B4">
        <w:rPr>
          <w:sz w:val="20"/>
        </w:rPr>
        <w:t>–</w:t>
      </w:r>
      <w:r w:rsidRPr="00DD45B4">
        <w:rPr>
          <w:sz w:val="20"/>
        </w:rPr>
        <w:tab/>
      </w:r>
      <w:r w:rsidRPr="00DD45B4">
        <w:rPr>
          <w:i/>
          <w:iCs/>
          <w:sz w:val="20"/>
        </w:rPr>
        <w:t>Test avec TEB</w:t>
      </w:r>
    </w:p>
    <w:p w:rsidR="006D667B" w:rsidRPr="00DD45B4" w:rsidRDefault="006D667B" w:rsidP="006D667B">
      <w:pPr>
        <w:pStyle w:val="enumlev1"/>
        <w:rPr>
          <w:sz w:val="20"/>
        </w:rPr>
      </w:pPr>
      <w:r w:rsidRPr="00DD45B4">
        <w:rPr>
          <w:sz w:val="20"/>
        </w:rPr>
        <w:tab/>
        <w:t>Le TEB est la mesure ultime de l'acceptabilité pour des systèmes de transmission numériques. Une mesure directe du TEB conviendrait mieux qu'un test pendant lequel on essaie d'isoler la contribution du bruit d'IM dans la puissance totale.</w:t>
      </w:r>
    </w:p>
    <w:p w:rsidR="006D667B" w:rsidRPr="00DD45B4" w:rsidRDefault="006D667B" w:rsidP="00047638">
      <w:pPr>
        <w:pStyle w:val="enumlev1"/>
        <w:rPr>
          <w:sz w:val="20"/>
        </w:rPr>
      </w:pPr>
      <w:r w:rsidRPr="00DD45B4">
        <w:rPr>
          <w:sz w:val="20"/>
        </w:rPr>
        <w:tab/>
        <w:t>On utilise couramment des tests avec TEB pour mesurer les performances de systèmes numériques en présence de brouillage dans le même canal et dans le canal adjacent mais ces tests sont rarement utilisés pour mesurer les consé</w:t>
      </w:r>
      <w:r w:rsidRPr="00DD45B4">
        <w:rPr>
          <w:sz w:val="20"/>
        </w:rPr>
        <w:softHyphen/>
        <w:t>quences des points de non</w:t>
      </w:r>
      <w:r w:rsidRPr="00DD45B4">
        <w:rPr>
          <w:sz w:val="20"/>
        </w:rPr>
        <w:noBreakHyphen/>
        <w:t>linéarité de l'amplificateur. Ces tests sont coûteux et prennent beaucoup de temps en raison des équipements et du temps de mesure supplémentaires nécessaire pour des TEB très faibles, par exemple de l'ordre de 1 </w:t>
      </w:r>
      <w:r w:rsidR="00047638" w:rsidRPr="00047638">
        <w:rPr>
          <w:sz w:val="20"/>
        </w:rPr>
        <w:sym w:font="Symbol" w:char="F0B4"/>
      </w:r>
      <w:r w:rsidRPr="00DD45B4">
        <w:rPr>
          <w:sz w:val="20"/>
        </w:rPr>
        <w:t> 10</w:t>
      </w:r>
      <w:r w:rsidRPr="00DD45B4">
        <w:rPr>
          <w:position w:val="6"/>
          <w:sz w:val="20"/>
        </w:rPr>
        <w:t>–10</w:t>
      </w:r>
      <w:r w:rsidRPr="00DD45B4">
        <w:rPr>
          <w:sz w:val="20"/>
        </w:rPr>
        <w:t xml:space="preserve">. Toutefois, c'est exactement la plage dans laquelle le bruit d'IM devrait se produire et dégrader la qualité de fonctionnement du système. </w:t>
      </w:r>
    </w:p>
    <w:p w:rsidR="006D667B" w:rsidRPr="00DD45B4" w:rsidRDefault="006D667B" w:rsidP="006D667B">
      <w:pPr>
        <w:pStyle w:val="Heading3"/>
        <w:rPr>
          <w:sz w:val="20"/>
        </w:rPr>
      </w:pPr>
      <w:bookmarkStart w:id="40" w:name="_Toc445524188"/>
      <w:bookmarkStart w:id="41" w:name="_Toc445529704"/>
      <w:bookmarkStart w:id="42" w:name="_Toc460747468"/>
      <w:bookmarkStart w:id="43" w:name="_Toc303683205"/>
      <w:bookmarkStart w:id="44" w:name="_Toc303683403"/>
      <w:r w:rsidRPr="00DD45B4">
        <w:rPr>
          <w:sz w:val="20"/>
        </w:rPr>
        <w:t>3.2.2</w:t>
      </w:r>
      <w:r w:rsidRPr="00DD45B4">
        <w:rPr>
          <w:sz w:val="20"/>
        </w:rPr>
        <w:tab/>
        <w:t>Comparaison des méthodes</w:t>
      </w:r>
      <w:bookmarkEnd w:id="40"/>
      <w:bookmarkEnd w:id="41"/>
      <w:bookmarkEnd w:id="42"/>
      <w:bookmarkEnd w:id="43"/>
      <w:bookmarkEnd w:id="44"/>
    </w:p>
    <w:p w:rsidR="006D667B" w:rsidRPr="00DD45B4" w:rsidRDefault="006D667B" w:rsidP="006D667B">
      <w:pPr>
        <w:rPr>
          <w:sz w:val="20"/>
        </w:rPr>
      </w:pPr>
      <w:r w:rsidRPr="00DD45B4">
        <w:rPr>
          <w:sz w:val="20"/>
        </w:rPr>
        <w:t>Toutes les méthodes conviennent pour mesurer les produits d'IM ou le bruit. Les principales caractéristiques de ces méthodes sont résumées dans les paragraphes suivants et le Tableau 1 avec les mérites de chacune d'elles. Le test avec le TEB n'est pratiquement pas utilisé pour mesurer les produits d'IM car il est très coûteux en équipement et en temps.</w:t>
      </w:r>
    </w:p>
    <w:p w:rsidR="006D667B" w:rsidRPr="00DD45B4" w:rsidRDefault="006D667B" w:rsidP="006D667B">
      <w:pPr>
        <w:pStyle w:val="enumlev1"/>
        <w:rPr>
          <w:sz w:val="20"/>
        </w:rPr>
      </w:pPr>
      <w:r w:rsidRPr="00DD45B4">
        <w:rPr>
          <w:sz w:val="20"/>
        </w:rPr>
        <w:t>–</w:t>
      </w:r>
      <w:r w:rsidRPr="00DD45B4">
        <w:rPr>
          <w:sz w:val="20"/>
        </w:rPr>
        <w:tab/>
        <w:t>La méthode à porteuse unique et la méthode à 2 porteuses avec analyse d'interception sont simples, rapides et très répandues mais limitées car le comportement de l'équipement en présence de plusieurs porteuses est prévu de façon indirecte, à l'aide d'un modèle mathématique qui suppose que l'amplificateur n'a pas de mémoire.</w:t>
      </w:r>
    </w:p>
    <w:p w:rsidR="006D667B" w:rsidRPr="00DD45B4" w:rsidRDefault="006D667B" w:rsidP="006D667B">
      <w:pPr>
        <w:pStyle w:val="enumlev1"/>
        <w:rPr>
          <w:sz w:val="20"/>
        </w:rPr>
      </w:pPr>
      <w:r w:rsidRPr="00DD45B4">
        <w:rPr>
          <w:sz w:val="20"/>
        </w:rPr>
        <w:t>–</w:t>
      </w:r>
      <w:r w:rsidRPr="00DD45B4">
        <w:rPr>
          <w:sz w:val="20"/>
        </w:rPr>
        <w:tab/>
        <w:t>Les méthodes multiporteuses NPR et FASS peuvent donner des résultats précis car il y a mesure directe du comportement de l'équipement dans des conditions de charge réalistes.</w:t>
      </w:r>
    </w:p>
    <w:p w:rsidR="006D667B" w:rsidRPr="00DD45B4" w:rsidRDefault="006D667B" w:rsidP="006D667B">
      <w:pPr>
        <w:pStyle w:val="enumlev1"/>
        <w:rPr>
          <w:sz w:val="20"/>
        </w:rPr>
      </w:pPr>
      <w:r w:rsidRPr="00DD45B4">
        <w:rPr>
          <w:sz w:val="20"/>
        </w:rPr>
        <w:t>–</w:t>
      </w:r>
      <w:r w:rsidRPr="00DD45B4">
        <w:rPr>
          <w:sz w:val="20"/>
        </w:rPr>
        <w:tab/>
        <w:t>La méthode à 2/3/4 porteuses par approximation est rapide et simple mais pèche par le fait que l'approximation n'est valable que dans la région où les produits d'IM de troisième ordre dominent.</w:t>
      </w:r>
    </w:p>
    <w:p w:rsidR="006D667B" w:rsidRPr="00DD45B4" w:rsidRDefault="006D667B" w:rsidP="006D667B">
      <w:pPr>
        <w:pStyle w:val="enumlev1"/>
        <w:rPr>
          <w:sz w:val="20"/>
        </w:rPr>
      </w:pPr>
      <w:bookmarkStart w:id="45" w:name="dsgno"/>
      <w:bookmarkEnd w:id="45"/>
      <w:r w:rsidRPr="00DD45B4">
        <w:rPr>
          <w:sz w:val="20"/>
        </w:rPr>
        <w:lastRenderedPageBreak/>
        <w:t>–</w:t>
      </w:r>
      <w:r w:rsidRPr="00DD45B4">
        <w:rPr>
          <w:sz w:val="20"/>
        </w:rPr>
        <w:tab/>
        <w:t>La méthode FASS est très souple et peut donner des résultats précis mais sa largeur de bande d'essai est limitée par la rapidité du convertisseur numérique/analogique et sa résolution de fréquence par la capacité de mémoire même si sa fréquence d'essai peut varier dans des proportions importantes.</w:t>
      </w:r>
    </w:p>
    <w:p w:rsidR="006D667B" w:rsidRDefault="006D667B" w:rsidP="006D667B">
      <w:pPr>
        <w:pStyle w:val="Table"/>
        <w:rPr>
          <w:lang w:val="fr-FR"/>
        </w:rPr>
      </w:pPr>
      <w:r>
        <w:rPr>
          <w:lang w:val="fr-FR"/>
        </w:rPr>
        <w:t>TABLEAU  1</w:t>
      </w:r>
    </w:p>
    <w:p w:rsidR="006D667B" w:rsidRDefault="006D667B" w:rsidP="006D667B">
      <w:pPr>
        <w:pStyle w:val="TableTitle0"/>
        <w:rPr>
          <w:lang w:val="fr-FR"/>
        </w:rPr>
      </w:pPr>
      <w:r>
        <w:rPr>
          <w:lang w:val="fr-FR"/>
        </w:rPr>
        <w:t>Notation des méthodes</w:t>
      </w:r>
    </w:p>
    <w:p w:rsidR="006D667B" w:rsidRDefault="006D667B" w:rsidP="006D667B">
      <w:pPr>
        <w:pStyle w:val="Blanc"/>
        <w:rPr>
          <w:lang w:val="fr-FR"/>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701"/>
        <w:gridCol w:w="1418"/>
        <w:gridCol w:w="1418"/>
        <w:gridCol w:w="1418"/>
        <w:gridCol w:w="1418"/>
        <w:gridCol w:w="1418"/>
      </w:tblGrid>
      <w:tr w:rsidR="006D667B" w:rsidTr="00DD45B4">
        <w:tc>
          <w:tcPr>
            <w:tcW w:w="1701"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Critères</w:t>
            </w:r>
          </w:p>
        </w:tc>
        <w:tc>
          <w:tcPr>
            <w:tcW w:w="1418"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Une seule porteuse</w:t>
            </w:r>
          </w:p>
        </w:tc>
        <w:tc>
          <w:tcPr>
            <w:tcW w:w="1418"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Plusieurs porteuses</w:t>
            </w:r>
          </w:p>
        </w:tc>
        <w:tc>
          <w:tcPr>
            <w:tcW w:w="1418"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2/3</w:t>
            </w:r>
            <w:r>
              <w:rPr>
                <w:lang w:val="fr-FR"/>
              </w:rPr>
              <w:br/>
              <w:t>porteuses</w:t>
            </w:r>
          </w:p>
        </w:tc>
        <w:tc>
          <w:tcPr>
            <w:tcW w:w="1418"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Analogique NPR</w:t>
            </w:r>
          </w:p>
        </w:tc>
        <w:tc>
          <w:tcPr>
            <w:tcW w:w="1418" w:type="dxa"/>
            <w:tcBorders>
              <w:top w:val="single" w:sz="6" w:space="0" w:color="auto"/>
              <w:bottom w:val="single" w:sz="6" w:space="0" w:color="auto"/>
            </w:tcBorders>
            <w:vAlign w:val="center"/>
          </w:tcPr>
          <w:p w:rsidR="006D667B" w:rsidRDefault="006D667B" w:rsidP="00DD45B4">
            <w:pPr>
              <w:pStyle w:val="TableText0"/>
              <w:framePr w:hSpace="181" w:wrap="notBeside" w:vAnchor="text" w:hAnchor="text" w:xAlign="center" w:y="1"/>
              <w:jc w:val="center"/>
              <w:rPr>
                <w:lang w:val="fr-FR"/>
              </w:rPr>
            </w:pPr>
            <w:r>
              <w:rPr>
                <w:lang w:val="fr-FR"/>
              </w:rPr>
              <w:t>FASS</w:t>
            </w:r>
          </w:p>
        </w:tc>
      </w:tr>
      <w:tr w:rsidR="006D667B" w:rsidTr="00DD45B4">
        <w:tc>
          <w:tcPr>
            <w:tcW w:w="1701" w:type="dxa"/>
            <w:tcBorders>
              <w:top w:val="nil"/>
            </w:tcBorders>
          </w:tcPr>
          <w:p w:rsidR="006D667B" w:rsidRDefault="006D667B" w:rsidP="00DD45B4">
            <w:pPr>
              <w:pStyle w:val="TableText0"/>
              <w:framePr w:hSpace="181" w:wrap="notBeside" w:vAnchor="text" w:hAnchor="text" w:xAlign="center" w:y="1"/>
              <w:spacing w:before="60" w:after="60"/>
              <w:jc w:val="left"/>
              <w:rPr>
                <w:lang w:val="fr-FR"/>
              </w:rPr>
            </w:pPr>
            <w:r>
              <w:rPr>
                <w:lang w:val="fr-FR"/>
              </w:rPr>
              <w:t>Porteuse:</w:t>
            </w:r>
          </w:p>
          <w:p w:rsidR="006D667B" w:rsidRDefault="006D667B" w:rsidP="00DD45B4">
            <w:pPr>
              <w:pStyle w:val="TableText0"/>
              <w:framePr w:hSpace="181" w:wrap="notBeside" w:vAnchor="text" w:hAnchor="text" w:xAlign="center" w:y="1"/>
              <w:spacing w:before="0" w:after="60"/>
              <w:ind w:left="284"/>
              <w:jc w:val="left"/>
              <w:rPr>
                <w:lang w:val="fr-FR"/>
              </w:rPr>
            </w:pPr>
            <w:r>
              <w:rPr>
                <w:lang w:val="fr-FR"/>
              </w:rPr>
              <w:t>Grand nombre</w:t>
            </w:r>
            <w:r>
              <w:rPr>
                <w:lang w:val="fr-FR"/>
              </w:rPr>
              <w:br/>
              <w:t>Niveau mixte</w:t>
            </w:r>
            <w:r>
              <w:rPr>
                <w:lang w:val="fr-FR"/>
              </w:rPr>
              <w:br/>
              <w:t>Non uniforme</w:t>
            </w:r>
          </w:p>
        </w:tc>
        <w:tc>
          <w:tcPr>
            <w:tcW w:w="1418" w:type="dxa"/>
            <w:tcBorders>
              <w:top w:val="nil"/>
            </w:tcBorders>
          </w:tcPr>
          <w:p w:rsidR="006D667B" w:rsidRDefault="006D667B" w:rsidP="00DD45B4">
            <w:pPr>
              <w:pStyle w:val="TableText0"/>
              <w:framePr w:hSpace="181" w:wrap="notBeside" w:vAnchor="text" w:hAnchor="text" w:xAlign="center" w:y="1"/>
              <w:spacing w:before="60" w:after="60"/>
              <w:jc w:val="center"/>
              <w:rPr>
                <w:lang w:val="fr-FR"/>
              </w:rPr>
            </w:pPr>
          </w:p>
          <w:p w:rsidR="006D667B" w:rsidRDefault="006D667B" w:rsidP="00DD45B4">
            <w:pPr>
              <w:pStyle w:val="TableText0"/>
              <w:framePr w:hSpace="181" w:wrap="notBeside" w:vAnchor="text" w:hAnchor="text" w:xAlign="center" w:y="1"/>
              <w:spacing w:before="0" w:after="60"/>
              <w:jc w:val="center"/>
              <w:rPr>
                <w:lang w:val="fr-FR"/>
              </w:rPr>
            </w:pPr>
            <w:r>
              <w:rPr>
                <w:lang w:val="fr-FR"/>
              </w:rPr>
              <w:t>2</w:t>
            </w:r>
            <w:r>
              <w:rPr>
                <w:lang w:val="fr-FR"/>
              </w:rPr>
              <w:br/>
              <w:t>2</w:t>
            </w:r>
            <w:r>
              <w:rPr>
                <w:lang w:val="fr-FR"/>
              </w:rPr>
              <w:br/>
              <w:t>2</w:t>
            </w:r>
          </w:p>
        </w:tc>
        <w:tc>
          <w:tcPr>
            <w:tcW w:w="1418" w:type="dxa"/>
            <w:tcBorders>
              <w:top w:val="nil"/>
            </w:tcBorders>
          </w:tcPr>
          <w:p w:rsidR="006D667B" w:rsidRDefault="006D667B" w:rsidP="00DD45B4">
            <w:pPr>
              <w:pStyle w:val="TableText0"/>
              <w:framePr w:hSpace="181" w:wrap="notBeside" w:vAnchor="text" w:hAnchor="text" w:xAlign="center" w:y="1"/>
              <w:spacing w:before="60" w:after="60"/>
              <w:jc w:val="center"/>
              <w:rPr>
                <w:lang w:val="fr-FR"/>
              </w:rPr>
            </w:pPr>
          </w:p>
          <w:p w:rsidR="006D667B" w:rsidRDefault="006D667B" w:rsidP="00DD45B4">
            <w:pPr>
              <w:pStyle w:val="TableText0"/>
              <w:framePr w:hSpace="181" w:wrap="notBeside" w:vAnchor="text" w:hAnchor="text" w:xAlign="center" w:y="1"/>
              <w:spacing w:before="0" w:after="60"/>
              <w:jc w:val="center"/>
              <w:rPr>
                <w:lang w:val="fr-FR"/>
              </w:rPr>
            </w:pPr>
            <w:r>
              <w:rPr>
                <w:lang w:val="fr-FR"/>
              </w:rPr>
              <w:t>2</w:t>
            </w:r>
            <w:r>
              <w:rPr>
                <w:lang w:val="fr-FR"/>
              </w:rPr>
              <w:br/>
              <w:t>3</w:t>
            </w:r>
            <w:r>
              <w:rPr>
                <w:lang w:val="fr-FR"/>
              </w:rPr>
              <w:br/>
              <w:t>3</w:t>
            </w:r>
          </w:p>
        </w:tc>
        <w:tc>
          <w:tcPr>
            <w:tcW w:w="1418" w:type="dxa"/>
            <w:tcBorders>
              <w:top w:val="nil"/>
            </w:tcBorders>
          </w:tcPr>
          <w:p w:rsidR="006D667B" w:rsidRDefault="006D667B" w:rsidP="00DD45B4">
            <w:pPr>
              <w:pStyle w:val="TableText0"/>
              <w:framePr w:hSpace="181" w:wrap="notBeside" w:vAnchor="text" w:hAnchor="text" w:xAlign="center" w:y="1"/>
              <w:spacing w:before="60" w:after="60"/>
              <w:jc w:val="center"/>
              <w:rPr>
                <w:lang w:val="fr-FR"/>
              </w:rPr>
            </w:pPr>
          </w:p>
          <w:p w:rsidR="006D667B" w:rsidRDefault="006D667B" w:rsidP="00DD45B4">
            <w:pPr>
              <w:pStyle w:val="TableText0"/>
              <w:framePr w:hSpace="181" w:wrap="notBeside" w:vAnchor="text" w:hAnchor="text" w:xAlign="center" w:y="1"/>
              <w:spacing w:before="0" w:after="60"/>
              <w:jc w:val="center"/>
              <w:rPr>
                <w:lang w:val="fr-FR"/>
              </w:rPr>
            </w:pPr>
            <w:r>
              <w:rPr>
                <w:lang w:val="fr-FR"/>
              </w:rPr>
              <w:t>1</w:t>
            </w:r>
            <w:r>
              <w:rPr>
                <w:lang w:val="fr-FR"/>
              </w:rPr>
              <w:br/>
              <w:t>1</w:t>
            </w:r>
            <w:r>
              <w:rPr>
                <w:lang w:val="fr-FR"/>
              </w:rPr>
              <w:br/>
              <w:t>1</w:t>
            </w:r>
          </w:p>
        </w:tc>
        <w:tc>
          <w:tcPr>
            <w:tcW w:w="1418" w:type="dxa"/>
            <w:tcBorders>
              <w:top w:val="nil"/>
            </w:tcBorders>
          </w:tcPr>
          <w:p w:rsidR="006D667B" w:rsidRDefault="006D667B" w:rsidP="00DD45B4">
            <w:pPr>
              <w:pStyle w:val="TableText0"/>
              <w:framePr w:hSpace="181" w:wrap="notBeside" w:vAnchor="text" w:hAnchor="text" w:xAlign="center" w:y="1"/>
              <w:spacing w:before="60" w:after="60"/>
              <w:jc w:val="center"/>
              <w:rPr>
                <w:lang w:val="fr-FR"/>
              </w:rPr>
            </w:pPr>
          </w:p>
          <w:p w:rsidR="006D667B" w:rsidRDefault="006D667B" w:rsidP="00DD45B4">
            <w:pPr>
              <w:pStyle w:val="TableText0"/>
              <w:framePr w:hSpace="181" w:wrap="notBeside" w:vAnchor="text" w:hAnchor="text" w:xAlign="center" w:y="1"/>
              <w:spacing w:before="0" w:after="60"/>
              <w:jc w:val="center"/>
              <w:rPr>
                <w:lang w:val="fr-FR"/>
              </w:rPr>
            </w:pPr>
            <w:r>
              <w:rPr>
                <w:lang w:val="fr-FR"/>
              </w:rPr>
              <w:t>3</w:t>
            </w:r>
            <w:r>
              <w:rPr>
                <w:lang w:val="fr-FR"/>
              </w:rPr>
              <w:br/>
              <w:t>1</w:t>
            </w:r>
            <w:r>
              <w:rPr>
                <w:lang w:val="fr-FR"/>
              </w:rPr>
              <w:br/>
              <w:t>1</w:t>
            </w:r>
          </w:p>
        </w:tc>
        <w:tc>
          <w:tcPr>
            <w:tcW w:w="1418" w:type="dxa"/>
            <w:tcBorders>
              <w:top w:val="nil"/>
            </w:tcBorders>
          </w:tcPr>
          <w:p w:rsidR="006D667B" w:rsidRDefault="006D667B" w:rsidP="00DD45B4">
            <w:pPr>
              <w:pStyle w:val="TableText0"/>
              <w:framePr w:hSpace="181" w:wrap="notBeside" w:vAnchor="text" w:hAnchor="text" w:xAlign="center" w:y="1"/>
              <w:spacing w:before="60" w:after="60"/>
              <w:jc w:val="center"/>
              <w:rPr>
                <w:lang w:val="fr-FR"/>
              </w:rPr>
            </w:pPr>
          </w:p>
          <w:p w:rsidR="006D667B" w:rsidRDefault="006D667B" w:rsidP="00DD45B4">
            <w:pPr>
              <w:pStyle w:val="TableText0"/>
              <w:framePr w:hSpace="181" w:wrap="notBeside" w:vAnchor="text" w:hAnchor="text" w:xAlign="center" w:y="1"/>
              <w:spacing w:before="0" w:after="60"/>
              <w:jc w:val="center"/>
              <w:rPr>
                <w:lang w:val="fr-FR"/>
              </w:rPr>
            </w:pPr>
            <w:r>
              <w:rPr>
                <w:lang w:val="fr-FR"/>
              </w:rPr>
              <w:t>3</w:t>
            </w:r>
            <w:r>
              <w:rPr>
                <w:lang w:val="fr-FR"/>
              </w:rPr>
              <w:br/>
              <w:t>3</w:t>
            </w:r>
            <w:r>
              <w:rPr>
                <w:lang w:val="fr-FR"/>
              </w:rPr>
              <w:br/>
              <w:t>3</w:t>
            </w:r>
          </w:p>
        </w:tc>
      </w:tr>
      <w:tr w:rsidR="006D667B" w:rsidTr="00DD45B4">
        <w:tc>
          <w:tcPr>
            <w:tcW w:w="1701" w:type="dxa"/>
          </w:tcPr>
          <w:p w:rsidR="006D667B" w:rsidRDefault="006D667B" w:rsidP="00DD45B4">
            <w:pPr>
              <w:pStyle w:val="TableText0"/>
              <w:framePr w:hSpace="181" w:wrap="notBeside" w:vAnchor="text" w:hAnchor="text" w:xAlign="center" w:y="1"/>
              <w:spacing w:before="60" w:after="60"/>
              <w:jc w:val="left"/>
              <w:rPr>
                <w:lang w:val="fr-FR"/>
              </w:rPr>
            </w:pPr>
            <w:r>
              <w:rPr>
                <w:lang w:val="fr-FR"/>
              </w:rPr>
              <w:t>Précision</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r>
      <w:tr w:rsidR="006D667B" w:rsidTr="00DD45B4">
        <w:tc>
          <w:tcPr>
            <w:tcW w:w="1701" w:type="dxa"/>
          </w:tcPr>
          <w:p w:rsidR="006D667B" w:rsidRDefault="006D667B" w:rsidP="00DD45B4">
            <w:pPr>
              <w:pStyle w:val="TableText0"/>
              <w:framePr w:hSpace="181" w:wrap="notBeside" w:vAnchor="text" w:hAnchor="text" w:xAlign="center" w:y="1"/>
              <w:spacing w:before="60" w:after="60"/>
              <w:jc w:val="left"/>
              <w:rPr>
                <w:lang w:val="fr-FR"/>
              </w:rPr>
            </w:pPr>
            <w:r>
              <w:rPr>
                <w:lang w:val="fr-FR"/>
              </w:rPr>
              <w:t>Reproductibilité</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Borders>
              <w:left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r>
      <w:tr w:rsidR="006D667B" w:rsidTr="00DD45B4">
        <w:tc>
          <w:tcPr>
            <w:tcW w:w="1701" w:type="dxa"/>
          </w:tcPr>
          <w:p w:rsidR="006D667B" w:rsidRDefault="006D667B" w:rsidP="00DD45B4">
            <w:pPr>
              <w:pStyle w:val="TableText0"/>
              <w:framePr w:hSpace="181" w:wrap="notBeside" w:vAnchor="text" w:hAnchor="text" w:xAlign="center" w:y="1"/>
              <w:spacing w:before="60" w:after="60"/>
              <w:jc w:val="left"/>
              <w:rPr>
                <w:lang w:val="fr-FR"/>
              </w:rPr>
            </w:pPr>
            <w:r>
              <w:rPr>
                <w:lang w:val="fr-FR"/>
              </w:rPr>
              <w:t>Coût</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Borders>
              <w:left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p>
        </w:tc>
      </w:tr>
      <w:tr w:rsidR="006D667B" w:rsidTr="00DD45B4">
        <w:tc>
          <w:tcPr>
            <w:tcW w:w="1701" w:type="dxa"/>
          </w:tcPr>
          <w:p w:rsidR="006D667B" w:rsidRDefault="006D667B" w:rsidP="00DD45B4">
            <w:pPr>
              <w:pStyle w:val="TableText0"/>
              <w:framePr w:hSpace="181" w:wrap="notBeside" w:vAnchor="text" w:hAnchor="text" w:xAlign="center" w:y="1"/>
              <w:spacing w:before="60" w:after="60"/>
              <w:jc w:val="left"/>
              <w:rPr>
                <w:lang w:val="fr-FR"/>
              </w:rPr>
            </w:pPr>
            <w:r>
              <w:rPr>
                <w:lang w:val="fr-FR"/>
              </w:rPr>
              <w:t>Simplicité</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left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r>
      <w:tr w:rsidR="006D667B" w:rsidTr="00DD45B4">
        <w:tc>
          <w:tcPr>
            <w:tcW w:w="1701" w:type="dxa"/>
          </w:tcPr>
          <w:p w:rsidR="006D667B" w:rsidRDefault="006D667B" w:rsidP="00DD45B4">
            <w:pPr>
              <w:pStyle w:val="TableText0"/>
              <w:framePr w:hSpace="181" w:wrap="notBeside" w:vAnchor="text" w:hAnchor="text" w:xAlign="center" w:y="1"/>
              <w:spacing w:before="60" w:after="60"/>
              <w:jc w:val="left"/>
              <w:rPr>
                <w:lang w:val="fr-FR"/>
              </w:rPr>
            </w:pPr>
            <w:r>
              <w:rPr>
                <w:lang w:val="fr-FR"/>
              </w:rPr>
              <w:t>Temps</w:t>
            </w:r>
          </w:p>
        </w:tc>
        <w:tc>
          <w:tcPr>
            <w:tcW w:w="1418" w:type="dxa"/>
          </w:tcPr>
          <w:p w:rsidR="006D667B" w:rsidRDefault="006D667B" w:rsidP="00047638">
            <w:pPr>
              <w:pStyle w:val="TableText0"/>
              <w:framePr w:hSpace="181" w:wrap="notBeside" w:vAnchor="text" w:hAnchor="text" w:xAlign="center" w:y="1"/>
              <w:spacing w:before="60" w:after="60"/>
              <w:jc w:val="center"/>
              <w:rPr>
                <w:lang w:val="fr-FR"/>
              </w:rPr>
            </w:pPr>
            <w:r>
              <w:rPr>
                <w:lang w:val="fr-FR"/>
              </w:rPr>
              <w:t>2</w:t>
            </w:r>
            <w:r>
              <w:rPr>
                <w:lang w:val="fr-FR"/>
              </w:rPr>
              <w:br/>
            </w:r>
            <w:r w:rsidR="00047638" w:rsidRPr="00047638">
              <w:sym w:font="Symbol" w:char="F0BB"/>
            </w:r>
            <w:r>
              <w:rPr>
                <w:lang w:val="fr-FR"/>
              </w:rPr>
              <w:t xml:space="preserve"> 0,5 h</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r>
              <w:rPr>
                <w:lang w:val="fr-FR"/>
              </w:rPr>
              <w:br/>
            </w:r>
            <w:r w:rsidR="00047638" w:rsidRPr="00047638">
              <w:sym w:font="Symbol" w:char="F0BB"/>
            </w:r>
            <w:r>
              <w:rPr>
                <w:lang w:val="fr-FR"/>
              </w:rPr>
              <w:t xml:space="preserve"> 1,5 h</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r>
              <w:rPr>
                <w:lang w:val="fr-FR"/>
              </w:rPr>
              <w:br/>
            </w:r>
            <w:r w:rsidR="00047638" w:rsidRPr="00047638">
              <w:sym w:font="Symbol" w:char="F0BB"/>
            </w:r>
            <w:r>
              <w:rPr>
                <w:lang w:val="fr-FR"/>
              </w:rPr>
              <w:t xml:space="preserve"> 5 min</w:t>
            </w:r>
          </w:p>
        </w:tc>
        <w:tc>
          <w:tcPr>
            <w:tcW w:w="1418" w:type="dxa"/>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r>
              <w:rPr>
                <w:lang w:val="fr-FR"/>
              </w:rPr>
              <w:br/>
            </w:r>
            <w:r w:rsidR="00047638" w:rsidRPr="00047638">
              <w:sym w:font="Symbol" w:char="F0BB"/>
            </w:r>
            <w:r>
              <w:rPr>
                <w:lang w:val="fr-FR"/>
              </w:rPr>
              <w:t xml:space="preserve"> 5 min</w:t>
            </w:r>
          </w:p>
        </w:tc>
        <w:tc>
          <w:tcPr>
            <w:tcW w:w="1418" w:type="dxa"/>
            <w:tcBorders>
              <w:left w:val="nil"/>
            </w:tcBorders>
          </w:tcPr>
          <w:p w:rsidR="006D667B" w:rsidRDefault="006D667B" w:rsidP="00047638">
            <w:pPr>
              <w:pStyle w:val="TableText0"/>
              <w:framePr w:hSpace="181" w:wrap="notBeside" w:vAnchor="text" w:hAnchor="text" w:xAlign="center" w:y="1"/>
              <w:spacing w:before="60" w:after="60"/>
              <w:jc w:val="center"/>
              <w:rPr>
                <w:lang w:val="fr-FR"/>
              </w:rPr>
            </w:pPr>
            <w:r>
              <w:rPr>
                <w:lang w:val="fr-FR"/>
              </w:rPr>
              <w:t>3</w:t>
            </w:r>
            <w:r>
              <w:rPr>
                <w:lang w:val="fr-FR"/>
              </w:rPr>
              <w:br/>
            </w:r>
            <w:r w:rsidR="00047638" w:rsidRPr="00047638">
              <w:t>&lt;</w:t>
            </w:r>
            <w:r>
              <w:rPr>
                <w:lang w:val="fr-FR"/>
              </w:rPr>
              <w:t xml:space="preserve"> 5 min</w:t>
            </w:r>
          </w:p>
        </w:tc>
      </w:tr>
      <w:tr w:rsidR="006D667B" w:rsidTr="00DD45B4">
        <w:tc>
          <w:tcPr>
            <w:tcW w:w="1701" w:type="dxa"/>
            <w:tcBorders>
              <w:bottom w:val="nil"/>
            </w:tcBorders>
          </w:tcPr>
          <w:p w:rsidR="006D667B" w:rsidRDefault="006D667B" w:rsidP="00DD45B4">
            <w:pPr>
              <w:pStyle w:val="TableText0"/>
              <w:framePr w:hSpace="181" w:wrap="notBeside" w:vAnchor="text" w:hAnchor="text" w:xAlign="center" w:y="1"/>
              <w:spacing w:before="60" w:after="60"/>
              <w:jc w:val="left"/>
              <w:rPr>
                <w:lang w:val="fr-FR"/>
              </w:rPr>
            </w:pPr>
            <w:r>
              <w:rPr>
                <w:lang w:val="fr-FR"/>
              </w:rPr>
              <w:t>Fréquence</w:t>
            </w:r>
          </w:p>
        </w:tc>
        <w:tc>
          <w:tcPr>
            <w:tcW w:w="1418" w:type="dxa"/>
            <w:tcBorders>
              <w:bottom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bottom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bottom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bottom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Borders>
              <w:left w:val="nil"/>
              <w:bottom w:val="nil"/>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r>
      <w:tr w:rsidR="006D667B" w:rsidTr="00DD45B4">
        <w:tc>
          <w:tcPr>
            <w:tcW w:w="1701"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left"/>
              <w:rPr>
                <w:lang w:val="fr-FR"/>
              </w:rPr>
            </w:pPr>
            <w:r>
              <w:rPr>
                <w:lang w:val="fr-FR"/>
              </w:rPr>
              <w:t>Largeur de bande</w:t>
            </w:r>
          </w:p>
        </w:tc>
        <w:tc>
          <w:tcPr>
            <w:tcW w:w="1418"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1</w:t>
            </w:r>
          </w:p>
        </w:tc>
        <w:tc>
          <w:tcPr>
            <w:tcW w:w="1418"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3</w:t>
            </w:r>
          </w:p>
        </w:tc>
        <w:tc>
          <w:tcPr>
            <w:tcW w:w="1418"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c>
          <w:tcPr>
            <w:tcW w:w="1418" w:type="dxa"/>
            <w:tcBorders>
              <w:top w:val="nil"/>
              <w:bottom w:val="single" w:sz="6" w:space="0" w:color="auto"/>
            </w:tcBorders>
          </w:tcPr>
          <w:p w:rsidR="006D667B" w:rsidRDefault="006D667B" w:rsidP="00DD45B4">
            <w:pPr>
              <w:pStyle w:val="TableText0"/>
              <w:framePr w:hSpace="181" w:wrap="notBeside" w:vAnchor="text" w:hAnchor="text" w:xAlign="center" w:y="1"/>
              <w:spacing w:before="60" w:after="60"/>
              <w:jc w:val="center"/>
              <w:rPr>
                <w:lang w:val="fr-FR"/>
              </w:rPr>
            </w:pPr>
            <w:r>
              <w:rPr>
                <w:lang w:val="fr-FR"/>
              </w:rPr>
              <w:t>2</w:t>
            </w:r>
          </w:p>
        </w:tc>
      </w:tr>
      <w:tr w:rsidR="006D667B" w:rsidTr="00DD45B4">
        <w:tblPrEx>
          <w:tblBorders>
            <w:left w:val="none" w:sz="0" w:space="0" w:color="auto"/>
            <w:bottom w:val="none" w:sz="0" w:space="0" w:color="auto"/>
            <w:right w:val="none" w:sz="0" w:space="0" w:color="auto"/>
            <w:insideV w:val="none" w:sz="0" w:space="0" w:color="auto"/>
          </w:tblBorders>
        </w:tblPrEx>
        <w:trPr>
          <w:cantSplit/>
        </w:trPr>
        <w:tc>
          <w:tcPr>
            <w:tcW w:w="8791" w:type="dxa"/>
            <w:gridSpan w:val="6"/>
          </w:tcPr>
          <w:p w:rsidR="006D667B" w:rsidRDefault="006D667B" w:rsidP="00DD45B4">
            <w:pPr>
              <w:pStyle w:val="TableLegend0"/>
              <w:framePr w:hSpace="181" w:wrap="notBeside" w:vAnchor="text" w:hAnchor="text" w:xAlign="center" w:y="1"/>
              <w:rPr>
                <w:lang w:val="fr-FR"/>
              </w:rPr>
            </w:pPr>
            <w:r>
              <w:rPr>
                <w:lang w:val="fr-FR"/>
              </w:rPr>
              <w:t>Légende:  1: médiocre, 2: acceptable, 3: bon.</w:t>
            </w:r>
          </w:p>
          <w:p w:rsidR="006D667B" w:rsidRDefault="006D667B" w:rsidP="00DD45B4">
            <w:pPr>
              <w:pStyle w:val="TableLegend0"/>
              <w:framePr w:hSpace="181" w:wrap="notBeside" w:vAnchor="text" w:hAnchor="text" w:xAlign="center" w:y="1"/>
              <w:rPr>
                <w:lang w:val="fr-FR"/>
              </w:rPr>
            </w:pPr>
            <w:r>
              <w:rPr>
                <w:lang w:val="fr-FR"/>
              </w:rPr>
              <w:t>NOTE 1 – Le test à porteuse unique suppose que l'amplificateur n'a pas de mémoire.</w:t>
            </w:r>
          </w:p>
        </w:tc>
      </w:tr>
    </w:tbl>
    <w:p w:rsidR="006D667B" w:rsidRDefault="006D667B" w:rsidP="006D667B">
      <w:pPr>
        <w:pStyle w:val="Tablefin"/>
        <w:rPr>
          <w:lang w:val="fr-FR"/>
        </w:rPr>
      </w:pPr>
    </w:p>
    <w:p w:rsidR="006D667B" w:rsidRPr="00DD45B4" w:rsidRDefault="006D667B" w:rsidP="006D667B">
      <w:pPr>
        <w:rPr>
          <w:sz w:val="20"/>
        </w:rPr>
      </w:pPr>
      <w:r w:rsidRPr="00DD45B4">
        <w:rPr>
          <w:sz w:val="20"/>
        </w:rPr>
        <w:t>L'importance relative des critères donnés dans le Tableau 1 dépend bien sûr de l'application. Par exemple, dans une application SMS SCPC il est important de pouvoir prévoir le comportement de l'équipement en présence d'un grand nombre de porteuses mais il moins important de pouvoir utiliser des porteuses avec des niveaux différents et des espacements non uniformes. Par ailleurs, la fréquence et la largeur de bande sont moins importantes tant que l'on se trouve dans la bande SMS, ce qui donne à penser que la méthode analogique NPR peut s'avérer être un bon choix pour cette application.</w:t>
      </w:r>
    </w:p>
    <w:p w:rsidR="006D667B" w:rsidRPr="00DD45B4" w:rsidRDefault="006D667B" w:rsidP="006D667B">
      <w:pPr>
        <w:rPr>
          <w:sz w:val="20"/>
        </w:rPr>
      </w:pPr>
      <w:r w:rsidRPr="00DD45B4">
        <w:rPr>
          <w:sz w:val="20"/>
        </w:rPr>
        <w:t xml:space="preserve">Par contre pour une application SFS/AMRF, il est plus important de pouvoir utiliser des porteuses avec des niveaux différents et un espacement non uniforme et la disponibilité de l'équipement couvrant les bandes SFS supérieures peut être un problème. Dans ce cas, la préférence est donnée au test multiporteuse. </w:t>
      </w:r>
    </w:p>
    <w:p w:rsidR="006D667B" w:rsidRPr="00DD45B4" w:rsidRDefault="006D667B" w:rsidP="006D667B">
      <w:pPr>
        <w:rPr>
          <w:sz w:val="20"/>
        </w:rPr>
      </w:pPr>
      <w:r w:rsidRPr="00DD45B4">
        <w:rPr>
          <w:sz w:val="20"/>
        </w:rPr>
        <w:t>Dans un cas comme dans l'autre, si le coût, la simplicité et le temps sont plus importants que la précision absolue et la reproductibilité, le test à porteuse unique reste un concurrent sérieux.</w:t>
      </w:r>
    </w:p>
    <w:p w:rsidR="006D667B" w:rsidRPr="00DD45B4" w:rsidRDefault="006D667B" w:rsidP="006D667B">
      <w:pPr>
        <w:pStyle w:val="Heading2"/>
        <w:rPr>
          <w:sz w:val="22"/>
          <w:szCs w:val="22"/>
        </w:rPr>
      </w:pPr>
      <w:bookmarkStart w:id="46" w:name="_Toc445524180"/>
      <w:bookmarkStart w:id="47" w:name="_Toc445529696"/>
      <w:bookmarkStart w:id="48" w:name="_Toc460747469"/>
      <w:bookmarkStart w:id="49" w:name="_Toc303683206"/>
      <w:bookmarkStart w:id="50" w:name="_Toc303683404"/>
      <w:r w:rsidRPr="00DD45B4">
        <w:rPr>
          <w:sz w:val="22"/>
          <w:szCs w:val="22"/>
        </w:rPr>
        <w:t>3.3</w:t>
      </w:r>
      <w:r w:rsidRPr="00DD45B4">
        <w:rPr>
          <w:sz w:val="22"/>
          <w:szCs w:val="22"/>
        </w:rPr>
        <w:tab/>
        <w:t>Méthodes génériques pour mesurer l'IM entre émetteurs</w:t>
      </w:r>
      <w:bookmarkEnd w:id="46"/>
      <w:bookmarkEnd w:id="47"/>
      <w:r w:rsidRPr="00DD45B4">
        <w:rPr>
          <w:sz w:val="22"/>
          <w:szCs w:val="22"/>
        </w:rPr>
        <w:t xml:space="preserve"> (Type 3)</w:t>
      </w:r>
      <w:bookmarkEnd w:id="48"/>
      <w:bookmarkEnd w:id="49"/>
      <w:bookmarkEnd w:id="50"/>
    </w:p>
    <w:p w:rsidR="006D667B" w:rsidRPr="00DD45B4" w:rsidRDefault="006D667B" w:rsidP="006D667B">
      <w:pPr>
        <w:rPr>
          <w:sz w:val="20"/>
        </w:rPr>
      </w:pPr>
      <w:r w:rsidRPr="00DD45B4">
        <w:rPr>
          <w:sz w:val="20"/>
        </w:rPr>
        <w:t>Ces méthodes classiques et génériques sont utilisées pour mesurer les produits d'IM de troisième ordre dont on considère qu'ils sont les plus importants.</w:t>
      </w:r>
    </w:p>
    <w:p w:rsidR="006D667B" w:rsidRPr="00C16A45" w:rsidRDefault="006D667B" w:rsidP="00C16A45">
      <w:pPr>
        <w:pStyle w:val="Heading3"/>
        <w:rPr>
          <w:sz w:val="20"/>
        </w:rPr>
      </w:pPr>
      <w:bookmarkStart w:id="51" w:name="_Toc445524181"/>
      <w:bookmarkStart w:id="52" w:name="_Toc445529697"/>
      <w:bookmarkStart w:id="53" w:name="_Toc460747470"/>
      <w:bookmarkStart w:id="54" w:name="_Toc303683207"/>
      <w:bookmarkStart w:id="55" w:name="_Toc303683405"/>
      <w:r w:rsidRPr="00C16A45">
        <w:rPr>
          <w:sz w:val="20"/>
        </w:rPr>
        <w:t>3.3.1</w:t>
      </w:r>
      <w:r w:rsidRPr="00C16A45">
        <w:rPr>
          <w:sz w:val="20"/>
        </w:rPr>
        <w:tab/>
        <w:t>Principe</w:t>
      </w:r>
      <w:bookmarkEnd w:id="51"/>
      <w:bookmarkEnd w:id="52"/>
      <w:bookmarkEnd w:id="53"/>
      <w:bookmarkEnd w:id="54"/>
      <w:bookmarkEnd w:id="55"/>
    </w:p>
    <w:p w:rsidR="006D667B" w:rsidRPr="00DD45B4" w:rsidRDefault="006D667B" w:rsidP="00A50FAD">
      <w:pPr>
        <w:rPr>
          <w:sz w:val="20"/>
        </w:rPr>
      </w:pPr>
      <w:r w:rsidRPr="00DD45B4">
        <w:rPr>
          <w:sz w:val="20"/>
        </w:rPr>
        <w:t xml:space="preserve">Les produits d'IM dans l'émetteur sont à l'origine d'émissions brouilleuses, lesquelles sont induites par un signal brouilleur à proximité de la fréquence nominale de l'émetteur. On suppose un émetteur pour lequel la puissance du signal utile émis est </w:t>
      </w:r>
      <w:r w:rsidRPr="00DD45B4">
        <w:rPr>
          <w:i/>
          <w:iCs/>
          <w:sz w:val="20"/>
        </w:rPr>
        <w:t>L</w:t>
      </w:r>
      <w:r w:rsidRPr="00BD7382">
        <w:rPr>
          <w:i/>
          <w:iCs/>
          <w:position w:val="-4"/>
          <w:sz w:val="16"/>
          <w:szCs w:val="16"/>
        </w:rPr>
        <w:t>w</w:t>
      </w:r>
      <w:r w:rsidRPr="00DD45B4">
        <w:rPr>
          <w:sz w:val="20"/>
        </w:rPr>
        <w:t xml:space="preserve"> à la fréquence </w:t>
      </w:r>
      <w:r w:rsidRPr="00DD45B4">
        <w:rPr>
          <w:i/>
          <w:iCs/>
          <w:sz w:val="20"/>
        </w:rPr>
        <w:t>f</w:t>
      </w:r>
      <w:r w:rsidRPr="00BD7382">
        <w:rPr>
          <w:position w:val="-4"/>
          <w:sz w:val="16"/>
          <w:szCs w:val="16"/>
        </w:rPr>
        <w:t>0</w:t>
      </w:r>
      <w:r w:rsidRPr="00DD45B4">
        <w:rPr>
          <w:sz w:val="20"/>
        </w:rPr>
        <w:t> </w:t>
      </w:r>
      <w:r w:rsidR="00A50FAD" w:rsidRPr="00A50FAD">
        <w:rPr>
          <w:sz w:val="20"/>
        </w:rPr>
        <w:t>=</w:t>
      </w:r>
      <w:r w:rsidRPr="00DD45B4">
        <w:rPr>
          <w:sz w:val="20"/>
        </w:rPr>
        <w:t> </w:t>
      </w:r>
      <w:r w:rsidRPr="00DD45B4">
        <w:rPr>
          <w:i/>
          <w:iCs/>
          <w:sz w:val="20"/>
        </w:rPr>
        <w:t>f</w:t>
      </w:r>
      <w:r w:rsidRPr="00BD7382">
        <w:rPr>
          <w:position w:val="-4"/>
          <w:sz w:val="16"/>
          <w:szCs w:val="16"/>
        </w:rPr>
        <w:t>1</w:t>
      </w:r>
      <w:r w:rsidRPr="00DD45B4">
        <w:rPr>
          <w:sz w:val="20"/>
        </w:rPr>
        <w:t xml:space="preserve"> et la puissance du signal entrant est </w:t>
      </w:r>
      <w:r w:rsidRPr="00DD45B4">
        <w:rPr>
          <w:i/>
          <w:iCs/>
          <w:sz w:val="20"/>
        </w:rPr>
        <w:t>L</w:t>
      </w:r>
      <w:r w:rsidRPr="00BD7382">
        <w:rPr>
          <w:position w:val="-4"/>
          <w:sz w:val="16"/>
          <w:szCs w:val="16"/>
        </w:rPr>
        <w:t>1</w:t>
      </w:r>
      <w:r w:rsidRPr="00DD45B4">
        <w:rPr>
          <w:sz w:val="20"/>
        </w:rPr>
        <w:t xml:space="preserve"> à la fréquence </w:t>
      </w:r>
      <w:r w:rsidRPr="00DD45B4">
        <w:rPr>
          <w:i/>
          <w:iCs/>
          <w:sz w:val="20"/>
        </w:rPr>
        <w:t>f</w:t>
      </w:r>
      <w:r w:rsidRPr="00BD7382">
        <w:rPr>
          <w:position w:val="-4"/>
          <w:sz w:val="16"/>
          <w:szCs w:val="16"/>
        </w:rPr>
        <w:t>2</w:t>
      </w:r>
      <w:r w:rsidRPr="00DD45B4">
        <w:rPr>
          <w:sz w:val="20"/>
        </w:rPr>
        <w:t> </w:t>
      </w:r>
      <w:r w:rsidR="00047638" w:rsidRPr="00047638">
        <w:rPr>
          <w:sz w:val="20"/>
        </w:rPr>
        <w:t>=</w:t>
      </w:r>
      <w:r w:rsidRPr="00DD45B4">
        <w:rPr>
          <w:sz w:val="20"/>
        </w:rPr>
        <w:t> </w:t>
      </w:r>
      <w:r w:rsidRPr="00DD45B4">
        <w:rPr>
          <w:i/>
          <w:iCs/>
          <w:sz w:val="20"/>
        </w:rPr>
        <w:t>f</w:t>
      </w:r>
      <w:r w:rsidRPr="00BD7382">
        <w:rPr>
          <w:position w:val="-4"/>
          <w:sz w:val="16"/>
          <w:szCs w:val="16"/>
        </w:rPr>
        <w:t>0</w:t>
      </w:r>
      <w:r w:rsidRPr="00DD45B4">
        <w:rPr>
          <w:sz w:val="20"/>
        </w:rPr>
        <w:t> </w:t>
      </w:r>
      <w:r w:rsidR="00047638" w:rsidRPr="00047638">
        <w:rPr>
          <w:sz w:val="20"/>
        </w:rPr>
        <w:sym w:font="Symbol" w:char="F0B1"/>
      </w:r>
      <w:r w:rsidRPr="00DD45B4">
        <w:rPr>
          <w:sz w:val="20"/>
        </w:rPr>
        <w:t> </w:t>
      </w:r>
      <w:r w:rsidR="00047638" w:rsidRPr="00047638">
        <w:rPr>
          <w:sz w:val="20"/>
        </w:rPr>
        <w:sym w:font="Symbol" w:char="F044"/>
      </w:r>
      <w:r w:rsidRPr="00DD45B4">
        <w:rPr>
          <w:i/>
          <w:iCs/>
          <w:sz w:val="20"/>
        </w:rPr>
        <w:t>f</w:t>
      </w:r>
      <w:r w:rsidRPr="00DD45B4">
        <w:rPr>
          <w:sz w:val="20"/>
        </w:rPr>
        <w:t xml:space="preserve">. On obtient ainsi un produit d'IM de troisième ordre </w:t>
      </w:r>
      <w:r w:rsidRPr="00DD45B4">
        <w:rPr>
          <w:i/>
          <w:iCs/>
          <w:sz w:val="20"/>
        </w:rPr>
        <w:t>IM</w:t>
      </w:r>
      <w:r w:rsidRPr="00BD7382">
        <w:rPr>
          <w:position w:val="-4"/>
          <w:sz w:val="16"/>
          <w:szCs w:val="16"/>
        </w:rPr>
        <w:t>3</w:t>
      </w:r>
      <w:r w:rsidRPr="00DD45B4">
        <w:rPr>
          <w:sz w:val="20"/>
        </w:rPr>
        <w:t> </w:t>
      </w:r>
      <w:r w:rsidR="00047638" w:rsidRPr="00047638">
        <w:rPr>
          <w:sz w:val="20"/>
        </w:rPr>
        <w:t>=</w:t>
      </w:r>
      <w:r w:rsidRPr="00DD45B4">
        <w:rPr>
          <w:sz w:val="20"/>
        </w:rPr>
        <w:t> </w:t>
      </w:r>
      <w:r w:rsidRPr="00DD45B4">
        <w:rPr>
          <w:i/>
          <w:iCs/>
          <w:sz w:val="20"/>
        </w:rPr>
        <w:t>L</w:t>
      </w:r>
      <w:r w:rsidRPr="00BD7382">
        <w:rPr>
          <w:i/>
          <w:iCs/>
          <w:position w:val="-4"/>
          <w:sz w:val="16"/>
          <w:szCs w:val="16"/>
        </w:rPr>
        <w:t>IM</w:t>
      </w:r>
      <w:r w:rsidRPr="00DD45B4">
        <w:rPr>
          <w:sz w:val="20"/>
        </w:rPr>
        <w:t xml:space="preserve"> à la fréquence </w:t>
      </w:r>
      <w:r w:rsidRPr="00DD45B4">
        <w:rPr>
          <w:i/>
          <w:iCs/>
          <w:sz w:val="20"/>
        </w:rPr>
        <w:t>f</w:t>
      </w:r>
      <w:r w:rsidRPr="00BD7382">
        <w:rPr>
          <w:i/>
          <w:iCs/>
          <w:position w:val="-4"/>
          <w:sz w:val="16"/>
          <w:szCs w:val="16"/>
        </w:rPr>
        <w:t>IM</w:t>
      </w:r>
      <w:r w:rsidRPr="00DD45B4">
        <w:rPr>
          <w:sz w:val="20"/>
        </w:rPr>
        <w:t>:</w:t>
      </w:r>
    </w:p>
    <w:p w:rsidR="006D667B" w:rsidRPr="00DD45B4" w:rsidRDefault="006D667B" w:rsidP="00047638">
      <w:pPr>
        <w:pStyle w:val="Equation"/>
        <w:jc w:val="center"/>
        <w:rPr>
          <w:sz w:val="20"/>
        </w:rPr>
      </w:pPr>
      <w:r w:rsidRPr="00DD45B4">
        <w:rPr>
          <w:i/>
          <w:iCs/>
          <w:sz w:val="20"/>
        </w:rPr>
        <w:t>f</w:t>
      </w:r>
      <w:r w:rsidRPr="00BD7382">
        <w:rPr>
          <w:i/>
          <w:iCs/>
          <w:position w:val="-4"/>
          <w:sz w:val="16"/>
          <w:szCs w:val="16"/>
        </w:rPr>
        <w:t>IM</w:t>
      </w:r>
      <w:r w:rsidRPr="00DD45B4">
        <w:rPr>
          <w:sz w:val="20"/>
        </w:rPr>
        <w:t> </w:t>
      </w:r>
      <w:r w:rsidR="00047638" w:rsidRPr="00047638">
        <w:rPr>
          <w:sz w:val="20"/>
        </w:rPr>
        <w:t>=</w:t>
      </w:r>
      <w:r w:rsidRPr="00DD45B4">
        <w:rPr>
          <w:sz w:val="20"/>
        </w:rPr>
        <w:t> </w:t>
      </w:r>
      <w:r w:rsidRPr="00DD45B4">
        <w:rPr>
          <w:rFonts w:ascii="Tms Rmn" w:hAnsi="Tms Rmn"/>
          <w:sz w:val="20"/>
        </w:rPr>
        <w:t xml:space="preserve">2 </w:t>
      </w:r>
      <w:r w:rsidRPr="007B4D6F">
        <w:rPr>
          <w:rFonts w:ascii="Tms Rmn" w:hAnsi="Tms Rmn"/>
          <w:i/>
          <w:iCs/>
          <w:sz w:val="16"/>
          <w:szCs w:val="16"/>
        </w:rPr>
        <w:t>f</w:t>
      </w:r>
      <w:r w:rsidRPr="007B4D6F">
        <w:rPr>
          <w:rFonts w:ascii="Tms Rmn" w:hAnsi="Tms Rmn"/>
          <w:position w:val="-4"/>
          <w:sz w:val="16"/>
          <w:szCs w:val="16"/>
        </w:rPr>
        <w:t>0</w:t>
      </w:r>
      <w:r w:rsidRPr="00DD45B4">
        <w:rPr>
          <w:sz w:val="20"/>
        </w:rPr>
        <w:t xml:space="preserve"> – ( </w:t>
      </w:r>
      <w:r w:rsidRPr="00DD45B4">
        <w:rPr>
          <w:i/>
          <w:iCs/>
          <w:sz w:val="20"/>
        </w:rPr>
        <w:t>f</w:t>
      </w:r>
      <w:r w:rsidRPr="00BD7382">
        <w:rPr>
          <w:position w:val="-4"/>
          <w:sz w:val="16"/>
          <w:szCs w:val="16"/>
        </w:rPr>
        <w:t>0</w:t>
      </w:r>
      <w:r w:rsidRPr="00DD45B4">
        <w:rPr>
          <w:sz w:val="20"/>
        </w:rPr>
        <w:t> </w:t>
      </w:r>
      <w:r w:rsidR="00047638" w:rsidRPr="00047638">
        <w:rPr>
          <w:sz w:val="20"/>
        </w:rPr>
        <w:sym w:font="Symbol" w:char="F0B1"/>
      </w:r>
      <w:r w:rsidRPr="00DD45B4">
        <w:rPr>
          <w:sz w:val="20"/>
        </w:rPr>
        <w:t> </w:t>
      </w:r>
      <w:r w:rsidR="00047638" w:rsidRPr="00047638">
        <w:rPr>
          <w:sz w:val="20"/>
        </w:rPr>
        <w:sym w:font="Symbol" w:char="F044"/>
      </w:r>
      <w:r w:rsidRPr="00DD45B4">
        <w:rPr>
          <w:i/>
          <w:iCs/>
          <w:sz w:val="20"/>
        </w:rPr>
        <w:t>f</w:t>
      </w:r>
      <w:r w:rsidRPr="00DD45B4">
        <w:rPr>
          <w:sz w:val="20"/>
        </w:rPr>
        <w:t xml:space="preserve"> ) </w:t>
      </w:r>
      <w:r w:rsidR="00047638" w:rsidRPr="00047638">
        <w:rPr>
          <w:sz w:val="20"/>
        </w:rPr>
        <w:t>=</w:t>
      </w:r>
      <w:r w:rsidRPr="00DD45B4">
        <w:rPr>
          <w:sz w:val="20"/>
        </w:rPr>
        <w:t xml:space="preserve"> </w:t>
      </w:r>
      <w:r w:rsidRPr="00DD45B4">
        <w:rPr>
          <w:i/>
          <w:iCs/>
          <w:sz w:val="20"/>
        </w:rPr>
        <w:t>f</w:t>
      </w:r>
      <w:r w:rsidRPr="00BD7382">
        <w:rPr>
          <w:position w:val="-4"/>
          <w:sz w:val="16"/>
          <w:szCs w:val="16"/>
        </w:rPr>
        <w:t>0</w:t>
      </w:r>
      <w:r w:rsidRPr="00DD45B4">
        <w:rPr>
          <w:sz w:val="20"/>
        </w:rPr>
        <w:t> </w:t>
      </w:r>
      <w:r w:rsidR="00047638" w:rsidRPr="00047638">
        <w:rPr>
          <w:sz w:val="20"/>
        </w:rPr>
        <w:sym w:font="Symbol" w:char="F0B1"/>
      </w:r>
      <w:r w:rsidRPr="00DD45B4">
        <w:rPr>
          <w:sz w:val="20"/>
        </w:rPr>
        <w:t> </w:t>
      </w:r>
      <w:r w:rsidR="00047638" w:rsidRPr="00047638">
        <w:rPr>
          <w:sz w:val="20"/>
        </w:rPr>
        <w:sym w:font="Symbol" w:char="F044"/>
      </w:r>
      <w:r w:rsidRPr="00DD45B4">
        <w:rPr>
          <w:i/>
          <w:iCs/>
          <w:sz w:val="20"/>
        </w:rPr>
        <w:t>f</w:t>
      </w:r>
    </w:p>
    <w:p w:rsidR="006D667B" w:rsidRPr="00DD45B4" w:rsidRDefault="006D667B" w:rsidP="00047638">
      <w:pPr>
        <w:rPr>
          <w:sz w:val="20"/>
        </w:rPr>
      </w:pPr>
      <w:r w:rsidRPr="00DD45B4">
        <w:rPr>
          <w:sz w:val="20"/>
        </w:rPr>
        <w:t xml:space="preserve">Pour ne tenir compte que des principaux mécanismes, tout en négligeant les effets d'ordre supérieur, il faut choisir un espacement de fréquence de </w:t>
      </w:r>
      <w:r w:rsidR="00047638" w:rsidRPr="00047638">
        <w:rPr>
          <w:sz w:val="20"/>
        </w:rPr>
        <w:sym w:font="Symbol" w:char="F044"/>
      </w:r>
      <w:r w:rsidRPr="00DD45B4">
        <w:rPr>
          <w:i/>
          <w:iCs/>
          <w:sz w:val="20"/>
        </w:rPr>
        <w:t>f</w:t>
      </w:r>
      <w:r w:rsidRPr="00DD45B4">
        <w:rPr>
          <w:sz w:val="20"/>
        </w:rPr>
        <w:t xml:space="preserve"> à l'intérieur de la largeur de bande </w:t>
      </w:r>
      <w:r w:rsidRPr="00DD45B4">
        <w:rPr>
          <w:i/>
          <w:iCs/>
          <w:sz w:val="20"/>
        </w:rPr>
        <w:t>B</w:t>
      </w:r>
      <w:r w:rsidRPr="00DD45B4">
        <w:rPr>
          <w:sz w:val="20"/>
        </w:rPr>
        <w:t xml:space="preserve"> du système afin que la composante d'IM </w:t>
      </w:r>
      <w:r w:rsidRPr="00DD45B4">
        <w:rPr>
          <w:i/>
          <w:iCs/>
          <w:sz w:val="20"/>
        </w:rPr>
        <w:t>L</w:t>
      </w:r>
      <w:r w:rsidRPr="00DD45B4">
        <w:rPr>
          <w:i/>
          <w:iCs/>
          <w:position w:val="-4"/>
          <w:sz w:val="20"/>
        </w:rPr>
        <w:t>IM</w:t>
      </w:r>
      <w:r w:rsidRPr="00DD45B4">
        <w:rPr>
          <w:i/>
          <w:iCs/>
          <w:sz w:val="20"/>
        </w:rPr>
        <w:t xml:space="preserve"> </w:t>
      </w:r>
      <w:r w:rsidRPr="00DD45B4">
        <w:rPr>
          <w:sz w:val="20"/>
        </w:rPr>
        <w:t>ne subisse d'affaiblissement important supplémentaire dans le récepteur brouillé. Le niveau du signal de la composante d'IM est défini comme suit:</w:t>
      </w:r>
    </w:p>
    <w:p w:rsidR="006D667B" w:rsidRPr="00EF34AC" w:rsidRDefault="006D667B" w:rsidP="00047638">
      <w:pPr>
        <w:pStyle w:val="Equation"/>
        <w:jc w:val="center"/>
        <w:rPr>
          <w:sz w:val="20"/>
          <w:lang w:val="fr-CH"/>
        </w:rPr>
      </w:pPr>
      <w:r w:rsidRPr="00EF34AC">
        <w:rPr>
          <w:i/>
          <w:iCs/>
          <w:sz w:val="20"/>
          <w:lang w:val="fr-CH"/>
        </w:rPr>
        <w:t>L</w:t>
      </w:r>
      <w:r w:rsidRPr="00EF34AC">
        <w:rPr>
          <w:i/>
          <w:iCs/>
          <w:position w:val="-4"/>
          <w:sz w:val="16"/>
          <w:szCs w:val="16"/>
          <w:lang w:val="fr-CH"/>
        </w:rPr>
        <w:t>IM</w:t>
      </w:r>
      <w:r w:rsidRPr="00EF34AC">
        <w:rPr>
          <w:sz w:val="20"/>
          <w:lang w:val="fr-CH"/>
        </w:rPr>
        <w:t> </w:t>
      </w:r>
      <w:r w:rsidR="00047638" w:rsidRPr="00EF34AC">
        <w:rPr>
          <w:sz w:val="20"/>
          <w:lang w:val="fr-CH"/>
        </w:rPr>
        <w:t>=</w:t>
      </w:r>
      <w:r w:rsidRPr="00EF34AC">
        <w:rPr>
          <w:sz w:val="20"/>
          <w:lang w:val="fr-CH"/>
        </w:rPr>
        <w:t> 2</w:t>
      </w:r>
      <w:r w:rsidRPr="00EF34AC">
        <w:rPr>
          <w:i/>
          <w:iCs/>
          <w:sz w:val="20"/>
          <w:lang w:val="fr-CH"/>
        </w:rPr>
        <w:t>L</w:t>
      </w:r>
      <w:r w:rsidRPr="00EF34AC">
        <w:rPr>
          <w:i/>
          <w:iCs/>
          <w:position w:val="-4"/>
          <w:sz w:val="16"/>
          <w:szCs w:val="16"/>
          <w:lang w:val="fr-CH"/>
        </w:rPr>
        <w:t>w</w:t>
      </w:r>
      <w:r w:rsidRPr="00EF34AC">
        <w:rPr>
          <w:sz w:val="20"/>
          <w:lang w:val="fr-CH"/>
        </w:rPr>
        <w:t> </w:t>
      </w:r>
      <w:r w:rsidR="00047638" w:rsidRPr="00EF34AC">
        <w:rPr>
          <w:sz w:val="20"/>
          <w:lang w:val="fr-CH"/>
        </w:rPr>
        <w:t>+</w:t>
      </w:r>
      <w:r w:rsidRPr="00EF34AC">
        <w:rPr>
          <w:sz w:val="20"/>
          <w:lang w:val="fr-CH"/>
        </w:rPr>
        <w:t> </w:t>
      </w:r>
      <w:r w:rsidRPr="00EF34AC">
        <w:rPr>
          <w:i/>
          <w:iCs/>
          <w:sz w:val="20"/>
          <w:lang w:val="fr-CH"/>
        </w:rPr>
        <w:t>L</w:t>
      </w:r>
      <w:r w:rsidRPr="00EF34AC">
        <w:rPr>
          <w:position w:val="-4"/>
          <w:sz w:val="16"/>
          <w:szCs w:val="16"/>
          <w:lang w:val="fr-CH"/>
        </w:rPr>
        <w:t>1</w:t>
      </w:r>
      <w:r w:rsidRPr="00EF34AC">
        <w:rPr>
          <w:sz w:val="20"/>
          <w:lang w:val="fr-CH"/>
        </w:rPr>
        <w:t> </w:t>
      </w:r>
      <w:r w:rsidR="00047638" w:rsidRPr="00EF34AC">
        <w:rPr>
          <w:sz w:val="20"/>
          <w:lang w:val="fr-CH"/>
        </w:rPr>
        <w:t>+</w:t>
      </w:r>
      <w:r w:rsidRPr="00EF34AC">
        <w:rPr>
          <w:sz w:val="20"/>
          <w:lang w:val="fr-CH"/>
        </w:rPr>
        <w:t> 20 log </w:t>
      </w:r>
      <w:r w:rsidRPr="00EF34AC">
        <w:rPr>
          <w:i/>
          <w:iCs/>
          <w:sz w:val="20"/>
          <w:lang w:val="fr-CH"/>
        </w:rPr>
        <w:t>k</w:t>
      </w:r>
    </w:p>
    <w:p w:rsidR="006D667B" w:rsidRPr="00DD45B4" w:rsidRDefault="006D667B" w:rsidP="006D667B">
      <w:pPr>
        <w:rPr>
          <w:sz w:val="20"/>
        </w:rPr>
      </w:pPr>
      <w:r w:rsidRPr="00DD45B4">
        <w:rPr>
          <w:sz w:val="20"/>
        </w:rPr>
        <w:lastRenderedPageBreak/>
        <w:t xml:space="preserve">où </w:t>
      </w:r>
      <w:r w:rsidRPr="00DD45B4">
        <w:rPr>
          <w:i/>
          <w:iCs/>
          <w:sz w:val="20"/>
        </w:rPr>
        <w:t>k</w:t>
      </w:r>
      <w:r w:rsidRPr="00DD45B4">
        <w:rPr>
          <w:sz w:val="20"/>
        </w:rPr>
        <w:t xml:space="preserve"> est une constante arbitraire introduite uniquement pour calculer le produit d'IM à partir des mesures. Dans la Fig. 9, l'affaiblissement d'IM </w:t>
      </w:r>
      <w:r w:rsidRPr="00DD45B4">
        <w:rPr>
          <w:i/>
          <w:iCs/>
          <w:sz w:val="20"/>
        </w:rPr>
        <w:t>L</w:t>
      </w:r>
      <w:r w:rsidRPr="007B4D6F">
        <w:rPr>
          <w:i/>
          <w:iCs/>
          <w:position w:val="-4"/>
          <w:sz w:val="16"/>
          <w:szCs w:val="16"/>
        </w:rPr>
        <w:t>IA</w:t>
      </w:r>
      <w:r w:rsidRPr="00DD45B4">
        <w:rPr>
          <w:sz w:val="20"/>
        </w:rPr>
        <w:t xml:space="preserve"> est défini comme étant l'affaiblissement du produit d'IM </w:t>
      </w:r>
      <w:r w:rsidRPr="00DD45B4">
        <w:rPr>
          <w:i/>
          <w:iCs/>
          <w:sz w:val="20"/>
        </w:rPr>
        <w:t>L</w:t>
      </w:r>
      <w:r w:rsidRPr="007B4D6F">
        <w:rPr>
          <w:i/>
          <w:iCs/>
          <w:position w:val="-4"/>
          <w:sz w:val="16"/>
          <w:szCs w:val="16"/>
        </w:rPr>
        <w:t>IM</w:t>
      </w:r>
      <w:r w:rsidRPr="00DD45B4">
        <w:rPr>
          <w:sz w:val="20"/>
        </w:rPr>
        <w:t xml:space="preserve"> rapporté au niveau signal utile </w:t>
      </w:r>
      <w:r w:rsidRPr="00DD45B4">
        <w:rPr>
          <w:i/>
          <w:iCs/>
          <w:sz w:val="20"/>
        </w:rPr>
        <w:t>L</w:t>
      </w:r>
      <w:r w:rsidRPr="007B4D6F">
        <w:rPr>
          <w:i/>
          <w:iCs/>
          <w:position w:val="-4"/>
          <w:sz w:val="16"/>
          <w:szCs w:val="16"/>
        </w:rPr>
        <w:t>w</w:t>
      </w:r>
      <w:r w:rsidRPr="00DD45B4">
        <w:rPr>
          <w:sz w:val="20"/>
        </w:rPr>
        <w:t xml:space="preserve"> pour le signal brouilleur de 30 dB inférieur à </w:t>
      </w:r>
      <w:r w:rsidRPr="00DD45B4">
        <w:rPr>
          <w:i/>
          <w:iCs/>
          <w:sz w:val="20"/>
        </w:rPr>
        <w:t>L</w:t>
      </w:r>
      <w:r w:rsidRPr="007B4D6F">
        <w:rPr>
          <w:i/>
          <w:iCs/>
          <w:position w:val="-4"/>
          <w:sz w:val="16"/>
          <w:szCs w:val="16"/>
        </w:rPr>
        <w:t>w</w:t>
      </w:r>
      <w:r w:rsidRPr="00DD45B4">
        <w:rPr>
          <w:sz w:val="20"/>
        </w:rPr>
        <w:t>.</w:t>
      </w:r>
    </w:p>
    <w:p w:rsidR="006D667B" w:rsidRDefault="006D667B" w:rsidP="006D667B">
      <w:pPr>
        <w:pStyle w:val="Figure0"/>
        <w:rPr>
          <w:b/>
          <w:lang w:val="fr-FR"/>
        </w:rPr>
      </w:pPr>
      <w:r>
        <w:rPr>
          <w:b/>
          <w:noProof/>
          <w:lang w:val="fr-CH" w:eastAsia="fr-CH"/>
        </w:rPr>
        <w:drawing>
          <wp:inline distT="0" distB="0" distL="0" distR="0" wp14:anchorId="716ADEF4" wp14:editId="2BF8246A">
            <wp:extent cx="3044825" cy="30448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825" cy="3044825"/>
                    </a:xfrm>
                    <a:prstGeom prst="rect">
                      <a:avLst/>
                    </a:prstGeom>
                    <a:noFill/>
                    <a:ln>
                      <a:noFill/>
                    </a:ln>
                  </pic:spPr>
                </pic:pic>
              </a:graphicData>
            </a:graphic>
          </wp:inline>
        </w:drawing>
      </w:r>
    </w:p>
    <w:p w:rsidR="006D667B" w:rsidRDefault="006D667B" w:rsidP="006D667B">
      <w:pPr>
        <w:pStyle w:val="Fig"/>
        <w:rPr>
          <w:lang w:val="fr-FR"/>
        </w:rPr>
      </w:pPr>
      <w:r>
        <w:rPr>
          <w:lang w:val="fr-FR"/>
        </w:rPr>
        <w:t xml:space="preserve">FIGURE 9/SM.1446 [1446-09] = 8 CM </w:t>
      </w:r>
    </w:p>
    <w:p w:rsidR="006D667B" w:rsidRPr="00DD45B4" w:rsidRDefault="006D667B" w:rsidP="00047638">
      <w:pPr>
        <w:rPr>
          <w:sz w:val="20"/>
        </w:rPr>
      </w:pPr>
      <w:r w:rsidRPr="00DD45B4">
        <w:rPr>
          <w:sz w:val="20"/>
        </w:rPr>
        <w:t>Si l'on applique les relations de la Fig. 9 dans l'équation (10), on peut déterminer 20 log </w:t>
      </w:r>
      <w:r w:rsidRPr="00DD45B4">
        <w:rPr>
          <w:i/>
          <w:iCs/>
          <w:sz w:val="20"/>
        </w:rPr>
        <w:t>k</w:t>
      </w:r>
      <w:r w:rsidRPr="00DD45B4">
        <w:rPr>
          <w:sz w:val="20"/>
        </w:rPr>
        <w:t xml:space="preserve"> par 20 log </w:t>
      </w:r>
      <w:r w:rsidRPr="00DD45B4">
        <w:rPr>
          <w:i/>
          <w:iCs/>
          <w:sz w:val="20"/>
        </w:rPr>
        <w:t>k</w:t>
      </w:r>
      <w:r w:rsidRPr="00DD45B4">
        <w:rPr>
          <w:sz w:val="20"/>
        </w:rPr>
        <w:t> </w:t>
      </w:r>
      <w:r w:rsidR="00047638" w:rsidRPr="00047638">
        <w:rPr>
          <w:sz w:val="20"/>
        </w:rPr>
        <w:t>=</w:t>
      </w:r>
      <w:r w:rsidRPr="00DD45B4">
        <w:rPr>
          <w:sz w:val="20"/>
        </w:rPr>
        <w:t> 30 </w:t>
      </w:r>
      <w:r w:rsidR="00047638" w:rsidRPr="00047638">
        <w:rPr>
          <w:sz w:val="20"/>
        </w:rPr>
        <w:t>–</w:t>
      </w:r>
      <w:r w:rsidRPr="00DD45B4">
        <w:rPr>
          <w:sz w:val="20"/>
        </w:rPr>
        <w:t> 2</w:t>
      </w:r>
      <w:r w:rsidRPr="00DD45B4">
        <w:rPr>
          <w:i/>
          <w:iCs/>
          <w:sz w:val="20"/>
        </w:rPr>
        <w:t>L</w:t>
      </w:r>
      <w:r w:rsidRPr="007B4D6F">
        <w:rPr>
          <w:i/>
          <w:iCs/>
          <w:position w:val="-4"/>
          <w:sz w:val="16"/>
          <w:szCs w:val="16"/>
        </w:rPr>
        <w:t>w</w:t>
      </w:r>
      <w:r w:rsidRPr="00DD45B4">
        <w:rPr>
          <w:sz w:val="20"/>
        </w:rPr>
        <w:t> – </w:t>
      </w:r>
      <w:r w:rsidRPr="00DD45B4">
        <w:rPr>
          <w:i/>
          <w:iCs/>
          <w:sz w:val="20"/>
        </w:rPr>
        <w:t>L</w:t>
      </w:r>
      <w:r w:rsidRPr="007B4D6F">
        <w:rPr>
          <w:i/>
          <w:iCs/>
          <w:position w:val="-4"/>
          <w:sz w:val="16"/>
          <w:szCs w:val="16"/>
        </w:rPr>
        <w:t>IA</w:t>
      </w:r>
      <w:r w:rsidRPr="00DD45B4">
        <w:rPr>
          <w:sz w:val="20"/>
        </w:rPr>
        <w:t xml:space="preserve"> et le produit d'IM </w:t>
      </w:r>
      <w:r w:rsidRPr="00DD45B4">
        <w:rPr>
          <w:i/>
          <w:iCs/>
          <w:sz w:val="20"/>
        </w:rPr>
        <w:t>L</w:t>
      </w:r>
      <w:r w:rsidRPr="007B4D6F">
        <w:rPr>
          <w:i/>
          <w:iCs/>
          <w:position w:val="-4"/>
          <w:sz w:val="16"/>
          <w:szCs w:val="16"/>
        </w:rPr>
        <w:t>IM</w:t>
      </w:r>
      <w:r w:rsidRPr="00DD45B4">
        <w:rPr>
          <w:sz w:val="20"/>
        </w:rPr>
        <w:t xml:space="preserve"> devient alors:</w:t>
      </w:r>
    </w:p>
    <w:p w:rsidR="006D667B" w:rsidRPr="00DD45B4" w:rsidRDefault="006D667B" w:rsidP="00047638">
      <w:pPr>
        <w:pStyle w:val="Equation"/>
        <w:jc w:val="center"/>
        <w:rPr>
          <w:sz w:val="20"/>
          <w:lang w:val="fr-CH"/>
        </w:rPr>
      </w:pPr>
      <w:r w:rsidRPr="00DD45B4">
        <w:rPr>
          <w:i/>
          <w:iCs/>
          <w:sz w:val="20"/>
          <w:lang w:val="fr-CH"/>
        </w:rPr>
        <w:t>IM</w:t>
      </w:r>
      <w:r w:rsidRPr="007B4D6F">
        <w:rPr>
          <w:position w:val="-4"/>
          <w:sz w:val="16"/>
          <w:szCs w:val="16"/>
          <w:lang w:val="fr-CH"/>
        </w:rPr>
        <w:t>3</w:t>
      </w:r>
      <w:r w:rsidRPr="00DD45B4">
        <w:rPr>
          <w:sz w:val="20"/>
          <w:lang w:val="fr-CH"/>
        </w:rPr>
        <w:t> </w:t>
      </w:r>
      <w:r w:rsidR="00047638" w:rsidRPr="00047638">
        <w:rPr>
          <w:sz w:val="20"/>
        </w:rPr>
        <w:t>=</w:t>
      </w:r>
      <w:r w:rsidRPr="00DD45B4">
        <w:rPr>
          <w:sz w:val="20"/>
          <w:lang w:val="fr-CH"/>
        </w:rPr>
        <w:t> </w:t>
      </w:r>
      <w:r w:rsidRPr="00DD45B4">
        <w:rPr>
          <w:i/>
          <w:iCs/>
          <w:sz w:val="20"/>
          <w:lang w:val="fr-CH"/>
        </w:rPr>
        <w:t>L</w:t>
      </w:r>
      <w:r w:rsidRPr="007B4D6F">
        <w:rPr>
          <w:i/>
          <w:iCs/>
          <w:position w:val="-4"/>
          <w:sz w:val="16"/>
          <w:szCs w:val="16"/>
          <w:lang w:val="fr-CH"/>
        </w:rPr>
        <w:t>IM</w:t>
      </w:r>
      <w:r w:rsidRPr="00DD45B4">
        <w:rPr>
          <w:sz w:val="20"/>
          <w:lang w:val="fr-CH"/>
        </w:rPr>
        <w:t> = </w:t>
      </w:r>
      <w:r w:rsidRPr="00DD45B4">
        <w:rPr>
          <w:i/>
          <w:iCs/>
          <w:sz w:val="20"/>
          <w:lang w:val="fr-CH"/>
        </w:rPr>
        <w:t>L</w:t>
      </w:r>
      <w:r w:rsidRPr="007B4D6F">
        <w:rPr>
          <w:position w:val="-4"/>
          <w:sz w:val="16"/>
          <w:szCs w:val="16"/>
          <w:lang w:val="fr-CH"/>
        </w:rPr>
        <w:t>1</w:t>
      </w:r>
      <w:r w:rsidRPr="00DD45B4">
        <w:rPr>
          <w:sz w:val="20"/>
          <w:lang w:val="fr-CH"/>
        </w:rPr>
        <w:t> – </w:t>
      </w:r>
      <w:r w:rsidRPr="00DD45B4">
        <w:rPr>
          <w:i/>
          <w:iCs/>
          <w:sz w:val="20"/>
          <w:lang w:val="fr-CH"/>
        </w:rPr>
        <w:t>L</w:t>
      </w:r>
      <w:r w:rsidRPr="007B4D6F">
        <w:rPr>
          <w:i/>
          <w:iCs/>
          <w:position w:val="-4"/>
          <w:sz w:val="16"/>
          <w:szCs w:val="16"/>
          <w:lang w:val="fr-CH"/>
        </w:rPr>
        <w:t>IA</w:t>
      </w:r>
      <w:r w:rsidRPr="00DD45B4">
        <w:rPr>
          <w:sz w:val="20"/>
          <w:lang w:val="fr-CH"/>
        </w:rPr>
        <w:t> </w:t>
      </w:r>
      <w:r w:rsidR="00047638" w:rsidRPr="00047638">
        <w:rPr>
          <w:sz w:val="20"/>
        </w:rPr>
        <w:t>+</w:t>
      </w:r>
      <w:r w:rsidRPr="00DD45B4">
        <w:rPr>
          <w:sz w:val="20"/>
          <w:lang w:val="fr-CH"/>
        </w:rPr>
        <w:t> 30         dB</w:t>
      </w:r>
    </w:p>
    <w:p w:rsidR="006D667B" w:rsidRPr="00DD45B4" w:rsidRDefault="006D667B" w:rsidP="006D667B">
      <w:pPr>
        <w:pStyle w:val="Heading3"/>
        <w:rPr>
          <w:sz w:val="20"/>
        </w:rPr>
      </w:pPr>
      <w:bookmarkStart w:id="56" w:name="_Toc303683208"/>
      <w:bookmarkStart w:id="57" w:name="_Toc303683406"/>
      <w:bookmarkStart w:id="58" w:name="_Toc445524182"/>
      <w:bookmarkStart w:id="59" w:name="_Toc445529698"/>
      <w:bookmarkStart w:id="60" w:name="_Toc460747471"/>
      <w:r w:rsidRPr="00DD45B4">
        <w:rPr>
          <w:sz w:val="20"/>
        </w:rPr>
        <w:t>3.3.2</w:t>
      </w:r>
      <w:r w:rsidRPr="00DD45B4">
        <w:rPr>
          <w:sz w:val="20"/>
        </w:rPr>
        <w:tab/>
        <w:t>Dispositif de mesure</w:t>
      </w:r>
      <w:bookmarkEnd w:id="56"/>
      <w:bookmarkEnd w:id="57"/>
      <w:r w:rsidRPr="00DD45B4">
        <w:rPr>
          <w:sz w:val="20"/>
        </w:rPr>
        <w:t xml:space="preserve"> </w:t>
      </w:r>
      <w:bookmarkEnd w:id="58"/>
      <w:bookmarkEnd w:id="59"/>
      <w:bookmarkEnd w:id="60"/>
    </w:p>
    <w:p w:rsidR="006D667B" w:rsidRPr="00DD45B4" w:rsidRDefault="006D667B" w:rsidP="006D667B">
      <w:pPr>
        <w:pStyle w:val="enumlev1"/>
        <w:ind w:left="0" w:firstLine="0"/>
        <w:rPr>
          <w:sz w:val="20"/>
        </w:rPr>
      </w:pPr>
      <w:r w:rsidRPr="00DD45B4">
        <w:rPr>
          <w:i/>
          <w:iCs/>
          <w:sz w:val="20"/>
        </w:rPr>
        <w:t>Etape 1</w:t>
      </w:r>
      <w:r w:rsidRPr="00DD45B4">
        <w:rPr>
          <w:sz w:val="20"/>
        </w:rPr>
        <w:t>:</w:t>
      </w:r>
      <w:r w:rsidRPr="00DD45B4">
        <w:rPr>
          <w:sz w:val="20"/>
        </w:rPr>
        <w:tab/>
        <w:t>Connecter l'équipement comme indiqué à la Fig. 10. Pour réduire l'influence des erreurs de désadaptation, il est important que l'affaiblisseur de puissance de 10 dB soit couplé à l'émetteur soumis à l'essai avec la plus petite connexion possible. La source du signal d'essai brouilleur est une porteuse RF non modulée offrant la même puissance en sortie que l'émetteur soumis à l'essai. Cet émetteur et la source du signal d'essai brouilleur doivent être physiquement séparés de sorte que la mesure ne soit pas influencée par les rayonnements directs.</w:t>
      </w:r>
    </w:p>
    <w:p w:rsidR="006D667B" w:rsidRDefault="006D667B" w:rsidP="006D667B">
      <w:pPr>
        <w:pStyle w:val="Figure0"/>
        <w:rPr>
          <w:lang w:val="fr-FR"/>
        </w:rPr>
      </w:pPr>
      <w:r>
        <w:rPr>
          <w:noProof/>
          <w:lang w:val="fr-CH" w:eastAsia="fr-CH"/>
        </w:rPr>
        <w:lastRenderedPageBreak/>
        <w:drawing>
          <wp:inline distT="0" distB="0" distL="0" distR="0" wp14:anchorId="6999AE07" wp14:editId="47B6333C">
            <wp:extent cx="4403090" cy="3258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3090" cy="3258185"/>
                    </a:xfrm>
                    <a:prstGeom prst="rect">
                      <a:avLst/>
                    </a:prstGeom>
                    <a:noFill/>
                    <a:ln>
                      <a:noFill/>
                    </a:ln>
                  </pic:spPr>
                </pic:pic>
              </a:graphicData>
            </a:graphic>
          </wp:inline>
        </w:drawing>
      </w:r>
    </w:p>
    <w:p w:rsidR="006D667B" w:rsidRDefault="006D667B" w:rsidP="006D667B">
      <w:pPr>
        <w:pStyle w:val="Fig"/>
        <w:rPr>
          <w:sz w:val="8"/>
          <w:lang w:val="fr-FR"/>
        </w:rPr>
      </w:pPr>
      <w:r>
        <w:rPr>
          <w:sz w:val="8"/>
          <w:lang w:val="fr-FR"/>
        </w:rPr>
        <w:t xml:space="preserve">FIGURE 10/SM.1446 [1446-10] = 9 CM </w:t>
      </w:r>
    </w:p>
    <w:p w:rsidR="006D667B" w:rsidRPr="00DD45B4" w:rsidRDefault="006D667B" w:rsidP="006D667B">
      <w:pPr>
        <w:pStyle w:val="enumlev1"/>
        <w:ind w:left="0" w:firstLine="0"/>
        <w:rPr>
          <w:sz w:val="20"/>
        </w:rPr>
      </w:pPr>
      <w:r w:rsidRPr="00DD45B4">
        <w:rPr>
          <w:i/>
          <w:iCs/>
          <w:sz w:val="20"/>
        </w:rPr>
        <w:t>Etape 2</w:t>
      </w:r>
      <w:r w:rsidRPr="00DD45B4">
        <w:rPr>
          <w:sz w:val="20"/>
        </w:rPr>
        <w:t>:</w:t>
      </w:r>
      <w:r w:rsidRPr="00DD45B4">
        <w:rPr>
          <w:sz w:val="20"/>
        </w:rPr>
        <w:tab/>
        <w:t>Adapter l'analyseur de spectre pour donner une indication maximale avec un balayage en fréquence sur 500 kHz.</w:t>
      </w:r>
    </w:p>
    <w:p w:rsidR="006D667B" w:rsidRPr="00DD45B4" w:rsidRDefault="006D667B" w:rsidP="006D667B">
      <w:pPr>
        <w:pStyle w:val="enumlev1"/>
        <w:ind w:left="0" w:firstLine="0"/>
        <w:rPr>
          <w:sz w:val="20"/>
        </w:rPr>
      </w:pPr>
      <w:r w:rsidRPr="00DD45B4">
        <w:rPr>
          <w:i/>
          <w:iCs/>
          <w:sz w:val="20"/>
        </w:rPr>
        <w:t>Etape 3</w:t>
      </w:r>
      <w:r w:rsidRPr="00DD45B4">
        <w:rPr>
          <w:sz w:val="20"/>
        </w:rPr>
        <w:tab/>
        <w:t>Choisir la fréquence de la source du signal d'essai brouilleur entre 50 kHz et 100 kHz au</w:t>
      </w:r>
      <w:r w:rsidRPr="00DD45B4">
        <w:rPr>
          <w:sz w:val="20"/>
        </w:rPr>
        <w:noBreakHyphen/>
        <w:t>dessus de celle de l'émetteur soumis à l'essai, de façon à ce que les composantes d'IM à mesurer ne coïncident pas avec d'autres composantes non essentielles.</w:t>
      </w:r>
    </w:p>
    <w:p w:rsidR="006D667B" w:rsidRPr="00DD45B4" w:rsidRDefault="006D667B" w:rsidP="006D667B">
      <w:pPr>
        <w:pStyle w:val="enumlev1"/>
        <w:ind w:left="0" w:firstLine="0"/>
        <w:rPr>
          <w:sz w:val="20"/>
        </w:rPr>
      </w:pPr>
      <w:r w:rsidRPr="00DD45B4">
        <w:rPr>
          <w:i/>
          <w:iCs/>
          <w:sz w:val="20"/>
        </w:rPr>
        <w:t>Etape 4</w:t>
      </w:r>
      <w:r w:rsidRPr="00DD45B4">
        <w:rPr>
          <w:sz w:val="20"/>
        </w:rPr>
        <w:t>:</w:t>
      </w:r>
      <w:r w:rsidRPr="00DD45B4">
        <w:rPr>
          <w:sz w:val="20"/>
        </w:rPr>
        <w:tab/>
        <w:t>Inscrire (dBm) la composante d'IM de troisième ordre la plus importante à partir de l'analyseur de spectre comme </w:t>
      </w:r>
      <w:r w:rsidRPr="00DD45B4">
        <w:rPr>
          <w:i/>
          <w:sz w:val="20"/>
        </w:rPr>
        <w:t>IM</w:t>
      </w:r>
      <w:r w:rsidRPr="00DD45B4">
        <w:rPr>
          <w:position w:val="-4"/>
          <w:sz w:val="20"/>
        </w:rPr>
        <w:t>3</w:t>
      </w:r>
      <w:r w:rsidRPr="00DD45B4">
        <w:rPr>
          <w:i/>
          <w:iCs/>
          <w:sz w:val="20"/>
        </w:rPr>
        <w:t>.</w:t>
      </w:r>
    </w:p>
    <w:p w:rsidR="006D667B" w:rsidRPr="00DD45B4" w:rsidRDefault="006D667B" w:rsidP="006D667B">
      <w:pPr>
        <w:pStyle w:val="enumlev1"/>
        <w:ind w:left="0" w:firstLine="0"/>
        <w:rPr>
          <w:sz w:val="20"/>
        </w:rPr>
      </w:pPr>
      <w:r w:rsidRPr="00DD45B4">
        <w:rPr>
          <w:i/>
          <w:iCs/>
          <w:sz w:val="20"/>
        </w:rPr>
        <w:t>Etape 5</w:t>
      </w:r>
      <w:r w:rsidRPr="00DD45B4">
        <w:rPr>
          <w:sz w:val="20"/>
        </w:rPr>
        <w:t>:</w:t>
      </w:r>
      <w:r w:rsidRPr="00DD45B4">
        <w:rPr>
          <w:sz w:val="20"/>
        </w:rPr>
        <w:tab/>
        <w:t>Inscrire (dBm) le niveau de puissance de sortie RF de l'émetteur soumis à l'essai, mesuré à partir de l'analyseur de spectre comme </w:t>
      </w:r>
      <w:r w:rsidRPr="00DD45B4">
        <w:rPr>
          <w:i/>
          <w:iCs/>
          <w:sz w:val="20"/>
        </w:rPr>
        <w:t>P</w:t>
      </w:r>
      <w:r w:rsidRPr="00DD45B4">
        <w:rPr>
          <w:position w:val="-4"/>
          <w:sz w:val="20"/>
        </w:rPr>
        <w:t>1</w:t>
      </w:r>
      <w:r w:rsidRPr="00DD45B4">
        <w:rPr>
          <w:sz w:val="20"/>
        </w:rPr>
        <w:t>.</w:t>
      </w:r>
    </w:p>
    <w:p w:rsidR="006D667B" w:rsidRPr="00DD45B4" w:rsidRDefault="006D667B" w:rsidP="006D667B">
      <w:pPr>
        <w:pStyle w:val="enumlev1"/>
        <w:rPr>
          <w:sz w:val="20"/>
        </w:rPr>
      </w:pPr>
      <w:r w:rsidRPr="00DD45B4">
        <w:rPr>
          <w:i/>
          <w:iCs/>
          <w:sz w:val="20"/>
        </w:rPr>
        <w:t>Etape 6</w:t>
      </w:r>
      <w:r w:rsidRPr="00DD45B4">
        <w:rPr>
          <w:sz w:val="20"/>
        </w:rPr>
        <w:t>:</w:t>
      </w:r>
      <w:r w:rsidRPr="00DD45B4">
        <w:rPr>
          <w:sz w:val="20"/>
        </w:rPr>
        <w:tab/>
        <w:t>Calculer le rapport d'IM comme étant:</w:t>
      </w:r>
    </w:p>
    <w:p w:rsidR="006D667B" w:rsidRPr="00DD45B4" w:rsidRDefault="006D667B" w:rsidP="006D667B">
      <w:pPr>
        <w:pStyle w:val="enumlev1"/>
        <w:rPr>
          <w:sz w:val="20"/>
        </w:rPr>
      </w:pPr>
      <w:r w:rsidRPr="00DD45B4">
        <w:rPr>
          <w:sz w:val="20"/>
        </w:rPr>
        <w:tab/>
      </w:r>
      <w:r w:rsidRPr="00DD45B4">
        <w:rPr>
          <w:sz w:val="20"/>
        </w:rPr>
        <w:tab/>
        <w:t>Affaiblissement d'IM (rapporté au point A)</w:t>
      </w:r>
    </w:p>
    <w:p w:rsidR="006D667B" w:rsidRPr="00DD45B4" w:rsidRDefault="006D667B" w:rsidP="00047638">
      <w:pPr>
        <w:pStyle w:val="Equation"/>
        <w:jc w:val="center"/>
        <w:rPr>
          <w:sz w:val="20"/>
        </w:rPr>
      </w:pPr>
      <w:r w:rsidRPr="00DD45B4">
        <w:rPr>
          <w:i/>
          <w:iCs/>
          <w:sz w:val="20"/>
        </w:rPr>
        <w:t>A</w:t>
      </w:r>
      <w:r w:rsidRPr="007B4D6F">
        <w:rPr>
          <w:i/>
          <w:iCs/>
          <w:position w:val="-4"/>
          <w:sz w:val="16"/>
          <w:szCs w:val="16"/>
        </w:rPr>
        <w:t>IM</w:t>
      </w:r>
      <w:r w:rsidRPr="00DD45B4">
        <w:rPr>
          <w:sz w:val="20"/>
        </w:rPr>
        <w:t> </w:t>
      </w:r>
      <w:r w:rsidR="00047638" w:rsidRPr="00047638">
        <w:rPr>
          <w:sz w:val="20"/>
        </w:rPr>
        <w:t>=</w:t>
      </w:r>
      <w:r w:rsidRPr="00DD45B4">
        <w:rPr>
          <w:sz w:val="20"/>
        </w:rPr>
        <w:t> </w:t>
      </w:r>
      <w:r w:rsidRPr="00DD45B4">
        <w:rPr>
          <w:i/>
          <w:iCs/>
          <w:sz w:val="20"/>
        </w:rPr>
        <w:t>P</w:t>
      </w:r>
      <w:r w:rsidRPr="007B4D6F">
        <w:rPr>
          <w:position w:val="-4"/>
          <w:sz w:val="16"/>
          <w:szCs w:val="16"/>
        </w:rPr>
        <w:t>1</w:t>
      </w:r>
      <w:r w:rsidRPr="00DD45B4">
        <w:rPr>
          <w:sz w:val="20"/>
        </w:rPr>
        <w:t> – </w:t>
      </w:r>
      <w:r w:rsidRPr="00DD45B4">
        <w:rPr>
          <w:i/>
          <w:iCs/>
          <w:sz w:val="20"/>
        </w:rPr>
        <w:t>IM</w:t>
      </w:r>
      <w:r w:rsidRPr="007B4D6F">
        <w:rPr>
          <w:position w:val="-4"/>
          <w:sz w:val="16"/>
          <w:szCs w:val="16"/>
        </w:rPr>
        <w:t>3</w:t>
      </w:r>
    </w:p>
    <w:p w:rsidR="006D667B" w:rsidRPr="00DD45B4" w:rsidRDefault="006D667B" w:rsidP="006D667B">
      <w:pPr>
        <w:pStyle w:val="enumlev1"/>
        <w:ind w:left="0" w:firstLine="0"/>
        <w:rPr>
          <w:sz w:val="20"/>
        </w:rPr>
      </w:pPr>
      <w:r w:rsidRPr="00DD45B4">
        <w:rPr>
          <w:i/>
          <w:iCs/>
          <w:sz w:val="20"/>
        </w:rPr>
        <w:t>Etape 7</w:t>
      </w:r>
      <w:r w:rsidRPr="00DD45B4">
        <w:rPr>
          <w:sz w:val="20"/>
        </w:rPr>
        <w:t>:</w:t>
      </w:r>
      <w:r w:rsidRPr="00DD45B4">
        <w:rPr>
          <w:sz w:val="20"/>
        </w:rPr>
        <w:tab/>
        <w:t>Choisir la fréquence de la source du signal d'essai brouilleur entre 50 kHz et 100 kHz au</w:t>
      </w:r>
      <w:r w:rsidRPr="00DD45B4">
        <w:rPr>
          <w:sz w:val="20"/>
        </w:rPr>
        <w:noBreakHyphen/>
        <w:t>dessus de la fréquence de l'émetteur soumis à l'essai, de façon à ce que les composantes d'IM à mesurer ne coïncident pas avec d'autres composantes non essentielles.</w:t>
      </w:r>
    </w:p>
    <w:p w:rsidR="006D667B" w:rsidRPr="00DD45B4" w:rsidRDefault="006D667B" w:rsidP="006D667B">
      <w:pPr>
        <w:pStyle w:val="enumlev1"/>
        <w:rPr>
          <w:sz w:val="20"/>
        </w:rPr>
      </w:pPr>
      <w:r w:rsidRPr="00DD45B4">
        <w:rPr>
          <w:i/>
          <w:iCs/>
          <w:sz w:val="20"/>
        </w:rPr>
        <w:t>Etape 8</w:t>
      </w:r>
      <w:r w:rsidRPr="00DD45B4">
        <w:rPr>
          <w:sz w:val="20"/>
        </w:rPr>
        <w:t>:</w:t>
      </w:r>
      <w:r w:rsidRPr="00DD45B4">
        <w:rPr>
          <w:sz w:val="20"/>
        </w:rPr>
        <w:tab/>
        <w:t>Répéter les Etapes 4 à 6.</w:t>
      </w:r>
    </w:p>
    <w:p w:rsidR="006D667B" w:rsidRPr="00DD45B4" w:rsidRDefault="006D667B" w:rsidP="006D667B">
      <w:pPr>
        <w:rPr>
          <w:sz w:val="20"/>
        </w:rPr>
      </w:pPr>
      <w:r w:rsidRPr="00DD45B4">
        <w:rPr>
          <w:i/>
          <w:iCs/>
          <w:sz w:val="20"/>
        </w:rPr>
        <w:t>Etape 9</w:t>
      </w:r>
      <w:r w:rsidRPr="00DD45B4">
        <w:rPr>
          <w:sz w:val="20"/>
        </w:rPr>
        <w:t>:</w:t>
      </w:r>
      <w:r w:rsidRPr="00DD45B4">
        <w:rPr>
          <w:sz w:val="20"/>
        </w:rPr>
        <w:tab/>
        <w:t>Le chiffre le plus bas obtenu aux Etapes 6 et 8 est l'affaiblissement d'IM.</w:t>
      </w:r>
    </w:p>
    <w:p w:rsidR="006D667B" w:rsidRDefault="006D667B" w:rsidP="006D667B">
      <w:pPr>
        <w:pStyle w:val="Note"/>
        <w:rPr>
          <w:sz w:val="18"/>
          <w:szCs w:val="18"/>
        </w:rPr>
      </w:pPr>
      <w:r w:rsidRPr="00DD45B4">
        <w:rPr>
          <w:sz w:val="18"/>
          <w:szCs w:val="18"/>
        </w:rPr>
        <w:t>NOTE 1 – Il faudra peut</w:t>
      </w:r>
      <w:r w:rsidRPr="00DD45B4">
        <w:rPr>
          <w:sz w:val="18"/>
          <w:szCs w:val="18"/>
        </w:rPr>
        <w:noBreakHyphen/>
        <w:t>être faire varier les caractéristiques de l'affaiblisseur pour des niveaux de puissance d'émission supérieurs à 25</w:t>
      </w:r>
      <w:r w:rsidR="007B4D6F">
        <w:rPr>
          <w:sz w:val="18"/>
          <w:szCs w:val="18"/>
        </w:rPr>
        <w:t> </w:t>
      </w:r>
      <w:r w:rsidRPr="00DD45B4">
        <w:rPr>
          <w:sz w:val="18"/>
          <w:szCs w:val="18"/>
        </w:rPr>
        <w:t>W.</w:t>
      </w:r>
    </w:p>
    <w:p w:rsidR="00DD45B4" w:rsidRDefault="00DD45B4" w:rsidP="006D667B">
      <w:pPr>
        <w:pStyle w:val="Note"/>
        <w:rPr>
          <w:sz w:val="18"/>
          <w:szCs w:val="18"/>
        </w:rPr>
      </w:pPr>
    </w:p>
    <w:p w:rsidR="00DD45B4" w:rsidRPr="00DD45B4" w:rsidRDefault="00DD45B4" w:rsidP="006D667B">
      <w:pPr>
        <w:pStyle w:val="Note"/>
        <w:rPr>
          <w:sz w:val="18"/>
          <w:szCs w:val="18"/>
        </w:rPr>
      </w:pPr>
    </w:p>
    <w:p w:rsidR="00AD7CBA" w:rsidRDefault="00AD7CBA" w:rsidP="006D667B">
      <w:pPr>
        <w:pStyle w:val="Appendix"/>
        <w:rPr>
          <w:lang w:val="fr-FR"/>
        </w:rPr>
      </w:pPr>
      <w:r>
        <w:rPr>
          <w:lang w:val="fr-FR"/>
        </w:rPr>
        <w:br w:type="page"/>
      </w:r>
    </w:p>
    <w:p w:rsidR="006D667B" w:rsidRDefault="006D667B" w:rsidP="006D667B">
      <w:pPr>
        <w:pStyle w:val="Appendix"/>
        <w:rPr>
          <w:lang w:val="fr-FR"/>
        </w:rPr>
      </w:pPr>
      <w:bookmarkStart w:id="61" w:name="_Toc303683209"/>
      <w:bookmarkStart w:id="62" w:name="_Toc303683407"/>
      <w:r>
        <w:rPr>
          <w:lang w:val="fr-FR"/>
        </w:rPr>
        <w:lastRenderedPageBreak/>
        <w:t>APPENDICE  1</w:t>
      </w:r>
      <w:r>
        <w:rPr>
          <w:lang w:val="fr-FR"/>
        </w:rPr>
        <w:br/>
      </w:r>
      <w:r>
        <w:rPr>
          <w:lang w:val="fr-FR"/>
        </w:rPr>
        <w:br/>
        <w:t>À  L'ANNEXE  1</w:t>
      </w:r>
      <w:bookmarkEnd w:id="61"/>
      <w:bookmarkEnd w:id="62"/>
    </w:p>
    <w:p w:rsidR="006D667B" w:rsidRDefault="006D667B" w:rsidP="006D667B">
      <w:pPr>
        <w:pStyle w:val="AppendixTitle"/>
        <w:rPr>
          <w:lang w:val="fr-FR"/>
        </w:rPr>
      </w:pPr>
      <w:bookmarkStart w:id="63" w:name="_Toc445524189"/>
      <w:bookmarkStart w:id="64" w:name="_Toc445529705"/>
      <w:bookmarkStart w:id="65" w:name="_Toc460747472"/>
      <w:r>
        <w:rPr>
          <w:lang w:val="fr-FR"/>
        </w:rPr>
        <w:t>Exemples de caractéristiques d'IM</w:t>
      </w:r>
      <w:bookmarkEnd w:id="63"/>
      <w:bookmarkEnd w:id="64"/>
      <w:bookmarkEnd w:id="65"/>
    </w:p>
    <w:p w:rsidR="006D667B" w:rsidRDefault="006D667B" w:rsidP="006D667B">
      <w:pPr>
        <w:pStyle w:val="Normalaftertitle0"/>
        <w:rPr>
          <w:lang w:val="fr-FR"/>
        </w:rPr>
      </w:pPr>
      <w:r>
        <w:rPr>
          <w:lang w:val="fr-FR"/>
        </w:rPr>
        <w:t>En règle générale, les caractéristiques d'IM dépendent de facteurs différents très divers, par exemple, les techniques de modulation et d'accès, les composantes matériel et le coût de l'équipement. Les exemples suivants ont pour seul but d'illustrer les plages de suppression des produits d'IM réalisables dans des systèmes réels. Ils ne sont pas censés définir des limites pour les produits d'IM.</w:t>
      </w:r>
    </w:p>
    <w:p w:rsidR="006D667B" w:rsidRDefault="006D667B" w:rsidP="006D667B">
      <w:pPr>
        <w:pStyle w:val="Heading1"/>
      </w:pPr>
      <w:bookmarkStart w:id="66" w:name="_Toc445524190"/>
      <w:bookmarkStart w:id="67" w:name="_Toc445529706"/>
      <w:bookmarkStart w:id="68" w:name="_Toc460747473"/>
      <w:bookmarkStart w:id="69" w:name="_Toc303683210"/>
      <w:bookmarkStart w:id="70" w:name="_Toc303683408"/>
      <w:r>
        <w:t>1</w:t>
      </w:r>
      <w:r>
        <w:tab/>
        <w:t>Service fixe</w:t>
      </w:r>
      <w:bookmarkEnd w:id="66"/>
      <w:bookmarkEnd w:id="67"/>
      <w:bookmarkEnd w:id="68"/>
      <w:bookmarkEnd w:id="69"/>
      <w:bookmarkEnd w:id="70"/>
    </w:p>
    <w:p w:rsidR="006D667B" w:rsidRPr="00DD45B4" w:rsidRDefault="006D667B" w:rsidP="006D667B">
      <w:pPr>
        <w:rPr>
          <w:sz w:val="20"/>
        </w:rPr>
      </w:pPr>
      <w:r w:rsidRPr="00DD45B4">
        <w:rPr>
          <w:sz w:val="20"/>
        </w:rPr>
        <w:t>Les limites d'IM fixées dans les normes européennes actuelles pour les faisceaux hertziens ne sont données ici que pour information (voir la Fig. 11). Elles ne concernent que les produits d'IM entre émetteurs (Type 3) c'est</w:t>
      </w:r>
      <w:r w:rsidRPr="00DD45B4">
        <w:rPr>
          <w:sz w:val="20"/>
        </w:rPr>
        <w:noBreakHyphen/>
        <w:t>à</w:t>
      </w:r>
      <w:r w:rsidRPr="00DD45B4">
        <w:rPr>
          <w:sz w:val="20"/>
        </w:rPr>
        <w:noBreakHyphen/>
        <w:t>dire qu'il n'existe pas de valeurs précises disponibles de l'affaiblissement d'IM dans les normes européennes.</w:t>
      </w:r>
    </w:p>
    <w:p w:rsidR="006D667B" w:rsidRDefault="006D667B" w:rsidP="006D667B">
      <w:pPr>
        <w:pStyle w:val="Fig"/>
        <w:spacing w:before="0"/>
        <w:rPr>
          <w:sz w:val="8"/>
          <w:lang w:val="fr-FR"/>
        </w:rPr>
      </w:pPr>
      <w:r>
        <w:rPr>
          <w:sz w:val="8"/>
          <w:lang w:val="fr-FR"/>
        </w:rPr>
        <w:t xml:space="preserve">FIGURE 11/SM.1446 [1446-11] = 5 CM </w:t>
      </w:r>
    </w:p>
    <w:p w:rsidR="006D667B" w:rsidRDefault="006D667B" w:rsidP="006D667B">
      <w:pPr>
        <w:pStyle w:val="Figure0"/>
        <w:spacing w:before="400"/>
        <w:rPr>
          <w:lang w:val="fr-FR"/>
        </w:rPr>
      </w:pPr>
      <w:r>
        <w:rPr>
          <w:noProof/>
          <w:lang w:val="fr-CH" w:eastAsia="fr-CH"/>
        </w:rPr>
        <w:drawing>
          <wp:inline distT="0" distB="0" distL="0" distR="0" wp14:anchorId="33D865D5" wp14:editId="0FC7587A">
            <wp:extent cx="5912485" cy="2015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2485" cy="2015490"/>
                    </a:xfrm>
                    <a:prstGeom prst="rect">
                      <a:avLst/>
                    </a:prstGeom>
                    <a:noFill/>
                    <a:ln>
                      <a:noFill/>
                    </a:ln>
                  </pic:spPr>
                </pic:pic>
              </a:graphicData>
            </a:graphic>
          </wp:inline>
        </w:drawing>
      </w:r>
    </w:p>
    <w:p w:rsidR="006D667B" w:rsidRPr="00DD45B4" w:rsidRDefault="006D667B" w:rsidP="006D667B">
      <w:pPr>
        <w:rPr>
          <w:sz w:val="20"/>
        </w:rPr>
      </w:pPr>
      <w:r w:rsidRPr="00DD45B4">
        <w:rPr>
          <w:sz w:val="20"/>
        </w:rPr>
        <w:t>Le fabricant de l'équipement déclare pendant l'installation la conformité de l'équipement aux limites d'IM pour les liaisons fixes. Le niveau d'IM maximum autorisé est donné par rapport au point B dans la chaîne de réception. Toutes les installations fixes doivent respecter les critères donnés lorsque le niveau de puissance utile au point C est égal à 28 dBm.</w:t>
      </w:r>
    </w:p>
    <w:p w:rsidR="006D667B" w:rsidRDefault="006D667B" w:rsidP="006D667B">
      <w:pPr>
        <w:pStyle w:val="Heading1"/>
      </w:pPr>
      <w:bookmarkStart w:id="71" w:name="_Toc303683211"/>
      <w:bookmarkStart w:id="72" w:name="_Toc303683409"/>
      <w:bookmarkStart w:id="73" w:name="_Toc445524191"/>
      <w:bookmarkStart w:id="74" w:name="_Toc445529707"/>
      <w:bookmarkStart w:id="75" w:name="_Toc460747474"/>
      <w:r>
        <w:t>2</w:t>
      </w:r>
      <w:r>
        <w:tab/>
        <w:t>Service mobile</w:t>
      </w:r>
      <w:bookmarkEnd w:id="71"/>
      <w:bookmarkEnd w:id="72"/>
      <w:r>
        <w:t xml:space="preserve"> </w:t>
      </w:r>
      <w:bookmarkEnd w:id="73"/>
      <w:bookmarkEnd w:id="74"/>
      <w:bookmarkEnd w:id="75"/>
    </w:p>
    <w:p w:rsidR="006D667B" w:rsidRPr="00DD45B4" w:rsidRDefault="006D667B" w:rsidP="006D667B">
      <w:pPr>
        <w:rPr>
          <w:sz w:val="20"/>
        </w:rPr>
      </w:pPr>
      <w:r w:rsidRPr="00DD45B4">
        <w:rPr>
          <w:sz w:val="20"/>
        </w:rPr>
        <w:t>De nombreuses normes applicables au service mobile ne contiennent pas de valeurs précises de l'affaiblissement d'IM. Ces valeurs sont comprises dans les limites des rayonnements non essentiels. Des exemples d'affaiblissement d'IM dispo</w:t>
      </w:r>
      <w:r w:rsidRPr="00DD45B4">
        <w:rPr>
          <w:sz w:val="20"/>
        </w:rPr>
        <w:softHyphen/>
        <w:t>nibles sont donnés dans le Tableau 2. Les valeurs requises sont comprises entre 40 et 70 dB. On suppose en général que le signal brouilleur est un signal à ondes entretenues dont la puissance est de 30 à 50 dB inférieure à celle du signal utile.</w:t>
      </w:r>
    </w:p>
    <w:p w:rsidR="006D667B" w:rsidRDefault="006D667B" w:rsidP="006D667B">
      <w:pPr>
        <w:pStyle w:val="Table"/>
        <w:rPr>
          <w:lang w:val="fr-FR"/>
        </w:rPr>
      </w:pPr>
      <w:r>
        <w:rPr>
          <w:noProof/>
          <w:lang w:val="fr-CH" w:eastAsia="fr-CH"/>
        </w:rPr>
        <w:lastRenderedPageBreak/>
        <mc:AlternateContent>
          <mc:Choice Requires="wps">
            <w:drawing>
              <wp:anchor distT="0" distB="0" distL="114300" distR="114300" simplePos="0" relativeHeight="251659264" behindDoc="0" locked="0" layoutInCell="0" allowOverlap="1" wp14:anchorId="6D99E75B" wp14:editId="444D8040">
                <wp:simplePos x="0" y="0"/>
                <wp:positionH relativeFrom="column">
                  <wp:posOffset>5412105</wp:posOffset>
                </wp:positionH>
                <wp:positionV relativeFrom="paragraph">
                  <wp:posOffset>165735</wp:posOffset>
                </wp:positionV>
                <wp:extent cx="631825" cy="271145"/>
                <wp:effectExtent l="0" t="0" r="15875" b="1460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B84" w:rsidRDefault="00027B84" w:rsidP="006D66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9E75B" id="Rectangle 2" o:spid="_x0000_s1026" style="position:absolute;left:0;text-align:left;margin-left:426.15pt;margin-top:13.05pt;width:49.7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" o:allowincell="f" filled="f" stroked="f" strokeweight="0">
                <v:textbox inset="0,0,0,0">
                  <w:txbxContent>
                    <w:p w:rsidR="00027B84" w:rsidRDefault="00027B84" w:rsidP="006D667B"/>
                  </w:txbxContent>
                </v:textbox>
              </v:rect>
            </w:pict>
          </mc:Fallback>
        </mc:AlternateContent>
      </w:r>
      <w:r>
        <w:rPr>
          <w:lang w:val="fr-FR"/>
        </w:rPr>
        <w:t>TABLEAU  2</w:t>
      </w:r>
    </w:p>
    <w:p w:rsidR="006D667B" w:rsidRDefault="006D667B" w:rsidP="006D667B">
      <w:pPr>
        <w:pStyle w:val="TableTitle0"/>
        <w:rPr>
          <w:lang w:val="fr-FR"/>
        </w:rPr>
      </w:pPr>
      <w:r>
        <w:rPr>
          <w:lang w:val="fr-FR"/>
        </w:rPr>
        <w:t>Exemples d'affaiblissement d'IM dans un environnement mobile</w:t>
      </w:r>
    </w:p>
    <w:p w:rsidR="006D667B" w:rsidRDefault="006D667B" w:rsidP="006D667B">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6D667B" w:rsidTr="00DD45B4">
        <w:tc>
          <w:tcPr>
            <w:tcW w:w="4253" w:type="dxa"/>
          </w:tcPr>
          <w:p w:rsidR="006D667B" w:rsidRDefault="006D667B" w:rsidP="00DD45B4">
            <w:pPr>
              <w:pStyle w:val="TableText0"/>
              <w:framePr w:hSpace="181" w:wrap="notBeside" w:vAnchor="text" w:hAnchor="text" w:xAlign="center" w:y="1"/>
              <w:jc w:val="center"/>
              <w:rPr>
                <w:lang w:val="fr-FR"/>
              </w:rPr>
            </w:pPr>
            <w:r>
              <w:rPr>
                <w:lang w:val="fr-FR"/>
              </w:rPr>
              <w:t>Service</w:t>
            </w:r>
          </w:p>
        </w:tc>
        <w:tc>
          <w:tcPr>
            <w:tcW w:w="4253" w:type="dxa"/>
          </w:tcPr>
          <w:p w:rsidR="006D667B" w:rsidRDefault="006D667B" w:rsidP="00DD45B4">
            <w:pPr>
              <w:pStyle w:val="TableText0"/>
              <w:framePr w:hSpace="181" w:wrap="notBeside" w:vAnchor="text" w:hAnchor="text" w:xAlign="center" w:y="1"/>
              <w:jc w:val="center"/>
              <w:rPr>
                <w:lang w:val="fr-FR"/>
              </w:rPr>
            </w:pPr>
            <w:r>
              <w:rPr>
                <w:lang w:val="fr-FR"/>
              </w:rPr>
              <w:t>Affaiblissement d'IM</w:t>
            </w:r>
          </w:p>
        </w:tc>
      </w:tr>
      <w:tr w:rsidR="006D667B" w:rsidTr="00DD45B4">
        <w:tc>
          <w:tcPr>
            <w:tcW w:w="4253" w:type="dxa"/>
          </w:tcPr>
          <w:p w:rsidR="006D667B" w:rsidRDefault="006D667B" w:rsidP="00DD45B4">
            <w:pPr>
              <w:pStyle w:val="TableText0"/>
              <w:framePr w:hSpace="181" w:wrap="notBeside" w:vAnchor="text" w:hAnchor="text" w:xAlign="center" w:y="1"/>
              <w:spacing w:after="60"/>
              <w:jc w:val="left"/>
              <w:rPr>
                <w:lang w:val="fr-FR"/>
              </w:rPr>
            </w:pPr>
            <w:r>
              <w:rPr>
                <w:lang w:val="fr-FR"/>
              </w:rPr>
              <w:t>GSM900</w:t>
            </w:r>
          </w:p>
          <w:p w:rsidR="006D667B" w:rsidRDefault="006D667B" w:rsidP="00DD45B4">
            <w:pPr>
              <w:pStyle w:val="TableText0"/>
              <w:framePr w:hSpace="181" w:wrap="notBeside" w:vAnchor="text" w:hAnchor="text" w:xAlign="center" w:y="1"/>
              <w:spacing w:before="0"/>
              <w:ind w:left="284"/>
              <w:jc w:val="left"/>
              <w:rPr>
                <w:lang w:val="fr-FR"/>
              </w:rPr>
            </w:pPr>
            <w:r>
              <w:rPr>
                <w:lang w:val="fr-FR"/>
              </w:rPr>
              <w:t>Station d'émission/réception de base et autocom</w:t>
            </w:r>
            <w:r>
              <w:rPr>
                <w:lang w:val="fr-FR"/>
              </w:rPr>
              <w:softHyphen/>
              <w:t>mutateur mobile</w:t>
            </w:r>
          </w:p>
        </w:tc>
        <w:tc>
          <w:tcPr>
            <w:tcW w:w="4253" w:type="dxa"/>
          </w:tcPr>
          <w:p w:rsidR="006D667B" w:rsidRDefault="006D667B" w:rsidP="00DD45B4">
            <w:pPr>
              <w:pStyle w:val="TableText0"/>
              <w:framePr w:hSpace="181" w:wrap="notBeside" w:vAnchor="text" w:hAnchor="text" w:xAlign="center" w:y="1"/>
              <w:spacing w:after="60"/>
              <w:jc w:val="center"/>
              <w:rPr>
                <w:lang w:val="fr-FR"/>
              </w:rPr>
            </w:pPr>
          </w:p>
          <w:p w:rsidR="006D667B" w:rsidRDefault="006D667B" w:rsidP="00A50FAD">
            <w:pPr>
              <w:pStyle w:val="TableText0"/>
              <w:framePr w:hSpace="181" w:wrap="notBeside" w:vAnchor="text" w:hAnchor="text" w:xAlign="center" w:y="1"/>
              <w:spacing w:before="0"/>
              <w:jc w:val="center"/>
              <w:rPr>
                <w:lang w:val="fr-FR"/>
              </w:rPr>
            </w:pPr>
            <w:r>
              <w:rPr>
                <w:lang w:val="fr-FR"/>
              </w:rPr>
              <w:br/>
            </w:r>
            <w:r w:rsidR="00A50FAD" w:rsidRPr="00A50FAD">
              <w:t>&gt;</w:t>
            </w:r>
            <w:r>
              <w:rPr>
                <w:lang w:val="fr-FR"/>
              </w:rPr>
              <w:t xml:space="preserve"> 70 dB</w:t>
            </w:r>
          </w:p>
        </w:tc>
      </w:tr>
      <w:tr w:rsidR="006D667B" w:rsidTr="00DD45B4">
        <w:tc>
          <w:tcPr>
            <w:tcW w:w="4253" w:type="dxa"/>
          </w:tcPr>
          <w:p w:rsidR="006D667B" w:rsidRDefault="006D667B" w:rsidP="00DD45B4">
            <w:pPr>
              <w:pStyle w:val="TableText0"/>
              <w:framePr w:hSpace="181" w:wrap="notBeside" w:vAnchor="text" w:hAnchor="text" w:xAlign="center" w:y="1"/>
              <w:spacing w:after="60"/>
              <w:jc w:val="left"/>
              <w:rPr>
                <w:lang w:val="fr-FR"/>
              </w:rPr>
            </w:pPr>
            <w:r>
              <w:rPr>
                <w:lang w:val="fr-FR"/>
              </w:rPr>
              <w:t>GSM1800</w:t>
            </w:r>
          </w:p>
          <w:p w:rsidR="006D667B" w:rsidRDefault="006D667B" w:rsidP="00DD45B4">
            <w:pPr>
              <w:pStyle w:val="TableText0"/>
              <w:framePr w:hSpace="181" w:wrap="notBeside" w:vAnchor="text" w:hAnchor="text" w:xAlign="center" w:y="1"/>
              <w:spacing w:before="0"/>
              <w:ind w:left="284"/>
              <w:jc w:val="left"/>
              <w:rPr>
                <w:lang w:val="fr-FR"/>
              </w:rPr>
            </w:pPr>
            <w:r>
              <w:rPr>
                <w:lang w:val="fr-FR"/>
              </w:rPr>
              <w:t>Entre stations mobiles</w:t>
            </w:r>
          </w:p>
        </w:tc>
        <w:tc>
          <w:tcPr>
            <w:tcW w:w="4253" w:type="dxa"/>
          </w:tcPr>
          <w:p w:rsidR="006D667B" w:rsidRDefault="006D667B" w:rsidP="00DD45B4">
            <w:pPr>
              <w:pStyle w:val="TableText0"/>
              <w:framePr w:hSpace="181" w:wrap="notBeside" w:vAnchor="text" w:hAnchor="text" w:xAlign="center" w:y="1"/>
              <w:spacing w:after="60"/>
              <w:jc w:val="center"/>
              <w:rPr>
                <w:lang w:val="fr-FR"/>
              </w:rPr>
            </w:pPr>
          </w:p>
          <w:p w:rsidR="006D667B" w:rsidRDefault="00A50FAD" w:rsidP="00DD45B4">
            <w:pPr>
              <w:pStyle w:val="TableText0"/>
              <w:framePr w:hSpace="181" w:wrap="notBeside" w:vAnchor="text" w:hAnchor="text" w:xAlign="center" w:y="1"/>
              <w:spacing w:before="0"/>
              <w:jc w:val="center"/>
              <w:rPr>
                <w:lang w:val="fr-FR"/>
              </w:rPr>
            </w:pPr>
            <w:r w:rsidRPr="00A50FAD">
              <w:t>&gt;</w:t>
            </w:r>
            <w:r w:rsidR="006D667B">
              <w:rPr>
                <w:lang w:val="fr-FR"/>
              </w:rPr>
              <w:t xml:space="preserve"> 50 dB</w:t>
            </w:r>
          </w:p>
        </w:tc>
      </w:tr>
      <w:tr w:rsidR="006D667B" w:rsidTr="00DD45B4">
        <w:tc>
          <w:tcPr>
            <w:tcW w:w="4253" w:type="dxa"/>
          </w:tcPr>
          <w:p w:rsidR="006D667B" w:rsidRDefault="006D667B" w:rsidP="00DD45B4">
            <w:pPr>
              <w:pStyle w:val="TableText0"/>
              <w:framePr w:hSpace="181" w:wrap="notBeside" w:vAnchor="text" w:hAnchor="text" w:xAlign="center" w:y="1"/>
              <w:spacing w:after="60"/>
              <w:jc w:val="left"/>
              <w:rPr>
                <w:lang w:val="fr-FR"/>
              </w:rPr>
            </w:pPr>
            <w:r>
              <w:rPr>
                <w:lang w:val="fr-FR"/>
              </w:rPr>
              <w:t>TETRA</w:t>
            </w:r>
          </w:p>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1531"/>
              </w:tabs>
              <w:spacing w:before="0"/>
              <w:ind w:left="1531" w:hanging="1247"/>
              <w:jc w:val="left"/>
              <w:rPr>
                <w:lang w:val="fr-FR"/>
              </w:rPr>
            </w:pPr>
            <w:r>
              <w:rPr>
                <w:lang w:val="fr-FR"/>
              </w:rPr>
              <w:t>Station de base,</w:t>
            </w:r>
            <w:r>
              <w:rPr>
                <w:lang w:val="fr-FR"/>
              </w:rPr>
              <w:tab/>
              <w:t xml:space="preserve">un seul canal </w:t>
            </w:r>
            <w:r>
              <w:rPr>
                <w:lang w:val="fr-FR"/>
              </w:rPr>
              <w:br/>
              <w:t xml:space="preserve">plusieurs canaux </w:t>
            </w:r>
            <w:r>
              <w:rPr>
                <w:lang w:val="fr-FR"/>
              </w:rPr>
              <w:br/>
              <w:t>plusieurs émetteurs</w:t>
            </w:r>
          </w:p>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1134"/>
              </w:tabs>
              <w:spacing w:before="0"/>
              <w:ind w:left="1724" w:hanging="1440"/>
              <w:jc w:val="left"/>
              <w:rPr>
                <w:lang w:val="fr-FR"/>
              </w:rPr>
            </w:pPr>
            <w:r>
              <w:rPr>
                <w:lang w:val="fr-FR"/>
              </w:rPr>
              <w:t>Station mobile</w:t>
            </w:r>
          </w:p>
        </w:tc>
        <w:tc>
          <w:tcPr>
            <w:tcW w:w="4253" w:type="dxa"/>
          </w:tcPr>
          <w:p w:rsidR="006D667B" w:rsidRDefault="006D667B" w:rsidP="00DD45B4">
            <w:pPr>
              <w:pStyle w:val="TableText0"/>
              <w:framePr w:hSpace="181" w:wrap="notBeside" w:vAnchor="text" w:hAnchor="text" w:xAlign="center" w:y="1"/>
              <w:spacing w:after="60"/>
              <w:jc w:val="center"/>
              <w:rPr>
                <w:lang w:val="fr-FR"/>
              </w:rPr>
            </w:pPr>
          </w:p>
          <w:p w:rsidR="006D667B" w:rsidRDefault="00A50FAD" w:rsidP="00DD45B4">
            <w:pPr>
              <w:pStyle w:val="TableText0"/>
              <w:framePr w:hSpace="181" w:wrap="notBeside" w:vAnchor="text" w:hAnchor="text" w:xAlign="center" w:y="1"/>
              <w:spacing w:before="0"/>
              <w:jc w:val="center"/>
              <w:rPr>
                <w:lang w:val="fr-FR"/>
              </w:rPr>
            </w:pPr>
            <w:r w:rsidRPr="00A50FAD">
              <w:rPr>
                <w:lang w:val="fr-CH"/>
              </w:rPr>
              <w:t>&gt;</w:t>
            </w:r>
            <w:r w:rsidR="006D667B">
              <w:rPr>
                <w:lang w:val="fr-FR"/>
              </w:rPr>
              <w:t xml:space="preserve"> 40 dB</w:t>
            </w:r>
            <w:r w:rsidR="006D667B">
              <w:rPr>
                <w:lang w:val="fr-FR"/>
              </w:rPr>
              <w:br/>
            </w:r>
            <w:r w:rsidRPr="00A50FAD">
              <w:rPr>
                <w:lang w:val="fr-CH"/>
              </w:rPr>
              <w:t>&gt;</w:t>
            </w:r>
            <w:r w:rsidR="006D667B">
              <w:rPr>
                <w:lang w:val="fr-FR"/>
              </w:rPr>
              <w:t xml:space="preserve"> 70 dB</w:t>
            </w:r>
            <w:r w:rsidR="006D667B">
              <w:rPr>
                <w:lang w:val="fr-FR"/>
              </w:rPr>
              <w:br/>
            </w:r>
            <w:r w:rsidRPr="00A50FAD">
              <w:rPr>
                <w:lang w:val="fr-CH"/>
              </w:rPr>
              <w:t>&gt;</w:t>
            </w:r>
            <w:r w:rsidR="006D667B">
              <w:rPr>
                <w:lang w:val="fr-FR"/>
              </w:rPr>
              <w:t xml:space="preserve"> 60 dB</w:t>
            </w:r>
          </w:p>
          <w:p w:rsidR="006D667B" w:rsidRDefault="00A50FAD" w:rsidP="00DD45B4">
            <w:pPr>
              <w:pStyle w:val="TableText0"/>
              <w:framePr w:hSpace="181" w:wrap="notBeside" w:vAnchor="text" w:hAnchor="text" w:xAlign="center" w:y="1"/>
              <w:spacing w:before="0"/>
              <w:jc w:val="center"/>
              <w:rPr>
                <w:lang w:val="fr-FR"/>
              </w:rPr>
            </w:pPr>
            <w:r w:rsidRPr="00A50FAD">
              <w:rPr>
                <w:lang w:val="fr-CH"/>
              </w:rPr>
              <w:t>&gt;</w:t>
            </w:r>
            <w:r w:rsidR="006D667B">
              <w:rPr>
                <w:lang w:val="fr-FR"/>
              </w:rPr>
              <w:t xml:space="preserve"> 60 dB, mesuré au connecteur de l'antenne</w:t>
            </w:r>
          </w:p>
        </w:tc>
      </w:tr>
      <w:tr w:rsidR="006D667B" w:rsidTr="00DD45B4">
        <w:tc>
          <w:tcPr>
            <w:tcW w:w="4253" w:type="dxa"/>
          </w:tcPr>
          <w:p w:rsidR="006D667B" w:rsidRDefault="006D667B" w:rsidP="00DD45B4">
            <w:pPr>
              <w:pStyle w:val="TableText0"/>
              <w:framePr w:hSpace="181" w:wrap="notBeside" w:vAnchor="text" w:hAnchor="text" w:xAlign="center" w:y="1"/>
              <w:spacing w:after="60"/>
              <w:jc w:val="left"/>
              <w:rPr>
                <w:lang w:val="fr-FR"/>
              </w:rPr>
            </w:pPr>
            <w:r>
              <w:rPr>
                <w:lang w:val="fr-FR"/>
              </w:rPr>
              <w:t>PMR</w:t>
            </w:r>
          </w:p>
          <w:p w:rsidR="006D667B" w:rsidRDefault="006D667B" w:rsidP="00DD45B4">
            <w:pPr>
              <w:pStyle w:val="TableText0"/>
              <w:framePr w:hSpace="181" w:wrap="notBeside" w:vAnchor="text" w:hAnchor="text" w:xAlign="center" w:y="1"/>
              <w:spacing w:before="0" w:after="60"/>
              <w:ind w:left="284"/>
              <w:jc w:val="left"/>
              <w:rPr>
                <w:lang w:val="fr-FR"/>
              </w:rPr>
            </w:pPr>
            <w:r>
              <w:rPr>
                <w:lang w:val="fr-FR"/>
              </w:rPr>
              <w:t>Pour toutes les composantes</w:t>
            </w:r>
          </w:p>
          <w:p w:rsidR="006D667B" w:rsidRDefault="006D667B" w:rsidP="00DD45B4">
            <w:pPr>
              <w:pStyle w:val="TableText0"/>
              <w:framePr w:hSpace="181" w:wrap="notBeside" w:vAnchor="text" w:hAnchor="text" w:xAlign="center" w:y="1"/>
              <w:spacing w:before="0"/>
              <w:ind w:left="284"/>
              <w:jc w:val="left"/>
              <w:rPr>
                <w:lang w:val="fr-FR"/>
              </w:rPr>
            </w:pPr>
            <w:r>
              <w:rPr>
                <w:lang w:val="fr-FR"/>
              </w:rPr>
              <w:t>Plusieurs stations de base sur le même site</w:t>
            </w:r>
          </w:p>
        </w:tc>
        <w:tc>
          <w:tcPr>
            <w:tcW w:w="4253" w:type="dxa"/>
          </w:tcPr>
          <w:p w:rsidR="006D667B" w:rsidRDefault="006D667B" w:rsidP="00DD45B4">
            <w:pPr>
              <w:pStyle w:val="TableText0"/>
              <w:framePr w:hSpace="181" w:wrap="notBeside" w:vAnchor="text" w:hAnchor="text" w:xAlign="center" w:y="1"/>
              <w:spacing w:after="60"/>
              <w:jc w:val="center"/>
              <w:rPr>
                <w:lang w:val="fr-FR"/>
              </w:rPr>
            </w:pPr>
          </w:p>
          <w:p w:rsidR="006D667B" w:rsidRDefault="00A50FAD" w:rsidP="00DD45B4">
            <w:pPr>
              <w:pStyle w:val="TableText0"/>
              <w:framePr w:hSpace="181" w:wrap="notBeside" w:vAnchor="text" w:hAnchor="text" w:xAlign="center" w:y="1"/>
              <w:spacing w:before="0" w:after="40"/>
              <w:jc w:val="center"/>
              <w:rPr>
                <w:lang w:val="fr-FR"/>
              </w:rPr>
            </w:pPr>
            <w:r w:rsidRPr="00A50FAD">
              <w:t>&gt;</w:t>
            </w:r>
            <w:r w:rsidR="006D667B">
              <w:rPr>
                <w:lang w:val="fr-FR"/>
              </w:rPr>
              <w:t xml:space="preserve"> 40 dB</w:t>
            </w:r>
          </w:p>
          <w:p w:rsidR="006D667B" w:rsidRDefault="00A50FAD" w:rsidP="00DD45B4">
            <w:pPr>
              <w:pStyle w:val="TableText0"/>
              <w:framePr w:hSpace="181" w:wrap="notBeside" w:vAnchor="text" w:hAnchor="text" w:xAlign="center" w:y="1"/>
              <w:spacing w:before="0"/>
              <w:jc w:val="center"/>
              <w:rPr>
                <w:lang w:val="fr-FR"/>
              </w:rPr>
            </w:pPr>
            <w:r w:rsidRPr="00A50FAD">
              <w:t>&gt;</w:t>
            </w:r>
            <w:r w:rsidR="006D667B">
              <w:rPr>
                <w:lang w:val="fr-FR"/>
              </w:rPr>
              <w:t xml:space="preserve"> 70 dB</w:t>
            </w:r>
          </w:p>
        </w:tc>
      </w:tr>
    </w:tbl>
    <w:p w:rsidR="006D667B" w:rsidRDefault="006D667B" w:rsidP="006D667B">
      <w:pPr>
        <w:pStyle w:val="Tablefin"/>
        <w:rPr>
          <w:lang w:val="fr-FR"/>
        </w:rPr>
      </w:pPr>
      <w:bookmarkStart w:id="76" w:name="_Toc445524192"/>
      <w:bookmarkStart w:id="77" w:name="_Toc445529708"/>
      <w:bookmarkStart w:id="78" w:name="_Toc460747475"/>
    </w:p>
    <w:p w:rsidR="006D667B" w:rsidRDefault="006D667B" w:rsidP="006D667B">
      <w:pPr>
        <w:pStyle w:val="Heading1"/>
      </w:pPr>
      <w:bookmarkStart w:id="79" w:name="_Toc303683212"/>
      <w:bookmarkStart w:id="80" w:name="_Toc303683410"/>
      <w:r>
        <w:t>3</w:t>
      </w:r>
      <w:r>
        <w:tab/>
        <w:t>Service par satellite</w:t>
      </w:r>
      <w:bookmarkEnd w:id="79"/>
      <w:bookmarkEnd w:id="80"/>
      <w:r>
        <w:t xml:space="preserve"> </w:t>
      </w:r>
      <w:bookmarkEnd w:id="76"/>
      <w:bookmarkEnd w:id="77"/>
      <w:bookmarkEnd w:id="78"/>
    </w:p>
    <w:p w:rsidR="006D667B" w:rsidRPr="00DD45B4" w:rsidRDefault="006D667B" w:rsidP="006D667B">
      <w:pPr>
        <w:rPr>
          <w:sz w:val="20"/>
        </w:rPr>
      </w:pPr>
      <w:r w:rsidRPr="00DD45B4">
        <w:rPr>
          <w:sz w:val="20"/>
        </w:rPr>
        <w:t>Les produits d'IM dans les services par satellite sont dus au fonctionnement de plusieurs porteuses via des amplificateurs communs dans le sous</w:t>
      </w:r>
      <w:r w:rsidRPr="00DD45B4">
        <w:rPr>
          <w:sz w:val="20"/>
        </w:rPr>
        <w:noBreakHyphen/>
        <w:t>système d'émission RF (IM de Type 2). Des exemples des caractéristiques des stations terriennes INTELSAT sont donnés dans le Tableau 3.</w:t>
      </w:r>
    </w:p>
    <w:p w:rsidR="006D667B" w:rsidRDefault="006D667B" w:rsidP="006D667B">
      <w:pPr>
        <w:pStyle w:val="Table"/>
        <w:rPr>
          <w:lang w:val="fr-FR"/>
        </w:rPr>
      </w:pPr>
      <w:r>
        <w:rPr>
          <w:noProof/>
          <w:lang w:val="fr-CH" w:eastAsia="fr-CH"/>
        </w:rPr>
        <mc:AlternateContent>
          <mc:Choice Requires="wps">
            <w:drawing>
              <wp:anchor distT="0" distB="0" distL="114300" distR="114300" simplePos="0" relativeHeight="251660288" behindDoc="0" locked="0" layoutInCell="0" allowOverlap="1" wp14:anchorId="6C3DEA31" wp14:editId="1E4E5CED">
                <wp:simplePos x="0" y="0"/>
                <wp:positionH relativeFrom="column">
                  <wp:posOffset>5412105</wp:posOffset>
                </wp:positionH>
                <wp:positionV relativeFrom="paragraph">
                  <wp:posOffset>165735</wp:posOffset>
                </wp:positionV>
                <wp:extent cx="631825" cy="271145"/>
                <wp:effectExtent l="0" t="0" r="15875" b="1460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B84" w:rsidRDefault="00027B84" w:rsidP="006D66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EA31" id="Rectangle 3" o:spid="_x0000_s1027" style="position:absolute;left:0;text-align:left;margin-left:426.15pt;margin-top:13.05pt;width:49.7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" o:allowincell="f" filled="f" stroked="f" strokeweight="0">
                <v:textbox inset="0,0,0,0">
                  <w:txbxContent>
                    <w:p w:rsidR="00027B84" w:rsidRDefault="00027B84" w:rsidP="006D667B"/>
                  </w:txbxContent>
                </v:textbox>
              </v:rect>
            </w:pict>
          </mc:Fallback>
        </mc:AlternateContent>
      </w:r>
      <w:r>
        <w:rPr>
          <w:lang w:val="fr-FR"/>
        </w:rPr>
        <w:t>TABLEAU  3</w:t>
      </w:r>
    </w:p>
    <w:p w:rsidR="006D667B" w:rsidRDefault="006D667B" w:rsidP="006D667B">
      <w:pPr>
        <w:pStyle w:val="TableTitle0"/>
        <w:rPr>
          <w:lang w:val="fr-FR"/>
        </w:rPr>
      </w:pPr>
      <w:r>
        <w:rPr>
          <w:lang w:val="fr-FR"/>
        </w:rPr>
        <w:t>Exemples de caractéristiques des produits d'IM provenant des stations terriennes  INTELSAT</w:t>
      </w:r>
    </w:p>
    <w:p w:rsidR="006D667B" w:rsidRDefault="006D667B" w:rsidP="006D667B">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387"/>
      </w:tblGrid>
      <w:tr w:rsidR="006D667B" w:rsidTr="00DD45B4">
        <w:tc>
          <w:tcPr>
            <w:tcW w:w="4253" w:type="dxa"/>
            <w:vAlign w:val="center"/>
          </w:tcPr>
          <w:p w:rsidR="006D667B" w:rsidRDefault="006D667B" w:rsidP="00DD45B4">
            <w:pPr>
              <w:pStyle w:val="TableText0"/>
              <w:framePr w:hSpace="181" w:wrap="notBeside" w:vAnchor="text" w:hAnchor="text" w:xAlign="center" w:y="1"/>
              <w:jc w:val="center"/>
              <w:rPr>
                <w:lang w:val="fr-FR"/>
              </w:rPr>
            </w:pPr>
            <w:r>
              <w:rPr>
                <w:lang w:val="fr-FR"/>
              </w:rPr>
              <w:t>Répéteur de liaison montante</w:t>
            </w:r>
          </w:p>
        </w:tc>
        <w:tc>
          <w:tcPr>
            <w:tcW w:w="5387" w:type="dxa"/>
            <w:vAlign w:val="center"/>
          </w:tcPr>
          <w:p w:rsidR="006D667B" w:rsidRDefault="006D667B" w:rsidP="00A50FAD">
            <w:pPr>
              <w:pStyle w:val="TableText0"/>
              <w:framePr w:hSpace="181" w:wrap="notBeside" w:vAnchor="text" w:hAnchor="text" w:xAlign="center" w:y="1"/>
              <w:jc w:val="center"/>
              <w:rPr>
                <w:lang w:val="fr-FR"/>
              </w:rPr>
            </w:pPr>
            <w:r>
              <w:rPr>
                <w:lang w:val="fr-FR"/>
              </w:rPr>
              <w:t>Limites de densité de p.i.r.e. pour un angle d'élévation de 10</w:t>
            </w:r>
            <w:r w:rsidR="00A50FAD" w:rsidRPr="00EF34AC">
              <w:rPr>
                <w:lang w:val="fr-CH"/>
              </w:rPr>
              <w:t>°</w:t>
            </w:r>
            <w:r>
              <w:rPr>
                <w:lang w:val="fr-FR"/>
              </w:rPr>
              <w:t>,</w:t>
            </w:r>
            <w:r>
              <w:rPr>
                <w:lang w:val="fr-FR"/>
              </w:rPr>
              <w:br/>
              <w:t>à l'extrémité du faisceau</w:t>
            </w:r>
          </w:p>
        </w:tc>
      </w:tr>
      <w:tr w:rsidR="006D667B" w:rsidRPr="00BE5A04" w:rsidTr="00DD45B4">
        <w:tc>
          <w:tcPr>
            <w:tcW w:w="4253" w:type="dxa"/>
          </w:tcPr>
          <w:p w:rsidR="006D667B" w:rsidRDefault="006D667B" w:rsidP="00DD45B4">
            <w:pPr>
              <w:pStyle w:val="TableText0"/>
              <w:framePr w:hSpace="181" w:wrap="notBeside" w:vAnchor="text" w:hAnchor="text" w:xAlign="center" w:y="1"/>
              <w:jc w:val="left"/>
              <w:rPr>
                <w:lang w:val="fr-FR"/>
              </w:rPr>
            </w:pPr>
            <w:r>
              <w:rPr>
                <w:lang w:val="fr-FR"/>
              </w:rPr>
              <w:t>4/6 GHz:</w:t>
            </w:r>
            <w:r>
              <w:rPr>
                <w:lang w:val="fr-FR"/>
              </w:rPr>
              <w:br/>
            </w:r>
          </w:p>
          <w:p w:rsidR="006D667B" w:rsidRDefault="006D667B" w:rsidP="00DD45B4">
            <w:pPr>
              <w:pStyle w:val="TableText0"/>
              <w:framePr w:hSpace="181" w:wrap="notBeside" w:vAnchor="text" w:hAnchor="text" w:xAlign="center" w:y="1"/>
              <w:spacing w:before="0"/>
              <w:jc w:val="left"/>
              <w:rPr>
                <w:lang w:val="fr-FR"/>
              </w:rPr>
            </w:pPr>
            <w:r>
              <w:rPr>
                <w:lang w:val="fr-FR"/>
              </w:rPr>
              <w:t>Faisceaux hémisphériques et faisceau de zone</w:t>
            </w:r>
            <w:r>
              <w:rPr>
                <w:lang w:val="fr-FR"/>
              </w:rPr>
              <w:br/>
              <w:t>Faisceaux mondiaux et ponctuels C</w:t>
            </w:r>
          </w:p>
        </w:tc>
        <w:tc>
          <w:tcPr>
            <w:tcW w:w="5387" w:type="dxa"/>
          </w:tcPr>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Toute combinaison de types de porteuses INTELSAT sauf celles qui résultent exclusivement de l'interaction entre porteuses SCPC:</w:t>
            </w:r>
          </w:p>
          <w:p w:rsidR="006D667B" w:rsidRPr="00A552F4" w:rsidRDefault="006D667B" w:rsidP="00DD45B4">
            <w:pPr>
              <w:pStyle w:val="TableText0"/>
              <w:framePr w:hSpace="181" w:wrap="notBeside" w:vAnchor="text" w:hAnchor="text" w:xAlign="center" w:y="1"/>
              <w:tabs>
                <w:tab w:val="clear" w:pos="794"/>
                <w:tab w:val="clear" w:pos="1191"/>
                <w:tab w:val="clear" w:pos="1588"/>
                <w:tab w:val="clear" w:pos="1985"/>
                <w:tab w:val="left" w:pos="567"/>
              </w:tabs>
              <w:spacing w:before="0"/>
              <w:jc w:val="left"/>
              <w:rPr>
                <w:lang w:val="de-CH"/>
              </w:rPr>
            </w:pPr>
            <w:r>
              <w:rPr>
                <w:lang w:val="fr-FR"/>
              </w:rPr>
              <w:tab/>
            </w:r>
            <w:r w:rsidRPr="00A552F4">
              <w:rPr>
                <w:lang w:val="de-CH"/>
              </w:rPr>
              <w:t>21 dB(W/4 kHz)</w:t>
            </w:r>
            <w:r w:rsidRPr="00A552F4">
              <w:rPr>
                <w:lang w:val="de-CH"/>
              </w:rPr>
              <w:br/>
            </w:r>
            <w:r w:rsidRPr="00A552F4">
              <w:rPr>
                <w:lang w:val="de-CH"/>
              </w:rPr>
              <w:tab/>
              <w:t>24 dB(W/4 kHz)</w:t>
            </w:r>
          </w:p>
        </w:tc>
      </w:tr>
      <w:tr w:rsidR="006D667B" w:rsidTr="00DD45B4">
        <w:tc>
          <w:tcPr>
            <w:tcW w:w="4253" w:type="dxa"/>
          </w:tcPr>
          <w:p w:rsidR="006D667B" w:rsidRDefault="006D667B" w:rsidP="00DD45B4">
            <w:pPr>
              <w:pStyle w:val="TableText0"/>
              <w:framePr w:hSpace="181" w:wrap="notBeside" w:vAnchor="text" w:hAnchor="text" w:xAlign="center" w:y="1"/>
              <w:jc w:val="left"/>
              <w:rPr>
                <w:lang w:val="fr-FR"/>
              </w:rPr>
            </w:pPr>
            <w:r>
              <w:rPr>
                <w:lang w:val="fr-FR"/>
              </w:rPr>
              <w:t xml:space="preserve">4/6 GHz: </w:t>
            </w:r>
            <w:r>
              <w:rPr>
                <w:lang w:val="fr-FR"/>
              </w:rPr>
              <w:br/>
            </w:r>
          </w:p>
          <w:p w:rsidR="006D667B" w:rsidRDefault="006D667B" w:rsidP="00DD45B4">
            <w:pPr>
              <w:pStyle w:val="TableText0"/>
              <w:framePr w:hSpace="181" w:wrap="notBeside" w:vAnchor="text" w:hAnchor="text" w:xAlign="center" w:y="1"/>
              <w:spacing w:before="0"/>
              <w:jc w:val="left"/>
              <w:rPr>
                <w:lang w:val="fr-FR"/>
              </w:rPr>
            </w:pPr>
            <w:r>
              <w:rPr>
                <w:lang w:val="fr-FR"/>
              </w:rPr>
              <w:t>Faisceaux mondiaux, hémisphériques et de zone</w:t>
            </w:r>
          </w:p>
        </w:tc>
        <w:tc>
          <w:tcPr>
            <w:tcW w:w="5387" w:type="dxa"/>
          </w:tcPr>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Résultant exclusivement de l'intéraction entre porteuses SCPC préalablement assignées:</w:t>
            </w:r>
          </w:p>
          <w:p w:rsidR="006D667B" w:rsidRDefault="006D667B" w:rsidP="00A50FAD">
            <w:pPr>
              <w:pStyle w:val="TableText0"/>
              <w:framePr w:hSpace="181" w:wrap="notBeside" w:vAnchor="text" w:hAnchor="text" w:xAlign="center" w:y="1"/>
              <w:tabs>
                <w:tab w:val="clear" w:pos="794"/>
                <w:tab w:val="clear" w:pos="1191"/>
                <w:tab w:val="clear" w:pos="1588"/>
                <w:tab w:val="clear" w:pos="1985"/>
                <w:tab w:val="left" w:pos="567"/>
                <w:tab w:val="left" w:pos="2387"/>
              </w:tabs>
              <w:spacing w:before="0"/>
              <w:jc w:val="left"/>
              <w:rPr>
                <w:lang w:val="fr-FR"/>
              </w:rPr>
            </w:pPr>
            <w:r>
              <w:rPr>
                <w:lang w:val="fr-FR"/>
              </w:rPr>
              <w:tab/>
              <w:t>31,5 dBW</w:t>
            </w:r>
            <w:r>
              <w:rPr>
                <w:lang w:val="fr-FR"/>
              </w:rPr>
              <w:tab/>
              <w:t xml:space="preserve">pour 2 </w:t>
            </w:r>
            <w:r w:rsidR="00A50FAD" w:rsidRPr="00A50FAD">
              <w:sym w:font="Symbol" w:char="F0A3"/>
            </w:r>
            <w:r>
              <w:rPr>
                <w:lang w:val="fr-FR"/>
              </w:rPr>
              <w:t xml:space="preserve"> </w:t>
            </w:r>
            <w:r>
              <w:rPr>
                <w:i/>
                <w:iCs/>
                <w:lang w:val="fr-FR"/>
              </w:rPr>
              <w:t>N</w:t>
            </w:r>
            <w:r>
              <w:rPr>
                <w:lang w:val="fr-FR"/>
              </w:rPr>
              <w:t xml:space="preserve"> </w:t>
            </w:r>
            <w:r w:rsidR="00A50FAD" w:rsidRPr="00A50FAD">
              <w:sym w:font="Symbol" w:char="F0A3"/>
            </w:r>
            <w:r>
              <w:rPr>
                <w:lang w:val="fr-FR"/>
              </w:rPr>
              <w:t xml:space="preserve"> 7 canaux SCPC</w:t>
            </w:r>
            <w:r>
              <w:rPr>
                <w:lang w:val="fr-FR"/>
              </w:rPr>
              <w:br/>
            </w:r>
            <w:r>
              <w:rPr>
                <w:lang w:val="fr-FR"/>
              </w:rPr>
              <w:tab/>
              <w:t>48,1 – 20 log</w:t>
            </w:r>
            <w:r>
              <w:rPr>
                <w:position w:val="-4"/>
                <w:sz w:val="14"/>
                <w:lang w:val="fr-FR"/>
              </w:rPr>
              <w:t>10</w:t>
            </w:r>
            <w:r>
              <w:rPr>
                <w:lang w:val="fr-FR"/>
              </w:rPr>
              <w:t xml:space="preserve"> </w:t>
            </w:r>
            <w:r>
              <w:rPr>
                <w:i/>
                <w:iCs/>
                <w:lang w:val="fr-FR"/>
              </w:rPr>
              <w:t>N</w:t>
            </w:r>
            <w:r>
              <w:rPr>
                <w:lang w:val="fr-FR"/>
              </w:rPr>
              <w:tab/>
              <w:t xml:space="preserve">pour </w:t>
            </w:r>
            <w:r>
              <w:rPr>
                <w:i/>
                <w:iCs/>
                <w:lang w:val="fr-FR"/>
              </w:rPr>
              <w:t>N</w:t>
            </w:r>
            <w:r>
              <w:rPr>
                <w:lang w:val="fr-FR"/>
              </w:rPr>
              <w:t xml:space="preserve"> </w:t>
            </w:r>
            <w:r w:rsidR="00A50FAD" w:rsidRPr="00EF34AC">
              <w:rPr>
                <w:lang w:val="fr-CH"/>
              </w:rPr>
              <w:t>&gt;</w:t>
            </w:r>
            <w:r>
              <w:rPr>
                <w:lang w:val="fr-FR"/>
              </w:rPr>
              <w:t xml:space="preserve"> 7</w:t>
            </w:r>
          </w:p>
        </w:tc>
      </w:tr>
      <w:tr w:rsidR="006D667B" w:rsidTr="00DD45B4">
        <w:tc>
          <w:tcPr>
            <w:tcW w:w="4253" w:type="dxa"/>
          </w:tcPr>
          <w:p w:rsidR="006D667B" w:rsidRDefault="006D667B" w:rsidP="00DD45B4">
            <w:pPr>
              <w:pStyle w:val="TableText0"/>
              <w:framePr w:hSpace="181" w:wrap="notBeside" w:vAnchor="text" w:hAnchor="text" w:xAlign="center" w:y="1"/>
              <w:jc w:val="left"/>
              <w:rPr>
                <w:lang w:val="fr-FR"/>
              </w:rPr>
            </w:pPr>
            <w:r>
              <w:rPr>
                <w:lang w:val="fr-FR"/>
              </w:rPr>
              <w:t>11/14 GHz:</w:t>
            </w:r>
            <w:r>
              <w:rPr>
                <w:lang w:val="fr-FR"/>
              </w:rPr>
              <w:br/>
            </w:r>
          </w:p>
          <w:p w:rsidR="006D667B" w:rsidRDefault="006D667B" w:rsidP="00DD45B4">
            <w:pPr>
              <w:pStyle w:val="TableText0"/>
              <w:framePr w:hSpace="181" w:wrap="notBeside" w:vAnchor="text" w:hAnchor="text" w:xAlign="center" w:y="1"/>
              <w:spacing w:before="0"/>
              <w:jc w:val="left"/>
              <w:rPr>
                <w:lang w:val="fr-FR"/>
              </w:rPr>
            </w:pPr>
            <w:r>
              <w:rPr>
                <w:lang w:val="fr-FR"/>
              </w:rPr>
              <w:t>Faisceaux ponctuels</w:t>
            </w:r>
          </w:p>
        </w:tc>
        <w:tc>
          <w:tcPr>
            <w:tcW w:w="5387" w:type="dxa"/>
          </w:tcPr>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Toute combinaison de types de porteuse INTELSAT:</w:t>
            </w:r>
          </w:p>
          <w:p w:rsidR="006D667B" w:rsidRDefault="006D667B" w:rsidP="00DD45B4">
            <w:pPr>
              <w:pStyle w:val="TableText0"/>
              <w:framePr w:hSpace="181" w:wrap="notBeside" w:vAnchor="text" w:hAnchor="text" w:xAlign="center" w:y="1"/>
              <w:tabs>
                <w:tab w:val="clear" w:pos="794"/>
                <w:tab w:val="clear" w:pos="1191"/>
                <w:tab w:val="clear" w:pos="1588"/>
                <w:tab w:val="clear" w:pos="1985"/>
                <w:tab w:val="left" w:pos="567"/>
              </w:tabs>
              <w:spacing w:before="0"/>
              <w:jc w:val="left"/>
              <w:rPr>
                <w:lang w:val="fr-FR"/>
              </w:rPr>
            </w:pPr>
            <w:r>
              <w:rPr>
                <w:lang w:val="fr-FR"/>
              </w:rPr>
              <w:tab/>
              <w:t>10 dB(W/4 kHz)    pour INTELSAT V-VI</w:t>
            </w:r>
            <w:r>
              <w:rPr>
                <w:lang w:val="fr-FR"/>
              </w:rPr>
              <w:br/>
            </w:r>
            <w:r>
              <w:rPr>
                <w:lang w:val="fr-FR"/>
              </w:rPr>
              <w:tab/>
              <w:t>16 dB(W/4 kHz)    pour INTELSAT VII-VIII</w:t>
            </w:r>
          </w:p>
        </w:tc>
      </w:tr>
    </w:tbl>
    <w:p w:rsidR="006D667B" w:rsidRDefault="006D667B" w:rsidP="006D667B">
      <w:pPr>
        <w:pStyle w:val="Tablefin"/>
        <w:rPr>
          <w:lang w:val="fr-FR"/>
        </w:rPr>
      </w:pPr>
    </w:p>
    <w:p w:rsidR="006D667B" w:rsidRPr="00DD45B4" w:rsidRDefault="006D667B" w:rsidP="006D667B">
      <w:pPr>
        <w:rPr>
          <w:sz w:val="20"/>
        </w:rPr>
      </w:pPr>
      <w:r w:rsidRPr="00DD45B4">
        <w:rPr>
          <w:sz w:val="20"/>
        </w:rPr>
        <w:t>On trouvera dans le Tableau 4 des exemples de valeurs types de l'affaiblissement d'IM pour des stations terriennes terrestres/stations terriennes côtières et de l'affaiblissement des produits d'IM en présence de plusieurs porteuses pour des satellites Inmarsat</w:t>
      </w:r>
      <w:r w:rsidRPr="00DD45B4">
        <w:rPr>
          <w:sz w:val="20"/>
        </w:rPr>
        <w:noBreakHyphen/>
        <w:t>2 et Inmarsat</w:t>
      </w:r>
      <w:r w:rsidRPr="00DD45B4">
        <w:rPr>
          <w:sz w:val="20"/>
        </w:rPr>
        <w:noBreakHyphen/>
        <w:t>3.</w:t>
      </w:r>
    </w:p>
    <w:p w:rsidR="006D667B" w:rsidRDefault="006D667B" w:rsidP="006D667B">
      <w:pPr>
        <w:pStyle w:val="Table"/>
        <w:rPr>
          <w:lang w:val="fr-FR"/>
        </w:rPr>
      </w:pPr>
      <w:r>
        <w:rPr>
          <w:lang w:val="fr-FR"/>
        </w:rPr>
        <w:lastRenderedPageBreak/>
        <w:t>TABLEAU  4</w:t>
      </w:r>
    </w:p>
    <w:p w:rsidR="006D667B" w:rsidRDefault="006D667B" w:rsidP="006D667B">
      <w:pPr>
        <w:pStyle w:val="TableTitle0"/>
        <w:rPr>
          <w:lang w:val="fr-FR"/>
        </w:rPr>
      </w:pPr>
      <w:r>
        <w:rPr>
          <w:lang w:val="fr-FR"/>
        </w:rPr>
        <w:t>Exemples d'affaiblissement d'IM de stations terriennes et de stations spatiales Inmarsat</w:t>
      </w:r>
    </w:p>
    <w:p w:rsidR="006D667B" w:rsidRDefault="006D667B" w:rsidP="006D667B">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5387"/>
      </w:tblGrid>
      <w:tr w:rsidR="006D667B" w:rsidTr="00DD45B4">
        <w:tc>
          <w:tcPr>
            <w:tcW w:w="3969" w:type="dxa"/>
          </w:tcPr>
          <w:p w:rsidR="006D667B" w:rsidRDefault="006D667B" w:rsidP="00DD45B4">
            <w:pPr>
              <w:pStyle w:val="TableText0"/>
              <w:framePr w:hSpace="181" w:wrap="notBeside" w:vAnchor="text" w:hAnchor="text" w:xAlign="center" w:y="1"/>
              <w:jc w:val="center"/>
              <w:rPr>
                <w:i/>
                <w:lang w:val="fr-FR"/>
              </w:rPr>
            </w:pPr>
            <w:r>
              <w:rPr>
                <w:lang w:val="fr-FR"/>
              </w:rPr>
              <w:t>Composante de système</w:t>
            </w:r>
          </w:p>
        </w:tc>
        <w:tc>
          <w:tcPr>
            <w:tcW w:w="5387" w:type="dxa"/>
          </w:tcPr>
          <w:p w:rsidR="006D667B" w:rsidRDefault="006D667B" w:rsidP="00DD45B4">
            <w:pPr>
              <w:pStyle w:val="TableText0"/>
              <w:framePr w:hSpace="181" w:wrap="notBeside" w:vAnchor="text" w:hAnchor="text" w:xAlign="center" w:y="1"/>
              <w:jc w:val="center"/>
              <w:rPr>
                <w:i/>
                <w:lang w:val="fr-FR"/>
              </w:rPr>
            </w:pPr>
            <w:r>
              <w:rPr>
                <w:lang w:val="fr-FR"/>
              </w:rPr>
              <w:t>Affaiblissement d'IM</w:t>
            </w:r>
          </w:p>
        </w:tc>
      </w:tr>
      <w:tr w:rsidR="006D667B" w:rsidTr="00DD45B4">
        <w:tc>
          <w:tcPr>
            <w:tcW w:w="3969" w:type="dxa"/>
            <w:tcBorders>
              <w:bottom w:val="nil"/>
            </w:tcBorders>
          </w:tcPr>
          <w:p w:rsidR="006D667B" w:rsidRDefault="006D667B" w:rsidP="00DD45B4">
            <w:pPr>
              <w:pStyle w:val="TableText0"/>
              <w:framePr w:hSpace="181" w:wrap="notBeside" w:vAnchor="text" w:hAnchor="text" w:xAlign="center" w:y="1"/>
              <w:jc w:val="left"/>
              <w:rPr>
                <w:i/>
                <w:lang w:val="fr-FR"/>
              </w:rPr>
            </w:pPr>
            <w:r>
              <w:rPr>
                <w:lang w:val="fr-FR"/>
              </w:rPr>
              <w:t xml:space="preserve">Station terrienne terrestre/station terrienne côtière Inmarsat </w:t>
            </w:r>
          </w:p>
        </w:tc>
        <w:tc>
          <w:tcPr>
            <w:tcW w:w="5387" w:type="dxa"/>
            <w:tcBorders>
              <w:bottom w:val="nil"/>
            </w:tcBorders>
          </w:tcPr>
          <w:p w:rsidR="006D667B" w:rsidRDefault="006D667B" w:rsidP="00DD45B4">
            <w:pPr>
              <w:pStyle w:val="TableText0"/>
              <w:framePr w:hSpace="181" w:wrap="notBeside" w:vAnchor="text" w:hAnchor="text" w:xAlign="center" w:y="1"/>
              <w:spacing w:after="60"/>
              <w:jc w:val="left"/>
              <w:rPr>
                <w:lang w:val="fr-FR"/>
              </w:rPr>
            </w:pPr>
            <w:r>
              <w:rPr>
                <w:lang w:val="fr-FR"/>
              </w:rPr>
              <w:t>Produits d'IM de troisième ordre:</w:t>
            </w:r>
          </w:p>
          <w:p w:rsidR="006D667B" w:rsidRDefault="00A50FAD" w:rsidP="00DD45B4">
            <w:pPr>
              <w:pStyle w:val="TableText0"/>
              <w:framePr w:hSpace="181" w:wrap="notBeside" w:vAnchor="text" w:hAnchor="text" w:xAlign="center" w:y="1"/>
              <w:spacing w:before="0"/>
              <w:ind w:left="284"/>
              <w:jc w:val="left"/>
              <w:rPr>
                <w:lang w:val="fr-FR"/>
              </w:rPr>
            </w:pPr>
            <w:r w:rsidRPr="00A50FAD">
              <w:rPr>
                <w:lang w:val="fr-CH"/>
              </w:rPr>
              <w:t>&gt;</w:t>
            </w:r>
            <w:r w:rsidR="006D667B">
              <w:rPr>
                <w:lang w:val="fr-FR"/>
              </w:rPr>
              <w:t xml:space="preserve"> 30 dB au-dessous de la p.i.r.e. d'une des deux porteuses d'essai, chacune ayant une amplitude de </w:t>
            </w:r>
            <w:r w:rsidR="006D667B">
              <w:rPr>
                <w:i/>
                <w:iCs/>
                <w:lang w:val="fr-FR"/>
              </w:rPr>
              <w:t>p.i.r.e.</w:t>
            </w:r>
            <w:r w:rsidR="006D667B">
              <w:rPr>
                <w:i/>
                <w:iCs/>
                <w:position w:val="-4"/>
                <w:sz w:val="14"/>
                <w:lang w:val="fr-FR"/>
              </w:rPr>
              <w:t>max</w:t>
            </w:r>
            <w:r w:rsidR="006D667B">
              <w:rPr>
                <w:lang w:val="fr-FR"/>
              </w:rPr>
              <w:t xml:space="preserve"> de </w:t>
            </w:r>
            <w:r w:rsidRPr="00A50FAD">
              <w:rPr>
                <w:lang w:val="fr-FR"/>
              </w:rPr>
              <w:t>–</w:t>
            </w:r>
            <w:r w:rsidR="006D667B">
              <w:rPr>
                <w:lang w:val="fr-FR"/>
              </w:rPr>
              <w:t xml:space="preserve">3 dB, où </w:t>
            </w:r>
            <w:r w:rsidR="006D667B">
              <w:rPr>
                <w:i/>
                <w:iCs/>
                <w:lang w:val="fr-FR"/>
              </w:rPr>
              <w:t>p.i.r.e.</w:t>
            </w:r>
            <w:r w:rsidR="006D667B">
              <w:rPr>
                <w:i/>
                <w:iCs/>
                <w:position w:val="-4"/>
                <w:sz w:val="14"/>
                <w:lang w:val="fr-FR"/>
              </w:rPr>
              <w:t>max</w:t>
            </w:r>
            <w:r w:rsidR="006D667B">
              <w:rPr>
                <w:lang w:val="fr-FR"/>
              </w:rPr>
              <w:t xml:space="preserve"> maximum est la p.i.r.e. maximale </w:t>
            </w:r>
          </w:p>
        </w:tc>
      </w:tr>
      <w:tr w:rsidR="006D667B" w:rsidTr="00DD45B4">
        <w:tc>
          <w:tcPr>
            <w:tcW w:w="3969" w:type="dxa"/>
            <w:tcBorders>
              <w:bottom w:val="nil"/>
            </w:tcBorders>
          </w:tcPr>
          <w:p w:rsidR="006D667B" w:rsidRDefault="006D667B" w:rsidP="00DD45B4">
            <w:pPr>
              <w:pStyle w:val="TableText0"/>
              <w:framePr w:hSpace="181" w:wrap="notBeside" w:vAnchor="text" w:hAnchor="text" w:xAlign="center" w:y="1"/>
              <w:jc w:val="left"/>
              <w:rPr>
                <w:i/>
                <w:lang w:val="fr-FR"/>
              </w:rPr>
            </w:pPr>
            <w:r>
              <w:rPr>
                <w:lang w:val="fr-FR"/>
              </w:rPr>
              <w:t xml:space="preserve">Station spatiale Inmarsat-2 </w:t>
            </w:r>
          </w:p>
        </w:tc>
        <w:tc>
          <w:tcPr>
            <w:tcW w:w="5387" w:type="dxa"/>
            <w:tcBorders>
              <w:bottom w:val="nil"/>
            </w:tcBorders>
          </w:tcPr>
          <w:p w:rsidR="006D667B" w:rsidRDefault="006D667B" w:rsidP="00DD45B4">
            <w:pPr>
              <w:pStyle w:val="TableText0"/>
              <w:framePr w:hSpace="181" w:wrap="notBeside" w:vAnchor="text" w:hAnchor="text" w:xAlign="center" w:y="1"/>
              <w:rPr>
                <w:i/>
                <w:lang w:val="fr-FR"/>
              </w:rPr>
            </w:pPr>
            <w:r>
              <w:rPr>
                <w:lang w:val="fr-FR"/>
              </w:rPr>
              <w:t>Dû à plusieurs porteuses:</w:t>
            </w:r>
          </w:p>
        </w:tc>
      </w:tr>
      <w:tr w:rsidR="006D667B" w:rsidTr="00DD45B4">
        <w:tc>
          <w:tcPr>
            <w:tcW w:w="3969" w:type="dxa"/>
            <w:tcBorders>
              <w:top w:val="nil"/>
              <w:bottom w:val="nil"/>
            </w:tcBorders>
          </w:tcPr>
          <w:p w:rsidR="006D667B" w:rsidRDefault="006D667B" w:rsidP="00DD45B4">
            <w:pPr>
              <w:pStyle w:val="TableText0"/>
              <w:framePr w:hSpace="181" w:wrap="notBeside" w:vAnchor="text" w:hAnchor="text" w:xAlign="center" w:y="1"/>
              <w:spacing w:before="20" w:after="20"/>
              <w:ind w:left="284"/>
              <w:jc w:val="left"/>
              <w:rPr>
                <w:lang w:val="fr-FR"/>
              </w:rPr>
            </w:pPr>
            <w:r>
              <w:rPr>
                <w:lang w:val="fr-FR"/>
              </w:rPr>
              <w:t>Répéteur, direction aller</w:t>
            </w:r>
          </w:p>
        </w:tc>
        <w:tc>
          <w:tcPr>
            <w:tcW w:w="5387" w:type="dxa"/>
            <w:tcBorders>
              <w:top w:val="nil"/>
              <w:bottom w:val="nil"/>
            </w:tcBorders>
          </w:tcPr>
          <w:p w:rsidR="006D667B" w:rsidRDefault="00A50FAD" w:rsidP="00DD45B4">
            <w:pPr>
              <w:pStyle w:val="TableText0"/>
              <w:framePr w:hSpace="181" w:wrap="notBeside" w:vAnchor="text" w:hAnchor="text" w:xAlign="center" w:y="1"/>
              <w:spacing w:before="20" w:after="20"/>
              <w:ind w:left="284"/>
              <w:rPr>
                <w:lang w:val="fr-FR"/>
              </w:rPr>
            </w:pPr>
            <w:r w:rsidRPr="00A50FAD">
              <w:t>&gt;</w:t>
            </w:r>
            <w:r w:rsidR="006D667B">
              <w:rPr>
                <w:lang w:val="fr-FR"/>
              </w:rPr>
              <w:t xml:space="preserve"> 13,5 dB </w:t>
            </w:r>
          </w:p>
        </w:tc>
      </w:tr>
      <w:tr w:rsidR="006D667B" w:rsidTr="00DD45B4">
        <w:tc>
          <w:tcPr>
            <w:tcW w:w="3969" w:type="dxa"/>
            <w:tcBorders>
              <w:top w:val="nil"/>
              <w:bottom w:val="nil"/>
            </w:tcBorders>
          </w:tcPr>
          <w:p w:rsidR="006D667B" w:rsidRDefault="006D667B" w:rsidP="00DD45B4">
            <w:pPr>
              <w:pStyle w:val="TableText0"/>
              <w:framePr w:hSpace="181" w:wrap="notBeside" w:vAnchor="text" w:hAnchor="text" w:xAlign="center" w:y="1"/>
              <w:spacing w:before="20" w:after="60"/>
              <w:ind w:left="284"/>
              <w:jc w:val="left"/>
              <w:rPr>
                <w:lang w:val="fr-FR"/>
              </w:rPr>
            </w:pPr>
            <w:r>
              <w:rPr>
                <w:lang w:val="fr-FR"/>
              </w:rPr>
              <w:t>Répéteur, direction retour</w:t>
            </w:r>
          </w:p>
        </w:tc>
        <w:tc>
          <w:tcPr>
            <w:tcW w:w="5387" w:type="dxa"/>
            <w:tcBorders>
              <w:top w:val="nil"/>
              <w:bottom w:val="nil"/>
            </w:tcBorders>
          </w:tcPr>
          <w:p w:rsidR="006D667B" w:rsidRDefault="00A50FAD" w:rsidP="00DD45B4">
            <w:pPr>
              <w:pStyle w:val="TableText0"/>
              <w:framePr w:hSpace="181" w:wrap="notBeside" w:vAnchor="text" w:hAnchor="text" w:xAlign="center" w:y="1"/>
              <w:spacing w:before="20" w:after="60"/>
              <w:ind w:left="284"/>
              <w:rPr>
                <w:lang w:val="fr-FR"/>
              </w:rPr>
            </w:pPr>
            <w:r w:rsidRPr="00A50FAD">
              <w:t>&gt;</w:t>
            </w:r>
            <w:r w:rsidR="006D667B">
              <w:rPr>
                <w:lang w:val="fr-FR"/>
              </w:rPr>
              <w:t xml:space="preserve"> 22,0 dB </w:t>
            </w:r>
          </w:p>
        </w:tc>
      </w:tr>
      <w:tr w:rsidR="006D667B" w:rsidTr="00DD45B4">
        <w:tc>
          <w:tcPr>
            <w:tcW w:w="3969" w:type="dxa"/>
            <w:tcBorders>
              <w:bottom w:val="nil"/>
            </w:tcBorders>
          </w:tcPr>
          <w:p w:rsidR="006D667B" w:rsidRDefault="006D667B" w:rsidP="00DD45B4">
            <w:pPr>
              <w:pStyle w:val="TableText0"/>
              <w:framePr w:hSpace="181" w:wrap="notBeside" w:vAnchor="text" w:hAnchor="text" w:xAlign="center" w:y="1"/>
              <w:jc w:val="left"/>
              <w:rPr>
                <w:lang w:val="fr-FR"/>
              </w:rPr>
            </w:pPr>
            <w:r>
              <w:rPr>
                <w:lang w:val="fr-FR"/>
              </w:rPr>
              <w:t xml:space="preserve">Station spatiale Inmarsat-3 </w:t>
            </w:r>
          </w:p>
        </w:tc>
        <w:tc>
          <w:tcPr>
            <w:tcW w:w="5387" w:type="dxa"/>
            <w:tcBorders>
              <w:bottom w:val="nil"/>
            </w:tcBorders>
          </w:tcPr>
          <w:p w:rsidR="006D667B" w:rsidRDefault="006D667B" w:rsidP="00DD45B4">
            <w:pPr>
              <w:pStyle w:val="TableText0"/>
              <w:framePr w:hSpace="181" w:wrap="notBeside" w:vAnchor="text" w:hAnchor="text" w:xAlign="center" w:y="1"/>
              <w:rPr>
                <w:lang w:val="fr-FR"/>
              </w:rPr>
            </w:pPr>
            <w:r>
              <w:rPr>
                <w:lang w:val="fr-FR"/>
              </w:rPr>
              <w:t>Dû à plusieurs porteuses:</w:t>
            </w:r>
          </w:p>
        </w:tc>
      </w:tr>
      <w:tr w:rsidR="006D667B" w:rsidTr="00DD45B4">
        <w:tc>
          <w:tcPr>
            <w:tcW w:w="3969" w:type="dxa"/>
            <w:tcBorders>
              <w:top w:val="nil"/>
              <w:bottom w:val="nil"/>
            </w:tcBorders>
          </w:tcPr>
          <w:p w:rsidR="006D667B" w:rsidRDefault="006D667B" w:rsidP="00DD45B4">
            <w:pPr>
              <w:pStyle w:val="TableText0"/>
              <w:framePr w:hSpace="181" w:wrap="notBeside" w:vAnchor="text" w:hAnchor="text" w:xAlign="center" w:y="1"/>
              <w:spacing w:before="20" w:after="20"/>
              <w:ind w:left="284"/>
              <w:jc w:val="left"/>
              <w:rPr>
                <w:lang w:val="fr-FR"/>
              </w:rPr>
            </w:pPr>
            <w:r>
              <w:rPr>
                <w:lang w:val="fr-FR"/>
              </w:rPr>
              <w:t>Répéteur, direction aller</w:t>
            </w:r>
          </w:p>
        </w:tc>
        <w:tc>
          <w:tcPr>
            <w:tcW w:w="5387" w:type="dxa"/>
            <w:tcBorders>
              <w:top w:val="nil"/>
              <w:bottom w:val="nil"/>
            </w:tcBorders>
          </w:tcPr>
          <w:p w:rsidR="006D667B" w:rsidRDefault="00A50FAD" w:rsidP="00DD45B4">
            <w:pPr>
              <w:pStyle w:val="TableText0"/>
              <w:framePr w:hSpace="181" w:wrap="notBeside" w:vAnchor="text" w:hAnchor="text" w:xAlign="center" w:y="1"/>
              <w:spacing w:before="20" w:after="20"/>
              <w:ind w:left="284"/>
              <w:rPr>
                <w:lang w:val="fr-FR"/>
              </w:rPr>
            </w:pPr>
            <w:r w:rsidRPr="00A50FAD">
              <w:t>&gt;</w:t>
            </w:r>
            <w:r w:rsidR="006D667B">
              <w:rPr>
                <w:lang w:val="fr-FR"/>
              </w:rPr>
              <w:t xml:space="preserve"> 14,0 dB</w:t>
            </w:r>
          </w:p>
        </w:tc>
      </w:tr>
      <w:tr w:rsidR="006D667B" w:rsidTr="00DD45B4">
        <w:tc>
          <w:tcPr>
            <w:tcW w:w="3969" w:type="dxa"/>
            <w:tcBorders>
              <w:top w:val="nil"/>
            </w:tcBorders>
          </w:tcPr>
          <w:p w:rsidR="006D667B" w:rsidRDefault="006D667B" w:rsidP="00DD45B4">
            <w:pPr>
              <w:pStyle w:val="TableText0"/>
              <w:framePr w:hSpace="181" w:wrap="notBeside" w:vAnchor="text" w:hAnchor="text" w:xAlign="center" w:y="1"/>
              <w:spacing w:before="20" w:after="60"/>
              <w:ind w:left="284"/>
              <w:jc w:val="left"/>
              <w:rPr>
                <w:lang w:val="fr-FR"/>
              </w:rPr>
            </w:pPr>
            <w:r>
              <w:rPr>
                <w:lang w:val="fr-FR"/>
              </w:rPr>
              <w:t>Répéteur, direction retour</w:t>
            </w:r>
          </w:p>
        </w:tc>
        <w:tc>
          <w:tcPr>
            <w:tcW w:w="5387" w:type="dxa"/>
            <w:tcBorders>
              <w:top w:val="nil"/>
            </w:tcBorders>
          </w:tcPr>
          <w:p w:rsidR="006D667B" w:rsidRDefault="00A50FAD" w:rsidP="00DD45B4">
            <w:pPr>
              <w:pStyle w:val="TableText0"/>
              <w:framePr w:hSpace="181" w:wrap="notBeside" w:vAnchor="text" w:hAnchor="text" w:xAlign="center" w:y="1"/>
              <w:spacing w:before="20" w:after="60"/>
              <w:ind w:left="284"/>
              <w:rPr>
                <w:lang w:val="fr-FR"/>
              </w:rPr>
            </w:pPr>
            <w:r w:rsidRPr="00A50FAD">
              <w:t>&gt;</w:t>
            </w:r>
            <w:r w:rsidR="006D667B">
              <w:rPr>
                <w:lang w:val="fr-FR"/>
              </w:rPr>
              <w:t xml:space="preserve"> 21,5 dB </w:t>
            </w:r>
          </w:p>
        </w:tc>
      </w:tr>
    </w:tbl>
    <w:p w:rsidR="006D667B" w:rsidRDefault="006D667B" w:rsidP="006D667B">
      <w:pPr>
        <w:pStyle w:val="Tablefin"/>
        <w:rPr>
          <w:lang w:val="fr-FR"/>
        </w:rPr>
      </w:pPr>
      <w:bookmarkStart w:id="81" w:name="_Toc445524193"/>
      <w:bookmarkStart w:id="82" w:name="_Toc445529709"/>
      <w:bookmarkStart w:id="83" w:name="_Toc460747476"/>
    </w:p>
    <w:p w:rsidR="006D667B" w:rsidRDefault="006D667B" w:rsidP="006D667B">
      <w:pPr>
        <w:pStyle w:val="Heading1"/>
      </w:pPr>
      <w:bookmarkStart w:id="84" w:name="_Toc303683213"/>
      <w:bookmarkStart w:id="85" w:name="_Toc303683411"/>
      <w:r>
        <w:t>4</w:t>
      </w:r>
      <w:r>
        <w:tab/>
      </w:r>
      <w:bookmarkEnd w:id="81"/>
      <w:bookmarkEnd w:id="82"/>
      <w:bookmarkEnd w:id="83"/>
      <w:r>
        <w:t>Services de radiodiffusion</w:t>
      </w:r>
      <w:bookmarkEnd w:id="84"/>
      <w:bookmarkEnd w:id="85"/>
    </w:p>
    <w:p w:rsidR="006D667B" w:rsidRPr="00DD45B4" w:rsidRDefault="006D667B" w:rsidP="006D667B">
      <w:pPr>
        <w:rPr>
          <w:sz w:val="20"/>
        </w:rPr>
      </w:pPr>
      <w:r w:rsidRPr="00DD45B4">
        <w:rPr>
          <w:sz w:val="20"/>
        </w:rPr>
        <w:t xml:space="preserve">Pour des émetteurs de radiodiffusion situés sur le même site, le facteur d'IM inverse est souvent utilisé pour caractériser l'IM entre émetteurs, </w:t>
      </w:r>
      <w:r w:rsidRPr="00DD45B4">
        <w:rPr>
          <w:i/>
          <w:iCs/>
          <w:sz w:val="20"/>
        </w:rPr>
        <w:t>A</w:t>
      </w:r>
      <w:r w:rsidRPr="007B4D6F">
        <w:rPr>
          <w:i/>
          <w:iCs/>
          <w:position w:val="-4"/>
          <w:sz w:val="16"/>
          <w:szCs w:val="16"/>
        </w:rPr>
        <w:t>RIM</w:t>
      </w:r>
      <w:r w:rsidRPr="00DD45B4">
        <w:rPr>
          <w:sz w:val="20"/>
        </w:rPr>
        <w:t>, (Type 3).</w:t>
      </w:r>
    </w:p>
    <w:p w:rsidR="006D667B" w:rsidRPr="00DD45B4" w:rsidRDefault="006D667B" w:rsidP="00A50FAD">
      <w:pPr>
        <w:rPr>
          <w:sz w:val="20"/>
        </w:rPr>
      </w:pPr>
      <w:r w:rsidRPr="00DD45B4">
        <w:rPr>
          <w:sz w:val="20"/>
        </w:rPr>
        <w:t xml:space="preserve">A titre d'illustration on donne l'exemple suivant: l'émetteur de radiodiffusion sonore MF utile fonctionne à </w:t>
      </w:r>
      <w:r w:rsidRPr="00DD45B4">
        <w:rPr>
          <w:i/>
          <w:iCs/>
          <w:sz w:val="20"/>
        </w:rPr>
        <w:t>f</w:t>
      </w:r>
      <w:r w:rsidRPr="007B4D6F">
        <w:rPr>
          <w:position w:val="-4"/>
          <w:sz w:val="16"/>
          <w:szCs w:val="16"/>
        </w:rPr>
        <w:t>1</w:t>
      </w:r>
      <w:r w:rsidRPr="00DD45B4">
        <w:rPr>
          <w:sz w:val="20"/>
        </w:rPr>
        <w:t> </w:t>
      </w:r>
      <w:r w:rsidR="00A50FAD" w:rsidRPr="00A50FAD">
        <w:rPr>
          <w:sz w:val="20"/>
        </w:rPr>
        <w:t>=</w:t>
      </w:r>
      <w:r w:rsidRPr="00DD45B4">
        <w:rPr>
          <w:sz w:val="20"/>
        </w:rPr>
        <w:t xml:space="preserve"> 98 MHz, 300 W de puissance, et il est brouillé par un signal de 300 mW provenant d'un deuxième émetteur. On fait varier la fréquence </w:t>
      </w:r>
      <w:r w:rsidRPr="00DD45B4">
        <w:rPr>
          <w:i/>
          <w:iCs/>
          <w:sz w:val="20"/>
        </w:rPr>
        <w:t>f</w:t>
      </w:r>
      <w:r w:rsidRPr="007B4D6F">
        <w:rPr>
          <w:position w:val="-4"/>
          <w:sz w:val="16"/>
          <w:szCs w:val="16"/>
        </w:rPr>
        <w:t>2</w:t>
      </w:r>
      <w:r w:rsidRPr="00DD45B4">
        <w:rPr>
          <w:sz w:val="20"/>
        </w:rPr>
        <w:t xml:space="preserve"> entre 87,5 MHz et 108 MHz (Bande II) avec un espacement de fréquence de </w:t>
      </w:r>
      <w:r w:rsidR="00A50FAD" w:rsidRPr="00A50FAD">
        <w:rPr>
          <w:sz w:val="20"/>
        </w:rPr>
        <w:t>|</w:t>
      </w:r>
      <w:r w:rsidRPr="00DD45B4">
        <w:rPr>
          <w:sz w:val="20"/>
        </w:rPr>
        <w:t> </w:t>
      </w:r>
      <w:r w:rsidRPr="00DD45B4">
        <w:rPr>
          <w:i/>
          <w:iCs/>
          <w:sz w:val="20"/>
        </w:rPr>
        <w:t>f</w:t>
      </w:r>
      <w:r w:rsidRPr="007B4D6F">
        <w:rPr>
          <w:position w:val="-4"/>
          <w:sz w:val="16"/>
          <w:szCs w:val="16"/>
        </w:rPr>
        <w:t>1</w:t>
      </w:r>
      <w:r w:rsidRPr="00DD45B4">
        <w:rPr>
          <w:sz w:val="20"/>
        </w:rPr>
        <w:t> – </w:t>
      </w:r>
      <w:r w:rsidRPr="00DD45B4">
        <w:rPr>
          <w:i/>
          <w:iCs/>
          <w:sz w:val="20"/>
        </w:rPr>
        <w:t>f</w:t>
      </w:r>
      <w:r w:rsidRPr="007B4D6F">
        <w:rPr>
          <w:position w:val="-4"/>
          <w:sz w:val="16"/>
          <w:szCs w:val="16"/>
        </w:rPr>
        <w:t>2</w:t>
      </w:r>
      <w:r w:rsidRPr="00DD45B4">
        <w:rPr>
          <w:sz w:val="20"/>
        </w:rPr>
        <w:t> </w:t>
      </w:r>
      <w:r w:rsidR="00A50FAD" w:rsidRPr="00A50FAD">
        <w:rPr>
          <w:sz w:val="20"/>
        </w:rPr>
        <w:t>|</w:t>
      </w:r>
      <w:r w:rsidRPr="00DD45B4">
        <w:rPr>
          <w:sz w:val="20"/>
        </w:rPr>
        <w:t> </w:t>
      </w:r>
      <w:r w:rsidR="00A50FAD" w:rsidRPr="00A50FAD">
        <w:rPr>
          <w:sz w:val="20"/>
        </w:rPr>
        <w:t>&gt;</w:t>
      </w:r>
      <w:r w:rsidRPr="00DD45B4">
        <w:rPr>
          <w:sz w:val="20"/>
        </w:rPr>
        <w:t> 300 kHz. Les résultats sont données dans le Tableau 5.</w:t>
      </w:r>
    </w:p>
    <w:p w:rsidR="006D667B" w:rsidRDefault="006D667B" w:rsidP="006D667B">
      <w:pPr>
        <w:pStyle w:val="Table"/>
        <w:rPr>
          <w:lang w:val="fr-FR"/>
        </w:rPr>
      </w:pPr>
      <w:r>
        <w:rPr>
          <w:noProof/>
          <w:lang w:val="fr-CH" w:eastAsia="fr-CH"/>
        </w:rPr>
        <mc:AlternateContent>
          <mc:Choice Requires="wps">
            <w:drawing>
              <wp:anchor distT="0" distB="0" distL="114300" distR="114300" simplePos="0" relativeHeight="251661312" behindDoc="0" locked="0" layoutInCell="0" allowOverlap="1">
                <wp:simplePos x="0" y="0"/>
                <wp:positionH relativeFrom="column">
                  <wp:posOffset>5412105</wp:posOffset>
                </wp:positionH>
                <wp:positionV relativeFrom="paragraph">
                  <wp:posOffset>165735</wp:posOffset>
                </wp:positionV>
                <wp:extent cx="631825" cy="271145"/>
                <wp:effectExtent l="0" t="0" r="15875" b="1460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B84" w:rsidRDefault="00027B84" w:rsidP="006D66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26.15pt;margin-top:13.05pt;width:49.7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" o:allowincell="f" filled="f" stroked="f" strokeweight="0">
                <v:textbox inset="0,0,0,0">
                  <w:txbxContent>
                    <w:p w:rsidR="00027B84" w:rsidRDefault="00027B84" w:rsidP="006D667B"/>
                  </w:txbxContent>
                </v:textbox>
              </v:rect>
            </w:pict>
          </mc:Fallback>
        </mc:AlternateContent>
      </w:r>
      <w:r>
        <w:rPr>
          <w:lang w:val="fr-FR"/>
        </w:rPr>
        <w:t>TABLEAU  5</w:t>
      </w:r>
    </w:p>
    <w:p w:rsidR="006D667B" w:rsidRDefault="006D667B" w:rsidP="006D667B">
      <w:pPr>
        <w:pStyle w:val="TableTitle0"/>
        <w:rPr>
          <w:lang w:val="fr-FR"/>
        </w:rPr>
      </w:pPr>
      <w:r>
        <w:rPr>
          <w:lang w:val="fr-FR"/>
        </w:rPr>
        <w:t>Exemples de facteurs d'IM inverse sur des sites d'émetteurs MF</w:t>
      </w:r>
    </w:p>
    <w:p w:rsidR="006D667B" w:rsidRDefault="006D667B" w:rsidP="006D667B">
      <w:pPr>
        <w:pStyle w:val="Blanc"/>
        <w:rPr>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247"/>
        <w:gridCol w:w="1247"/>
        <w:gridCol w:w="1247"/>
        <w:gridCol w:w="1247"/>
        <w:gridCol w:w="1247"/>
      </w:tblGrid>
      <w:tr w:rsidR="006D667B" w:rsidTr="00DD45B4">
        <w:tc>
          <w:tcPr>
            <w:tcW w:w="2268" w:type="dxa"/>
          </w:tcPr>
          <w:p w:rsidR="006D667B" w:rsidRDefault="006D667B" w:rsidP="00DD45B4">
            <w:pPr>
              <w:pStyle w:val="TableText0"/>
              <w:framePr w:hSpace="181" w:wrap="notBeside" w:vAnchor="text" w:hAnchor="text" w:xAlign="center" w:y="1"/>
              <w:jc w:val="center"/>
              <w:rPr>
                <w:lang w:val="fr-FR"/>
              </w:rPr>
            </w:pPr>
            <w:r>
              <w:rPr>
                <w:lang w:val="fr-FR"/>
              </w:rPr>
              <w:t>Fréquence</w:t>
            </w:r>
          </w:p>
        </w:tc>
        <w:tc>
          <w:tcPr>
            <w:tcW w:w="1247" w:type="dxa"/>
          </w:tcPr>
          <w:p w:rsidR="006D667B" w:rsidRDefault="006D667B" w:rsidP="00DD45B4">
            <w:pPr>
              <w:pStyle w:val="TableText0"/>
              <w:framePr w:hSpace="181" w:wrap="notBeside" w:vAnchor="text" w:hAnchor="text" w:xAlign="center" w:y="1"/>
              <w:jc w:val="center"/>
              <w:rPr>
                <w:lang w:val="fr-FR"/>
              </w:rPr>
            </w:pPr>
            <w:r>
              <w:rPr>
                <w:i/>
                <w:iCs/>
                <w:lang w:val="fr-FR"/>
              </w:rPr>
              <w:t>f</w:t>
            </w:r>
            <w:r>
              <w:rPr>
                <w:position w:val="-4"/>
                <w:sz w:val="14"/>
                <w:lang w:val="fr-FR"/>
              </w:rPr>
              <w:t>1</w:t>
            </w:r>
          </w:p>
        </w:tc>
        <w:tc>
          <w:tcPr>
            <w:tcW w:w="1247" w:type="dxa"/>
          </w:tcPr>
          <w:p w:rsidR="006D667B" w:rsidRDefault="006D667B" w:rsidP="00DD45B4">
            <w:pPr>
              <w:pStyle w:val="TableText0"/>
              <w:framePr w:hSpace="181" w:wrap="notBeside" w:vAnchor="text" w:hAnchor="text" w:xAlign="center" w:y="1"/>
              <w:jc w:val="center"/>
              <w:rPr>
                <w:lang w:val="fr-FR"/>
              </w:rPr>
            </w:pPr>
            <w:r>
              <w:rPr>
                <w:i/>
                <w:iCs/>
                <w:lang w:val="fr-FR"/>
              </w:rPr>
              <w:t>f</w:t>
            </w:r>
            <w:r>
              <w:rPr>
                <w:position w:val="-4"/>
                <w:sz w:val="14"/>
                <w:lang w:val="fr-FR"/>
              </w:rPr>
              <w:t>2</w:t>
            </w:r>
          </w:p>
        </w:tc>
        <w:tc>
          <w:tcPr>
            <w:tcW w:w="1247" w:type="dxa"/>
          </w:tcPr>
          <w:p w:rsidR="006D667B" w:rsidRDefault="006D667B" w:rsidP="00DD45B4">
            <w:pPr>
              <w:pStyle w:val="TableText0"/>
              <w:framePr w:hSpace="181" w:wrap="notBeside" w:vAnchor="text" w:hAnchor="text" w:xAlign="center" w:y="1"/>
              <w:jc w:val="center"/>
              <w:rPr>
                <w:lang w:val="en-US"/>
              </w:rPr>
            </w:pPr>
            <w:r>
              <w:rPr>
                <w:rFonts w:ascii="Tms Rmn" w:hAnsi="Tms Rmn"/>
                <w:lang w:val="en-US"/>
              </w:rPr>
              <w:t>2</w:t>
            </w:r>
            <w:r>
              <w:rPr>
                <w:rFonts w:ascii="Tms Rmn" w:hAnsi="Tms Rmn"/>
                <w:sz w:val="12"/>
                <w:lang w:val="en-US"/>
              </w:rPr>
              <w:t> </w:t>
            </w:r>
            <w:r>
              <w:rPr>
                <w:rFonts w:ascii="Tms Rmn" w:hAnsi="Tms Rmn"/>
                <w:i/>
                <w:iCs/>
                <w:lang w:val="en-US"/>
              </w:rPr>
              <w:t>f</w:t>
            </w:r>
            <w:r>
              <w:rPr>
                <w:rFonts w:ascii="Tms Rmn" w:hAnsi="Tms Rmn"/>
                <w:position w:val="-4"/>
                <w:sz w:val="14"/>
                <w:lang w:val="en-US"/>
              </w:rPr>
              <w:t>1</w:t>
            </w:r>
            <w:r>
              <w:rPr>
                <w:lang w:val="en-US"/>
              </w:rPr>
              <w:t xml:space="preserve"> – </w:t>
            </w:r>
            <w:r>
              <w:rPr>
                <w:i/>
                <w:iCs/>
                <w:lang w:val="en-US"/>
              </w:rPr>
              <w:t>f</w:t>
            </w:r>
            <w:r>
              <w:rPr>
                <w:position w:val="-4"/>
                <w:sz w:val="14"/>
                <w:lang w:val="en-US"/>
              </w:rPr>
              <w:t>2</w:t>
            </w:r>
          </w:p>
        </w:tc>
        <w:tc>
          <w:tcPr>
            <w:tcW w:w="1247" w:type="dxa"/>
          </w:tcPr>
          <w:p w:rsidR="006D667B" w:rsidRDefault="006D667B" w:rsidP="00DD45B4">
            <w:pPr>
              <w:pStyle w:val="TableText0"/>
              <w:framePr w:hSpace="181" w:wrap="notBeside" w:vAnchor="text" w:hAnchor="text" w:xAlign="center" w:y="1"/>
              <w:jc w:val="center"/>
              <w:rPr>
                <w:lang w:val="en-US"/>
              </w:rPr>
            </w:pPr>
            <w:r>
              <w:rPr>
                <w:lang w:val="en-US"/>
              </w:rPr>
              <w:t>2</w:t>
            </w:r>
            <w:r>
              <w:rPr>
                <w:rFonts w:ascii="Tms Rmn" w:hAnsi="Tms Rmn"/>
                <w:sz w:val="12"/>
                <w:lang w:val="en-US"/>
              </w:rPr>
              <w:t> </w:t>
            </w:r>
            <w:r>
              <w:rPr>
                <w:i/>
                <w:iCs/>
                <w:lang w:val="en-US"/>
              </w:rPr>
              <w:t>f</w:t>
            </w:r>
            <w:r>
              <w:rPr>
                <w:position w:val="-4"/>
                <w:sz w:val="14"/>
                <w:lang w:val="en-US"/>
              </w:rPr>
              <w:t>2</w:t>
            </w:r>
            <w:r>
              <w:rPr>
                <w:lang w:val="en-US"/>
              </w:rPr>
              <w:t xml:space="preserve"> – </w:t>
            </w:r>
            <w:r>
              <w:rPr>
                <w:i/>
                <w:iCs/>
                <w:lang w:val="en-US"/>
              </w:rPr>
              <w:t>f</w:t>
            </w:r>
            <w:r>
              <w:rPr>
                <w:position w:val="-4"/>
                <w:sz w:val="14"/>
                <w:lang w:val="en-US"/>
              </w:rPr>
              <w:t>1</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3</w:t>
            </w:r>
            <w:r>
              <w:rPr>
                <w:rFonts w:ascii="Tms Rmn" w:hAnsi="Tms Rmn"/>
                <w:sz w:val="12"/>
                <w:lang w:val="fr-FR"/>
              </w:rPr>
              <w:t> </w:t>
            </w:r>
            <w:r>
              <w:rPr>
                <w:i/>
                <w:iCs/>
                <w:lang w:val="fr-FR"/>
              </w:rPr>
              <w:t>f</w:t>
            </w:r>
            <w:r>
              <w:rPr>
                <w:position w:val="-4"/>
                <w:sz w:val="14"/>
                <w:lang w:val="fr-FR"/>
              </w:rPr>
              <w:t>1</w:t>
            </w:r>
            <w:r>
              <w:rPr>
                <w:lang w:val="fr-FR"/>
              </w:rPr>
              <w:t xml:space="preserve"> – </w:t>
            </w:r>
            <w:r>
              <w:rPr>
                <w:i/>
                <w:iCs/>
                <w:lang w:val="fr-FR"/>
              </w:rPr>
              <w:t>f</w:t>
            </w:r>
            <w:r>
              <w:rPr>
                <w:position w:val="-4"/>
                <w:sz w:val="14"/>
                <w:lang w:val="fr-FR"/>
              </w:rPr>
              <w:t>2</w:t>
            </w:r>
          </w:p>
        </w:tc>
      </w:tr>
      <w:tr w:rsidR="006D667B" w:rsidTr="00DD45B4">
        <w:tc>
          <w:tcPr>
            <w:tcW w:w="2268" w:type="dxa"/>
          </w:tcPr>
          <w:p w:rsidR="006D667B" w:rsidRDefault="006D667B" w:rsidP="00DD45B4">
            <w:pPr>
              <w:pStyle w:val="TableText0"/>
              <w:framePr w:hSpace="181" w:wrap="notBeside" w:vAnchor="text" w:hAnchor="text" w:xAlign="center" w:y="1"/>
              <w:jc w:val="left"/>
              <w:rPr>
                <w:lang w:val="fr-FR"/>
              </w:rPr>
            </w:pPr>
            <w:r>
              <w:rPr>
                <w:lang w:val="fr-FR"/>
              </w:rPr>
              <w:t>Puissance absolue (dBm)</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55</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25</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15</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–5</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–20</w:t>
            </w:r>
          </w:p>
        </w:tc>
      </w:tr>
      <w:tr w:rsidR="006D667B" w:rsidTr="00DD45B4">
        <w:tc>
          <w:tcPr>
            <w:tcW w:w="2268" w:type="dxa"/>
          </w:tcPr>
          <w:p w:rsidR="006D667B" w:rsidRDefault="006D667B" w:rsidP="00DD45B4">
            <w:pPr>
              <w:pStyle w:val="TableText0"/>
              <w:framePr w:hSpace="181" w:wrap="notBeside" w:vAnchor="text" w:hAnchor="text" w:xAlign="center" w:y="1"/>
              <w:jc w:val="left"/>
              <w:rPr>
                <w:lang w:val="fr-FR"/>
              </w:rPr>
            </w:pPr>
            <w:r>
              <w:rPr>
                <w:i/>
                <w:iCs/>
                <w:lang w:val="fr-FR"/>
              </w:rPr>
              <w:t>A</w:t>
            </w:r>
            <w:r>
              <w:rPr>
                <w:i/>
                <w:iCs/>
                <w:position w:val="-4"/>
                <w:sz w:val="14"/>
                <w:lang w:val="fr-FR"/>
              </w:rPr>
              <w:t>RIM</w:t>
            </w:r>
            <w:r>
              <w:rPr>
                <w:lang w:val="fr-FR"/>
              </w:rPr>
              <w:t xml:space="preserve"> (dB)</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10</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30</w:t>
            </w:r>
          </w:p>
        </w:tc>
        <w:tc>
          <w:tcPr>
            <w:tcW w:w="1247" w:type="dxa"/>
          </w:tcPr>
          <w:p w:rsidR="006D667B" w:rsidRDefault="006D667B" w:rsidP="00DD45B4">
            <w:pPr>
              <w:pStyle w:val="TableText0"/>
              <w:framePr w:hSpace="181" w:wrap="notBeside" w:vAnchor="text" w:hAnchor="text" w:xAlign="center" w:y="1"/>
              <w:jc w:val="center"/>
              <w:rPr>
                <w:lang w:val="fr-FR"/>
              </w:rPr>
            </w:pPr>
            <w:r>
              <w:rPr>
                <w:lang w:val="fr-FR"/>
              </w:rPr>
              <w:t> </w:t>
            </w:r>
            <w:r>
              <w:rPr>
                <w:rFonts w:ascii="Tms Rmn" w:hAnsi="Tms Rmn"/>
                <w:sz w:val="12"/>
                <w:lang w:val="fr-FR"/>
              </w:rPr>
              <w:t> </w:t>
            </w:r>
            <w:r>
              <w:rPr>
                <w:lang w:val="fr-FR"/>
              </w:rPr>
              <w:t>45</w:t>
            </w:r>
          </w:p>
        </w:tc>
      </w:tr>
    </w:tbl>
    <w:p w:rsidR="006D667B" w:rsidRDefault="006D667B" w:rsidP="006D667B">
      <w:pPr>
        <w:pStyle w:val="Tablefin"/>
        <w:rPr>
          <w:lang w:val="fr-FR"/>
        </w:rPr>
      </w:pPr>
    </w:p>
    <w:p w:rsidR="006D667B" w:rsidRPr="00DD45B4" w:rsidRDefault="006D667B" w:rsidP="006D667B">
      <w:pPr>
        <w:rPr>
          <w:sz w:val="20"/>
        </w:rPr>
      </w:pPr>
      <w:r w:rsidRPr="00DD45B4">
        <w:rPr>
          <w:sz w:val="20"/>
        </w:rPr>
        <w:t>Les valeurs types du facteur d'IM inverse pour des émetteurs MF sont d'au moins 10 dB. L'utilisation d'isolateurs peut accroître la protection.</w:t>
      </w:r>
    </w:p>
    <w:p w:rsidR="006D667B" w:rsidRDefault="006D667B" w:rsidP="006D667B"/>
    <w:p w:rsidR="006D667B" w:rsidRDefault="006D667B" w:rsidP="00DD45B4">
      <w:pPr>
        <w:pStyle w:val="Line"/>
      </w:pPr>
    </w:p>
    <w:p w:rsidR="006D667B" w:rsidRPr="006D667B" w:rsidRDefault="006D667B" w:rsidP="006D667B">
      <w:pPr>
        <w:rPr>
          <w:lang w:val="es-ES_tradnl"/>
        </w:rPr>
      </w:pPr>
    </w:p>
    <w:sectPr w:rsidR="006D667B" w:rsidRPr="006D667B" w:rsidSect="00B916B1">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B84" w:rsidRDefault="00027B84">
      <w:r>
        <w:separator/>
      </w:r>
    </w:p>
  </w:endnote>
  <w:endnote w:type="continuationSeparator" w:id="0">
    <w:p w:rsidR="00027B84" w:rsidRDefault="0002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B84" w:rsidRDefault="00027B84">
      <w:r>
        <w:separator/>
      </w:r>
    </w:p>
  </w:footnote>
  <w:footnote w:type="continuationSeparator" w:id="0">
    <w:p w:rsidR="00027B84" w:rsidRDefault="00027B84">
      <w:r>
        <w:continuationSeparator/>
      </w:r>
    </w:p>
  </w:footnote>
  <w:footnote w:id="1">
    <w:p w:rsidR="00027B84" w:rsidRPr="00DD45B4" w:rsidRDefault="00027B84" w:rsidP="0055435F">
      <w:pPr>
        <w:pStyle w:val="FootnoteText"/>
        <w:rPr>
          <w:sz w:val="18"/>
          <w:szCs w:val="18"/>
          <w:lang w:val="fr-CH"/>
        </w:rPr>
      </w:pPr>
      <w:r w:rsidRPr="002058AE">
        <w:rPr>
          <w:rStyle w:val="FootnoteReference"/>
          <w:lang w:val="fr-CH"/>
        </w:rPr>
        <w:t>*</w:t>
      </w:r>
      <w:r>
        <w:rPr>
          <w:lang w:val="fr-CH"/>
        </w:rPr>
        <w:tab/>
      </w:r>
      <w:r w:rsidR="007F7408">
        <w:rPr>
          <w:sz w:val="18"/>
          <w:szCs w:val="18"/>
          <w:lang w:val="fr-CH"/>
        </w:rPr>
        <w:t xml:space="preserve">La Commission d'études </w:t>
      </w:r>
      <w:r w:rsidRPr="00DD45B4">
        <w:rPr>
          <w:sz w:val="18"/>
          <w:szCs w:val="18"/>
          <w:lang w:val="fr-CH"/>
        </w:rPr>
        <w:t>1 des radiocommunications a apporté des modifications rédactionnelles à la présente Recommandation en 20</w:t>
      </w:r>
      <w:r w:rsidR="007F7408">
        <w:rPr>
          <w:sz w:val="18"/>
          <w:szCs w:val="18"/>
          <w:lang w:val="fr-CH"/>
        </w:rPr>
        <w:t>1</w:t>
      </w:r>
      <w:r w:rsidR="0055435F">
        <w:rPr>
          <w:sz w:val="18"/>
          <w:szCs w:val="18"/>
          <w:lang w:val="fr-CH"/>
        </w:rPr>
        <w:t>6</w:t>
      </w:r>
      <w:r w:rsidR="00BE5A04">
        <w:rPr>
          <w:sz w:val="18"/>
          <w:szCs w:val="18"/>
          <w:lang w:val="fr-CH"/>
        </w:rPr>
        <w:t xml:space="preserve"> et en 2019</w:t>
      </w:r>
      <w:r w:rsidRPr="00DD45B4">
        <w:rPr>
          <w:sz w:val="18"/>
          <w:szCs w:val="18"/>
          <w:lang w:val="fr-CH"/>
        </w:rPr>
        <w:t>, conformément aux dispositions de la Résolution UIT</w:t>
      </w:r>
      <w:r w:rsidRPr="00DD45B4">
        <w:rPr>
          <w:sz w:val="18"/>
          <w:szCs w:val="18"/>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Default="00027B8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Default="00027B84" w:rsidP="00DD45B4">
    <w:pPr>
      <w:pStyle w:val="Header"/>
      <w:ind w:right="360" w:firstLine="360"/>
    </w:pPr>
    <w:r>
      <w:rPr>
        <w:noProof/>
        <w:lang w:val="fr-CH" w:eastAsia="fr-CH"/>
      </w:rPr>
      <w:drawing>
        <wp:anchor distT="0" distB="0" distL="114300" distR="114300" simplePos="0" relativeHeight="251656192" behindDoc="1" locked="0" layoutInCell="1" allowOverlap="1" wp14:anchorId="4EA2D156" wp14:editId="5745AB9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Pr="006D667B" w:rsidRDefault="00027B84">
    <w:pPr>
      <w:pStyle w:val="Header"/>
      <w:jc w:val="left"/>
      <w:rPr>
        <w:lang w:val="en-US"/>
      </w:rPr>
    </w:pPr>
    <w:r>
      <w:rPr>
        <w:rStyle w:val="PageNumber"/>
        <w:b/>
        <w:bCs/>
      </w:rPr>
      <w:fldChar w:fldCharType="begin"/>
    </w:r>
    <w:r w:rsidRPr="006D667B">
      <w:rPr>
        <w:rStyle w:val="PageNumber"/>
        <w:b/>
        <w:bCs/>
        <w:lang w:val="en-US"/>
      </w:rPr>
      <w:instrText xml:space="preserve"> PAGE </w:instrText>
    </w:r>
    <w:r>
      <w:rPr>
        <w:rStyle w:val="PageNumber"/>
        <w:b/>
        <w:bCs/>
      </w:rPr>
      <w:fldChar w:fldCharType="separate"/>
    </w:r>
    <w:r w:rsidR="000200F6">
      <w:rPr>
        <w:rStyle w:val="PageNumber"/>
        <w:b/>
        <w:bCs/>
        <w:noProof/>
        <w:lang w:val="en-US"/>
      </w:rPr>
      <w:t>ii</w:t>
    </w:r>
    <w:r>
      <w:rPr>
        <w:rStyle w:val="PageNumber"/>
        <w:b/>
        <w:bCs/>
      </w:rPr>
      <w:fldChar w:fldCharType="end"/>
    </w:r>
    <w:r w:rsidRPr="006D667B">
      <w:rPr>
        <w:lang w:val="en-US"/>
      </w:rPr>
      <w:tab/>
    </w:r>
    <w:r>
      <w:fldChar w:fldCharType="begin"/>
    </w:r>
    <w:r w:rsidRPr="006D667B">
      <w:rPr>
        <w:lang w:val="en-US"/>
      </w:rPr>
      <w:instrText xml:space="preserve"> DOCPROPERTY "Header" \* MERGEFORMAT </w:instrText>
    </w:r>
    <w:r>
      <w:fldChar w:fldCharType="separate"/>
    </w:r>
    <w:r w:rsidR="000200F6" w:rsidRPr="000200F6">
      <w:rPr>
        <w:b/>
        <w:bCs/>
        <w:lang w:val="en-US"/>
      </w:rPr>
      <w:t xml:space="preserve">Rec. </w:t>
    </w:r>
    <w:r>
      <w:rPr>
        <w:b/>
        <w:bCs/>
      </w:rPr>
      <w:fldChar w:fldCharType="end"/>
    </w:r>
    <w:r w:rsidRPr="006D667B">
      <w:rPr>
        <w:b/>
        <w:bCs/>
        <w:lang w:val="en-US"/>
      </w:rPr>
      <w:t xml:space="preserve"> </w:t>
    </w:r>
    <w:r>
      <w:rPr>
        <w:b/>
        <w:bCs/>
      </w:rPr>
      <w:fldChar w:fldCharType="begin"/>
    </w:r>
    <w:r w:rsidRPr="006D667B">
      <w:rPr>
        <w:b/>
        <w:bCs/>
        <w:lang w:val="en-US"/>
      </w:rPr>
      <w:instrText>styleref href</w:instrText>
    </w:r>
    <w:r>
      <w:rPr>
        <w:b/>
        <w:bCs/>
      </w:rPr>
      <w:fldChar w:fldCharType="separate"/>
    </w:r>
    <w:r w:rsidR="000200F6">
      <w:rPr>
        <w:b/>
        <w:bCs/>
        <w:noProof/>
        <w:lang w:val="en-US"/>
      </w:rPr>
      <w:t>UIT-R SM.1446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Default="00027B84">
    <w:pPr>
      <w:pStyle w:val="Header"/>
    </w:pPr>
    <w:r>
      <w:tab/>
    </w:r>
    <w:r>
      <w:fldChar w:fldCharType="begin"/>
    </w:r>
    <w:r w:rsidRPr="006D667B">
      <w:rPr>
        <w:lang w:val="en-US"/>
      </w:rPr>
      <w:instrText xml:space="preserve"> DOCPROPERTY "Header" \* MERGEFORMAT </w:instrText>
    </w:r>
    <w:r>
      <w:fldChar w:fldCharType="separate"/>
    </w:r>
    <w:r w:rsidR="000200F6" w:rsidRPr="000200F6">
      <w:rPr>
        <w:b/>
        <w:bCs/>
        <w:lang w:val="en-US"/>
      </w:rPr>
      <w:t xml:space="preserve">Rec. </w:t>
    </w:r>
    <w:r>
      <w:rPr>
        <w:b/>
        <w:bCs/>
      </w:rPr>
      <w:fldChar w:fldCharType="end"/>
    </w:r>
    <w:r w:rsidRPr="006D667B">
      <w:rPr>
        <w:b/>
        <w:bCs/>
        <w:lang w:val="en-US"/>
      </w:rPr>
      <w:t xml:space="preserve"> </w:t>
    </w:r>
    <w:r>
      <w:rPr>
        <w:b/>
        <w:bCs/>
      </w:rPr>
      <w:fldChar w:fldCharType="begin"/>
    </w:r>
    <w:r w:rsidRPr="006D667B">
      <w:rPr>
        <w:b/>
        <w:bCs/>
        <w:lang w:val="en-US"/>
      </w:rPr>
      <w:instrText>styleref href</w:instrText>
    </w:r>
    <w:r>
      <w:rPr>
        <w:b/>
        <w:bCs/>
      </w:rPr>
      <w:fldChar w:fldCharType="separate"/>
    </w:r>
    <w:r w:rsidR="000200F6">
      <w:rPr>
        <w:b/>
        <w:bCs/>
        <w:noProof/>
        <w:lang w:val="en-US"/>
      </w:rPr>
      <w:t>UIT-R SM.1446</w:t>
    </w:r>
    <w:r>
      <w:rPr>
        <w:b/>
        <w:bCs/>
      </w:rPr>
      <w:fldChar w:fldCharType="end"/>
    </w:r>
    <w:r w:rsidRPr="006D667B">
      <w:rPr>
        <w:lang w:val="en-US"/>
      </w:rPr>
      <w:tab/>
    </w:r>
    <w:r>
      <w:rPr>
        <w:rStyle w:val="PageNumber"/>
        <w:b/>
        <w:bCs/>
      </w:rPr>
      <w:fldChar w:fldCharType="begin"/>
    </w:r>
    <w:r w:rsidRPr="006D667B">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Default="00027B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00F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200F6" w:rsidRPr="000200F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200F6">
      <w:rPr>
        <w:b/>
        <w:bCs/>
        <w:noProof/>
        <w:lang w:val="en-US"/>
      </w:rPr>
      <w:t>UIT-R SM.1446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84" w:rsidRDefault="00027B84">
    <w:pPr>
      <w:pStyle w:val="Header"/>
    </w:pPr>
    <w:r>
      <w:tab/>
    </w:r>
    <w:fldSimple w:instr=" DOCPROPERTY &quot;Header&quot; \* MERGEFORMAT ">
      <w:r w:rsidR="000200F6" w:rsidRPr="000200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200F6">
      <w:rPr>
        <w:b/>
        <w:bCs/>
        <w:noProof/>
      </w:rPr>
      <w:t>UIT-R SM.1446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00F6">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7B"/>
    <w:rsid w:val="000200F6"/>
    <w:rsid w:val="00027B84"/>
    <w:rsid w:val="00047638"/>
    <w:rsid w:val="000E3CE8"/>
    <w:rsid w:val="001311E5"/>
    <w:rsid w:val="00137D00"/>
    <w:rsid w:val="00217EBF"/>
    <w:rsid w:val="002D76C4"/>
    <w:rsid w:val="003E3F87"/>
    <w:rsid w:val="0055435F"/>
    <w:rsid w:val="00607D68"/>
    <w:rsid w:val="006D667B"/>
    <w:rsid w:val="007468DA"/>
    <w:rsid w:val="007B4D6F"/>
    <w:rsid w:val="007F7408"/>
    <w:rsid w:val="00992A0F"/>
    <w:rsid w:val="009E00A8"/>
    <w:rsid w:val="00A50FAD"/>
    <w:rsid w:val="00A552F4"/>
    <w:rsid w:val="00A6617B"/>
    <w:rsid w:val="00AB0DC8"/>
    <w:rsid w:val="00AC5A8C"/>
    <w:rsid w:val="00AD7CBA"/>
    <w:rsid w:val="00B44E24"/>
    <w:rsid w:val="00B916B1"/>
    <w:rsid w:val="00BD7382"/>
    <w:rsid w:val="00BE5A04"/>
    <w:rsid w:val="00C06F18"/>
    <w:rsid w:val="00C16A45"/>
    <w:rsid w:val="00C446F0"/>
    <w:rsid w:val="00DD45B4"/>
    <w:rsid w:val="00DF4176"/>
    <w:rsid w:val="00E05BDC"/>
    <w:rsid w:val="00EF34AC"/>
    <w:rsid w:val="00F61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E7859B8"/>
  <w15:docId w15:val="{8D46DD49-E709-463E-92BF-B602A266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D667B"/>
    <w:rPr>
      <w:color w:val="0000FF"/>
      <w:u w:val="single"/>
    </w:rPr>
  </w:style>
  <w:style w:type="paragraph" w:customStyle="1" w:styleId="RecNoBR">
    <w:name w:val="Rec_No_BR"/>
    <w:basedOn w:val="Normal"/>
    <w:next w:val="Rectitle"/>
    <w:rsid w:val="006D667B"/>
    <w:pPr>
      <w:keepNext/>
      <w:keepLines/>
      <w:spacing w:before="480"/>
      <w:jc w:val="center"/>
    </w:pPr>
    <w:rPr>
      <w:caps/>
      <w:sz w:val="28"/>
    </w:rPr>
  </w:style>
  <w:style w:type="paragraph" w:customStyle="1" w:styleId="TableLegend0">
    <w:name w:val="Table_Legend"/>
    <w:basedOn w:val="Normal"/>
    <w:next w:val="Normal"/>
    <w:rsid w:val="006D667B"/>
    <w:pPr>
      <w:keepNext/>
      <w:spacing w:before="86" w:line="199" w:lineRule="exact"/>
      <w:ind w:left="-85" w:right="-85"/>
    </w:pPr>
    <w:rPr>
      <w:sz w:val="18"/>
      <w:lang w:val="en-GB"/>
    </w:rPr>
  </w:style>
  <w:style w:type="paragraph" w:customStyle="1" w:styleId="TableTitle0">
    <w:name w:val="Table_Title"/>
    <w:basedOn w:val="Table"/>
    <w:next w:val="Blanc"/>
    <w:rsid w:val="006D667B"/>
    <w:pPr>
      <w:spacing w:before="0"/>
    </w:pPr>
    <w:rPr>
      <w:b/>
    </w:rPr>
  </w:style>
  <w:style w:type="paragraph" w:customStyle="1" w:styleId="Table">
    <w:name w:val="Table_#"/>
    <w:basedOn w:val="Normal"/>
    <w:next w:val="TableTitle0"/>
    <w:rsid w:val="006D667B"/>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D667B"/>
    <w:pPr>
      <w:spacing w:before="100" w:after="100" w:line="190" w:lineRule="exact"/>
      <w:ind w:left="0" w:right="0"/>
    </w:pPr>
  </w:style>
  <w:style w:type="paragraph" w:customStyle="1" w:styleId="Figure0">
    <w:name w:val="Figure_#"/>
    <w:basedOn w:val="Table"/>
    <w:next w:val="Figuretitle"/>
    <w:rsid w:val="006D667B"/>
  </w:style>
  <w:style w:type="paragraph" w:customStyle="1" w:styleId="Annex">
    <w:name w:val="Annex_#"/>
    <w:basedOn w:val="Normal"/>
    <w:next w:val="Annexref"/>
    <w:rsid w:val="006D667B"/>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6D667B"/>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6D667B"/>
    <w:pPr>
      <w:spacing w:before="480"/>
    </w:pPr>
    <w:rPr>
      <w:sz w:val="20"/>
      <w:lang w:val="en-GB"/>
    </w:rPr>
  </w:style>
  <w:style w:type="paragraph" w:customStyle="1" w:styleId="Appendix">
    <w:name w:val="Appendix_#"/>
    <w:basedOn w:val="Annex"/>
    <w:next w:val="Appendixref"/>
    <w:rsid w:val="006D667B"/>
  </w:style>
  <w:style w:type="paragraph" w:customStyle="1" w:styleId="AppendixTitle">
    <w:name w:val="Appendix_Title"/>
    <w:basedOn w:val="AnnexTitle"/>
    <w:next w:val="Normal"/>
    <w:rsid w:val="006D667B"/>
  </w:style>
  <w:style w:type="paragraph" w:customStyle="1" w:styleId="Rec">
    <w:name w:val="Rec_#"/>
    <w:basedOn w:val="Normal"/>
    <w:next w:val="RecTitle0"/>
    <w:rsid w:val="006D667B"/>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Normal"/>
    <w:rsid w:val="006D667B"/>
    <w:pPr>
      <w:spacing w:before="180"/>
    </w:pPr>
    <w:rPr>
      <w:b/>
    </w:rPr>
  </w:style>
  <w:style w:type="paragraph" w:customStyle="1" w:styleId="RecTitleDate">
    <w:name w:val="Rec_Title/Date"/>
    <w:basedOn w:val="Normal"/>
    <w:next w:val="headfoot"/>
    <w:rsid w:val="006D667B"/>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6D667B"/>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D667B"/>
    <w:pPr>
      <w:keepNext/>
      <w:keepLines/>
      <w:tabs>
        <w:tab w:val="clear" w:pos="1191"/>
        <w:tab w:val="clear" w:pos="1588"/>
        <w:tab w:val="clear" w:pos="1985"/>
      </w:tabs>
      <w:spacing w:before="227"/>
      <w:ind w:left="794"/>
      <w:jc w:val="left"/>
    </w:pPr>
    <w:rPr>
      <w:i/>
      <w:sz w:val="20"/>
      <w:lang w:val="en-GB"/>
    </w:rPr>
  </w:style>
  <w:style w:type="paragraph" w:customStyle="1" w:styleId="Fig">
    <w:name w:val="Fig_#"/>
    <w:basedOn w:val="Normal"/>
    <w:next w:val="Normal"/>
    <w:rsid w:val="006D667B"/>
    <w:pPr>
      <w:spacing w:before="136"/>
      <w:jc w:val="left"/>
    </w:pPr>
    <w:rPr>
      <w:color w:val="FFFFF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8559B-DE63-4FF8-824D-5A031622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196</TotalTime>
  <Pages>19</Pages>
  <Words>6173</Words>
  <Characters>33957</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24</cp:revision>
  <cp:lastPrinted>2020-04-23T12:40:00Z</cp:lastPrinted>
  <dcterms:created xsi:type="dcterms:W3CDTF">2011-09-13T09:09:00Z</dcterms:created>
  <dcterms:modified xsi:type="dcterms:W3CDTF">2020-04-23T12:43:00Z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