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7074F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7074F2">
              <w:rPr>
                <w:rFonts w:ascii="Tahoma" w:hAnsi="Tahoma" w:cs="Tahoma"/>
                <w:b/>
                <w:bCs/>
                <w:iCs/>
                <w:color w:val="243285"/>
                <w:sz w:val="36"/>
                <w:szCs w:val="36"/>
              </w:rPr>
              <w:t>1394</w:t>
            </w:r>
            <w:r w:rsidR="002C526D">
              <w:rPr>
                <w:rFonts w:ascii="Tahoma" w:hAnsi="Tahoma" w:cs="Tahoma"/>
                <w:b/>
                <w:bCs/>
                <w:iCs/>
                <w:color w:val="243285"/>
                <w:sz w:val="36"/>
                <w:szCs w:val="36"/>
              </w:rPr>
              <w:t>-0</w:t>
            </w:r>
          </w:p>
          <w:p w:rsidR="00FE79FE" w:rsidRPr="00A443C2" w:rsidRDefault="00FE79FE" w:rsidP="007074F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7074F2">
              <w:rPr>
                <w:rFonts w:ascii="Tahoma" w:hAnsi="Tahoma" w:cs="Tahoma"/>
                <w:b/>
                <w:bCs/>
                <w:iCs/>
                <w:color w:val="243285"/>
                <w:szCs w:val="24"/>
              </w:rPr>
              <w:t>1</w:t>
            </w:r>
            <w:r w:rsidRPr="00A443C2">
              <w:rPr>
                <w:rFonts w:ascii="Tahoma" w:hAnsi="Tahoma" w:cs="Tahoma"/>
                <w:b/>
                <w:bCs/>
                <w:iCs/>
                <w:color w:val="243285"/>
                <w:szCs w:val="24"/>
              </w:rPr>
              <w:t>/</w:t>
            </w:r>
            <w:r w:rsidR="007074F2">
              <w:rPr>
                <w:rFonts w:ascii="Tahoma" w:hAnsi="Tahoma" w:cs="Tahoma"/>
                <w:b/>
                <w:bCs/>
                <w:iCs/>
                <w:color w:val="243285"/>
                <w:szCs w:val="24"/>
              </w:rPr>
              <w:t>1999</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0F5A98" w:rsidP="000F5A98">
            <w:pPr>
              <w:spacing w:before="80" w:line="500" w:lineRule="exact"/>
              <w:jc w:val="right"/>
              <w:rPr>
                <w:rFonts w:ascii="Tahoma" w:hAnsi="Tahoma" w:cs="Tahoma"/>
                <w:b/>
                <w:bCs/>
                <w:iCs/>
                <w:color w:val="243285"/>
                <w:sz w:val="44"/>
                <w:szCs w:val="44"/>
              </w:rPr>
            </w:pPr>
            <w:r w:rsidRPr="007074F2">
              <w:rPr>
                <w:rFonts w:ascii="Tahoma" w:hAnsi="Tahoma" w:cs="Tahoma"/>
                <w:b/>
                <w:bCs/>
                <w:iCs/>
                <w:color w:val="243285"/>
                <w:sz w:val="44"/>
                <w:szCs w:val="44"/>
                <w:lang w:val="fr-CH"/>
              </w:rPr>
              <w:t>Format commun de mémorandum d'accord entre pays</w:t>
            </w:r>
            <w:r>
              <w:rPr>
                <w:rFonts w:ascii="Tahoma" w:hAnsi="Tahoma" w:cs="Tahoma"/>
                <w:b/>
                <w:bCs/>
                <w:iCs/>
                <w:color w:val="243285"/>
                <w:sz w:val="44"/>
                <w:szCs w:val="44"/>
                <w:lang w:val="fr-CH"/>
              </w:rPr>
              <w:t xml:space="preserve"> </w:t>
            </w:r>
            <w:r w:rsidRPr="007074F2">
              <w:rPr>
                <w:rFonts w:ascii="Tahoma" w:hAnsi="Tahoma" w:cs="Tahoma"/>
                <w:b/>
                <w:bCs/>
                <w:iCs/>
                <w:color w:val="243285"/>
                <w:sz w:val="44"/>
                <w:szCs w:val="44"/>
                <w:lang w:val="fr-CH"/>
              </w:rPr>
              <w:t xml:space="preserve">consentants concernant </w:t>
            </w:r>
            <w:r>
              <w:rPr>
                <w:rFonts w:ascii="Tahoma" w:hAnsi="Tahoma" w:cs="Tahoma"/>
                <w:b/>
                <w:bCs/>
                <w:iCs/>
                <w:color w:val="243285"/>
                <w:sz w:val="44"/>
                <w:szCs w:val="44"/>
                <w:lang w:val="fr-CH"/>
              </w:rPr>
              <w:br/>
            </w:r>
            <w:r w:rsidRPr="007074F2">
              <w:rPr>
                <w:rFonts w:ascii="Tahoma" w:hAnsi="Tahoma" w:cs="Tahoma"/>
                <w:b/>
                <w:bCs/>
                <w:iCs/>
                <w:color w:val="243285"/>
                <w:sz w:val="44"/>
                <w:szCs w:val="44"/>
                <w:lang w:val="fr-CH"/>
              </w:rPr>
              <w:t>leur</w:t>
            </w:r>
            <w:r>
              <w:rPr>
                <w:rFonts w:ascii="Tahoma" w:hAnsi="Tahoma" w:cs="Tahoma"/>
                <w:b/>
                <w:bCs/>
                <w:iCs/>
                <w:color w:val="243285"/>
                <w:sz w:val="44"/>
                <w:szCs w:val="44"/>
                <w:lang w:val="fr-CH"/>
              </w:rPr>
              <w:t xml:space="preserve"> </w:t>
            </w:r>
            <w:r w:rsidRPr="007074F2">
              <w:rPr>
                <w:rFonts w:ascii="Tahoma" w:hAnsi="Tahoma" w:cs="Tahoma"/>
                <w:b/>
                <w:bCs/>
                <w:iCs/>
                <w:color w:val="243285"/>
                <w:sz w:val="44"/>
                <w:szCs w:val="44"/>
                <w:lang w:val="fr-CH"/>
              </w:rPr>
              <w:t>coopération en</w:t>
            </w:r>
            <w:r>
              <w:rPr>
                <w:rFonts w:ascii="Tahoma" w:hAnsi="Tahoma" w:cs="Tahoma"/>
                <w:b/>
                <w:bCs/>
                <w:iCs/>
                <w:color w:val="243285"/>
                <w:sz w:val="44"/>
                <w:szCs w:val="44"/>
                <w:lang w:val="fr-CH"/>
              </w:rPr>
              <w:t xml:space="preserve"> </w:t>
            </w:r>
            <w:r w:rsidRPr="007074F2">
              <w:rPr>
                <w:rFonts w:ascii="Tahoma" w:hAnsi="Tahoma" w:cs="Tahoma"/>
                <w:b/>
                <w:bCs/>
                <w:iCs/>
                <w:color w:val="243285"/>
                <w:sz w:val="44"/>
                <w:szCs w:val="44"/>
                <w:lang w:val="fr-CH"/>
              </w:rPr>
              <w:t xml:space="preserve">matière </w:t>
            </w:r>
            <w:r>
              <w:rPr>
                <w:rFonts w:ascii="Tahoma" w:hAnsi="Tahoma" w:cs="Tahoma"/>
                <w:b/>
                <w:bCs/>
                <w:iCs/>
                <w:color w:val="243285"/>
                <w:sz w:val="44"/>
                <w:szCs w:val="44"/>
                <w:lang w:val="fr-CH"/>
              </w:rPr>
              <w:br/>
            </w:r>
            <w:r w:rsidRPr="007074F2">
              <w:rPr>
                <w:rFonts w:ascii="Tahoma" w:hAnsi="Tahoma" w:cs="Tahoma"/>
                <w:b/>
                <w:bCs/>
                <w:iCs/>
                <w:color w:val="243285"/>
                <w:sz w:val="44"/>
                <w:szCs w:val="44"/>
                <w:lang w:val="fr-CH"/>
              </w:rPr>
              <w:t>de contrôle des émissions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7074F2"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595D3D">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rsidTr="009B5564">
        <w:tc>
          <w:tcPr>
            <w:tcW w:w="1140" w:type="dxa"/>
            <w:tcBorders>
              <w:top w:val="nil"/>
              <w:bottom w:val="nil"/>
            </w:tcBorders>
            <w:shd w:val="clear" w:color="auto" w:fill="auto"/>
          </w:tcPr>
          <w:p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rsidTr="009B5564">
        <w:tc>
          <w:tcPr>
            <w:tcW w:w="1140" w:type="dxa"/>
            <w:tcBorders>
              <w:top w:val="nil"/>
              <w:bottom w:val="nil"/>
            </w:tcBorders>
            <w:shd w:val="clear" w:color="auto" w:fill="auto"/>
          </w:tcPr>
          <w:p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rsidTr="009B5564">
        <w:tc>
          <w:tcPr>
            <w:tcW w:w="1140" w:type="dxa"/>
            <w:tcBorders>
              <w:top w:val="nil"/>
              <w:bottom w:val="nil"/>
            </w:tcBorders>
            <w:shd w:val="clear" w:color="auto" w:fill="F3F3F3"/>
          </w:tcPr>
          <w:p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rsidTr="009B5564">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A6833">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CA6833">
        <w:rPr>
          <w:sz w:val="20"/>
        </w:rPr>
        <w:t>1</w:t>
      </w:r>
    </w:p>
    <w:p w:rsidR="00F54FBD" w:rsidRPr="00614CC6" w:rsidRDefault="00F54FBD" w:rsidP="00CA6833">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0A5F59">
        <w:rPr>
          <w:sz w:val="20"/>
        </w:rPr>
        <w:t>1</w:t>
      </w:r>
      <w:r w:rsidR="00CA6833">
        <w:rPr>
          <w:sz w:val="20"/>
        </w:rPr>
        <w:t>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7074F2" w:rsidRPr="007074F2" w:rsidRDefault="00756B4D" w:rsidP="00866AA2">
      <w:pPr>
        <w:pStyle w:val="RecNo"/>
        <w:spacing w:before="240"/>
        <w:rPr>
          <w:sz w:val="20"/>
          <w:lang w:val="fr-CH"/>
        </w:rPr>
      </w:pPr>
      <w:bookmarkStart w:id="2" w:name="irecnoe"/>
      <w:bookmarkEnd w:id="2"/>
      <w:r w:rsidRPr="007074F2">
        <w:rPr>
          <w:sz w:val="20"/>
          <w:lang w:val="fr-CH"/>
        </w:rPr>
        <w:lastRenderedPageBreak/>
        <w:t>RECOMMA</w:t>
      </w:r>
      <w:r w:rsidR="00934ED7" w:rsidRPr="007074F2">
        <w:rPr>
          <w:sz w:val="20"/>
          <w:lang w:val="fr-CH"/>
        </w:rPr>
        <w:t xml:space="preserve">NDATION  </w:t>
      </w:r>
      <w:r w:rsidR="00273CBE" w:rsidRPr="007074F2">
        <w:rPr>
          <w:rStyle w:val="href"/>
          <w:sz w:val="20"/>
          <w:lang w:val="fr-CH"/>
        </w:rPr>
        <w:t>UIT</w:t>
      </w:r>
      <w:r w:rsidR="00934ED7" w:rsidRPr="007074F2">
        <w:rPr>
          <w:rStyle w:val="href"/>
          <w:sz w:val="20"/>
          <w:lang w:val="fr-CH"/>
        </w:rPr>
        <w:t xml:space="preserve">-R  </w:t>
      </w:r>
      <w:r w:rsidR="004822EF" w:rsidRPr="007074F2">
        <w:rPr>
          <w:rStyle w:val="href"/>
          <w:sz w:val="20"/>
          <w:lang w:val="fr-CH"/>
        </w:rPr>
        <w:t>S</w:t>
      </w:r>
      <w:r w:rsidR="009B5564" w:rsidRPr="007074F2">
        <w:rPr>
          <w:rStyle w:val="href"/>
          <w:sz w:val="20"/>
          <w:lang w:val="fr-CH"/>
        </w:rPr>
        <w:t>M</w:t>
      </w:r>
      <w:r w:rsidR="00934ED7" w:rsidRPr="007074F2">
        <w:rPr>
          <w:rStyle w:val="href"/>
          <w:sz w:val="20"/>
          <w:lang w:val="fr-CH"/>
        </w:rPr>
        <w:t>.</w:t>
      </w:r>
      <w:r w:rsidR="007074F2" w:rsidRPr="007074F2">
        <w:rPr>
          <w:rStyle w:val="href"/>
          <w:sz w:val="20"/>
          <w:lang w:val="fr-CH"/>
        </w:rPr>
        <w:t>1394</w:t>
      </w:r>
      <w:r w:rsidR="002C526D">
        <w:rPr>
          <w:rStyle w:val="href"/>
          <w:sz w:val="20"/>
          <w:lang w:val="fr-CH"/>
        </w:rPr>
        <w:t>-0</w:t>
      </w:r>
      <w:r w:rsidR="00CA6833">
        <w:rPr>
          <w:rStyle w:val="FootnoteReference"/>
          <w:lang w:val="fr-CH"/>
        </w:rPr>
        <w:footnoteReference w:id="1"/>
      </w:r>
    </w:p>
    <w:p w:rsidR="007074F2" w:rsidRPr="007074F2" w:rsidRDefault="007074F2" w:rsidP="007074F2">
      <w:pPr>
        <w:pStyle w:val="RecTitle0"/>
        <w:rPr>
          <w:lang w:val="fr-CH"/>
        </w:rPr>
      </w:pPr>
      <w:r w:rsidRPr="007074F2">
        <w:rPr>
          <w:lang w:val="fr-CH"/>
        </w:rPr>
        <w:t xml:space="preserve">FORMAT  COMMUN  DE  MÉMORANDUM  D'ACCORD  ENTRE  PAYS  </w:t>
      </w:r>
      <w:r w:rsidRPr="007074F2">
        <w:rPr>
          <w:lang w:val="fr-CH"/>
        </w:rPr>
        <w:br/>
        <w:t xml:space="preserve">CONSENTANTS  CONCERNANT  LEUR  COOPÉRATION  EN  </w:t>
      </w:r>
      <w:r w:rsidRPr="007074F2">
        <w:rPr>
          <w:lang w:val="fr-CH"/>
        </w:rPr>
        <w:br/>
        <w:t>MATIÈRE  DE  CONTRÔLE  DES  ÉMISSIONS</w:t>
      </w:r>
    </w:p>
    <w:p w:rsidR="007074F2" w:rsidRPr="007074F2" w:rsidRDefault="00CA6833" w:rsidP="007074F2">
      <w:pPr>
        <w:pStyle w:val="RecTitleRef"/>
        <w:rPr>
          <w:lang w:val="fr-CH"/>
        </w:rPr>
      </w:pPr>
      <w:r>
        <w:rPr>
          <w:lang w:val="fr-CH"/>
        </w:rPr>
        <w:t xml:space="preserve">(Article </w:t>
      </w:r>
      <w:r w:rsidR="007074F2" w:rsidRPr="007074F2">
        <w:rPr>
          <w:lang w:val="fr-CH"/>
        </w:rPr>
        <w:t>16 du RR)</w:t>
      </w:r>
    </w:p>
    <w:p w:rsidR="007074F2" w:rsidRPr="007074F2" w:rsidRDefault="007074F2" w:rsidP="007074F2">
      <w:pPr>
        <w:pStyle w:val="RecTitleDate"/>
        <w:rPr>
          <w:lang w:val="fr-CH"/>
        </w:rPr>
      </w:pPr>
      <w:r w:rsidRPr="007074F2">
        <w:rPr>
          <w:lang w:val="fr-CH"/>
        </w:rPr>
        <w:t>(1999)</w:t>
      </w:r>
    </w:p>
    <w:p w:rsidR="007074F2" w:rsidRPr="007074F2" w:rsidRDefault="007074F2" w:rsidP="007074F2">
      <w:pPr>
        <w:pStyle w:val="headfoot"/>
        <w:rPr>
          <w:color w:val="FFFFFF"/>
          <w:lang w:val="fr-CH"/>
        </w:rPr>
      </w:pPr>
      <w:r w:rsidRPr="007074F2">
        <w:rPr>
          <w:color w:val="FFFFFF"/>
          <w:lang w:val="fr-CH"/>
        </w:rPr>
        <w:t>Rec. UIT-R SM.1394</w:t>
      </w:r>
    </w:p>
    <w:p w:rsidR="002C526D" w:rsidRPr="002C526D" w:rsidRDefault="002C526D" w:rsidP="002C526D">
      <w:pPr>
        <w:spacing w:before="0"/>
        <w:rPr>
          <w:b/>
          <w:bCs/>
          <w:sz w:val="20"/>
        </w:rPr>
      </w:pPr>
      <w:r w:rsidRPr="002C526D">
        <w:rPr>
          <w:b/>
          <w:bCs/>
          <w:sz w:val="20"/>
        </w:rPr>
        <w:t>Domaine d'application</w:t>
      </w:r>
    </w:p>
    <w:p w:rsidR="002C526D" w:rsidRPr="002C526D" w:rsidRDefault="002C526D" w:rsidP="002C526D">
      <w:pPr>
        <w:rPr>
          <w:sz w:val="20"/>
        </w:rPr>
      </w:pPr>
      <w:r w:rsidRPr="002C526D">
        <w:rPr>
          <w:sz w:val="20"/>
        </w:rPr>
        <w:t>La présente Recommandation fournit des orientations sur les éléments à prendre en compte lors de l'élaboration d'un mémorandum d'accord concernant la coopération en matière de contrôle des émissions.</w:t>
      </w:r>
    </w:p>
    <w:p w:rsidR="002C526D" w:rsidRPr="002C526D" w:rsidRDefault="002C526D" w:rsidP="002C526D">
      <w:pPr>
        <w:rPr>
          <w:b/>
          <w:sz w:val="20"/>
        </w:rPr>
      </w:pPr>
      <w:r w:rsidRPr="002C526D">
        <w:rPr>
          <w:b/>
          <w:sz w:val="20"/>
        </w:rPr>
        <w:t>Mots clés</w:t>
      </w:r>
    </w:p>
    <w:p w:rsidR="002C526D" w:rsidRPr="002C526D" w:rsidRDefault="002C526D" w:rsidP="002C526D">
      <w:pPr>
        <w:rPr>
          <w:sz w:val="20"/>
        </w:rPr>
      </w:pPr>
      <w:r w:rsidRPr="002C526D">
        <w:rPr>
          <w:sz w:val="20"/>
        </w:rPr>
        <w:t>Mémorandum, format commun, contrôle des émissions</w:t>
      </w:r>
    </w:p>
    <w:p w:rsidR="007074F2" w:rsidRPr="007074F2" w:rsidRDefault="007074F2" w:rsidP="007074F2">
      <w:pPr>
        <w:pStyle w:val="Normalaftertitle0"/>
        <w:rPr>
          <w:lang w:val="fr-CH"/>
        </w:rPr>
      </w:pPr>
      <w:r w:rsidRPr="007074F2">
        <w:rPr>
          <w:lang w:val="fr-CH"/>
        </w:rPr>
        <w:t>L'Assemblée des radiocommunications de l'UIT,</w:t>
      </w:r>
    </w:p>
    <w:p w:rsidR="007074F2" w:rsidRPr="007074F2" w:rsidRDefault="007074F2" w:rsidP="007074F2">
      <w:pPr>
        <w:pStyle w:val="call0"/>
        <w:spacing w:line="0" w:lineRule="atLeast"/>
        <w:rPr>
          <w:lang w:val="fr-CH"/>
        </w:rPr>
      </w:pPr>
      <w:r w:rsidRPr="007074F2">
        <w:rPr>
          <w:lang w:val="fr-CH"/>
        </w:rPr>
        <w:t>considérant</w:t>
      </w:r>
    </w:p>
    <w:p w:rsidR="007074F2" w:rsidRPr="000F5A98" w:rsidRDefault="007074F2" w:rsidP="007074F2">
      <w:pPr>
        <w:spacing w:line="0" w:lineRule="atLeast"/>
        <w:rPr>
          <w:sz w:val="20"/>
        </w:rPr>
      </w:pPr>
      <w:r w:rsidRPr="000F5A98">
        <w:rPr>
          <w:sz w:val="20"/>
        </w:rPr>
        <w:t>a)</w:t>
      </w:r>
      <w:r w:rsidRPr="000F5A98">
        <w:rPr>
          <w:sz w:val="20"/>
        </w:rPr>
        <w:tab/>
        <w:t>la nécessité d'une coopération entre administrations en matière de contrôle des émissions, consistant notamment en l'organisation de visites de formation et en la définition de formats normalisés;</w:t>
      </w:r>
    </w:p>
    <w:p w:rsidR="007074F2" w:rsidRPr="000F5A98" w:rsidRDefault="007074F2" w:rsidP="007074F2">
      <w:pPr>
        <w:spacing w:line="0" w:lineRule="atLeast"/>
        <w:rPr>
          <w:sz w:val="20"/>
        </w:rPr>
      </w:pPr>
      <w:r w:rsidRPr="000F5A98">
        <w:rPr>
          <w:sz w:val="20"/>
        </w:rPr>
        <w:t>b)</w:t>
      </w:r>
      <w:r w:rsidRPr="000F5A98">
        <w:rPr>
          <w:sz w:val="20"/>
        </w:rPr>
        <w:tab/>
        <w:t>la nécessité d'une coopération entre administrations pour la résolution des brouillages;</w:t>
      </w:r>
    </w:p>
    <w:p w:rsidR="007074F2" w:rsidRPr="000F5A98" w:rsidRDefault="007074F2" w:rsidP="007074F2">
      <w:pPr>
        <w:spacing w:line="0" w:lineRule="atLeast"/>
        <w:rPr>
          <w:sz w:val="20"/>
        </w:rPr>
      </w:pPr>
      <w:r w:rsidRPr="000F5A98">
        <w:rPr>
          <w:sz w:val="20"/>
        </w:rPr>
        <w:t>c)</w:t>
      </w:r>
      <w:r w:rsidRPr="000F5A98">
        <w:rPr>
          <w:sz w:val="20"/>
        </w:rPr>
        <w:tab/>
        <w:t>la nécessité d'un échange rapide d'informations techniques relatives au contrôle international des émissions, entre administrations,</w:t>
      </w:r>
    </w:p>
    <w:p w:rsidR="007074F2" w:rsidRPr="000F5A98" w:rsidRDefault="007074F2" w:rsidP="007074F2">
      <w:pPr>
        <w:pStyle w:val="call0"/>
        <w:rPr>
          <w:lang w:val="fr-CH"/>
        </w:rPr>
      </w:pPr>
      <w:r w:rsidRPr="000F5A98">
        <w:rPr>
          <w:lang w:val="fr-CH"/>
        </w:rPr>
        <w:t xml:space="preserve">notant </w:t>
      </w:r>
    </w:p>
    <w:p w:rsidR="007074F2" w:rsidRPr="000F5A98" w:rsidRDefault="00CA6833" w:rsidP="00CA6833">
      <w:pPr>
        <w:spacing w:line="0" w:lineRule="atLeast"/>
        <w:rPr>
          <w:sz w:val="20"/>
        </w:rPr>
      </w:pPr>
      <w:r w:rsidRPr="000F5A98">
        <w:rPr>
          <w:sz w:val="20"/>
        </w:rPr>
        <w:t>a)</w:t>
      </w:r>
      <w:r w:rsidRPr="000F5A98">
        <w:rPr>
          <w:sz w:val="20"/>
        </w:rPr>
        <w:tab/>
        <w:t xml:space="preserve">que, dans l'article </w:t>
      </w:r>
      <w:r w:rsidR="007074F2" w:rsidRPr="000F5A98">
        <w:rPr>
          <w:sz w:val="20"/>
        </w:rPr>
        <w:t>16 du Règlement des radiocommunications (RR) et la Résolution UIT-R 23</w:t>
      </w:r>
      <w:r w:rsidRPr="000F5A98">
        <w:rPr>
          <w:sz w:val="20"/>
        </w:rPr>
        <w:noBreakHyphen/>
        <w:t>1</w:t>
      </w:r>
      <w:r w:rsidR="007074F2" w:rsidRPr="000F5A98">
        <w:rPr>
          <w:sz w:val="20"/>
        </w:rPr>
        <w:t xml:space="preserve"> (</w:t>
      </w:r>
      <w:r w:rsidRPr="000F5A98">
        <w:rPr>
          <w:sz w:val="20"/>
        </w:rPr>
        <w:t>2000</w:t>
      </w:r>
      <w:r w:rsidR="007074F2" w:rsidRPr="000F5A98">
        <w:rPr>
          <w:sz w:val="20"/>
        </w:rPr>
        <w:t>), il est stipulé que la coopération entre les stations de contrôle des émissions relevant d'administrations différentes devrait être encouragée et améliorée en vue d'échanger des informations en la matière et de régler les problèmes de brouillage préjudiciable;</w:t>
      </w:r>
    </w:p>
    <w:p w:rsidR="007074F2" w:rsidRPr="000F5A98" w:rsidRDefault="007074F2" w:rsidP="007074F2">
      <w:pPr>
        <w:spacing w:line="0" w:lineRule="atLeast"/>
        <w:rPr>
          <w:sz w:val="20"/>
        </w:rPr>
      </w:pPr>
      <w:r w:rsidRPr="000F5A98">
        <w:rPr>
          <w:sz w:val="20"/>
        </w:rPr>
        <w:t>b)</w:t>
      </w:r>
      <w:r w:rsidRPr="000F5A98">
        <w:rPr>
          <w:sz w:val="20"/>
        </w:rPr>
        <w:tab/>
        <w:t>que l'échange d'informations de contrôle des émissions en temps réel nécessaire à la résolution des problèmes de brouillage international serait amélioré grâce à une coopération entre administrations;</w:t>
      </w:r>
    </w:p>
    <w:p w:rsidR="007074F2" w:rsidRPr="000F5A98" w:rsidRDefault="007074F2" w:rsidP="007074F2">
      <w:pPr>
        <w:spacing w:line="0" w:lineRule="atLeast"/>
        <w:rPr>
          <w:sz w:val="20"/>
        </w:rPr>
      </w:pPr>
      <w:r w:rsidRPr="000F5A98">
        <w:rPr>
          <w:sz w:val="20"/>
        </w:rPr>
        <w:t>c)</w:t>
      </w:r>
      <w:r w:rsidRPr="000F5A98">
        <w:rPr>
          <w:sz w:val="20"/>
        </w:rPr>
        <w:tab/>
        <w:t>que l'installation de stations évoluées de contrôle des émissions peut être nécessaire pour faciliter l'échange d'informations entre administrations des pays en développement,</w:t>
      </w:r>
    </w:p>
    <w:p w:rsidR="007074F2" w:rsidRPr="000F5A98" w:rsidRDefault="007074F2" w:rsidP="007074F2">
      <w:pPr>
        <w:pStyle w:val="call0"/>
        <w:rPr>
          <w:lang w:val="fr-CH"/>
        </w:rPr>
      </w:pPr>
      <w:r w:rsidRPr="000F5A98">
        <w:rPr>
          <w:lang w:val="fr-CH"/>
        </w:rPr>
        <w:t>recommande</w:t>
      </w:r>
    </w:p>
    <w:p w:rsidR="007074F2" w:rsidRPr="000F5A98" w:rsidRDefault="007074F2" w:rsidP="007074F2">
      <w:pPr>
        <w:spacing w:line="0" w:lineRule="atLeast"/>
        <w:rPr>
          <w:sz w:val="20"/>
        </w:rPr>
      </w:pPr>
      <w:r w:rsidRPr="000F5A98">
        <w:rPr>
          <w:b/>
          <w:sz w:val="20"/>
        </w:rPr>
        <w:t>1</w:t>
      </w:r>
      <w:r w:rsidRPr="000F5A98">
        <w:rPr>
          <w:sz w:val="20"/>
        </w:rPr>
        <w:tab/>
        <w:t>d'envisager d'utiliser un format commun de Mémorandum d'accord concernant la coopération en matière de contrôle des émissions entre administrations, tel que celui présenté dans l'Annexe 1;</w:t>
      </w:r>
    </w:p>
    <w:p w:rsidR="007074F2" w:rsidRDefault="007074F2" w:rsidP="007074F2">
      <w:pPr>
        <w:spacing w:line="0" w:lineRule="atLeast"/>
        <w:rPr>
          <w:sz w:val="20"/>
        </w:rPr>
      </w:pPr>
      <w:r w:rsidRPr="000F5A98">
        <w:rPr>
          <w:b/>
          <w:sz w:val="20"/>
        </w:rPr>
        <w:t>2</w:t>
      </w:r>
      <w:r w:rsidRPr="000F5A98">
        <w:rPr>
          <w:b/>
          <w:sz w:val="20"/>
        </w:rPr>
        <w:tab/>
      </w:r>
      <w:r w:rsidRPr="000F5A98">
        <w:rPr>
          <w:sz w:val="20"/>
        </w:rPr>
        <w:t>aux administrations de prendre en considération les éléments appropriés présentés dans l'Annexe 1 pour satisfaire leurs besoins lors de l'élaboration du Mémorandum d'accord.</w:t>
      </w:r>
    </w:p>
    <w:p w:rsidR="007074F2" w:rsidRPr="007074F2" w:rsidRDefault="007074F2" w:rsidP="007074F2">
      <w:pPr>
        <w:pStyle w:val="Annex"/>
        <w:rPr>
          <w:lang w:val="fr-CH"/>
        </w:rPr>
      </w:pPr>
      <w:r w:rsidRPr="007074F2">
        <w:rPr>
          <w:lang w:val="fr-CH"/>
        </w:rPr>
        <w:t>ANNEXE  1</w:t>
      </w:r>
    </w:p>
    <w:p w:rsidR="007074F2" w:rsidRPr="007074F2" w:rsidRDefault="007074F2" w:rsidP="007074F2">
      <w:pPr>
        <w:pStyle w:val="AnnexRef0"/>
        <w:rPr>
          <w:lang w:val="fr-CH"/>
        </w:rPr>
      </w:pPr>
      <w:r w:rsidRPr="007074F2">
        <w:rPr>
          <w:lang w:val="fr-CH"/>
        </w:rPr>
        <w:t xml:space="preserve">(Les administrations sont invitées à utiliser tout ou partie des éléments </w:t>
      </w:r>
      <w:r w:rsidRPr="007074F2">
        <w:rPr>
          <w:lang w:val="fr-CH"/>
        </w:rPr>
        <w:br/>
        <w:t>de l'exemple suivant, le cas échéant)</w:t>
      </w:r>
    </w:p>
    <w:p w:rsidR="007074F2" w:rsidRPr="007074F2" w:rsidRDefault="007074F2" w:rsidP="007074F2">
      <w:pPr>
        <w:pStyle w:val="AnnexTitle"/>
        <w:rPr>
          <w:lang w:val="fr-CH"/>
        </w:rPr>
      </w:pPr>
      <w:r w:rsidRPr="007074F2">
        <w:rPr>
          <w:lang w:val="fr-CH"/>
        </w:rPr>
        <w:t xml:space="preserve">Mémorandum d'accord concernant la coopération entre </w:t>
      </w:r>
      <w:r w:rsidRPr="007074F2">
        <w:rPr>
          <w:lang w:val="fr-CH"/>
        </w:rPr>
        <w:br/>
        <w:t>administrations en matière de contrôle des émissions</w:t>
      </w:r>
    </w:p>
    <w:p w:rsidR="007074F2" w:rsidRPr="007074F2" w:rsidRDefault="007074F2" w:rsidP="007074F2">
      <w:pPr>
        <w:pStyle w:val="Annex"/>
        <w:rPr>
          <w:lang w:val="fr-CH"/>
        </w:rPr>
      </w:pPr>
      <w:bookmarkStart w:id="3" w:name="_GoBack"/>
      <w:bookmarkEnd w:id="3"/>
      <w:r w:rsidRPr="007074F2">
        <w:rPr>
          <w:lang w:val="fr-CH"/>
        </w:rPr>
        <w:lastRenderedPageBreak/>
        <w:t>ARTICLE  I</w:t>
      </w:r>
    </w:p>
    <w:p w:rsidR="007074F2" w:rsidRPr="007074F2" w:rsidRDefault="007074F2" w:rsidP="007074F2">
      <w:pPr>
        <w:pStyle w:val="Normalaftertitle0"/>
        <w:rPr>
          <w:lang w:val="fr-CH"/>
        </w:rPr>
      </w:pPr>
      <w:r w:rsidRPr="007074F2">
        <w:rPr>
          <w:lang w:val="fr-CH"/>
        </w:rPr>
        <w:t>L'objectif de ce Mémorandum d'accord est de définir un programme de coopération en matière de contrôle des émissions.</w:t>
      </w:r>
    </w:p>
    <w:p w:rsidR="007074F2" w:rsidRPr="007074F2" w:rsidRDefault="007074F2" w:rsidP="007074F2">
      <w:pPr>
        <w:pStyle w:val="Annex"/>
        <w:rPr>
          <w:lang w:val="fr-CH"/>
        </w:rPr>
      </w:pPr>
      <w:r w:rsidRPr="007074F2">
        <w:rPr>
          <w:lang w:val="fr-CH"/>
        </w:rPr>
        <w:t>ARTICLE  II</w:t>
      </w:r>
    </w:p>
    <w:p w:rsidR="007074F2" w:rsidRPr="000F5A98" w:rsidRDefault="007074F2" w:rsidP="007074F2">
      <w:pPr>
        <w:spacing w:line="0" w:lineRule="atLeast"/>
        <w:rPr>
          <w:sz w:val="20"/>
        </w:rPr>
      </w:pPr>
      <w:r w:rsidRPr="000F5A98">
        <w:rPr>
          <w:b/>
          <w:sz w:val="20"/>
        </w:rPr>
        <w:t>1</w:t>
      </w:r>
      <w:r w:rsidRPr="000F5A98">
        <w:rPr>
          <w:sz w:val="20"/>
        </w:rPr>
        <w:tab/>
        <w:t>Les domaines de coopération prévus par ce Mémorandum d'accord sont (par exemple):</w:t>
      </w:r>
    </w:p>
    <w:p w:rsidR="007074F2" w:rsidRPr="000F5A98" w:rsidRDefault="007074F2" w:rsidP="00866AA2">
      <w:pPr>
        <w:pStyle w:val="enumlev1"/>
        <w:tabs>
          <w:tab w:val="clear" w:pos="794"/>
          <w:tab w:val="left" w:pos="426"/>
        </w:tabs>
        <w:ind w:left="426" w:hanging="426"/>
        <w:rPr>
          <w:sz w:val="20"/>
        </w:rPr>
      </w:pPr>
      <w:r w:rsidRPr="000F5A98">
        <w:rPr>
          <w:sz w:val="20"/>
        </w:rPr>
        <w:t>a)</w:t>
      </w:r>
      <w:r w:rsidRPr="000F5A98">
        <w:rPr>
          <w:sz w:val="20"/>
        </w:rPr>
        <w:tab/>
        <w:t>la mise en place de systèmes d'étude nécessaires au contrôle technique des émissions de fréquences radioélectriques et à l'analyse des brouillages;</w:t>
      </w:r>
    </w:p>
    <w:p w:rsidR="007074F2" w:rsidRPr="000F5A98" w:rsidRDefault="007074F2" w:rsidP="00866AA2">
      <w:pPr>
        <w:pStyle w:val="enumlev1"/>
        <w:tabs>
          <w:tab w:val="clear" w:pos="794"/>
          <w:tab w:val="left" w:pos="426"/>
        </w:tabs>
        <w:rPr>
          <w:sz w:val="20"/>
        </w:rPr>
      </w:pPr>
      <w:r w:rsidRPr="000F5A98">
        <w:rPr>
          <w:sz w:val="20"/>
        </w:rPr>
        <w:t>b)</w:t>
      </w:r>
      <w:r w:rsidRPr="000F5A98">
        <w:rPr>
          <w:sz w:val="20"/>
        </w:rPr>
        <w:tab/>
        <w:t>l'homologation des caractéristiques techniques des installations de communication et de contrôle des émissions;</w:t>
      </w:r>
    </w:p>
    <w:p w:rsidR="007074F2" w:rsidRPr="000F5A98" w:rsidRDefault="007074F2" w:rsidP="00866AA2">
      <w:pPr>
        <w:pStyle w:val="enumlev1"/>
        <w:tabs>
          <w:tab w:val="clear" w:pos="794"/>
          <w:tab w:val="left" w:pos="426"/>
        </w:tabs>
        <w:ind w:left="426" w:hanging="426"/>
        <w:rPr>
          <w:sz w:val="20"/>
        </w:rPr>
      </w:pPr>
      <w:r w:rsidRPr="000F5A98">
        <w:rPr>
          <w:sz w:val="20"/>
        </w:rPr>
        <w:t>c)</w:t>
      </w:r>
      <w:r w:rsidRPr="000F5A98">
        <w:rPr>
          <w:sz w:val="20"/>
        </w:rPr>
        <w:tab/>
        <w:t>l'échange rapide, entre les bureaux centralisateurs et les administrations, des données de contrôle des émissions radioélectriques et des relèvements radiogoniométriques, une fois les stations de contrôle correctement mises en place, conformément à l'article S16 du RR relatif au contrôle international des émissions;</w:t>
      </w:r>
    </w:p>
    <w:p w:rsidR="007074F2" w:rsidRPr="000F5A98" w:rsidRDefault="007074F2" w:rsidP="00866AA2">
      <w:pPr>
        <w:pStyle w:val="enumlev1"/>
        <w:tabs>
          <w:tab w:val="clear" w:pos="794"/>
          <w:tab w:val="left" w:pos="426"/>
        </w:tabs>
        <w:rPr>
          <w:sz w:val="20"/>
        </w:rPr>
      </w:pPr>
      <w:r w:rsidRPr="000F5A98">
        <w:rPr>
          <w:sz w:val="20"/>
        </w:rPr>
        <w:t>d)</w:t>
      </w:r>
      <w:r w:rsidRPr="000F5A98">
        <w:rPr>
          <w:sz w:val="20"/>
        </w:rPr>
        <w:tab/>
        <w:t>la coopération pour l'identification des émetteurs brouilleurs;</w:t>
      </w:r>
    </w:p>
    <w:p w:rsidR="007074F2" w:rsidRPr="000F5A98" w:rsidRDefault="007074F2" w:rsidP="00866AA2">
      <w:pPr>
        <w:pStyle w:val="enumlev1"/>
        <w:tabs>
          <w:tab w:val="clear" w:pos="794"/>
          <w:tab w:val="left" w:pos="426"/>
        </w:tabs>
        <w:ind w:left="426" w:hanging="426"/>
        <w:rPr>
          <w:sz w:val="20"/>
        </w:rPr>
      </w:pPr>
      <w:r w:rsidRPr="000F5A98">
        <w:rPr>
          <w:sz w:val="20"/>
        </w:rPr>
        <w:t>e)</w:t>
      </w:r>
      <w:r w:rsidRPr="000F5A98">
        <w:rPr>
          <w:sz w:val="20"/>
        </w:rPr>
        <w:tab/>
        <w:t>les visites de formation aux sièges des services responsables et dans les installations de contrôle des émissions, selon les besoins.</w:t>
      </w:r>
    </w:p>
    <w:p w:rsidR="007074F2" w:rsidRPr="000F5A98" w:rsidRDefault="007074F2" w:rsidP="007074F2">
      <w:pPr>
        <w:spacing w:line="0" w:lineRule="atLeast"/>
        <w:rPr>
          <w:sz w:val="20"/>
        </w:rPr>
      </w:pPr>
      <w:r w:rsidRPr="000F5A98">
        <w:rPr>
          <w:b/>
          <w:sz w:val="20"/>
        </w:rPr>
        <w:t>2</w:t>
      </w:r>
      <w:r w:rsidRPr="000F5A98">
        <w:rPr>
          <w:sz w:val="20"/>
        </w:rPr>
        <w:tab/>
        <w:t>Les domaines de coopération peuvent être étendus par accord entre les Parties.</w:t>
      </w:r>
    </w:p>
    <w:p w:rsidR="007074F2" w:rsidRPr="000F5A98" w:rsidRDefault="007074F2" w:rsidP="007074F2">
      <w:pPr>
        <w:spacing w:line="0" w:lineRule="atLeast"/>
        <w:rPr>
          <w:sz w:val="20"/>
        </w:rPr>
      </w:pPr>
      <w:r w:rsidRPr="000F5A98">
        <w:rPr>
          <w:b/>
          <w:sz w:val="20"/>
        </w:rPr>
        <w:t>3</w:t>
      </w:r>
      <w:r w:rsidRPr="000F5A98">
        <w:rPr>
          <w:sz w:val="20"/>
        </w:rPr>
        <w:tab/>
        <w:t>Les administrations élaboreront un programme de travail qui définira les domaines spécifiques de coopération en matière de contrôle des émissions et l'affectation d'enquêteurs</w:t>
      </w:r>
      <w:r w:rsidRPr="000F5A98">
        <w:rPr>
          <w:sz w:val="20"/>
        </w:rPr>
        <w:noBreakHyphen/>
        <w:t>experts, de techniciens et du matériel nécessaires à l'exécution de ce programme. Ce programme de travail pourra être modifié, si nécessaire.</w:t>
      </w:r>
    </w:p>
    <w:p w:rsidR="007074F2" w:rsidRPr="007074F2" w:rsidRDefault="007074F2" w:rsidP="007074F2">
      <w:pPr>
        <w:pStyle w:val="Annex"/>
        <w:rPr>
          <w:lang w:val="fr-CH"/>
        </w:rPr>
      </w:pPr>
      <w:r w:rsidRPr="007074F2">
        <w:rPr>
          <w:lang w:val="fr-CH"/>
        </w:rPr>
        <w:t>ARTICLE  III</w:t>
      </w:r>
    </w:p>
    <w:p w:rsidR="007074F2" w:rsidRPr="007074F2" w:rsidRDefault="007074F2" w:rsidP="007074F2">
      <w:pPr>
        <w:pStyle w:val="Normalaftertitle0"/>
        <w:rPr>
          <w:lang w:val="fr-CH"/>
        </w:rPr>
      </w:pPr>
      <w:r w:rsidRPr="007074F2">
        <w:rPr>
          <w:lang w:val="fr-CH"/>
        </w:rPr>
        <w:t>La capacité de chaque administration à participer à un programme de travail dépendra de la disponibilité des ressources humaines et financières.</w:t>
      </w:r>
    </w:p>
    <w:p w:rsidR="007074F2" w:rsidRPr="007074F2" w:rsidRDefault="007074F2" w:rsidP="007074F2">
      <w:pPr>
        <w:pStyle w:val="Annex"/>
        <w:rPr>
          <w:lang w:val="fr-CH"/>
        </w:rPr>
      </w:pPr>
      <w:r w:rsidRPr="007074F2">
        <w:rPr>
          <w:lang w:val="fr-CH"/>
        </w:rPr>
        <w:t>ARTICLE  IV</w:t>
      </w:r>
    </w:p>
    <w:p w:rsidR="007074F2" w:rsidRPr="007074F2" w:rsidRDefault="007074F2" w:rsidP="007074F2">
      <w:pPr>
        <w:pStyle w:val="Normalaftertitle0"/>
        <w:rPr>
          <w:lang w:val="fr-CH"/>
        </w:rPr>
      </w:pPr>
      <w:r w:rsidRPr="007074F2">
        <w:rPr>
          <w:lang w:val="fr-CH"/>
        </w:rPr>
        <w:t>Les administrations protègent, conformément à leur législation, leur réglementation et leurs pratiques administratives nationales, tout document et toute information internes reçus de l'autre Partie dans le cadre de la mise en œuvre du présent Mémorandum d'accord.</w:t>
      </w:r>
    </w:p>
    <w:p w:rsidR="007074F2" w:rsidRPr="007074F2" w:rsidRDefault="007074F2" w:rsidP="007074F2">
      <w:pPr>
        <w:pStyle w:val="Annex"/>
        <w:rPr>
          <w:lang w:val="fr-CH"/>
        </w:rPr>
      </w:pPr>
      <w:r w:rsidRPr="007074F2">
        <w:rPr>
          <w:lang w:val="fr-CH"/>
        </w:rPr>
        <w:t>ARTICLE  V</w:t>
      </w:r>
    </w:p>
    <w:p w:rsidR="007074F2" w:rsidRPr="007074F2" w:rsidRDefault="007074F2" w:rsidP="007074F2">
      <w:pPr>
        <w:pStyle w:val="Normalaftertitle0"/>
        <w:rPr>
          <w:lang w:val="fr-CH"/>
        </w:rPr>
      </w:pPr>
      <w:r w:rsidRPr="007074F2">
        <w:rPr>
          <w:lang w:val="fr-CH"/>
        </w:rPr>
        <w:t>Le présent Mémorandum d'accord entrera en vigueur dès sa signature et le restera pendant une période de cinq ans. Il peut être dénoncé par accord mutuel entre les Parties ou avec préavis écrit de six mois de l'une des Parties. Il peut être amendé par accord mutuel entre les Parties. Au cas où le présent Mémorandum d'accord serait dénoncé, les mesures nécessaires seraient prises pour achever les activités en cours conformément au Mémorandum d'accord.</w:t>
      </w:r>
    </w:p>
    <w:p w:rsidR="007074F2" w:rsidRPr="000F5A98" w:rsidRDefault="007074F2" w:rsidP="007074F2">
      <w:pPr>
        <w:spacing w:line="0" w:lineRule="atLeast"/>
        <w:rPr>
          <w:sz w:val="20"/>
        </w:rPr>
      </w:pPr>
      <w:r w:rsidRPr="000F5A98">
        <w:rPr>
          <w:sz w:val="20"/>
        </w:rPr>
        <w:t xml:space="preserve">Fait en double exemplaire à </w:t>
      </w:r>
      <w:r w:rsidRPr="000F5A98">
        <w:rPr>
          <w:sz w:val="20"/>
          <w:u w:val="single"/>
        </w:rPr>
        <w:tab/>
      </w:r>
      <w:r w:rsidRPr="000F5A98">
        <w:rPr>
          <w:sz w:val="20"/>
          <w:u w:val="single"/>
        </w:rPr>
        <w:tab/>
      </w:r>
      <w:r w:rsidRPr="000F5A98">
        <w:rPr>
          <w:sz w:val="20"/>
          <w:u w:val="single"/>
        </w:rPr>
        <w:tab/>
      </w:r>
      <w:r w:rsidRPr="000F5A98">
        <w:rPr>
          <w:sz w:val="20"/>
          <w:u w:val="single"/>
        </w:rPr>
        <w:tab/>
        <w:t xml:space="preserve"> </w:t>
      </w:r>
      <w:r w:rsidRPr="000F5A98">
        <w:rPr>
          <w:sz w:val="20"/>
        </w:rPr>
        <w:t xml:space="preserve">ce </w:t>
      </w:r>
      <w:r w:rsidRPr="000F5A98">
        <w:rPr>
          <w:sz w:val="20"/>
          <w:u w:val="single"/>
        </w:rPr>
        <w:tab/>
      </w:r>
      <w:r w:rsidRPr="000F5A98">
        <w:rPr>
          <w:sz w:val="20"/>
        </w:rPr>
        <w:t xml:space="preserve"> jour de</w:t>
      </w:r>
      <w:r w:rsidRPr="000F5A98">
        <w:rPr>
          <w:sz w:val="20"/>
          <w:u w:val="single"/>
        </w:rPr>
        <w:t xml:space="preserve"> </w:t>
      </w:r>
      <w:r w:rsidRPr="000F5A98">
        <w:rPr>
          <w:sz w:val="20"/>
          <w:u w:val="single"/>
        </w:rPr>
        <w:tab/>
      </w:r>
      <w:r w:rsidRPr="000F5A98">
        <w:rPr>
          <w:sz w:val="20"/>
          <w:u w:val="single"/>
        </w:rPr>
        <w:tab/>
        <w:t>,</w:t>
      </w:r>
      <w:r w:rsidRPr="000F5A98">
        <w:rPr>
          <w:sz w:val="20"/>
        </w:rPr>
        <w:t xml:space="preserve"> </w:t>
      </w:r>
      <w:r w:rsidRPr="000F5A98">
        <w:rPr>
          <w:sz w:val="20"/>
          <w:u w:val="single"/>
        </w:rPr>
        <w:t xml:space="preserve">        </w:t>
      </w:r>
      <w:r w:rsidRPr="000F5A98">
        <w:rPr>
          <w:sz w:val="20"/>
        </w:rPr>
        <w:t>, dans la ou les langues des deux Parties, chaque version faisant également foi.</w:t>
      </w:r>
    </w:p>
    <w:p w:rsidR="007074F2" w:rsidRPr="007074F2" w:rsidRDefault="007074F2" w:rsidP="007074F2">
      <w:pPr>
        <w:pStyle w:val="Line"/>
        <w:rPr>
          <w:lang w:val="fr-CH"/>
        </w:rPr>
      </w:pPr>
    </w:p>
    <w:sectPr w:rsidR="007074F2" w:rsidRPr="007074F2" w:rsidSect="007565CC">
      <w:footnotePr>
        <w:numFmt w:val="chicago"/>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99A" w:rsidRDefault="0029599A">
      <w:r>
        <w:separator/>
      </w:r>
    </w:p>
  </w:endnote>
  <w:endnote w:type="continuationSeparator" w:id="0">
    <w:p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99A" w:rsidRDefault="0029599A">
      <w:r>
        <w:separator/>
      </w:r>
    </w:p>
  </w:footnote>
  <w:footnote w:type="continuationSeparator" w:id="0">
    <w:p w:rsidR="0029599A" w:rsidRDefault="0029599A">
      <w:r>
        <w:continuationSeparator/>
      </w:r>
    </w:p>
  </w:footnote>
  <w:footnote w:id="1">
    <w:p w:rsidR="00CA6833" w:rsidRPr="002C526D" w:rsidRDefault="00CA6833">
      <w:pPr>
        <w:pStyle w:val="FootnoteText"/>
        <w:rPr>
          <w:sz w:val="20"/>
          <w:lang w:val="fr-CH"/>
        </w:rPr>
      </w:pPr>
      <w:r w:rsidRPr="002C526D">
        <w:rPr>
          <w:rStyle w:val="FootnoteReference"/>
          <w:sz w:val="20"/>
        </w:rPr>
        <w:footnoteRef/>
      </w:r>
      <w:r w:rsidRPr="002C526D">
        <w:rPr>
          <w:sz w:val="20"/>
        </w:rPr>
        <w:t xml:space="preserve"> </w:t>
      </w:r>
      <w:r w:rsidRPr="002C526D">
        <w:rPr>
          <w:sz w:val="20"/>
          <w:lang w:val="fr-CH"/>
        </w:rPr>
        <w:tab/>
        <w:t xml:space="preserve">La Commission d'études 1 des radiocommunications a apporté en 2010 </w:t>
      </w:r>
      <w:r w:rsidR="002C526D" w:rsidRPr="002C526D">
        <w:rPr>
          <w:sz w:val="20"/>
          <w:lang w:val="fr-CH"/>
        </w:rPr>
        <w:t xml:space="preserve">et en 2019 </w:t>
      </w:r>
      <w:r w:rsidRPr="002C526D">
        <w:rPr>
          <w:sz w:val="20"/>
          <w:lang w:val="fr-CH"/>
        </w:rPr>
        <w:t>des modifications de forme à cette Recommandation,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B25CC1" w:rsidP="00C668C8">
    <w:pPr>
      <w:pStyle w:val="Header"/>
      <w:ind w:right="360" w:firstLine="360"/>
    </w:pPr>
    <w:r>
      <w:rPr>
        <w:noProof/>
        <w:lang w:val="fr-CH" w:eastAsia="fr-CH"/>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D18B4">
      <w:rPr>
        <w:rStyle w:val="PageNumber"/>
        <w:b/>
        <w:bCs/>
        <w:noProof/>
      </w:rPr>
      <w:t>ii</w:t>
    </w:r>
    <w:r>
      <w:rPr>
        <w:rStyle w:val="PageNumber"/>
        <w:b/>
        <w:bCs/>
      </w:rPr>
      <w:fldChar w:fldCharType="end"/>
    </w:r>
    <w:r w:rsidRPr="00837CB5">
      <w:tab/>
    </w:r>
    <w:r w:rsidR="00CD18B4">
      <w:fldChar w:fldCharType="begin"/>
    </w:r>
    <w:r w:rsidR="00CD18B4">
      <w:instrText xml:space="preserve"> DOCPROPERTY "Header" \* MERGEFORMAT </w:instrText>
    </w:r>
    <w:r w:rsidR="00CD18B4">
      <w:fldChar w:fldCharType="separate"/>
    </w:r>
    <w:r w:rsidR="00866AA2" w:rsidRPr="00866AA2">
      <w:rPr>
        <w:b/>
        <w:bCs/>
      </w:rPr>
      <w:t xml:space="preserve">Rec. </w:t>
    </w:r>
    <w:r w:rsidR="00CD18B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D18B4">
      <w:rPr>
        <w:b/>
        <w:bCs/>
        <w:noProof/>
      </w:rPr>
      <w:t>UIT-R  SM.1394-0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pPr>
    <w:r>
      <w:tab/>
    </w:r>
    <w:r w:rsidR="00CD18B4">
      <w:fldChar w:fldCharType="begin"/>
    </w:r>
    <w:r w:rsidR="00CD18B4">
      <w:instrText xml:space="preserve"> DOCPROPERTY "Header" \* MERGEFORMAT </w:instrText>
    </w:r>
    <w:r w:rsidR="00CD18B4">
      <w:fldChar w:fldCharType="separate"/>
    </w:r>
    <w:r w:rsidR="00866AA2" w:rsidRPr="00866AA2">
      <w:rPr>
        <w:b/>
        <w:bCs/>
      </w:rPr>
      <w:t xml:space="preserve">Rec. </w:t>
    </w:r>
    <w:r w:rsidR="00CD18B4">
      <w:rPr>
        <w:b/>
        <w:bCs/>
      </w:rPr>
      <w:fldChar w:fldCharType="end"/>
    </w:r>
    <w:r>
      <w:rPr>
        <w:b/>
        <w:bCs/>
      </w:rPr>
      <w:t xml:space="preserve"> </w:t>
    </w:r>
    <w:r>
      <w:rPr>
        <w:b/>
        <w:bCs/>
      </w:rPr>
      <w:fldChar w:fldCharType="begin"/>
    </w:r>
    <w:r>
      <w:rPr>
        <w:b/>
        <w:bCs/>
      </w:rPr>
      <w:instrText>styleref href</w:instrText>
    </w:r>
    <w:r>
      <w:rPr>
        <w:b/>
        <w:bCs/>
      </w:rPr>
      <w:fldChar w:fldCharType="separate"/>
    </w:r>
    <w:r w:rsidR="00CD18B4">
      <w:rPr>
        <w:b/>
        <w:bCs/>
        <w:noProof/>
      </w:rPr>
      <w:t>UIT-R  SM.1394-0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D18B4">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655CC"/>
    <w:rsid w:val="00072484"/>
    <w:rsid w:val="00076BD8"/>
    <w:rsid w:val="00086C50"/>
    <w:rsid w:val="00096612"/>
    <w:rsid w:val="000A0A78"/>
    <w:rsid w:val="000A5F59"/>
    <w:rsid w:val="000B7683"/>
    <w:rsid w:val="000F5A98"/>
    <w:rsid w:val="00102934"/>
    <w:rsid w:val="00123FD5"/>
    <w:rsid w:val="00125B6D"/>
    <w:rsid w:val="00126AF2"/>
    <w:rsid w:val="00147110"/>
    <w:rsid w:val="001A27FE"/>
    <w:rsid w:val="00202D10"/>
    <w:rsid w:val="002058CE"/>
    <w:rsid w:val="002165F1"/>
    <w:rsid w:val="00220C16"/>
    <w:rsid w:val="00227626"/>
    <w:rsid w:val="00273CBE"/>
    <w:rsid w:val="00276D21"/>
    <w:rsid w:val="0029599A"/>
    <w:rsid w:val="00296D7F"/>
    <w:rsid w:val="002B3CF6"/>
    <w:rsid w:val="002C526D"/>
    <w:rsid w:val="002C768A"/>
    <w:rsid w:val="002D76C4"/>
    <w:rsid w:val="002E73BB"/>
    <w:rsid w:val="00326525"/>
    <w:rsid w:val="00354F85"/>
    <w:rsid w:val="00363367"/>
    <w:rsid w:val="003E6469"/>
    <w:rsid w:val="00420DFD"/>
    <w:rsid w:val="00470E28"/>
    <w:rsid w:val="004822EF"/>
    <w:rsid w:val="004934C5"/>
    <w:rsid w:val="004A4D65"/>
    <w:rsid w:val="00556548"/>
    <w:rsid w:val="00567DC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6F6E5D"/>
    <w:rsid w:val="007074F2"/>
    <w:rsid w:val="00712870"/>
    <w:rsid w:val="00731BD8"/>
    <w:rsid w:val="00743D85"/>
    <w:rsid w:val="00753CF4"/>
    <w:rsid w:val="007565CC"/>
    <w:rsid w:val="00756B4D"/>
    <w:rsid w:val="00763B9A"/>
    <w:rsid w:val="00776E56"/>
    <w:rsid w:val="007A308E"/>
    <w:rsid w:val="007A6AA8"/>
    <w:rsid w:val="008310C9"/>
    <w:rsid w:val="00837CB5"/>
    <w:rsid w:val="00866AA2"/>
    <w:rsid w:val="00872472"/>
    <w:rsid w:val="00895BF9"/>
    <w:rsid w:val="008C7848"/>
    <w:rsid w:val="00917AF2"/>
    <w:rsid w:val="0092418A"/>
    <w:rsid w:val="00934ED7"/>
    <w:rsid w:val="009454F8"/>
    <w:rsid w:val="009543C3"/>
    <w:rsid w:val="00966E1B"/>
    <w:rsid w:val="009B5551"/>
    <w:rsid w:val="009B5564"/>
    <w:rsid w:val="009F2D2C"/>
    <w:rsid w:val="00A443C2"/>
    <w:rsid w:val="00A52DB0"/>
    <w:rsid w:val="00A6617B"/>
    <w:rsid w:val="00A71FE5"/>
    <w:rsid w:val="00AA3AD8"/>
    <w:rsid w:val="00AB0DC8"/>
    <w:rsid w:val="00AB52D1"/>
    <w:rsid w:val="00AD267B"/>
    <w:rsid w:val="00AF54F8"/>
    <w:rsid w:val="00B033C8"/>
    <w:rsid w:val="00B21066"/>
    <w:rsid w:val="00B25CC1"/>
    <w:rsid w:val="00B33425"/>
    <w:rsid w:val="00B44E24"/>
    <w:rsid w:val="00B54ECC"/>
    <w:rsid w:val="00B714F3"/>
    <w:rsid w:val="00B81801"/>
    <w:rsid w:val="00BC0651"/>
    <w:rsid w:val="00BC5D77"/>
    <w:rsid w:val="00BF487A"/>
    <w:rsid w:val="00C268B9"/>
    <w:rsid w:val="00C362C3"/>
    <w:rsid w:val="00C40D3E"/>
    <w:rsid w:val="00C46BD9"/>
    <w:rsid w:val="00C55258"/>
    <w:rsid w:val="00C668C8"/>
    <w:rsid w:val="00C73560"/>
    <w:rsid w:val="00CA6833"/>
    <w:rsid w:val="00CB0F14"/>
    <w:rsid w:val="00CD18B4"/>
    <w:rsid w:val="00CD659B"/>
    <w:rsid w:val="00CD7DC8"/>
    <w:rsid w:val="00D017C0"/>
    <w:rsid w:val="00D31EB8"/>
    <w:rsid w:val="00D70C4E"/>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62a47"/>
      <o:colormenu v:ext="edit" strokecolor="#d62a47"/>
    </o:shapedefaults>
    <o:shapelayout v:ext="edit">
      <o:idmap v:ext="edit" data="1"/>
    </o:shapelayout>
  </w:shapeDefaults>
  <w:decimalSymbol w:val="."/>
  <w:listSeparator w:val=","/>
  <w14:docId w14:val="63EAF6A3"/>
  <w15:docId w15:val="{229171B2-50DA-4179-B99D-03044D4C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B25CC1"/>
    <w:pPr>
      <w:keepNext/>
      <w:keepLines/>
      <w:spacing w:before="480" w:after="80"/>
      <w:jc w:val="center"/>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semiHidden/>
    <w:rsid w:val="00B25CC1"/>
    <w:rPr>
      <w:position w:val="6"/>
      <w:sz w:val="18"/>
    </w:rPr>
  </w:style>
  <w:style w:type="paragraph" w:styleId="FootnoteText">
    <w:name w:val="footnote text"/>
    <w:basedOn w:val="Normal"/>
    <w:semiHidden/>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Annex">
    <w:name w:val="Annex_#"/>
    <w:basedOn w:val="Normal"/>
    <w:next w:val="AnnexRef0"/>
    <w:rsid w:val="007074F2"/>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
    <w:rsid w:val="007074F2"/>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
    <w:name w:val="Annex_Title"/>
    <w:basedOn w:val="Normal"/>
    <w:next w:val="Normalaftertitle0"/>
    <w:rsid w:val="007074F2"/>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RecTitle0">
    <w:name w:val="Rec_Title"/>
    <w:basedOn w:val="Normal"/>
    <w:next w:val="RecTitleRef"/>
    <w:rsid w:val="007074F2"/>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7074F2"/>
    <w:pPr>
      <w:spacing w:before="480"/>
    </w:pPr>
    <w:rPr>
      <w:sz w:val="20"/>
      <w:lang w:val="en-GB" w:eastAsia="zh-CN"/>
    </w:rPr>
  </w:style>
  <w:style w:type="paragraph" w:customStyle="1" w:styleId="call0">
    <w:name w:val="call"/>
    <w:basedOn w:val="Normal"/>
    <w:next w:val="Normal"/>
    <w:rsid w:val="007074F2"/>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RecTitle0"/>
    <w:next w:val="RecTitleDate"/>
    <w:rsid w:val="007074F2"/>
    <w:pPr>
      <w:spacing w:before="136"/>
    </w:pPr>
    <w:rPr>
      <w:b w:val="0"/>
      <w:bCs w:val="0"/>
    </w:rPr>
  </w:style>
  <w:style w:type="paragraph" w:customStyle="1" w:styleId="RecTitleDate">
    <w:name w:val="Rec_Title/Date"/>
    <w:basedOn w:val="RecTitleRef"/>
    <w:next w:val="headfoot"/>
    <w:rsid w:val="007074F2"/>
    <w:pPr>
      <w:tabs>
        <w:tab w:val="clear" w:pos="4849"/>
      </w:tabs>
      <w:jc w:val="right"/>
    </w:pPr>
  </w:style>
  <w:style w:type="paragraph" w:customStyle="1" w:styleId="headfoot">
    <w:name w:val="head_foot"/>
    <w:basedOn w:val="Normal"/>
    <w:next w:val="Normalaftertitle0"/>
    <w:rsid w:val="007074F2"/>
    <w:pPr>
      <w:tabs>
        <w:tab w:val="clear" w:pos="794"/>
        <w:tab w:val="clear" w:pos="1191"/>
        <w:tab w:val="clear" w:pos="1588"/>
        <w:tab w:val="clear" w:pos="1985"/>
      </w:tabs>
      <w:spacing w:before="0"/>
    </w:pPr>
    <w:rPr>
      <w:color w:val="FF0000"/>
      <w:sz w:val="8"/>
      <w:szCs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BB75B-405E-4FC2-9DE4-11B7D150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4</Pages>
  <Words>1093</Words>
  <Characters>6570</Characters>
  <Application>Microsoft Office Word</Application>
  <DocSecurity>0</DocSecurity>
  <Lines>172</Lines>
  <Paragraphs>111</Paragraphs>
  <ScaleCrop>false</ScaleCrop>
  <HeadingPairs>
    <vt:vector size="2" baseType="variant">
      <vt:variant>
        <vt:lpstr>Title</vt:lpstr>
      </vt:variant>
      <vt:variant>
        <vt:i4>1</vt:i4>
      </vt:variant>
    </vt:vector>
  </HeadingPairs>
  <TitlesOfParts>
    <vt:vector size="1" baseType="lpstr">
      <vt:lpstr>RECOMMANDATION  UIT-R  SM.1394 - </vt:lpstr>
    </vt:vector>
  </TitlesOfParts>
  <Manager/>
  <Company>ITU</Company>
  <LinksUpToDate>false</LinksUpToDate>
  <CharactersWithSpaces>7552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SM.1394-0 - </dc:title>
  <dc:subject>Série SM = Gestion du spectre</dc:subject>
  <dc:creator>Bureau des radiocommunications de l'UIT (BR)</dc:creator>
  <cp:keywords>SM,1394-0</cp:keywords>
  <dc:description>Gachetc, 24.04.2020, R01</dc:description>
  <cp:lastModifiedBy>Gachet, Christelle</cp:lastModifiedBy>
  <cp:revision>9</cp:revision>
  <cp:lastPrinted>2009-07-01T12:03:00Z</cp:lastPrinted>
  <dcterms:created xsi:type="dcterms:W3CDTF">2011-04-01T11:52:00Z</dcterms:created>
  <dcterms:modified xsi:type="dcterms:W3CDTF">2020-04-24T05:30:00Z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vendredi, 1. avril 2011</vt:lpwstr>
  </property>
</Properties>
</file>