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BC4957">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4822EF">
              <w:rPr>
                <w:rFonts w:ascii="Tahoma" w:hAnsi="Tahoma" w:cs="Tahoma"/>
                <w:b/>
                <w:bCs/>
                <w:iCs/>
                <w:color w:val="243285"/>
                <w:sz w:val="36"/>
                <w:szCs w:val="36"/>
              </w:rPr>
              <w:t>S</w:t>
            </w:r>
            <w:r w:rsidR="009B5564">
              <w:rPr>
                <w:rFonts w:ascii="Tahoma" w:hAnsi="Tahoma" w:cs="Tahoma"/>
                <w:b/>
                <w:bCs/>
                <w:iCs/>
                <w:color w:val="243285"/>
                <w:sz w:val="36"/>
                <w:szCs w:val="36"/>
              </w:rPr>
              <w:t>M</w:t>
            </w:r>
            <w:r w:rsidRPr="00A443C2">
              <w:rPr>
                <w:rFonts w:ascii="Tahoma" w:hAnsi="Tahoma" w:cs="Tahoma"/>
                <w:b/>
                <w:bCs/>
                <w:iCs/>
                <w:color w:val="243285"/>
                <w:sz w:val="36"/>
                <w:szCs w:val="36"/>
              </w:rPr>
              <w:t>.</w:t>
            </w:r>
            <w:r w:rsidR="00BC4957">
              <w:rPr>
                <w:rFonts w:ascii="Tahoma" w:hAnsi="Tahoma" w:cs="Tahoma"/>
                <w:b/>
                <w:bCs/>
                <w:iCs/>
                <w:color w:val="243285"/>
                <w:sz w:val="36"/>
                <w:szCs w:val="36"/>
              </w:rPr>
              <w:t>1139</w:t>
            </w:r>
            <w:r w:rsidR="007D5356">
              <w:rPr>
                <w:rFonts w:ascii="Tahoma" w:hAnsi="Tahoma" w:cs="Tahoma"/>
                <w:b/>
                <w:bCs/>
                <w:iCs/>
                <w:color w:val="243285"/>
                <w:sz w:val="36"/>
                <w:szCs w:val="36"/>
              </w:rPr>
              <w:t>-0</w:t>
            </w:r>
          </w:p>
          <w:p w:rsidR="00FE79FE" w:rsidRPr="00A443C2" w:rsidRDefault="00FE79FE" w:rsidP="00BC4957">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BC4957">
              <w:rPr>
                <w:rFonts w:ascii="Tahoma" w:hAnsi="Tahoma" w:cs="Tahoma"/>
                <w:b/>
                <w:bCs/>
                <w:iCs/>
                <w:color w:val="243285"/>
                <w:szCs w:val="24"/>
              </w:rPr>
              <w:t>10</w:t>
            </w:r>
            <w:r w:rsidRPr="00A443C2">
              <w:rPr>
                <w:rFonts w:ascii="Tahoma" w:hAnsi="Tahoma" w:cs="Tahoma"/>
                <w:b/>
                <w:bCs/>
                <w:iCs/>
                <w:color w:val="243285"/>
                <w:szCs w:val="24"/>
              </w:rPr>
              <w:t>/</w:t>
            </w:r>
            <w:r w:rsidR="00BC4957">
              <w:rPr>
                <w:rFonts w:ascii="Tahoma" w:hAnsi="Tahoma" w:cs="Tahoma"/>
                <w:b/>
                <w:bCs/>
                <w:iCs/>
                <w:color w:val="243285"/>
                <w:szCs w:val="24"/>
              </w:rPr>
              <w:t>1995</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E02402" w:rsidRPr="00BC4957" w:rsidRDefault="00C12473" w:rsidP="00C12473">
            <w:pPr>
              <w:spacing w:before="80" w:line="500" w:lineRule="exact"/>
              <w:jc w:val="right"/>
              <w:rPr>
                <w:rFonts w:ascii="Tahoma" w:hAnsi="Tahoma" w:cs="Tahoma"/>
                <w:b/>
                <w:bCs/>
                <w:iCs/>
                <w:color w:val="243285"/>
                <w:sz w:val="44"/>
                <w:szCs w:val="44"/>
                <w:lang w:val="fr-CH"/>
              </w:rPr>
            </w:pPr>
            <w:r w:rsidRPr="00BC4957">
              <w:rPr>
                <w:rFonts w:ascii="Tahoma" w:hAnsi="Tahoma" w:cs="Tahoma"/>
                <w:b/>
                <w:bCs/>
                <w:iCs/>
                <w:color w:val="243285"/>
                <w:sz w:val="44"/>
                <w:szCs w:val="44"/>
                <w:lang w:val="fr-CH"/>
              </w:rPr>
              <w:t xml:space="preserve">Système de contrôle international </w:t>
            </w:r>
            <w:r>
              <w:rPr>
                <w:rFonts w:ascii="Tahoma" w:hAnsi="Tahoma" w:cs="Tahoma"/>
                <w:b/>
                <w:bCs/>
                <w:iCs/>
                <w:color w:val="243285"/>
                <w:sz w:val="44"/>
                <w:szCs w:val="44"/>
                <w:lang w:val="fr-CH"/>
              </w:rPr>
              <w:br/>
            </w:r>
            <w:r w:rsidR="004E2D11">
              <w:rPr>
                <w:rFonts w:ascii="Tahoma" w:hAnsi="Tahoma" w:cs="Tahoma"/>
                <w:b/>
                <w:bCs/>
                <w:iCs/>
                <w:color w:val="243285"/>
                <w:sz w:val="44"/>
                <w:szCs w:val="44"/>
                <w:lang w:val="fr-CH"/>
              </w:rPr>
              <w:t xml:space="preserve">des </w:t>
            </w:r>
            <w:r w:rsidRPr="00BC4957">
              <w:rPr>
                <w:rFonts w:ascii="Tahoma" w:hAnsi="Tahoma" w:cs="Tahoma"/>
                <w:b/>
                <w:bCs/>
                <w:iCs/>
                <w:color w:val="243285"/>
                <w:sz w:val="44"/>
                <w:szCs w:val="44"/>
                <w:lang w:val="fr-CH"/>
              </w:rPr>
              <w:t>émissions</w:t>
            </w: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9B5564">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4822EF">
              <w:rPr>
                <w:rFonts w:ascii="Tahoma" w:hAnsi="Tahoma" w:cs="Tahoma"/>
                <w:b/>
                <w:bCs/>
                <w:iCs/>
                <w:color w:val="243285"/>
                <w:sz w:val="36"/>
                <w:szCs w:val="36"/>
              </w:rPr>
              <w:t>S</w:t>
            </w:r>
            <w:r w:rsidR="009B5564">
              <w:rPr>
                <w:rFonts w:ascii="Tahoma" w:hAnsi="Tahoma" w:cs="Tahoma"/>
                <w:b/>
                <w:bCs/>
                <w:iCs/>
                <w:color w:val="243285"/>
                <w:sz w:val="36"/>
                <w:szCs w:val="36"/>
              </w:rPr>
              <w:t>M</w:t>
            </w:r>
          </w:p>
          <w:p w:rsidR="00FE79FE" w:rsidRPr="00F54FBD" w:rsidRDefault="009B5564"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Gestion du spectre</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7"/>
          <w:headerReference w:type="default" r:id="rId8"/>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6E7B0E"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0"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DE5EA2">
        <w:tc>
          <w:tcPr>
            <w:tcW w:w="1140" w:type="dxa"/>
            <w:tcBorders>
              <w:top w:val="nil"/>
              <w:bottom w:val="nil"/>
            </w:tcBorders>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rsidTr="00DE5EA2">
        <w:tc>
          <w:tcPr>
            <w:tcW w:w="1140" w:type="dxa"/>
            <w:tcBorders>
              <w:top w:val="nil"/>
              <w:bottom w:val="nil"/>
            </w:tcBorders>
            <w:shd w:val="clear" w:color="auto" w:fill="auto"/>
          </w:tcPr>
          <w:p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rsidTr="00EC361D">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EC361D" w:rsidTr="004822EF">
        <w:tc>
          <w:tcPr>
            <w:tcW w:w="1140" w:type="dxa"/>
            <w:tcBorders>
              <w:top w:val="nil"/>
              <w:bottom w:val="nil"/>
            </w:tcBorders>
            <w:shd w:val="clear" w:color="auto" w:fill="auto"/>
          </w:tcPr>
          <w:p w:rsidR="00F54FBD" w:rsidRPr="00EC361D" w:rsidRDefault="00F54FBD" w:rsidP="00F336CC">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F54FBD" w:rsidRPr="00EC361D" w:rsidRDefault="00614CC6" w:rsidP="00F336CC">
            <w:pPr>
              <w:spacing w:before="30" w:after="30"/>
              <w:jc w:val="left"/>
              <w:rPr>
                <w:sz w:val="20"/>
                <w:lang w:val="fr-CH"/>
              </w:rPr>
            </w:pPr>
            <w:r w:rsidRPr="00EC361D">
              <w:rPr>
                <w:sz w:val="20"/>
              </w:rPr>
              <w:t>Propagation des ondes radioélectriques</w:t>
            </w:r>
          </w:p>
        </w:tc>
      </w:tr>
      <w:tr w:rsidR="00F54FBD" w:rsidRPr="004822EF" w:rsidTr="00326525">
        <w:tc>
          <w:tcPr>
            <w:tcW w:w="1140" w:type="dxa"/>
            <w:tcBorders>
              <w:top w:val="nil"/>
              <w:bottom w:val="nil"/>
            </w:tcBorders>
            <w:shd w:val="clear" w:color="auto" w:fill="auto"/>
          </w:tcPr>
          <w:p w:rsidR="00F54FBD" w:rsidRPr="004822EF" w:rsidRDefault="00F54FBD" w:rsidP="00F336CC">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F54FBD" w:rsidRPr="004822EF"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F54FBD" w:rsidRPr="00326525" w:rsidTr="00C40D3E">
        <w:tc>
          <w:tcPr>
            <w:tcW w:w="1140" w:type="dxa"/>
            <w:tcBorders>
              <w:top w:val="nil"/>
              <w:bottom w:val="nil"/>
            </w:tcBorders>
            <w:shd w:val="clear" w:color="auto" w:fill="auto"/>
          </w:tcPr>
          <w:p w:rsidR="00F54FBD" w:rsidRPr="00326525" w:rsidRDefault="00F54FBD" w:rsidP="00F336CC">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F54FBD" w:rsidRPr="00326525"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F54FBD" w:rsidRPr="00C40D3E" w:rsidTr="00595D3D">
        <w:tc>
          <w:tcPr>
            <w:tcW w:w="1140" w:type="dxa"/>
            <w:tcBorders>
              <w:top w:val="nil"/>
              <w:bottom w:val="nil"/>
            </w:tcBorders>
            <w:shd w:val="clear" w:color="auto" w:fill="auto"/>
          </w:tcPr>
          <w:p w:rsidR="00F54FBD" w:rsidRPr="00C40D3E" w:rsidRDefault="00F54FBD" w:rsidP="00F336CC">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F54FBD" w:rsidRPr="00C40D3E" w:rsidRDefault="00614CC6" w:rsidP="00F336CC">
            <w:pPr>
              <w:spacing w:before="30" w:after="30"/>
              <w:jc w:val="left"/>
              <w:rPr>
                <w:sz w:val="20"/>
                <w:lang w:val="en-US"/>
              </w:rPr>
            </w:pPr>
            <w:r w:rsidRPr="00C40D3E">
              <w:rPr>
                <w:sz w:val="20"/>
              </w:rPr>
              <w:t>Service fixe par satellite</w:t>
            </w:r>
          </w:p>
        </w:tc>
      </w:tr>
      <w:tr w:rsidR="00F54FBD" w:rsidRPr="00595D3D" w:rsidTr="009B5564">
        <w:tc>
          <w:tcPr>
            <w:tcW w:w="1140" w:type="dxa"/>
            <w:tcBorders>
              <w:top w:val="nil"/>
              <w:bottom w:val="nil"/>
            </w:tcBorders>
            <w:shd w:val="clear" w:color="auto" w:fill="auto"/>
          </w:tcPr>
          <w:p w:rsidR="00F54FBD" w:rsidRPr="00595D3D" w:rsidRDefault="00F54FBD" w:rsidP="00F336CC">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rsidR="00F54FBD" w:rsidRPr="00595D3D" w:rsidRDefault="00614CC6" w:rsidP="00F336CC">
            <w:pPr>
              <w:spacing w:before="30" w:after="30"/>
              <w:jc w:val="left"/>
              <w:rPr>
                <w:sz w:val="20"/>
                <w:lang w:val="en-US"/>
              </w:rPr>
            </w:pPr>
            <w:r w:rsidRPr="00595D3D">
              <w:rPr>
                <w:sz w:val="20"/>
              </w:rPr>
              <w:t>Applications spatiales et météorologie</w:t>
            </w:r>
          </w:p>
        </w:tc>
      </w:tr>
      <w:tr w:rsidR="00F54FBD" w:rsidRPr="009B5564" w:rsidTr="009B5564">
        <w:tc>
          <w:tcPr>
            <w:tcW w:w="1140" w:type="dxa"/>
            <w:tcBorders>
              <w:top w:val="nil"/>
              <w:bottom w:val="nil"/>
            </w:tcBorders>
            <w:shd w:val="clear" w:color="auto" w:fill="auto"/>
          </w:tcPr>
          <w:p w:rsidR="00F54FBD" w:rsidRPr="009B5564" w:rsidRDefault="00F54FBD" w:rsidP="00F336CC">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rsidR="00F54FBD" w:rsidRPr="009B5564" w:rsidRDefault="00614CC6" w:rsidP="00F336CC">
            <w:pPr>
              <w:spacing w:before="30" w:after="30"/>
              <w:jc w:val="left"/>
              <w:rPr>
                <w:bCs/>
                <w:sz w:val="20"/>
              </w:rPr>
            </w:pPr>
            <w:r w:rsidRPr="009B5564">
              <w:rPr>
                <w:bCs/>
                <w:sz w:val="20"/>
              </w:rPr>
              <w:t>Partage des fréquences et coordination entre les systèmes du service fixe par satellite et du service fixe</w:t>
            </w:r>
          </w:p>
        </w:tc>
      </w:tr>
      <w:tr w:rsidR="00F54FBD" w:rsidRPr="009B5564" w:rsidTr="009B5564">
        <w:tc>
          <w:tcPr>
            <w:tcW w:w="1140" w:type="dxa"/>
            <w:tcBorders>
              <w:top w:val="nil"/>
              <w:bottom w:val="nil"/>
            </w:tcBorders>
            <w:shd w:val="clear" w:color="auto" w:fill="F3F3F3"/>
          </w:tcPr>
          <w:p w:rsidR="00F54FBD" w:rsidRPr="009B5564" w:rsidRDefault="00F54FBD" w:rsidP="00F336CC">
            <w:pPr>
              <w:spacing w:before="30" w:after="30"/>
              <w:ind w:left="57"/>
              <w:jc w:val="left"/>
              <w:rPr>
                <w:b/>
                <w:bCs/>
                <w:color w:val="000080"/>
                <w:sz w:val="20"/>
                <w:lang w:val="en-US"/>
              </w:rPr>
            </w:pPr>
            <w:r w:rsidRPr="009B5564">
              <w:rPr>
                <w:b/>
                <w:bCs/>
                <w:color w:val="000080"/>
                <w:sz w:val="20"/>
                <w:lang w:val="en-US"/>
              </w:rPr>
              <w:t>SM</w:t>
            </w:r>
          </w:p>
        </w:tc>
        <w:tc>
          <w:tcPr>
            <w:tcW w:w="8220" w:type="dxa"/>
            <w:tcBorders>
              <w:top w:val="nil"/>
              <w:bottom w:val="nil"/>
            </w:tcBorders>
            <w:shd w:val="clear" w:color="auto" w:fill="F3F3F3"/>
          </w:tcPr>
          <w:p w:rsidR="00F54FBD" w:rsidRPr="009B5564" w:rsidRDefault="00614CC6" w:rsidP="00F336CC">
            <w:pPr>
              <w:spacing w:before="30" w:after="30"/>
              <w:jc w:val="left"/>
              <w:rPr>
                <w:b/>
                <w:bCs/>
                <w:color w:val="000080"/>
                <w:sz w:val="20"/>
                <w:lang w:val="en-US"/>
              </w:rPr>
            </w:pPr>
            <w:r w:rsidRPr="009B5564">
              <w:rPr>
                <w:b/>
                <w:bCs/>
                <w:color w:val="000080"/>
                <w:sz w:val="20"/>
              </w:rPr>
              <w:t>Gestion du spectre</w:t>
            </w:r>
          </w:p>
        </w:tc>
      </w:tr>
      <w:tr w:rsidR="00F54FBD" w:rsidRPr="00036EE3" w:rsidTr="009B5564">
        <w:tc>
          <w:tcPr>
            <w:tcW w:w="1140" w:type="dxa"/>
            <w:tcBorders>
              <w:top w:val="nil"/>
            </w:tcBorders>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Borders>
              <w:top w:val="nil"/>
            </w:tcBorders>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4FBD" w:rsidRPr="00756B4D">
        <w:tc>
          <w:tcPr>
            <w:tcW w:w="9360" w:type="dxa"/>
          </w:tcPr>
          <w:p w:rsidR="00F54FBD" w:rsidRPr="00756B4D" w:rsidRDefault="00756B4D" w:rsidP="00756B4D">
            <w:pPr>
              <w:spacing w:before="80" w:after="80"/>
              <w:jc w:val="left"/>
              <w:rPr>
                <w:i/>
                <w:iCs/>
                <w:sz w:val="20"/>
              </w:rPr>
            </w:pPr>
            <w:r>
              <w:rPr>
                <w:b/>
                <w:bCs/>
                <w:i/>
                <w:iCs/>
                <w:sz w:val="20"/>
              </w:rPr>
              <w:t xml:space="preserve">    </w:t>
            </w:r>
            <w:r w:rsidR="00F54FBD" w:rsidRPr="00756B4D">
              <w:rPr>
                <w:b/>
                <w:bCs/>
                <w:i/>
                <w:iCs/>
                <w:sz w:val="20"/>
              </w:rPr>
              <w:t>Note</w:t>
            </w:r>
            <w:r w:rsidR="00F54FBD" w:rsidRPr="00756B4D">
              <w:rPr>
                <w:i/>
                <w:iCs/>
                <w:sz w:val="20"/>
              </w:rPr>
              <w:t xml:space="preserve">: </w:t>
            </w:r>
            <w:r w:rsidRPr="00756B4D">
              <w:rPr>
                <w:i/>
                <w:iCs/>
                <w:sz w:val="20"/>
              </w:rPr>
              <w:t>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6E7B0E">
      <w:pPr>
        <w:spacing w:before="0"/>
        <w:jc w:val="right"/>
        <w:rPr>
          <w:sz w:val="20"/>
        </w:rPr>
      </w:pPr>
      <w:r w:rsidRPr="00614CC6">
        <w:rPr>
          <w:sz w:val="20"/>
        </w:rPr>
        <w:t>G</w:t>
      </w:r>
      <w:r w:rsidR="00614CC6" w:rsidRPr="00614CC6">
        <w:rPr>
          <w:sz w:val="20"/>
        </w:rPr>
        <w:t>enève</w:t>
      </w:r>
      <w:r w:rsidRPr="00614CC6">
        <w:rPr>
          <w:sz w:val="20"/>
        </w:rPr>
        <w:t>, 20</w:t>
      </w:r>
      <w:r w:rsidR="000A5F59">
        <w:rPr>
          <w:sz w:val="20"/>
        </w:rPr>
        <w:t>1</w:t>
      </w:r>
      <w:r w:rsidR="006E7B0E">
        <w:rPr>
          <w:sz w:val="20"/>
        </w:rPr>
        <w:t>1</w:t>
      </w:r>
    </w:p>
    <w:p w:rsidR="00F54FBD" w:rsidRPr="00614CC6" w:rsidRDefault="00F54FBD" w:rsidP="006E7B0E">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1" w:name="iiannee"/>
      <w:bookmarkEnd w:id="1"/>
      <w:r w:rsidRPr="00614CC6">
        <w:rPr>
          <w:sz w:val="20"/>
        </w:rPr>
        <w:t>20</w:t>
      </w:r>
      <w:r w:rsidR="000A5F59">
        <w:rPr>
          <w:sz w:val="20"/>
        </w:rPr>
        <w:t>1</w:t>
      </w:r>
      <w:r w:rsidR="006E7B0E">
        <w:rPr>
          <w:sz w:val="20"/>
        </w:rPr>
        <w:t>1</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6E7B0E" w:rsidRDefault="00756B4D" w:rsidP="00742E92">
      <w:pPr>
        <w:pStyle w:val="RecNo"/>
        <w:rPr>
          <w:b/>
          <w:bCs/>
          <w:lang w:val="fr-CH"/>
        </w:rPr>
      </w:pPr>
      <w:bookmarkStart w:id="2" w:name="irecnoe"/>
      <w:bookmarkEnd w:id="2"/>
      <w:r w:rsidRPr="006E7B0E">
        <w:rPr>
          <w:lang w:val="fr-CH"/>
        </w:rPr>
        <w:lastRenderedPageBreak/>
        <w:t>RECOMMA</w:t>
      </w:r>
      <w:r w:rsidR="00934ED7" w:rsidRPr="006E7B0E">
        <w:rPr>
          <w:lang w:val="fr-CH"/>
        </w:rPr>
        <w:t xml:space="preserve">NDATION  </w:t>
      </w:r>
      <w:r w:rsidR="00273CBE" w:rsidRPr="006E7B0E">
        <w:rPr>
          <w:rStyle w:val="href"/>
          <w:lang w:val="fr-CH"/>
        </w:rPr>
        <w:t>UIT</w:t>
      </w:r>
      <w:r w:rsidR="00934ED7" w:rsidRPr="006E7B0E">
        <w:rPr>
          <w:rStyle w:val="href"/>
          <w:lang w:val="fr-CH"/>
        </w:rPr>
        <w:t xml:space="preserve">-R  </w:t>
      </w:r>
      <w:r w:rsidR="004822EF" w:rsidRPr="006E7B0E">
        <w:rPr>
          <w:rStyle w:val="href"/>
          <w:lang w:val="fr-CH"/>
        </w:rPr>
        <w:t>S</w:t>
      </w:r>
      <w:r w:rsidR="009B5564" w:rsidRPr="006E7B0E">
        <w:rPr>
          <w:rStyle w:val="href"/>
          <w:lang w:val="fr-CH"/>
        </w:rPr>
        <w:t>M</w:t>
      </w:r>
      <w:r w:rsidR="00934ED7" w:rsidRPr="006E7B0E">
        <w:rPr>
          <w:rStyle w:val="href"/>
          <w:lang w:val="fr-CH"/>
        </w:rPr>
        <w:t>.</w:t>
      </w:r>
      <w:r w:rsidR="006E7B0E">
        <w:rPr>
          <w:rStyle w:val="href"/>
          <w:lang w:val="fr-CH"/>
        </w:rPr>
        <w:t>1139</w:t>
      </w:r>
      <w:r w:rsidR="007D5356">
        <w:rPr>
          <w:rStyle w:val="href"/>
          <w:lang w:val="fr-CH"/>
        </w:rPr>
        <w:t>-0</w:t>
      </w:r>
      <w:r w:rsidR="00742E92" w:rsidRPr="00742E92">
        <w:rPr>
          <w:position w:val="4"/>
          <w:sz w:val="16"/>
          <w:szCs w:val="16"/>
          <w:lang w:val="fr-CH" w:eastAsia="zh-CN"/>
        </w:rPr>
        <w:footnoteReference w:customMarkFollows="1" w:id="1"/>
        <w:t>*</w:t>
      </w:r>
    </w:p>
    <w:p w:rsidR="006E7B0E" w:rsidRPr="006E7B0E" w:rsidRDefault="006E7B0E" w:rsidP="006E7B0E">
      <w:pPr>
        <w:pStyle w:val="RecTitle0"/>
        <w:rPr>
          <w:lang w:val="fr-CH"/>
        </w:rPr>
      </w:pPr>
      <w:r w:rsidRPr="006E7B0E">
        <w:rPr>
          <w:lang w:val="fr-CH"/>
        </w:rPr>
        <w:t>SYSTÈME  DE  CONTRÔLE  INTERNATIONAL  DES  ÉMISSIONS</w:t>
      </w:r>
    </w:p>
    <w:p w:rsidR="006E7B0E" w:rsidRPr="006E7B0E" w:rsidRDefault="006E7B0E" w:rsidP="006E7B0E">
      <w:pPr>
        <w:keepNext/>
        <w:keepLines/>
        <w:tabs>
          <w:tab w:val="clear" w:pos="794"/>
          <w:tab w:val="clear" w:pos="1191"/>
          <w:tab w:val="clear" w:pos="1588"/>
          <w:tab w:val="clear" w:pos="1985"/>
          <w:tab w:val="right" w:pos="9696"/>
        </w:tabs>
        <w:spacing w:before="136"/>
        <w:jc w:val="right"/>
        <w:rPr>
          <w:sz w:val="20"/>
          <w:lang w:eastAsia="zh-CN"/>
        </w:rPr>
      </w:pPr>
      <w:r w:rsidRPr="006E7B0E">
        <w:rPr>
          <w:sz w:val="20"/>
          <w:lang w:eastAsia="zh-CN"/>
        </w:rPr>
        <w:t>(1995)</w:t>
      </w:r>
    </w:p>
    <w:p w:rsidR="006E7B0E" w:rsidRPr="006E7B0E" w:rsidRDefault="006E7B0E" w:rsidP="006E7B0E">
      <w:pPr>
        <w:tabs>
          <w:tab w:val="clear" w:pos="794"/>
          <w:tab w:val="clear" w:pos="1191"/>
          <w:tab w:val="clear" w:pos="1588"/>
          <w:tab w:val="clear" w:pos="1985"/>
        </w:tabs>
        <w:spacing w:before="0"/>
        <w:rPr>
          <w:color w:val="FFFFFF"/>
          <w:sz w:val="8"/>
          <w:szCs w:val="8"/>
          <w:lang w:eastAsia="zh-CN"/>
        </w:rPr>
      </w:pPr>
      <w:r w:rsidRPr="006E7B0E">
        <w:rPr>
          <w:color w:val="FFFFFF"/>
          <w:sz w:val="8"/>
          <w:szCs w:val="8"/>
          <w:lang w:eastAsia="zh-CN"/>
        </w:rPr>
        <w:t>Rec. UIT-R SM.1139</w:t>
      </w:r>
    </w:p>
    <w:p w:rsidR="007D5356" w:rsidRPr="007D5356" w:rsidRDefault="007D5356" w:rsidP="007D5356">
      <w:pPr>
        <w:spacing w:before="0"/>
        <w:rPr>
          <w:b/>
          <w:bCs/>
          <w:sz w:val="20"/>
          <w:lang w:eastAsia="zh-CN"/>
        </w:rPr>
      </w:pPr>
      <w:r w:rsidRPr="007D5356">
        <w:rPr>
          <w:b/>
          <w:bCs/>
          <w:sz w:val="20"/>
          <w:lang w:eastAsia="zh-CN"/>
        </w:rPr>
        <w:t>Domaine d'application</w:t>
      </w:r>
      <w:bookmarkStart w:id="3" w:name="_GoBack"/>
      <w:bookmarkEnd w:id="3"/>
    </w:p>
    <w:p w:rsidR="007D5356" w:rsidRPr="007D5356" w:rsidRDefault="007D5356" w:rsidP="007D5356">
      <w:pPr>
        <w:rPr>
          <w:sz w:val="20"/>
          <w:lang w:eastAsia="zh-CN"/>
        </w:rPr>
      </w:pPr>
      <w:r w:rsidRPr="007D5356">
        <w:rPr>
          <w:sz w:val="20"/>
          <w:lang w:eastAsia="zh-CN"/>
        </w:rPr>
        <w:t>La présente Recommandation fournit les directives qu'il est recommandé aux administrations de prendre en considération concernant les systèmes de contrôle international des émissions.</w:t>
      </w:r>
    </w:p>
    <w:p w:rsidR="007D5356" w:rsidRPr="007D5356" w:rsidRDefault="007D5356" w:rsidP="007D5356">
      <w:pPr>
        <w:rPr>
          <w:b/>
          <w:sz w:val="20"/>
          <w:lang w:eastAsia="zh-CN"/>
        </w:rPr>
      </w:pPr>
      <w:r w:rsidRPr="007D5356">
        <w:rPr>
          <w:b/>
          <w:sz w:val="20"/>
          <w:lang w:eastAsia="zh-CN"/>
        </w:rPr>
        <w:t>Mots clés</w:t>
      </w:r>
    </w:p>
    <w:p w:rsidR="007D5356" w:rsidRPr="007D5356" w:rsidRDefault="007D5356" w:rsidP="007D5356">
      <w:pPr>
        <w:rPr>
          <w:sz w:val="20"/>
          <w:lang w:eastAsia="zh-CN"/>
        </w:rPr>
      </w:pPr>
      <w:r w:rsidRPr="007D5356">
        <w:rPr>
          <w:sz w:val="20"/>
          <w:lang w:eastAsia="zh-CN"/>
        </w:rPr>
        <w:t>Système de contrôle international des émissions, services de radiocommunication de Terre, services de radiocommunication spatiale</w:t>
      </w:r>
    </w:p>
    <w:p w:rsidR="006E7B0E" w:rsidRPr="006E7B0E" w:rsidRDefault="006E7B0E" w:rsidP="007D5356">
      <w:pPr>
        <w:spacing w:before="240"/>
        <w:rPr>
          <w:sz w:val="20"/>
          <w:lang w:eastAsia="zh-CN"/>
        </w:rPr>
      </w:pPr>
      <w:r w:rsidRPr="006E7B0E">
        <w:rPr>
          <w:sz w:val="20"/>
          <w:lang w:eastAsia="zh-CN"/>
        </w:rPr>
        <w:t>L'Assemblée des radiocommunications de l'UIT-R,</w:t>
      </w:r>
    </w:p>
    <w:p w:rsidR="006E7B0E" w:rsidRPr="006E7B0E" w:rsidRDefault="006E7B0E" w:rsidP="006E7B0E">
      <w:pPr>
        <w:keepNext/>
        <w:keepLines/>
        <w:tabs>
          <w:tab w:val="clear" w:pos="1191"/>
          <w:tab w:val="clear" w:pos="1588"/>
          <w:tab w:val="clear" w:pos="1985"/>
        </w:tabs>
        <w:spacing w:before="227"/>
        <w:ind w:left="794"/>
        <w:jc w:val="left"/>
        <w:rPr>
          <w:i/>
          <w:iCs/>
          <w:sz w:val="20"/>
          <w:lang w:eastAsia="zh-CN"/>
        </w:rPr>
      </w:pPr>
      <w:r w:rsidRPr="006E7B0E">
        <w:rPr>
          <w:i/>
          <w:iCs/>
          <w:sz w:val="20"/>
          <w:lang w:eastAsia="zh-CN"/>
        </w:rPr>
        <w:t>considérant</w:t>
      </w:r>
    </w:p>
    <w:p w:rsidR="006E7B0E" w:rsidRPr="006E7B0E" w:rsidRDefault="006E7B0E" w:rsidP="006E7B0E">
      <w:pPr>
        <w:spacing w:before="136"/>
        <w:rPr>
          <w:sz w:val="20"/>
          <w:lang w:eastAsia="zh-CN"/>
        </w:rPr>
      </w:pPr>
      <w:r w:rsidRPr="006E7B0E">
        <w:rPr>
          <w:sz w:val="20"/>
          <w:lang w:eastAsia="zh-CN"/>
        </w:rPr>
        <w:t>a)</w:t>
      </w:r>
      <w:r w:rsidRPr="006E7B0E">
        <w:rPr>
          <w:sz w:val="20"/>
          <w:lang w:eastAsia="zh-CN"/>
        </w:rPr>
        <w:tab/>
        <w:t>qu'il est nécessaire de faciliter dans la mesure pratiquement possible l'application des dispositions du RR, notamment pour tendre à une utilisation efficace et économique du spectre des fréquences radioélectriques et contribuer à l'élimination rapide des brouillages préjudiciables;</w:t>
      </w:r>
    </w:p>
    <w:p w:rsidR="006E7B0E" w:rsidRPr="006E7B0E" w:rsidRDefault="006E7B0E" w:rsidP="006E7B0E">
      <w:pPr>
        <w:spacing w:before="136"/>
        <w:rPr>
          <w:sz w:val="20"/>
          <w:lang w:eastAsia="zh-CN"/>
        </w:rPr>
      </w:pPr>
      <w:r w:rsidRPr="006E7B0E">
        <w:rPr>
          <w:sz w:val="20"/>
          <w:lang w:eastAsia="zh-CN"/>
        </w:rPr>
        <w:t>b)</w:t>
      </w:r>
      <w:r w:rsidRPr="006E7B0E">
        <w:rPr>
          <w:sz w:val="20"/>
          <w:lang w:eastAsia="zh-CN"/>
        </w:rPr>
        <w:tab/>
        <w:t>que le numéro approprié du RR simplifié stipule que les règles administratives et de procédure applicables à l'utilisation et à l'exploitation du système de contrôle international des émissions doivent être conformes aux dispositions de la présente Recommandation,</w:t>
      </w:r>
    </w:p>
    <w:p w:rsidR="006E7B0E" w:rsidRPr="006E7B0E" w:rsidRDefault="006E7B0E" w:rsidP="006E7B0E">
      <w:pPr>
        <w:keepNext/>
        <w:keepLines/>
        <w:tabs>
          <w:tab w:val="clear" w:pos="1191"/>
          <w:tab w:val="clear" w:pos="1588"/>
          <w:tab w:val="clear" w:pos="1985"/>
        </w:tabs>
        <w:spacing w:before="227"/>
        <w:ind w:left="794"/>
        <w:jc w:val="left"/>
        <w:rPr>
          <w:i/>
          <w:iCs/>
          <w:sz w:val="20"/>
          <w:lang w:eastAsia="zh-CN"/>
        </w:rPr>
      </w:pPr>
      <w:r w:rsidRPr="006E7B0E">
        <w:rPr>
          <w:i/>
          <w:iCs/>
          <w:sz w:val="20"/>
          <w:lang w:eastAsia="zh-CN"/>
        </w:rPr>
        <w:t>recommande</w:t>
      </w:r>
    </w:p>
    <w:p w:rsidR="006E7B0E" w:rsidRPr="006E7B0E" w:rsidRDefault="006E7B0E" w:rsidP="006E7B0E">
      <w:pPr>
        <w:spacing w:before="136"/>
        <w:rPr>
          <w:sz w:val="20"/>
          <w:lang w:eastAsia="zh-CN"/>
        </w:rPr>
      </w:pPr>
      <w:r w:rsidRPr="006E7B0E">
        <w:rPr>
          <w:b/>
          <w:sz w:val="20"/>
          <w:lang w:eastAsia="zh-CN"/>
        </w:rPr>
        <w:t>1</w:t>
      </w:r>
      <w:r w:rsidRPr="006E7B0E">
        <w:rPr>
          <w:sz w:val="20"/>
          <w:lang w:eastAsia="zh-CN"/>
        </w:rPr>
        <w:tab/>
        <w:t>que, en demandant des observations de contrôle, les administrations et le Bureau des radiocommunications tiennent compte des installations de contrôle mentionnées dans la Nomenclature des stations de contrôle international des émissions et indiquent clairement, d'une part à quelles fins les observations sont demandées, d'autre part quels sont les paramètres (y compris les programmes appropriés) du contrôle désiré. Les résultats des contrôles de cette nature transmis à d'autres administrations peuvent également être communiqués au Bureau des radiocommunications si une telle communication paraît indiquée;</w:t>
      </w:r>
    </w:p>
    <w:p w:rsidR="006E7B0E" w:rsidRPr="006E7B0E" w:rsidRDefault="006E7B0E" w:rsidP="006E7B0E">
      <w:pPr>
        <w:spacing w:before="136"/>
        <w:rPr>
          <w:sz w:val="20"/>
          <w:lang w:eastAsia="zh-CN"/>
        </w:rPr>
      </w:pPr>
      <w:r w:rsidRPr="006E7B0E">
        <w:rPr>
          <w:b/>
          <w:sz w:val="20"/>
          <w:lang w:eastAsia="zh-CN"/>
        </w:rPr>
        <w:t>2</w:t>
      </w:r>
      <w:r w:rsidRPr="006E7B0E">
        <w:rPr>
          <w:sz w:val="20"/>
          <w:lang w:eastAsia="zh-CN"/>
        </w:rPr>
        <w:tab/>
        <w:t>que les demandes de contrôle émanant d'organisations internationales ne participant pas au système de contrôle international des émissions soient coordonnées par le Bureau des radiocommunications et transmises par lui aux administrations s'il y a lieu;</w:t>
      </w:r>
    </w:p>
    <w:p w:rsidR="006E7B0E" w:rsidRPr="006E7B0E" w:rsidRDefault="006E7B0E" w:rsidP="006E7B0E">
      <w:pPr>
        <w:spacing w:before="136"/>
        <w:rPr>
          <w:sz w:val="20"/>
          <w:lang w:eastAsia="zh-CN"/>
        </w:rPr>
      </w:pPr>
      <w:r w:rsidRPr="006E7B0E">
        <w:rPr>
          <w:b/>
          <w:sz w:val="20"/>
          <w:lang w:eastAsia="zh-CN"/>
        </w:rPr>
        <w:t>3</w:t>
      </w:r>
      <w:r w:rsidRPr="006E7B0E">
        <w:rPr>
          <w:sz w:val="20"/>
          <w:lang w:eastAsia="zh-CN"/>
        </w:rPr>
        <w:tab/>
        <w:t>que les normes techniques dont l'Assemblée des radiocommunications recommande l'observation par les stations de contrôle soient reconnues par le Bureau des radiocommunications comme normes pratiques optimales pour les stations de contrôle international des émissions;</w:t>
      </w:r>
    </w:p>
    <w:p w:rsidR="006E7B0E" w:rsidRPr="006E7B0E" w:rsidRDefault="006E7B0E" w:rsidP="006E7B0E">
      <w:pPr>
        <w:spacing w:before="136"/>
        <w:rPr>
          <w:sz w:val="20"/>
          <w:lang w:eastAsia="zh-CN"/>
        </w:rPr>
      </w:pPr>
      <w:r w:rsidRPr="006E7B0E">
        <w:rPr>
          <w:b/>
          <w:sz w:val="20"/>
          <w:lang w:eastAsia="zh-CN"/>
        </w:rPr>
        <w:t>4</w:t>
      </w:r>
      <w:r w:rsidRPr="006E7B0E">
        <w:rPr>
          <w:sz w:val="20"/>
          <w:lang w:eastAsia="zh-CN"/>
        </w:rPr>
        <w:tab/>
        <w:t>que, pour répondre aux besoins de certaines données, les stations qui observent des normes techniques moins élevées puissent, si leur administration le désire, participer au système de contrôle international des émissions;</w:t>
      </w:r>
    </w:p>
    <w:p w:rsidR="006E7B0E" w:rsidRPr="006E7B0E" w:rsidRDefault="006E7B0E" w:rsidP="006E7B0E">
      <w:pPr>
        <w:spacing w:before="136"/>
        <w:rPr>
          <w:sz w:val="20"/>
          <w:lang w:eastAsia="zh-CN"/>
        </w:rPr>
      </w:pPr>
      <w:r w:rsidRPr="006E7B0E">
        <w:rPr>
          <w:b/>
          <w:sz w:val="20"/>
          <w:lang w:eastAsia="zh-CN"/>
        </w:rPr>
        <w:t>5</w:t>
      </w:r>
      <w:r w:rsidRPr="006E7B0E">
        <w:rPr>
          <w:sz w:val="20"/>
          <w:lang w:eastAsia="zh-CN"/>
        </w:rPr>
        <w:tab/>
        <w:t>que, après avoir déterminé si les normes techniques observées par les stations de contrôle sont suffisantes, les administrations notifient au Bureau des radiocommunications les renseignements utiles concernant les bureaux centralisateurs et les stations qu'elles souhaitent faire inclure dans la Liste VIII, en identifiant clairement les stations susceptibles de participer au système de contrôle international des émissions;</w:t>
      </w:r>
    </w:p>
    <w:p w:rsidR="006E7B0E" w:rsidRPr="006E7B0E" w:rsidRDefault="006E7B0E" w:rsidP="006E7B0E">
      <w:pPr>
        <w:spacing w:before="136"/>
        <w:rPr>
          <w:sz w:val="20"/>
          <w:lang w:eastAsia="zh-CN"/>
        </w:rPr>
      </w:pPr>
      <w:r w:rsidRPr="006E7B0E">
        <w:rPr>
          <w:b/>
          <w:sz w:val="20"/>
          <w:lang w:eastAsia="zh-CN"/>
        </w:rPr>
        <w:t>6</w:t>
      </w:r>
      <w:r w:rsidRPr="006E7B0E">
        <w:rPr>
          <w:sz w:val="20"/>
          <w:lang w:eastAsia="zh-CN"/>
        </w:rPr>
        <w:tab/>
        <w:t>que les résultats de mesure (Note 1) transmis au Bureau des radiocommunications ou à d'autres administrations comportent l'estimation de la précision obtenue au moment de la mesure.</w:t>
      </w:r>
    </w:p>
    <w:p w:rsidR="006E7B0E" w:rsidRPr="006E7B0E" w:rsidRDefault="006E7B0E" w:rsidP="006E7B0E">
      <w:pPr>
        <w:tabs>
          <w:tab w:val="clear" w:pos="794"/>
          <w:tab w:val="clear" w:pos="1191"/>
          <w:tab w:val="clear" w:pos="1588"/>
          <w:tab w:val="clear" w:pos="1985"/>
        </w:tabs>
        <w:spacing w:before="80"/>
        <w:rPr>
          <w:sz w:val="20"/>
          <w:lang w:eastAsia="zh-CN"/>
        </w:rPr>
      </w:pPr>
      <w:r w:rsidRPr="006E7B0E">
        <w:rPr>
          <w:sz w:val="20"/>
          <w:lang w:eastAsia="zh-CN"/>
        </w:rPr>
        <w:t>NOTE 1 – Lorsque le Bureau des radiocommunications estime douteux ou insuffisants pour ces besoins les résultats fournis par une station de contrôle, il en avise l'administration ou l'organisation internationale intéressée en donnant les détails utiles;</w:t>
      </w:r>
    </w:p>
    <w:p w:rsidR="006E7B0E" w:rsidRPr="006E7B0E" w:rsidRDefault="006E7B0E" w:rsidP="006E7B0E">
      <w:pPr>
        <w:spacing w:before="136"/>
        <w:rPr>
          <w:sz w:val="20"/>
          <w:lang w:eastAsia="zh-CN"/>
        </w:rPr>
      </w:pPr>
      <w:r w:rsidRPr="006E7B0E">
        <w:rPr>
          <w:b/>
          <w:sz w:val="20"/>
          <w:lang w:eastAsia="zh-CN"/>
        </w:rPr>
        <w:t>7</w:t>
      </w:r>
      <w:r w:rsidRPr="006E7B0E">
        <w:rPr>
          <w:sz w:val="20"/>
          <w:lang w:eastAsia="zh-CN"/>
        </w:rPr>
        <w:tab/>
        <w:t>que les administrations fassent tout leur possible pour que les observations de contrôle (voir l'Annexe 1) soient communiquées au Bureau des radiocommunications dans les moindres délais.</w:t>
      </w:r>
    </w:p>
    <w:p w:rsidR="006E7B0E" w:rsidRPr="006E7B0E" w:rsidRDefault="006E7B0E" w:rsidP="006E7B0E">
      <w:pPr>
        <w:tabs>
          <w:tab w:val="clear" w:pos="794"/>
          <w:tab w:val="clear" w:pos="1191"/>
          <w:tab w:val="clear" w:pos="1588"/>
          <w:tab w:val="clear" w:pos="1985"/>
          <w:tab w:val="center" w:pos="4849"/>
          <w:tab w:val="right" w:pos="9696"/>
        </w:tabs>
        <w:spacing w:before="720" w:after="68"/>
        <w:jc w:val="center"/>
        <w:rPr>
          <w:sz w:val="20"/>
          <w:lang w:eastAsia="zh-CN"/>
        </w:rPr>
      </w:pPr>
      <w:r w:rsidRPr="006E7B0E">
        <w:rPr>
          <w:sz w:val="20"/>
          <w:lang w:eastAsia="zh-CN"/>
        </w:rPr>
        <w:br w:type="page"/>
      </w:r>
      <w:r w:rsidRPr="006E7B0E">
        <w:rPr>
          <w:sz w:val="20"/>
          <w:lang w:eastAsia="zh-CN"/>
        </w:rPr>
        <w:lastRenderedPageBreak/>
        <w:t>ANNEXE  1</w:t>
      </w:r>
    </w:p>
    <w:p w:rsidR="006E7B0E" w:rsidRPr="006E7B0E" w:rsidRDefault="006E7B0E" w:rsidP="006E7B0E">
      <w:pPr>
        <w:tabs>
          <w:tab w:val="clear" w:pos="794"/>
          <w:tab w:val="clear" w:pos="1191"/>
          <w:tab w:val="clear" w:pos="1588"/>
          <w:tab w:val="clear" w:pos="1985"/>
          <w:tab w:val="left" w:pos="4849"/>
          <w:tab w:val="right" w:pos="9696"/>
        </w:tabs>
        <w:spacing w:before="136" w:after="200"/>
        <w:jc w:val="center"/>
        <w:rPr>
          <w:b/>
          <w:bCs/>
          <w:szCs w:val="24"/>
          <w:lang w:eastAsia="zh-CN"/>
        </w:rPr>
      </w:pPr>
      <w:r w:rsidRPr="006E7B0E">
        <w:rPr>
          <w:b/>
          <w:bCs/>
          <w:szCs w:val="24"/>
          <w:lang w:eastAsia="zh-CN"/>
        </w:rPr>
        <w:t>Rapport sur les observations de contrôle international des émissions</w:t>
      </w:r>
    </w:p>
    <w:p w:rsidR="006E7B0E" w:rsidRPr="006E7B0E" w:rsidRDefault="006E7B0E" w:rsidP="006E7B0E">
      <w:pPr>
        <w:spacing w:before="136"/>
        <w:jc w:val="center"/>
        <w:rPr>
          <w:b/>
          <w:sz w:val="20"/>
          <w:lang w:eastAsia="zh-CN"/>
        </w:rPr>
      </w:pPr>
      <w:r w:rsidRPr="006E7B0E">
        <w:rPr>
          <w:b/>
          <w:sz w:val="20"/>
          <w:lang w:eastAsia="zh-CN"/>
        </w:rPr>
        <w:t>Section I.  Rapports relatifs aux stations des services</w:t>
      </w:r>
      <w:r w:rsidRPr="006E7B0E">
        <w:rPr>
          <w:b/>
          <w:sz w:val="20"/>
          <w:lang w:eastAsia="zh-CN"/>
        </w:rPr>
        <w:br/>
        <w:t>de radiocommunication de Terre</w:t>
      </w:r>
    </w:p>
    <w:p w:rsidR="006E7B0E" w:rsidRPr="006E7B0E" w:rsidRDefault="006E7B0E" w:rsidP="006E7B0E">
      <w:pPr>
        <w:spacing w:before="480"/>
        <w:rPr>
          <w:sz w:val="20"/>
          <w:lang w:val="fr-CH" w:eastAsia="zh-CN"/>
        </w:rPr>
      </w:pPr>
      <w:r w:rsidRPr="006E7B0E">
        <w:rPr>
          <w:b/>
          <w:sz w:val="20"/>
          <w:lang w:val="fr-CH" w:eastAsia="zh-CN"/>
        </w:rPr>
        <w:t>1</w:t>
      </w:r>
      <w:r w:rsidRPr="006E7B0E">
        <w:rPr>
          <w:sz w:val="20"/>
          <w:lang w:val="fr-CH" w:eastAsia="zh-CN"/>
        </w:rPr>
        <w:tab/>
        <w:t>Il convient que les rapports concernant les résultats des mesures de fréquence contiennent dans toute la mesure nécessaire, les renseignements suivants:</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a)</w:t>
      </w:r>
      <w:r w:rsidRPr="006E7B0E">
        <w:rPr>
          <w:sz w:val="20"/>
          <w:lang w:eastAsia="zh-CN"/>
        </w:rPr>
        <w:tab/>
        <w:t>identification de la station de contrôle (administration ou organisation, et emplacement);</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b)</w:t>
      </w:r>
      <w:r w:rsidRPr="006E7B0E">
        <w:rPr>
          <w:sz w:val="20"/>
          <w:lang w:eastAsia="zh-CN"/>
        </w:rPr>
        <w:tab/>
        <w:t>date de la mesure;</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c)</w:t>
      </w:r>
      <w:r w:rsidRPr="006E7B0E">
        <w:rPr>
          <w:sz w:val="20"/>
          <w:lang w:eastAsia="zh-CN"/>
        </w:rPr>
        <w:tab/>
        <w:t>heure de la mesure (UTC);</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d)</w:t>
      </w:r>
      <w:r w:rsidRPr="006E7B0E">
        <w:rPr>
          <w:sz w:val="20"/>
          <w:lang w:eastAsia="zh-CN"/>
        </w:rPr>
        <w:tab/>
        <w:t>indicatif d'appel ou tout autre moyen d'identification de la station contrôlée, ou l'un et l'autre;</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e)</w:t>
      </w:r>
      <w:r w:rsidRPr="006E7B0E">
        <w:rPr>
          <w:sz w:val="20"/>
          <w:lang w:eastAsia="zh-CN"/>
        </w:rPr>
        <w:tab/>
        <w:t>classe de l'émission (voir la Note 1);</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f)</w:t>
      </w:r>
      <w:r w:rsidRPr="006E7B0E">
        <w:rPr>
          <w:sz w:val="20"/>
          <w:lang w:eastAsia="zh-CN"/>
        </w:rPr>
        <w:tab/>
        <w:t>fréquence assignée ou fréquence de référence;</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g)</w:t>
      </w:r>
      <w:r w:rsidRPr="006E7B0E">
        <w:rPr>
          <w:sz w:val="20"/>
          <w:lang w:eastAsia="zh-CN"/>
        </w:rPr>
        <w:tab/>
        <w:t>tolérance de fréquence;</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h)</w:t>
      </w:r>
      <w:r w:rsidRPr="006E7B0E">
        <w:rPr>
          <w:sz w:val="20"/>
          <w:lang w:eastAsia="zh-CN"/>
        </w:rPr>
        <w:tab/>
        <w:t>fréquence mesurée;</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i)</w:t>
      </w:r>
      <w:r w:rsidRPr="006E7B0E">
        <w:rPr>
          <w:sz w:val="20"/>
          <w:lang w:eastAsia="zh-CN"/>
        </w:rPr>
        <w:tab/>
        <w:t>précision de la mesure;</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j)</w:t>
      </w:r>
      <w:r w:rsidRPr="006E7B0E">
        <w:rPr>
          <w:sz w:val="20"/>
          <w:lang w:eastAsia="zh-CN"/>
        </w:rPr>
        <w:tab/>
        <w:t>écart par rapport à la fréquence assignée ou par rapport à la fréquence de référence;</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k)</w:t>
      </w:r>
      <w:r w:rsidRPr="006E7B0E">
        <w:rPr>
          <w:sz w:val="20"/>
          <w:lang w:eastAsia="zh-CN"/>
        </w:rPr>
        <w:tab/>
        <w:t>renseignements supplémentaires (par exemple, période pendant laquelle les mesures ont été effectuées, dérive de la fréquence mesurée pendant cette période, qualité des signaux reçus et conditions de réception);</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l)</w:t>
      </w:r>
      <w:r w:rsidRPr="006E7B0E">
        <w:rPr>
          <w:sz w:val="20"/>
          <w:lang w:eastAsia="zh-CN"/>
        </w:rPr>
        <w:tab/>
        <w:t>observations.</w:t>
      </w:r>
    </w:p>
    <w:p w:rsidR="006E7B0E" w:rsidRPr="006E7B0E" w:rsidRDefault="006E7B0E" w:rsidP="006E7B0E">
      <w:pPr>
        <w:spacing w:before="136"/>
        <w:rPr>
          <w:sz w:val="20"/>
          <w:lang w:eastAsia="zh-CN"/>
        </w:rPr>
      </w:pPr>
      <w:r w:rsidRPr="006E7B0E">
        <w:rPr>
          <w:b/>
          <w:sz w:val="20"/>
          <w:lang w:eastAsia="zh-CN"/>
        </w:rPr>
        <w:t>2</w:t>
      </w:r>
      <w:r w:rsidRPr="006E7B0E">
        <w:rPr>
          <w:sz w:val="20"/>
          <w:lang w:eastAsia="zh-CN"/>
        </w:rPr>
        <w:tab/>
        <w:t>Il convient que les rapports concernant les résultats des mesures des valeurs du champ ou de la puissance surfacique contiennent dans toute la mesure nécessaire, les renseignements suivants:</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a)</w:t>
      </w:r>
      <w:r w:rsidRPr="006E7B0E">
        <w:rPr>
          <w:sz w:val="20"/>
          <w:lang w:eastAsia="zh-CN"/>
        </w:rPr>
        <w:tab/>
        <w:t>identification de la station de contrôle (administration ou organisation, et emplacement);</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b)</w:t>
      </w:r>
      <w:r w:rsidRPr="006E7B0E">
        <w:rPr>
          <w:sz w:val="20"/>
          <w:lang w:eastAsia="zh-CN"/>
        </w:rPr>
        <w:tab/>
        <w:t>date de la mesure;</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c)</w:t>
      </w:r>
      <w:r w:rsidRPr="006E7B0E">
        <w:rPr>
          <w:sz w:val="20"/>
          <w:lang w:eastAsia="zh-CN"/>
        </w:rPr>
        <w:tab/>
        <w:t>heure de la mesure (UTC);</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d)</w:t>
      </w:r>
      <w:r w:rsidRPr="006E7B0E">
        <w:rPr>
          <w:sz w:val="20"/>
          <w:lang w:eastAsia="zh-CN"/>
        </w:rPr>
        <w:tab/>
        <w:t>indicatif d'appel ou tout autre moyen d'identification de la station contrôlée, ou l'un et l'autre;</w:t>
      </w:r>
    </w:p>
    <w:p w:rsidR="006E7B0E" w:rsidRPr="006E7B0E" w:rsidRDefault="006E7B0E" w:rsidP="006E7B0E">
      <w:pPr>
        <w:tabs>
          <w:tab w:val="clear" w:pos="794"/>
          <w:tab w:val="clear" w:pos="1191"/>
          <w:tab w:val="clear" w:pos="1588"/>
          <w:tab w:val="clear" w:pos="1985"/>
          <w:tab w:val="left" w:pos="397"/>
        </w:tabs>
        <w:spacing w:before="86"/>
        <w:ind w:left="397" w:hanging="397"/>
        <w:rPr>
          <w:position w:val="6"/>
          <w:sz w:val="16"/>
          <w:lang w:eastAsia="zh-CN"/>
        </w:rPr>
      </w:pPr>
      <w:r w:rsidRPr="006E7B0E">
        <w:rPr>
          <w:sz w:val="20"/>
          <w:lang w:eastAsia="zh-CN"/>
        </w:rPr>
        <w:t>e)</w:t>
      </w:r>
      <w:r w:rsidRPr="006E7B0E">
        <w:rPr>
          <w:sz w:val="20"/>
          <w:lang w:eastAsia="zh-CN"/>
        </w:rPr>
        <w:tab/>
        <w:t>classe de l'émission (voir la Note 1)</w:t>
      </w:r>
      <w:r w:rsidRPr="006E7B0E">
        <w:rPr>
          <w:sz w:val="16"/>
          <w:lang w:eastAsia="zh-CN"/>
        </w:rPr>
        <w:t>;</w:t>
      </w:r>
    </w:p>
    <w:p w:rsidR="006E7B0E" w:rsidRPr="006E7B0E" w:rsidRDefault="006E7B0E" w:rsidP="006E7B0E">
      <w:pPr>
        <w:tabs>
          <w:tab w:val="clear" w:pos="794"/>
          <w:tab w:val="clear" w:pos="1191"/>
          <w:tab w:val="clear" w:pos="1588"/>
          <w:tab w:val="clear" w:pos="1985"/>
          <w:tab w:val="left" w:pos="397"/>
        </w:tabs>
        <w:spacing w:before="86"/>
        <w:ind w:left="397" w:hanging="397"/>
        <w:rPr>
          <w:position w:val="6"/>
          <w:sz w:val="20"/>
          <w:lang w:eastAsia="zh-CN"/>
        </w:rPr>
      </w:pPr>
      <w:r w:rsidRPr="006E7B0E">
        <w:rPr>
          <w:position w:val="6"/>
          <w:sz w:val="20"/>
          <w:lang w:eastAsia="zh-CN"/>
        </w:rPr>
        <w:t>f)</w:t>
      </w:r>
      <w:r w:rsidRPr="006E7B0E">
        <w:rPr>
          <w:position w:val="6"/>
          <w:sz w:val="20"/>
          <w:lang w:eastAsia="zh-CN"/>
        </w:rPr>
        <w:tab/>
        <w:t>fréquence assignée;</w:t>
      </w:r>
    </w:p>
    <w:p w:rsidR="006E7B0E" w:rsidRPr="006E7B0E" w:rsidRDefault="006E7B0E" w:rsidP="006E7B0E">
      <w:pPr>
        <w:tabs>
          <w:tab w:val="clear" w:pos="794"/>
          <w:tab w:val="clear" w:pos="1191"/>
          <w:tab w:val="clear" w:pos="1588"/>
          <w:tab w:val="clear" w:pos="1985"/>
          <w:tab w:val="left" w:pos="397"/>
        </w:tabs>
        <w:spacing w:before="86"/>
        <w:ind w:left="397" w:hanging="397"/>
        <w:rPr>
          <w:position w:val="6"/>
          <w:sz w:val="20"/>
          <w:lang w:eastAsia="zh-CN"/>
        </w:rPr>
      </w:pPr>
      <w:r w:rsidRPr="006E7B0E">
        <w:rPr>
          <w:position w:val="6"/>
          <w:sz w:val="20"/>
          <w:lang w:eastAsia="zh-CN"/>
        </w:rPr>
        <w:t>g)</w:t>
      </w:r>
      <w:r w:rsidRPr="006E7B0E">
        <w:rPr>
          <w:position w:val="6"/>
          <w:sz w:val="20"/>
          <w:lang w:eastAsia="zh-CN"/>
        </w:rPr>
        <w:tab/>
        <w:t>valeur mesurée du champ ou de la puissance surfacique;</w:t>
      </w:r>
    </w:p>
    <w:p w:rsidR="006E7B0E" w:rsidRPr="006E7B0E" w:rsidRDefault="006E7B0E" w:rsidP="006E7B0E">
      <w:pPr>
        <w:tabs>
          <w:tab w:val="clear" w:pos="794"/>
          <w:tab w:val="clear" w:pos="1191"/>
          <w:tab w:val="clear" w:pos="1588"/>
          <w:tab w:val="clear" w:pos="1985"/>
          <w:tab w:val="left" w:pos="397"/>
        </w:tabs>
        <w:spacing w:before="86"/>
        <w:ind w:left="397" w:hanging="397"/>
        <w:rPr>
          <w:position w:val="6"/>
          <w:sz w:val="20"/>
          <w:lang w:eastAsia="zh-CN"/>
        </w:rPr>
      </w:pPr>
      <w:r w:rsidRPr="006E7B0E">
        <w:rPr>
          <w:position w:val="6"/>
          <w:sz w:val="20"/>
          <w:lang w:eastAsia="zh-CN"/>
        </w:rPr>
        <w:t>h)</w:t>
      </w:r>
      <w:r w:rsidRPr="006E7B0E">
        <w:rPr>
          <w:position w:val="6"/>
          <w:sz w:val="20"/>
          <w:lang w:eastAsia="zh-CN"/>
        </w:rPr>
        <w:tab/>
        <w:t>précision de la mesure (estimation);</w:t>
      </w:r>
    </w:p>
    <w:p w:rsidR="006E7B0E" w:rsidRPr="006E7B0E" w:rsidRDefault="006E7B0E" w:rsidP="006E7B0E">
      <w:pPr>
        <w:tabs>
          <w:tab w:val="clear" w:pos="794"/>
          <w:tab w:val="clear" w:pos="1191"/>
          <w:tab w:val="clear" w:pos="1588"/>
          <w:tab w:val="clear" w:pos="1985"/>
          <w:tab w:val="left" w:pos="397"/>
        </w:tabs>
        <w:spacing w:before="86"/>
        <w:ind w:left="397" w:hanging="397"/>
        <w:rPr>
          <w:position w:val="6"/>
          <w:sz w:val="20"/>
          <w:lang w:eastAsia="zh-CN"/>
        </w:rPr>
      </w:pPr>
      <w:r w:rsidRPr="006E7B0E">
        <w:rPr>
          <w:position w:val="6"/>
          <w:sz w:val="20"/>
          <w:lang w:eastAsia="zh-CN"/>
        </w:rPr>
        <w:t>i)</w:t>
      </w:r>
      <w:r w:rsidRPr="006E7B0E">
        <w:rPr>
          <w:position w:val="6"/>
          <w:sz w:val="20"/>
          <w:lang w:eastAsia="zh-CN"/>
        </w:rPr>
        <w:tab/>
        <w:t>valeur de la composante de polarisation mesurée;</w:t>
      </w:r>
    </w:p>
    <w:p w:rsidR="006E7B0E" w:rsidRPr="006E7B0E" w:rsidRDefault="006E7B0E" w:rsidP="006E7B0E">
      <w:pPr>
        <w:tabs>
          <w:tab w:val="clear" w:pos="794"/>
          <w:tab w:val="clear" w:pos="1191"/>
          <w:tab w:val="clear" w:pos="1588"/>
          <w:tab w:val="clear" w:pos="1985"/>
          <w:tab w:val="left" w:pos="397"/>
        </w:tabs>
        <w:spacing w:before="86"/>
        <w:ind w:left="397" w:hanging="397"/>
        <w:rPr>
          <w:position w:val="6"/>
          <w:sz w:val="20"/>
          <w:lang w:eastAsia="zh-CN"/>
        </w:rPr>
      </w:pPr>
      <w:r w:rsidRPr="006E7B0E">
        <w:rPr>
          <w:position w:val="6"/>
          <w:sz w:val="20"/>
          <w:lang w:eastAsia="zh-CN"/>
        </w:rPr>
        <w:t>j)</w:t>
      </w:r>
      <w:r w:rsidRPr="006E7B0E">
        <w:rPr>
          <w:position w:val="6"/>
          <w:sz w:val="20"/>
          <w:lang w:eastAsia="zh-CN"/>
        </w:rPr>
        <w:tab/>
        <w:t>autres éléments ou caractéristiques de la mesure;</w:t>
      </w:r>
    </w:p>
    <w:p w:rsidR="006E7B0E" w:rsidRPr="006E7B0E" w:rsidRDefault="006E7B0E" w:rsidP="006E7B0E">
      <w:pPr>
        <w:tabs>
          <w:tab w:val="clear" w:pos="794"/>
          <w:tab w:val="clear" w:pos="1191"/>
          <w:tab w:val="clear" w:pos="1588"/>
          <w:tab w:val="clear" w:pos="1985"/>
          <w:tab w:val="left" w:pos="397"/>
        </w:tabs>
        <w:spacing w:before="86"/>
        <w:ind w:left="397" w:hanging="397"/>
        <w:rPr>
          <w:position w:val="6"/>
          <w:sz w:val="20"/>
          <w:lang w:eastAsia="zh-CN"/>
        </w:rPr>
      </w:pPr>
      <w:r w:rsidRPr="006E7B0E">
        <w:rPr>
          <w:position w:val="6"/>
          <w:sz w:val="20"/>
          <w:lang w:eastAsia="zh-CN"/>
        </w:rPr>
        <w:t>k)</w:t>
      </w:r>
      <w:r w:rsidRPr="006E7B0E">
        <w:rPr>
          <w:position w:val="6"/>
          <w:sz w:val="20"/>
          <w:lang w:eastAsia="zh-CN"/>
        </w:rPr>
        <w:tab/>
        <w:t>observations.</w:t>
      </w:r>
    </w:p>
    <w:p w:rsidR="006E7B0E" w:rsidRPr="006E7B0E" w:rsidRDefault="006E7B0E" w:rsidP="006E7B0E">
      <w:pPr>
        <w:spacing w:before="136"/>
        <w:rPr>
          <w:sz w:val="20"/>
          <w:lang w:eastAsia="zh-CN"/>
        </w:rPr>
      </w:pPr>
      <w:r w:rsidRPr="006E7B0E">
        <w:rPr>
          <w:b/>
          <w:sz w:val="20"/>
          <w:lang w:eastAsia="zh-CN"/>
        </w:rPr>
        <w:t>3</w:t>
      </w:r>
      <w:r w:rsidRPr="006E7B0E">
        <w:rPr>
          <w:sz w:val="20"/>
          <w:lang w:eastAsia="zh-CN"/>
        </w:rPr>
        <w:tab/>
        <w:t>Il convient que les relevés d'observations concernant le degré d'occupation du spectre soient fournis, dans la mesure pratiquement possible, dans la forme recommandée par le BR et contiennent, si possible, les renseignements suivants:</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a)</w:t>
      </w:r>
      <w:r w:rsidRPr="006E7B0E">
        <w:rPr>
          <w:sz w:val="20"/>
          <w:lang w:eastAsia="zh-CN"/>
        </w:rPr>
        <w:tab/>
        <w:t>identification de la station de contrôle (administration ou organisation, et emplacement);</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b)</w:t>
      </w:r>
      <w:r w:rsidRPr="006E7B0E">
        <w:rPr>
          <w:sz w:val="20"/>
          <w:lang w:eastAsia="zh-CN"/>
        </w:rPr>
        <w:tab/>
        <w:t>date de la mesure;</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c)</w:t>
      </w:r>
      <w:r w:rsidRPr="006E7B0E">
        <w:rPr>
          <w:sz w:val="20"/>
          <w:lang w:eastAsia="zh-CN"/>
        </w:rPr>
        <w:tab/>
        <w:t>heure de la mesure (UTC);</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d)</w:t>
      </w:r>
      <w:r w:rsidRPr="006E7B0E">
        <w:rPr>
          <w:sz w:val="20"/>
          <w:lang w:eastAsia="zh-CN"/>
        </w:rPr>
        <w:tab/>
        <w:t>indicatif d'appel ou tout autre moyen d'identification de la station contrôlée, ou l'un et l'autre;</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e)</w:t>
      </w:r>
      <w:r w:rsidRPr="006E7B0E">
        <w:rPr>
          <w:sz w:val="20"/>
          <w:lang w:eastAsia="zh-CN"/>
        </w:rPr>
        <w:tab/>
        <w:t>classe de l'émission</w:t>
      </w:r>
      <w:r w:rsidRPr="006E7B0E">
        <w:rPr>
          <w:position w:val="6"/>
          <w:sz w:val="16"/>
          <w:lang w:eastAsia="zh-CN"/>
        </w:rPr>
        <w:t xml:space="preserve"> </w:t>
      </w:r>
      <w:r w:rsidRPr="006E7B0E">
        <w:rPr>
          <w:sz w:val="20"/>
          <w:lang w:eastAsia="zh-CN"/>
        </w:rPr>
        <w:t>(voir la Note 1);</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br w:type="page"/>
      </w:r>
      <w:r w:rsidRPr="006E7B0E">
        <w:rPr>
          <w:sz w:val="20"/>
          <w:lang w:eastAsia="zh-CN"/>
        </w:rPr>
        <w:lastRenderedPageBreak/>
        <w:t>f)</w:t>
      </w:r>
      <w:r w:rsidRPr="006E7B0E">
        <w:rPr>
          <w:sz w:val="20"/>
          <w:lang w:eastAsia="zh-CN"/>
        </w:rPr>
        <w:tab/>
        <w:t>classe de la station et nature du service;</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g)</w:t>
      </w:r>
      <w:r w:rsidRPr="006E7B0E">
        <w:rPr>
          <w:sz w:val="20"/>
          <w:lang w:eastAsia="zh-CN"/>
        </w:rPr>
        <w:tab/>
        <w:t>fréquence mesurée;</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h)</w:t>
      </w:r>
      <w:r w:rsidRPr="006E7B0E">
        <w:rPr>
          <w:sz w:val="20"/>
          <w:lang w:eastAsia="zh-CN"/>
        </w:rPr>
        <w:tab/>
        <w:t>période pendant laquelle l'émission a été entendue ou enregistrée;</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i)</w:t>
      </w:r>
      <w:r w:rsidRPr="006E7B0E">
        <w:rPr>
          <w:sz w:val="20"/>
          <w:lang w:eastAsia="zh-CN"/>
        </w:rPr>
        <w:tab/>
        <w:t>valeur mesurée du champ ou de la puissance surfacique, ou de la force du signal d'après l'échelle QSA;</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j)</w:t>
      </w:r>
      <w:r w:rsidRPr="006E7B0E">
        <w:rPr>
          <w:sz w:val="20"/>
          <w:lang w:eastAsia="zh-CN"/>
        </w:rPr>
        <w:tab/>
        <w:t>largeur de bande occupée (indiquer si elle a été mesurée ou estimée ou indiquer la largeur de bande nécessaire notifiée au BR);</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k)</w:t>
      </w:r>
      <w:r w:rsidRPr="006E7B0E">
        <w:rPr>
          <w:sz w:val="20"/>
          <w:lang w:eastAsia="zh-CN"/>
        </w:rPr>
        <w:tab/>
        <w:t>renseignements sur la localité ou sur la zone de réception visée;</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l)</w:t>
      </w:r>
      <w:r w:rsidRPr="006E7B0E">
        <w:rPr>
          <w:sz w:val="20"/>
          <w:lang w:eastAsia="zh-CN"/>
        </w:rPr>
        <w:tab/>
        <w:t>observations.</w:t>
      </w:r>
    </w:p>
    <w:p w:rsidR="006E7B0E" w:rsidRPr="006E7B0E" w:rsidRDefault="006E7B0E" w:rsidP="006E7B0E">
      <w:pPr>
        <w:spacing w:before="136"/>
        <w:rPr>
          <w:sz w:val="20"/>
          <w:lang w:eastAsia="zh-CN"/>
        </w:rPr>
      </w:pPr>
      <w:r w:rsidRPr="006E7B0E">
        <w:rPr>
          <w:b/>
          <w:sz w:val="20"/>
          <w:lang w:eastAsia="zh-CN"/>
        </w:rPr>
        <w:t>4</w:t>
      </w:r>
      <w:r w:rsidRPr="006E7B0E">
        <w:rPr>
          <w:sz w:val="20"/>
          <w:lang w:eastAsia="zh-CN"/>
        </w:rPr>
        <w:tab/>
        <w:t>Il convient d'utiliser, autant que possible, dans la transmission de ces renseignements, les symboles figurant dans le RR ou dans la Préface à la Liste internationale des fréquences.</w:t>
      </w:r>
    </w:p>
    <w:p w:rsidR="006E7B0E" w:rsidRPr="006E7B0E" w:rsidRDefault="006E7B0E" w:rsidP="006E7B0E">
      <w:pPr>
        <w:spacing w:before="136"/>
        <w:rPr>
          <w:sz w:val="20"/>
          <w:lang w:eastAsia="zh-CN"/>
        </w:rPr>
      </w:pPr>
    </w:p>
    <w:p w:rsidR="006E7B0E" w:rsidRPr="006E7B0E" w:rsidRDefault="006E7B0E" w:rsidP="006E7B0E">
      <w:pPr>
        <w:spacing w:before="136"/>
        <w:jc w:val="center"/>
        <w:rPr>
          <w:b/>
          <w:sz w:val="20"/>
          <w:lang w:eastAsia="zh-CN"/>
        </w:rPr>
      </w:pPr>
      <w:r w:rsidRPr="006E7B0E">
        <w:rPr>
          <w:b/>
          <w:sz w:val="20"/>
          <w:lang w:eastAsia="zh-CN"/>
        </w:rPr>
        <w:t>Section II.  Rapports relatifs aux stations des services</w:t>
      </w:r>
      <w:r w:rsidRPr="006E7B0E">
        <w:rPr>
          <w:b/>
          <w:sz w:val="20"/>
          <w:lang w:eastAsia="zh-CN"/>
        </w:rPr>
        <w:br/>
        <w:t>de radiocommunication spatiale</w:t>
      </w:r>
    </w:p>
    <w:p w:rsidR="006E7B0E" w:rsidRPr="006E7B0E" w:rsidRDefault="006E7B0E" w:rsidP="006E7B0E">
      <w:pPr>
        <w:spacing w:before="480"/>
        <w:rPr>
          <w:sz w:val="20"/>
          <w:lang w:val="fr-CH" w:eastAsia="zh-CN"/>
        </w:rPr>
      </w:pPr>
      <w:r w:rsidRPr="006E7B0E">
        <w:rPr>
          <w:b/>
          <w:sz w:val="20"/>
          <w:lang w:val="fr-CH" w:eastAsia="zh-CN"/>
        </w:rPr>
        <w:t>1</w:t>
      </w:r>
      <w:r w:rsidRPr="006E7B0E">
        <w:rPr>
          <w:sz w:val="20"/>
          <w:lang w:val="fr-CH" w:eastAsia="zh-CN"/>
        </w:rPr>
        <w:tab/>
        <w:t>Il convient que les rapports concernant les résultats des mesures de fréquence contiennent, dans toute la mesure nécessaire, les renseignements suivants:</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a)</w:t>
      </w:r>
      <w:r w:rsidRPr="006E7B0E">
        <w:rPr>
          <w:sz w:val="20"/>
          <w:lang w:eastAsia="zh-CN"/>
        </w:rPr>
        <w:tab/>
        <w:t>identification de la station de contrôle (administration ou organisation, et emplacement);</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b)</w:t>
      </w:r>
      <w:r w:rsidRPr="006E7B0E">
        <w:rPr>
          <w:sz w:val="20"/>
          <w:lang w:eastAsia="zh-CN"/>
        </w:rPr>
        <w:tab/>
        <w:t>date de la mesure;</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c)</w:t>
      </w:r>
      <w:r w:rsidRPr="006E7B0E">
        <w:rPr>
          <w:sz w:val="20"/>
          <w:lang w:eastAsia="zh-CN"/>
        </w:rPr>
        <w:tab/>
        <w:t>heure de la mesure (UTC);</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d)</w:t>
      </w:r>
      <w:r w:rsidRPr="006E7B0E">
        <w:rPr>
          <w:sz w:val="20"/>
          <w:lang w:eastAsia="zh-CN"/>
        </w:rPr>
        <w:tab/>
        <w:t>indicatif d'appel ou tout autre moyen d'identification de la station contrôlée, ou l'un et l'autre;</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e)</w:t>
      </w:r>
      <w:r w:rsidRPr="006E7B0E">
        <w:rPr>
          <w:sz w:val="20"/>
          <w:lang w:eastAsia="zh-CN"/>
        </w:rPr>
        <w:tab/>
        <w:t>classe de l'émission</w:t>
      </w:r>
      <w:r w:rsidRPr="006E7B0E">
        <w:rPr>
          <w:position w:val="6"/>
          <w:sz w:val="16"/>
          <w:lang w:eastAsia="zh-CN"/>
        </w:rPr>
        <w:t xml:space="preserve"> </w:t>
      </w:r>
      <w:r w:rsidRPr="006E7B0E">
        <w:rPr>
          <w:sz w:val="20"/>
          <w:lang w:eastAsia="zh-CN"/>
        </w:rPr>
        <w:t>(voir la Note 1);</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f)</w:t>
      </w:r>
      <w:r w:rsidRPr="006E7B0E">
        <w:rPr>
          <w:sz w:val="20"/>
          <w:lang w:eastAsia="zh-CN"/>
        </w:rPr>
        <w:tab/>
        <w:t>fréquence assignée ou fréquence de référence;</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g)</w:t>
      </w:r>
      <w:r w:rsidRPr="006E7B0E">
        <w:rPr>
          <w:sz w:val="20"/>
          <w:lang w:eastAsia="zh-CN"/>
        </w:rPr>
        <w:tab/>
        <w:t>tolérance de fréquence;</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h)</w:t>
      </w:r>
      <w:r w:rsidRPr="006E7B0E">
        <w:rPr>
          <w:sz w:val="20"/>
          <w:lang w:eastAsia="zh-CN"/>
        </w:rPr>
        <w:tab/>
        <w:t>fréquence mesurée;</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i)</w:t>
      </w:r>
      <w:r w:rsidRPr="006E7B0E">
        <w:rPr>
          <w:sz w:val="20"/>
          <w:lang w:eastAsia="zh-CN"/>
        </w:rPr>
        <w:tab/>
        <w:t>précision de la mesure;</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j)</w:t>
      </w:r>
      <w:r w:rsidRPr="006E7B0E">
        <w:rPr>
          <w:sz w:val="20"/>
          <w:lang w:eastAsia="zh-CN"/>
        </w:rPr>
        <w:tab/>
        <w:t>écart par rapport à la fréquence assignée ou par rapport à la fréquence de référence;</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k)</w:t>
      </w:r>
      <w:r w:rsidRPr="006E7B0E">
        <w:rPr>
          <w:sz w:val="20"/>
          <w:lang w:eastAsia="zh-CN"/>
        </w:rPr>
        <w:tab/>
        <w:t>renseignements supplémentaires (par exemple, période pendant laquelle les mesures ont été effectuées, dérive de la fréquence mesurée pendant cette période, qualité des signaux reçus et conditions de réception);</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l)</w:t>
      </w:r>
      <w:r w:rsidRPr="006E7B0E">
        <w:rPr>
          <w:sz w:val="20"/>
          <w:lang w:eastAsia="zh-CN"/>
        </w:rPr>
        <w:tab/>
        <w:t>observations.</w:t>
      </w:r>
    </w:p>
    <w:p w:rsidR="006E7B0E" w:rsidRPr="006E7B0E" w:rsidRDefault="006E7B0E" w:rsidP="006E7B0E">
      <w:pPr>
        <w:spacing w:before="136"/>
        <w:rPr>
          <w:sz w:val="20"/>
          <w:lang w:eastAsia="zh-CN"/>
        </w:rPr>
      </w:pPr>
      <w:r w:rsidRPr="006E7B0E">
        <w:rPr>
          <w:b/>
          <w:sz w:val="20"/>
          <w:lang w:eastAsia="zh-CN"/>
        </w:rPr>
        <w:t>2</w:t>
      </w:r>
      <w:r w:rsidRPr="006E7B0E">
        <w:rPr>
          <w:sz w:val="20"/>
          <w:lang w:eastAsia="zh-CN"/>
        </w:rPr>
        <w:tab/>
        <w:t>Il convient que les rapports concernant les résultats des mesures de champ ou de puissance surfacique contiennent, dans toute la mesure nécessaire, les renseignements suivants:</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a)</w:t>
      </w:r>
      <w:r w:rsidRPr="006E7B0E">
        <w:rPr>
          <w:sz w:val="20"/>
          <w:lang w:eastAsia="zh-CN"/>
        </w:rPr>
        <w:tab/>
        <w:t>identification de la station de contrôle (administration ou organisation, et emplacement);</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b)</w:t>
      </w:r>
      <w:r w:rsidRPr="006E7B0E">
        <w:rPr>
          <w:sz w:val="20"/>
          <w:lang w:eastAsia="zh-CN"/>
        </w:rPr>
        <w:tab/>
        <w:t>date de la mesure;</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c)</w:t>
      </w:r>
      <w:r w:rsidRPr="006E7B0E">
        <w:rPr>
          <w:sz w:val="20"/>
          <w:lang w:eastAsia="zh-CN"/>
        </w:rPr>
        <w:tab/>
        <w:t>heure de la mesure (UTC);</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d)</w:t>
      </w:r>
      <w:r w:rsidRPr="006E7B0E">
        <w:rPr>
          <w:sz w:val="20"/>
          <w:lang w:eastAsia="zh-CN"/>
        </w:rPr>
        <w:tab/>
        <w:t>indicatif d'appel ou tout autre moyen d'identification de la station contrôlée, ou l'un et l'autre;</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e)</w:t>
      </w:r>
      <w:r w:rsidRPr="006E7B0E">
        <w:rPr>
          <w:sz w:val="20"/>
          <w:lang w:eastAsia="zh-CN"/>
        </w:rPr>
        <w:tab/>
        <w:t>classe de l'émission (voir la Note 1);</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f)</w:t>
      </w:r>
      <w:r w:rsidRPr="006E7B0E">
        <w:rPr>
          <w:sz w:val="20"/>
          <w:lang w:eastAsia="zh-CN"/>
        </w:rPr>
        <w:tab/>
        <w:t>fréquence assignée;</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g)</w:t>
      </w:r>
      <w:r w:rsidRPr="006E7B0E">
        <w:rPr>
          <w:sz w:val="20"/>
          <w:lang w:eastAsia="zh-CN"/>
        </w:rPr>
        <w:tab/>
        <w:t>valeur mesurée du champ ou de la puissance surfacique;</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h)</w:t>
      </w:r>
      <w:r w:rsidRPr="006E7B0E">
        <w:rPr>
          <w:sz w:val="20"/>
          <w:lang w:eastAsia="zh-CN"/>
        </w:rPr>
        <w:tab/>
        <w:t>précision de la mesure (estimation);</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i)</w:t>
      </w:r>
      <w:r w:rsidRPr="006E7B0E">
        <w:rPr>
          <w:sz w:val="20"/>
          <w:lang w:eastAsia="zh-CN"/>
        </w:rPr>
        <w:tab/>
        <w:t>valeur de la composante de polarisation mesurée;</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j)</w:t>
      </w:r>
      <w:r w:rsidRPr="006E7B0E">
        <w:rPr>
          <w:sz w:val="20"/>
          <w:lang w:eastAsia="zh-CN"/>
        </w:rPr>
        <w:tab/>
        <w:t>autres éléments ou caractéristiques de la mesure;</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k)</w:t>
      </w:r>
      <w:r w:rsidRPr="006E7B0E">
        <w:rPr>
          <w:sz w:val="20"/>
          <w:lang w:eastAsia="zh-CN"/>
        </w:rPr>
        <w:tab/>
        <w:t>observations.</w:t>
      </w:r>
    </w:p>
    <w:p w:rsidR="006E7B0E" w:rsidRPr="006E7B0E" w:rsidRDefault="006E7B0E" w:rsidP="006E7B0E">
      <w:pPr>
        <w:spacing w:before="136"/>
        <w:rPr>
          <w:sz w:val="20"/>
          <w:lang w:eastAsia="zh-CN"/>
        </w:rPr>
      </w:pPr>
      <w:r w:rsidRPr="006E7B0E">
        <w:rPr>
          <w:b/>
          <w:sz w:val="20"/>
          <w:lang w:eastAsia="zh-CN"/>
        </w:rPr>
        <w:br w:type="page"/>
      </w:r>
      <w:r w:rsidRPr="006E7B0E">
        <w:rPr>
          <w:b/>
          <w:sz w:val="20"/>
          <w:lang w:eastAsia="zh-CN"/>
        </w:rPr>
        <w:lastRenderedPageBreak/>
        <w:t>3</w:t>
      </w:r>
      <w:r w:rsidRPr="006E7B0E">
        <w:rPr>
          <w:sz w:val="20"/>
          <w:lang w:eastAsia="zh-CN"/>
        </w:rPr>
        <w:tab/>
        <w:t>Il convient que les relevés d'observations concernant le degré d'occupation du spectre soient fournis, dans la mesure pratiquement possible, dans la forme recommandée par le BR et contiennent, si possible, les renseignements suivants:</w:t>
      </w:r>
    </w:p>
    <w:p w:rsidR="006E7B0E" w:rsidRPr="006E7B0E" w:rsidRDefault="006E7B0E" w:rsidP="006E7B0E">
      <w:pPr>
        <w:spacing w:before="136"/>
        <w:rPr>
          <w:sz w:val="20"/>
          <w:lang w:eastAsia="zh-CN"/>
        </w:rPr>
      </w:pPr>
      <w:r w:rsidRPr="006E7B0E">
        <w:rPr>
          <w:b/>
          <w:sz w:val="20"/>
          <w:lang w:eastAsia="zh-CN"/>
        </w:rPr>
        <w:t>3.1</w:t>
      </w:r>
      <w:r w:rsidRPr="006E7B0E">
        <w:rPr>
          <w:sz w:val="20"/>
          <w:lang w:eastAsia="zh-CN"/>
        </w:rPr>
        <w:tab/>
        <w:t>Rapports relatifs aux observations d'émissions de stations spatiales</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a)</w:t>
      </w:r>
      <w:r w:rsidRPr="006E7B0E">
        <w:rPr>
          <w:sz w:val="20"/>
          <w:lang w:eastAsia="zh-CN"/>
        </w:rPr>
        <w:tab/>
        <w:t>identification de la station de contrôle (administration ou organisation, et emplacement);</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b)</w:t>
      </w:r>
      <w:r w:rsidRPr="006E7B0E">
        <w:rPr>
          <w:sz w:val="20"/>
          <w:lang w:eastAsia="zh-CN"/>
        </w:rPr>
        <w:tab/>
        <w:t>date de la mesure;</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c)</w:t>
      </w:r>
      <w:r w:rsidRPr="006E7B0E">
        <w:rPr>
          <w:sz w:val="20"/>
          <w:lang w:eastAsia="zh-CN"/>
        </w:rPr>
        <w:tab/>
        <w:t>heure de la mesure (UTC);</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d)</w:t>
      </w:r>
      <w:r w:rsidRPr="006E7B0E">
        <w:rPr>
          <w:sz w:val="20"/>
          <w:lang w:eastAsia="zh-CN"/>
        </w:rPr>
        <w:tab/>
        <w:t>indicatif d'appel ou tout autre moyen d'identification de la station contrôlée, ou l'un et l'autre;</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e)</w:t>
      </w:r>
      <w:r w:rsidRPr="006E7B0E">
        <w:rPr>
          <w:sz w:val="20"/>
          <w:lang w:eastAsia="zh-CN"/>
        </w:rPr>
        <w:tab/>
        <w:t>classe de l'émission (voir la Note 1);</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f)</w:t>
      </w:r>
      <w:r w:rsidRPr="006E7B0E">
        <w:rPr>
          <w:sz w:val="20"/>
          <w:lang w:eastAsia="zh-CN"/>
        </w:rPr>
        <w:tab/>
        <w:t>classe de la station et nature du service;</w:t>
      </w:r>
    </w:p>
    <w:p w:rsidR="006E7B0E" w:rsidRPr="006E7B0E" w:rsidRDefault="006E7B0E" w:rsidP="006E7B0E">
      <w:pPr>
        <w:tabs>
          <w:tab w:val="clear" w:pos="794"/>
          <w:tab w:val="clear" w:pos="1191"/>
          <w:tab w:val="clear" w:pos="1588"/>
          <w:tab w:val="clear" w:pos="1985"/>
          <w:tab w:val="left" w:pos="397"/>
          <w:tab w:val="left" w:pos="10490"/>
        </w:tabs>
        <w:spacing w:before="86"/>
        <w:ind w:left="397" w:hanging="397"/>
        <w:rPr>
          <w:sz w:val="20"/>
          <w:lang w:eastAsia="zh-CN"/>
        </w:rPr>
      </w:pPr>
      <w:r w:rsidRPr="006E7B0E">
        <w:rPr>
          <w:sz w:val="20"/>
          <w:lang w:eastAsia="zh-CN"/>
        </w:rPr>
        <w:t>g)</w:t>
      </w:r>
      <w:r w:rsidRPr="006E7B0E">
        <w:rPr>
          <w:sz w:val="20"/>
          <w:lang w:eastAsia="zh-CN"/>
        </w:rPr>
        <w:tab/>
        <w:t>fréquence mesurée;</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h)</w:t>
      </w:r>
      <w:r w:rsidRPr="006E7B0E">
        <w:rPr>
          <w:sz w:val="20"/>
          <w:lang w:eastAsia="zh-CN"/>
        </w:rPr>
        <w:tab/>
        <w:t>période pendant laquelle l'émission a été observée ou enregistrée;</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i)</w:t>
      </w:r>
      <w:r w:rsidRPr="006E7B0E">
        <w:rPr>
          <w:sz w:val="20"/>
          <w:lang w:eastAsia="zh-CN"/>
        </w:rPr>
        <w:tab/>
        <w:t>valeur mesurée du champ ou de la puissance surfacique ou de la force du signal d'après l'échelle QSA;</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j)</w:t>
      </w:r>
      <w:r w:rsidRPr="006E7B0E">
        <w:rPr>
          <w:sz w:val="20"/>
          <w:lang w:eastAsia="zh-CN"/>
        </w:rPr>
        <w:tab/>
        <w:t>largeur de bande occupée (indiquer si elle a été mesurée ou estimée ou indiquer la largeur de bande nécessaire notifiée au BR);</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k)</w:t>
      </w:r>
      <w:r w:rsidRPr="006E7B0E">
        <w:rPr>
          <w:sz w:val="20"/>
          <w:lang w:eastAsia="zh-CN"/>
        </w:rPr>
        <w:tab/>
        <w:t>polarisation observée;</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l)</w:t>
      </w:r>
      <w:r w:rsidRPr="006E7B0E">
        <w:rPr>
          <w:sz w:val="20"/>
          <w:lang w:eastAsia="zh-CN"/>
        </w:rPr>
        <w:tab/>
        <w:t>renseignements concernant l'orbite;</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m)</w:t>
      </w:r>
      <w:r w:rsidRPr="006E7B0E">
        <w:rPr>
          <w:sz w:val="20"/>
          <w:lang w:eastAsia="zh-CN"/>
        </w:rPr>
        <w:tab/>
        <w:t>renseignements concernant la localité ou la zone de réception visée, s'ils sont connus;</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n)</w:t>
      </w:r>
      <w:r w:rsidRPr="006E7B0E">
        <w:rPr>
          <w:sz w:val="20"/>
          <w:lang w:eastAsia="zh-CN"/>
        </w:rPr>
        <w:tab/>
        <w:t>observations.</w:t>
      </w:r>
    </w:p>
    <w:p w:rsidR="006E7B0E" w:rsidRPr="006E7B0E" w:rsidRDefault="006E7B0E" w:rsidP="006E7B0E">
      <w:pPr>
        <w:spacing w:before="136"/>
        <w:rPr>
          <w:sz w:val="20"/>
          <w:lang w:eastAsia="zh-CN"/>
        </w:rPr>
      </w:pPr>
      <w:r w:rsidRPr="006E7B0E">
        <w:rPr>
          <w:b/>
          <w:sz w:val="20"/>
          <w:lang w:eastAsia="zh-CN"/>
        </w:rPr>
        <w:t>3.2</w:t>
      </w:r>
      <w:r w:rsidRPr="006E7B0E">
        <w:rPr>
          <w:sz w:val="20"/>
          <w:lang w:eastAsia="zh-CN"/>
        </w:rPr>
        <w:tab/>
        <w:t>Rapports relatifs aux observations d'émissions de stations terriennes</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a)</w:t>
      </w:r>
      <w:r w:rsidRPr="006E7B0E">
        <w:rPr>
          <w:sz w:val="20"/>
          <w:lang w:eastAsia="zh-CN"/>
        </w:rPr>
        <w:tab/>
        <w:t>identification de la station de contrôle (administration ou organisation, et emplacement);</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b)</w:t>
      </w:r>
      <w:r w:rsidRPr="006E7B0E">
        <w:rPr>
          <w:sz w:val="20"/>
          <w:lang w:eastAsia="zh-CN"/>
        </w:rPr>
        <w:tab/>
        <w:t>date de la mesure;</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c)</w:t>
      </w:r>
      <w:r w:rsidRPr="006E7B0E">
        <w:rPr>
          <w:sz w:val="20"/>
          <w:lang w:eastAsia="zh-CN"/>
        </w:rPr>
        <w:tab/>
        <w:t>heure de la mesure (UTC);</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d)</w:t>
      </w:r>
      <w:r w:rsidRPr="006E7B0E">
        <w:rPr>
          <w:sz w:val="20"/>
          <w:lang w:eastAsia="zh-CN"/>
        </w:rPr>
        <w:tab/>
        <w:t>indicatif d'appel ou tout autre moyen d'identification de la station contrôlée, ou l'un et l'autre;</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e)</w:t>
      </w:r>
      <w:r w:rsidRPr="006E7B0E">
        <w:rPr>
          <w:sz w:val="20"/>
          <w:lang w:eastAsia="zh-CN"/>
        </w:rPr>
        <w:tab/>
        <w:t>classe de l'émission (voir la Note 1);</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f)</w:t>
      </w:r>
      <w:r w:rsidRPr="006E7B0E">
        <w:rPr>
          <w:sz w:val="20"/>
          <w:lang w:eastAsia="zh-CN"/>
        </w:rPr>
        <w:tab/>
        <w:t>classe de la station et nature du service;</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g)</w:t>
      </w:r>
      <w:r w:rsidRPr="006E7B0E">
        <w:rPr>
          <w:sz w:val="20"/>
          <w:lang w:eastAsia="zh-CN"/>
        </w:rPr>
        <w:tab/>
        <w:t>fréquence mesurée;</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h)</w:t>
      </w:r>
      <w:r w:rsidRPr="006E7B0E">
        <w:rPr>
          <w:sz w:val="20"/>
          <w:lang w:eastAsia="zh-CN"/>
        </w:rPr>
        <w:tab/>
        <w:t>période pendant laquelle l'émission a été observée ou enregistrée;</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i)</w:t>
      </w:r>
      <w:r w:rsidRPr="006E7B0E">
        <w:rPr>
          <w:sz w:val="20"/>
          <w:lang w:eastAsia="zh-CN"/>
        </w:rPr>
        <w:tab/>
        <w:t>valeur mesurée du champ ou de la puissance surfacique ou de la force du signal d'après l'échelle QSA;</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j)</w:t>
      </w:r>
      <w:r w:rsidRPr="006E7B0E">
        <w:rPr>
          <w:sz w:val="20"/>
          <w:lang w:eastAsia="zh-CN"/>
        </w:rPr>
        <w:tab/>
        <w:t>largeur de bande occupée (indiquer si elle a été mesurée ou estimée ou indiquer la largeur de bande nécessaire notifiée au BR);</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k)</w:t>
      </w:r>
      <w:r w:rsidRPr="006E7B0E">
        <w:rPr>
          <w:sz w:val="20"/>
          <w:lang w:eastAsia="zh-CN"/>
        </w:rPr>
        <w:tab/>
        <w:t>renseignements relatifs à la position orbitale où la réception est prévue;</w:t>
      </w:r>
    </w:p>
    <w:p w:rsidR="006E7B0E" w:rsidRPr="006E7B0E" w:rsidRDefault="006E7B0E" w:rsidP="006E7B0E">
      <w:pPr>
        <w:tabs>
          <w:tab w:val="clear" w:pos="794"/>
          <w:tab w:val="clear" w:pos="1191"/>
          <w:tab w:val="clear" w:pos="1588"/>
          <w:tab w:val="clear" w:pos="1985"/>
          <w:tab w:val="left" w:pos="397"/>
        </w:tabs>
        <w:spacing w:before="86"/>
        <w:ind w:left="397" w:hanging="397"/>
        <w:rPr>
          <w:sz w:val="20"/>
          <w:lang w:eastAsia="zh-CN"/>
        </w:rPr>
      </w:pPr>
      <w:r w:rsidRPr="006E7B0E">
        <w:rPr>
          <w:sz w:val="20"/>
          <w:lang w:eastAsia="zh-CN"/>
        </w:rPr>
        <w:t>l)</w:t>
      </w:r>
      <w:r w:rsidRPr="006E7B0E">
        <w:rPr>
          <w:sz w:val="20"/>
          <w:lang w:eastAsia="zh-CN"/>
        </w:rPr>
        <w:tab/>
        <w:t>observations.</w:t>
      </w:r>
    </w:p>
    <w:p w:rsidR="006E7B0E" w:rsidRPr="006E7B0E" w:rsidRDefault="006E7B0E" w:rsidP="006E7B0E">
      <w:pPr>
        <w:spacing w:before="136"/>
        <w:rPr>
          <w:sz w:val="20"/>
          <w:lang w:eastAsia="zh-CN"/>
        </w:rPr>
      </w:pPr>
      <w:r w:rsidRPr="006E7B0E">
        <w:rPr>
          <w:b/>
          <w:sz w:val="20"/>
          <w:lang w:eastAsia="zh-CN"/>
        </w:rPr>
        <w:t>4</w:t>
      </w:r>
      <w:r w:rsidRPr="006E7B0E">
        <w:rPr>
          <w:sz w:val="20"/>
          <w:lang w:eastAsia="zh-CN"/>
        </w:rPr>
        <w:tab/>
        <w:t>Il convient d'utiliser, autant que possible, dans la transmission de ces renseignements, les symboles figurant dans le RR ou dans la Préface à la Liste internationale des fréquences.</w:t>
      </w:r>
    </w:p>
    <w:p w:rsidR="006E7B0E" w:rsidRPr="006E7B0E" w:rsidRDefault="006E7B0E" w:rsidP="006E7B0E">
      <w:pPr>
        <w:tabs>
          <w:tab w:val="clear" w:pos="794"/>
          <w:tab w:val="clear" w:pos="1191"/>
          <w:tab w:val="clear" w:pos="1588"/>
          <w:tab w:val="clear" w:pos="1985"/>
        </w:tabs>
        <w:spacing w:before="80"/>
        <w:rPr>
          <w:sz w:val="20"/>
          <w:lang w:eastAsia="zh-CN"/>
        </w:rPr>
      </w:pPr>
      <w:r w:rsidRPr="006E7B0E">
        <w:rPr>
          <w:sz w:val="20"/>
          <w:lang w:eastAsia="zh-CN"/>
        </w:rPr>
        <w:t>NOTE 1 – La classe de l'émission comprend les caractéristiques fondamentales contenues dans l'Article 4 et, si possible, les caractéristiques supplémentaires contenues dans l'Appendice 6. Les symboles des caractéristiques qui ne peuvent être déterminées sont remplacés par des tirets. Toutefois, en cas d'incertitude pour la classification d'une station entre modulation de fréquence ou modulation de phase, le symbole de modulation de fréquence (F) est utilisé.</w:t>
      </w:r>
    </w:p>
    <w:p w:rsidR="006E7B0E" w:rsidRPr="006E7B0E" w:rsidRDefault="006E7B0E" w:rsidP="006E7B0E">
      <w:pPr>
        <w:spacing w:before="136"/>
        <w:rPr>
          <w:sz w:val="20"/>
          <w:lang w:val="fr-CH" w:eastAsia="zh-CN"/>
        </w:rPr>
      </w:pPr>
    </w:p>
    <w:p w:rsidR="006E7B0E" w:rsidRPr="006E7B0E" w:rsidRDefault="006E7B0E" w:rsidP="006E7B0E">
      <w:pPr>
        <w:pBdr>
          <w:top w:val="single" w:sz="6" w:space="1" w:color="auto"/>
        </w:pBdr>
        <w:tabs>
          <w:tab w:val="clear" w:pos="794"/>
          <w:tab w:val="clear" w:pos="1191"/>
          <w:tab w:val="clear" w:pos="1588"/>
          <w:tab w:val="clear" w:pos="1985"/>
        </w:tabs>
        <w:spacing w:before="240"/>
        <w:ind w:left="3997" w:right="3997"/>
        <w:jc w:val="center"/>
        <w:rPr>
          <w:sz w:val="20"/>
          <w:lang w:val="fr-CH" w:eastAsia="zh-CN"/>
        </w:rPr>
      </w:pPr>
    </w:p>
    <w:p w:rsidR="00934ED7" w:rsidRPr="006E7B0E" w:rsidRDefault="00934ED7" w:rsidP="00273CBE">
      <w:pPr>
        <w:pStyle w:val="RecNo"/>
        <w:spacing w:before="0"/>
        <w:rPr>
          <w:lang w:val="fr-CH"/>
        </w:rPr>
      </w:pPr>
    </w:p>
    <w:sectPr w:rsidR="00934ED7" w:rsidRPr="006E7B0E"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599A" w:rsidRDefault="0029599A">
      <w:r>
        <w:separator/>
      </w:r>
    </w:p>
  </w:endnote>
  <w:endnote w:type="continuationSeparator" w:id="0">
    <w:p w:rsidR="0029599A" w:rsidRDefault="00295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599A" w:rsidRDefault="0029599A">
      <w:r>
        <w:separator/>
      </w:r>
    </w:p>
  </w:footnote>
  <w:footnote w:type="continuationSeparator" w:id="0">
    <w:p w:rsidR="0029599A" w:rsidRDefault="0029599A">
      <w:r>
        <w:continuationSeparator/>
      </w:r>
    </w:p>
  </w:footnote>
  <w:footnote w:id="1">
    <w:p w:rsidR="00742E92" w:rsidRDefault="00742E92" w:rsidP="00742E92">
      <w:pPr>
        <w:pStyle w:val="FootnoteText"/>
        <w:ind w:left="313" w:hanging="313"/>
      </w:pPr>
      <w:r w:rsidRPr="00C85057">
        <w:rPr>
          <w:rStyle w:val="FootnoteReference"/>
          <w:lang w:val="fr-CH"/>
        </w:rPr>
        <w:t>*</w:t>
      </w:r>
      <w:r w:rsidRPr="00C85057">
        <w:rPr>
          <w:lang w:val="fr-CH"/>
        </w:rPr>
        <w:t xml:space="preserve"> </w:t>
      </w:r>
      <w:r w:rsidRPr="00C85057">
        <w:rPr>
          <w:lang w:val="fr-CH"/>
        </w:rPr>
        <w:tab/>
      </w:r>
      <w:r w:rsidRPr="00742E92">
        <w:rPr>
          <w:sz w:val="18"/>
          <w:szCs w:val="18"/>
          <w:lang w:val="fr-CH"/>
        </w:rPr>
        <w:t>La Commission d'études 1 des radiocommunications a apporté en 2010</w:t>
      </w:r>
      <w:r w:rsidR="007D5356">
        <w:rPr>
          <w:sz w:val="18"/>
          <w:szCs w:val="18"/>
          <w:lang w:val="fr-CH"/>
        </w:rPr>
        <w:t xml:space="preserve"> et en 2019</w:t>
      </w:r>
      <w:r w:rsidRPr="00742E92">
        <w:rPr>
          <w:sz w:val="18"/>
          <w:szCs w:val="18"/>
          <w:lang w:val="fr-CH"/>
        </w:rPr>
        <w:t xml:space="preserve"> des modifications de forme à cette Recommandation, conformément aux disposi</w:t>
      </w:r>
      <w:r w:rsidR="007D5356">
        <w:rPr>
          <w:sz w:val="18"/>
          <w:szCs w:val="18"/>
          <w:lang w:val="fr-CH"/>
        </w:rPr>
        <w:t>tions de la Résolution UIT-R 1</w:t>
      </w:r>
      <w:r w:rsidRPr="00742E92">
        <w:rPr>
          <w:sz w:val="18"/>
          <w:szCs w:val="18"/>
          <w:lang w:val="fr-CH"/>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3C2" w:rsidRDefault="00A443C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3C2" w:rsidRDefault="00B25CC1" w:rsidP="00C668C8">
    <w:pPr>
      <w:pStyle w:val="Header"/>
      <w:ind w:right="360" w:firstLine="360"/>
    </w:pPr>
    <w:r>
      <w:rPr>
        <w:noProof/>
        <w:lang w:val="fr-CH" w:eastAsia="fr-CH"/>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3C2" w:rsidRPr="00837CB5" w:rsidRDefault="00A443C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217BC1">
      <w:rPr>
        <w:rStyle w:val="PageNumber"/>
        <w:b/>
        <w:bCs/>
        <w:noProof/>
      </w:rPr>
      <w:t>4</w:t>
    </w:r>
    <w:r>
      <w:rPr>
        <w:rStyle w:val="PageNumber"/>
        <w:b/>
        <w:bCs/>
      </w:rPr>
      <w:fldChar w:fldCharType="end"/>
    </w:r>
    <w:r w:rsidRPr="00837CB5">
      <w:tab/>
    </w:r>
    <w:fldSimple w:instr=" DOCPROPERTY &quot;Header&quot; \* MERGEFORMAT ">
      <w:r w:rsidR="00217BC1" w:rsidRPr="00217BC1">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217BC1">
      <w:rPr>
        <w:b/>
        <w:bCs/>
        <w:noProof/>
      </w:rPr>
      <w:t>UIT-R  SM.1139-0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3C2" w:rsidRDefault="00A443C2">
    <w:pPr>
      <w:pStyle w:val="Header"/>
    </w:pPr>
    <w:r>
      <w:tab/>
    </w:r>
    <w:fldSimple w:instr=" DOCPROPERTY &quot;Header&quot; \* MERGEFORMAT ">
      <w:r w:rsidR="00217BC1" w:rsidRPr="00217BC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17BC1">
      <w:rPr>
        <w:b/>
        <w:bCs/>
        <w:noProof/>
      </w:rPr>
      <w:t>UIT-R  SM.1139-0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17BC1">
      <w:rPr>
        <w:rStyle w:val="PageNumber"/>
        <w:b/>
        <w:bCs/>
        <w:noProof/>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126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57FB"/>
    <w:rsid w:val="00072484"/>
    <w:rsid w:val="00076BD8"/>
    <w:rsid w:val="00086C50"/>
    <w:rsid w:val="00096612"/>
    <w:rsid w:val="000A0A78"/>
    <w:rsid w:val="000A5F59"/>
    <w:rsid w:val="000B7683"/>
    <w:rsid w:val="00102934"/>
    <w:rsid w:val="00123FD5"/>
    <w:rsid w:val="00125B6D"/>
    <w:rsid w:val="00126AF2"/>
    <w:rsid w:val="00147110"/>
    <w:rsid w:val="001A27FE"/>
    <w:rsid w:val="00202D10"/>
    <w:rsid w:val="002058CE"/>
    <w:rsid w:val="002165F1"/>
    <w:rsid w:val="00217BC1"/>
    <w:rsid w:val="00220C16"/>
    <w:rsid w:val="00227626"/>
    <w:rsid w:val="00273CBE"/>
    <w:rsid w:val="00276D21"/>
    <w:rsid w:val="0029599A"/>
    <w:rsid w:val="00296D7F"/>
    <w:rsid w:val="002B3CF6"/>
    <w:rsid w:val="002C768A"/>
    <w:rsid w:val="002D76C4"/>
    <w:rsid w:val="002E73BB"/>
    <w:rsid w:val="00326525"/>
    <w:rsid w:val="00354F85"/>
    <w:rsid w:val="00363367"/>
    <w:rsid w:val="003E6469"/>
    <w:rsid w:val="00420DFD"/>
    <w:rsid w:val="00470E28"/>
    <w:rsid w:val="004822EF"/>
    <w:rsid w:val="004934C5"/>
    <w:rsid w:val="004A4D65"/>
    <w:rsid w:val="004E2D11"/>
    <w:rsid w:val="00556548"/>
    <w:rsid w:val="00567DC0"/>
    <w:rsid w:val="00586EF8"/>
    <w:rsid w:val="00592F9F"/>
    <w:rsid w:val="00593B96"/>
    <w:rsid w:val="00595D3D"/>
    <w:rsid w:val="005B49AB"/>
    <w:rsid w:val="005B50E7"/>
    <w:rsid w:val="005B65B9"/>
    <w:rsid w:val="005E427C"/>
    <w:rsid w:val="005E6DCC"/>
    <w:rsid w:val="005E7B4F"/>
    <w:rsid w:val="0060611D"/>
    <w:rsid w:val="00607D68"/>
    <w:rsid w:val="006149B1"/>
    <w:rsid w:val="00614CC6"/>
    <w:rsid w:val="00647E80"/>
    <w:rsid w:val="00680D2B"/>
    <w:rsid w:val="00681B32"/>
    <w:rsid w:val="006C7827"/>
    <w:rsid w:val="006E2037"/>
    <w:rsid w:val="006E7B0E"/>
    <w:rsid w:val="006F154D"/>
    <w:rsid w:val="006F6E5D"/>
    <w:rsid w:val="00712870"/>
    <w:rsid w:val="00731BD8"/>
    <w:rsid w:val="007361BB"/>
    <w:rsid w:val="00742E92"/>
    <w:rsid w:val="00743D85"/>
    <w:rsid w:val="00753CF4"/>
    <w:rsid w:val="007565CC"/>
    <w:rsid w:val="00756B4D"/>
    <w:rsid w:val="00763B9A"/>
    <w:rsid w:val="00776E56"/>
    <w:rsid w:val="007A308E"/>
    <w:rsid w:val="007A6AA8"/>
    <w:rsid w:val="007D5356"/>
    <w:rsid w:val="008310C9"/>
    <w:rsid w:val="00837CB5"/>
    <w:rsid w:val="00872472"/>
    <w:rsid w:val="00895BF9"/>
    <w:rsid w:val="008C7848"/>
    <w:rsid w:val="00917AF2"/>
    <w:rsid w:val="0092418A"/>
    <w:rsid w:val="00934ED7"/>
    <w:rsid w:val="009454F8"/>
    <w:rsid w:val="009543C3"/>
    <w:rsid w:val="00966E1B"/>
    <w:rsid w:val="009B5551"/>
    <w:rsid w:val="009B5564"/>
    <w:rsid w:val="009F2D2C"/>
    <w:rsid w:val="00A443C2"/>
    <w:rsid w:val="00A52DB0"/>
    <w:rsid w:val="00A6617B"/>
    <w:rsid w:val="00A71FE5"/>
    <w:rsid w:val="00AA3AD8"/>
    <w:rsid w:val="00AB0DC8"/>
    <w:rsid w:val="00AB52D1"/>
    <w:rsid w:val="00AD267B"/>
    <w:rsid w:val="00B033C8"/>
    <w:rsid w:val="00B21066"/>
    <w:rsid w:val="00B25CC1"/>
    <w:rsid w:val="00B33425"/>
    <w:rsid w:val="00B44E24"/>
    <w:rsid w:val="00B54ECC"/>
    <w:rsid w:val="00B714F3"/>
    <w:rsid w:val="00B81801"/>
    <w:rsid w:val="00BC0651"/>
    <w:rsid w:val="00BC4957"/>
    <w:rsid w:val="00BC5D77"/>
    <w:rsid w:val="00BF487A"/>
    <w:rsid w:val="00C12473"/>
    <w:rsid w:val="00C268B9"/>
    <w:rsid w:val="00C362C3"/>
    <w:rsid w:val="00C40D3E"/>
    <w:rsid w:val="00C46BD9"/>
    <w:rsid w:val="00C55258"/>
    <w:rsid w:val="00C668C8"/>
    <w:rsid w:val="00C73560"/>
    <w:rsid w:val="00CB0F14"/>
    <w:rsid w:val="00CD659B"/>
    <w:rsid w:val="00CD7DC8"/>
    <w:rsid w:val="00D017C0"/>
    <w:rsid w:val="00D31EB8"/>
    <w:rsid w:val="00D70C4E"/>
    <w:rsid w:val="00DE5EA2"/>
    <w:rsid w:val="00DF4176"/>
    <w:rsid w:val="00DF693C"/>
    <w:rsid w:val="00E02402"/>
    <w:rsid w:val="00E17240"/>
    <w:rsid w:val="00E44C45"/>
    <w:rsid w:val="00E44CBB"/>
    <w:rsid w:val="00E73AFE"/>
    <w:rsid w:val="00E80F1D"/>
    <w:rsid w:val="00EA6E8E"/>
    <w:rsid w:val="00EC361D"/>
    <w:rsid w:val="00EE57AA"/>
    <w:rsid w:val="00F30C9B"/>
    <w:rsid w:val="00F316C4"/>
    <w:rsid w:val="00F336CC"/>
    <w:rsid w:val="00F354B1"/>
    <w:rsid w:val="00F54FBD"/>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colormru v:ext="edit" colors="#d62a47"/>
      <o:colormenu v:ext="edit" strokecolor="#d62a47"/>
    </o:shapedefaults>
    <o:shapelayout v:ext="edit">
      <o:idmap v:ext="edit" data="1"/>
    </o:shapelayout>
  </w:shapeDefaults>
  <w:decimalSymbol w:val="."/>
  <w:listSeparator w:val=","/>
  <w14:docId w14:val="551FD6D3"/>
  <w15:docId w15:val="{3CB3B5BA-6921-4BCE-A0B8-2BDDFCCD9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CC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25CC1"/>
    <w:pPr>
      <w:keepNext/>
      <w:keepLines/>
      <w:spacing w:before="480"/>
      <w:ind w:left="794" w:hanging="794"/>
      <w:outlineLvl w:val="0"/>
    </w:pPr>
    <w:rPr>
      <w:b/>
    </w:rPr>
  </w:style>
  <w:style w:type="paragraph" w:styleId="Heading2">
    <w:name w:val="heading 2"/>
    <w:basedOn w:val="Heading1"/>
    <w:next w:val="Normal"/>
    <w:qFormat/>
    <w:rsid w:val="00B25CC1"/>
    <w:pPr>
      <w:spacing w:before="320"/>
      <w:outlineLvl w:val="1"/>
    </w:pPr>
  </w:style>
  <w:style w:type="paragraph" w:styleId="Heading3">
    <w:name w:val="heading 3"/>
    <w:basedOn w:val="Heading1"/>
    <w:next w:val="Normal"/>
    <w:qFormat/>
    <w:rsid w:val="00B25CC1"/>
    <w:pPr>
      <w:spacing w:before="200"/>
      <w:outlineLvl w:val="2"/>
    </w:pPr>
  </w:style>
  <w:style w:type="paragraph" w:styleId="Heading4">
    <w:name w:val="heading 4"/>
    <w:basedOn w:val="Heading3"/>
    <w:next w:val="Normal"/>
    <w:qFormat/>
    <w:rsid w:val="00B25CC1"/>
    <w:pPr>
      <w:tabs>
        <w:tab w:val="clear" w:pos="794"/>
        <w:tab w:val="left" w:pos="992"/>
      </w:tabs>
      <w:ind w:left="992" w:hanging="992"/>
      <w:outlineLvl w:val="3"/>
    </w:pPr>
  </w:style>
  <w:style w:type="paragraph" w:styleId="Heading5">
    <w:name w:val="heading 5"/>
    <w:basedOn w:val="Heading4"/>
    <w:next w:val="Normal"/>
    <w:qFormat/>
    <w:rsid w:val="00B25CC1"/>
    <w:pPr>
      <w:outlineLvl w:val="4"/>
    </w:pPr>
  </w:style>
  <w:style w:type="paragraph" w:styleId="Heading6">
    <w:name w:val="heading 6"/>
    <w:basedOn w:val="Heading4"/>
    <w:next w:val="Normal"/>
    <w:qFormat/>
    <w:rsid w:val="00B25CC1"/>
    <w:pPr>
      <w:tabs>
        <w:tab w:val="clear" w:pos="992"/>
        <w:tab w:val="clear" w:pos="1191"/>
      </w:tabs>
      <w:ind w:left="1588" w:hanging="1588"/>
      <w:outlineLvl w:val="5"/>
    </w:pPr>
  </w:style>
  <w:style w:type="paragraph" w:styleId="Heading7">
    <w:name w:val="heading 7"/>
    <w:basedOn w:val="Heading6"/>
    <w:next w:val="Normal"/>
    <w:qFormat/>
    <w:rsid w:val="00B25CC1"/>
    <w:pPr>
      <w:outlineLvl w:val="6"/>
    </w:pPr>
  </w:style>
  <w:style w:type="paragraph" w:styleId="Heading8">
    <w:name w:val="heading 8"/>
    <w:basedOn w:val="Heading6"/>
    <w:next w:val="Normal"/>
    <w:qFormat/>
    <w:rsid w:val="00B25CC1"/>
    <w:pPr>
      <w:outlineLvl w:val="7"/>
    </w:pPr>
  </w:style>
  <w:style w:type="paragraph" w:styleId="Heading9">
    <w:name w:val="heading 9"/>
    <w:basedOn w:val="Heading6"/>
    <w:next w:val="Normal"/>
    <w:qFormat/>
    <w:rsid w:val="00B25CC1"/>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25CC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25CC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25CC1"/>
  </w:style>
  <w:style w:type="paragraph" w:customStyle="1" w:styleId="Headingb">
    <w:name w:val="Heading_b"/>
    <w:basedOn w:val="Heading3"/>
    <w:next w:val="Normal"/>
    <w:rsid w:val="00B25CC1"/>
    <w:pPr>
      <w:spacing w:before="160"/>
      <w:ind w:left="0" w:firstLine="0"/>
      <w:outlineLvl w:val="9"/>
    </w:pPr>
  </w:style>
  <w:style w:type="paragraph" w:customStyle="1" w:styleId="Headingi">
    <w:name w:val="Heading_i"/>
    <w:basedOn w:val="Heading3"/>
    <w:next w:val="Normal"/>
    <w:rsid w:val="00B25CC1"/>
    <w:pPr>
      <w:spacing w:before="160"/>
      <w:ind w:left="0" w:firstLine="0"/>
    </w:pPr>
    <w:rPr>
      <w:b w:val="0"/>
      <w:i/>
    </w:rPr>
  </w:style>
  <w:style w:type="character" w:customStyle="1" w:styleId="href">
    <w:name w:val="href"/>
    <w:basedOn w:val="DefaultParagraphFont"/>
    <w:rsid w:val="00B25CC1"/>
  </w:style>
  <w:style w:type="paragraph" w:customStyle="1" w:styleId="AnnexNoTitle">
    <w:name w:val="Annex_NoTitle"/>
    <w:basedOn w:val="Normal"/>
    <w:next w:val="Normalaftertitle"/>
    <w:rsid w:val="00B25CC1"/>
    <w:pPr>
      <w:keepNext/>
      <w:keepLines/>
      <w:spacing w:before="480" w:after="80"/>
      <w:jc w:val="center"/>
    </w:pPr>
    <w:rPr>
      <w:b/>
      <w:sz w:val="28"/>
    </w:rPr>
  </w:style>
  <w:style w:type="paragraph" w:customStyle="1" w:styleId="Normalaftertitle">
    <w:name w:val="Normal_after_title"/>
    <w:basedOn w:val="Normal"/>
    <w:next w:val="Normal"/>
    <w:rsid w:val="00B25CC1"/>
    <w:pPr>
      <w:spacing w:before="320"/>
    </w:pPr>
  </w:style>
  <w:style w:type="paragraph" w:customStyle="1" w:styleId="enumlev2">
    <w:name w:val="enumlev2"/>
    <w:basedOn w:val="enumlev1"/>
    <w:rsid w:val="00B25CC1"/>
    <w:pPr>
      <w:ind w:left="1191" w:hanging="397"/>
    </w:pPr>
  </w:style>
  <w:style w:type="paragraph" w:customStyle="1" w:styleId="enumlev1">
    <w:name w:val="enumlev1"/>
    <w:basedOn w:val="Normal"/>
    <w:rsid w:val="00B25CC1"/>
    <w:pPr>
      <w:spacing w:before="80"/>
      <w:ind w:left="794" w:hanging="794"/>
    </w:pPr>
  </w:style>
  <w:style w:type="paragraph" w:customStyle="1" w:styleId="enumlev3">
    <w:name w:val="enumlev3"/>
    <w:basedOn w:val="enumlev2"/>
    <w:rsid w:val="00B25CC1"/>
    <w:pPr>
      <w:ind w:left="1588"/>
    </w:pPr>
  </w:style>
  <w:style w:type="paragraph" w:customStyle="1" w:styleId="Note">
    <w:name w:val="Note"/>
    <w:basedOn w:val="Normal"/>
    <w:rsid w:val="00B25CC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5CC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25CC1"/>
    <w:pPr>
      <w:keepNext/>
      <w:keepLines/>
      <w:spacing w:before="240"/>
      <w:jc w:val="center"/>
    </w:pPr>
    <w:rPr>
      <w:b/>
      <w:sz w:val="28"/>
    </w:rPr>
  </w:style>
  <w:style w:type="paragraph" w:customStyle="1" w:styleId="Recref">
    <w:name w:val="Rec_ref"/>
    <w:basedOn w:val="Normal"/>
    <w:next w:val="Recdate"/>
    <w:rsid w:val="00B25CC1"/>
    <w:pPr>
      <w:jc w:val="center"/>
    </w:pPr>
  </w:style>
  <w:style w:type="paragraph" w:customStyle="1" w:styleId="Recdate">
    <w:name w:val="Rec_date"/>
    <w:basedOn w:val="Recref"/>
    <w:next w:val="Normalaftertitle"/>
    <w:rsid w:val="00B25CC1"/>
    <w:pPr>
      <w:jc w:val="right"/>
    </w:pPr>
  </w:style>
  <w:style w:type="paragraph" w:customStyle="1" w:styleId="HeadingSum">
    <w:name w:val="Heading_Sum"/>
    <w:basedOn w:val="Headingb"/>
    <w:next w:val="Normal"/>
    <w:rsid w:val="00B25CC1"/>
    <w:pPr>
      <w:spacing w:before="240"/>
    </w:pPr>
    <w:rPr>
      <w:sz w:val="22"/>
      <w:lang w:val="es-ES_tradnl"/>
    </w:rPr>
  </w:style>
  <w:style w:type="paragraph" w:customStyle="1" w:styleId="AppendixNoTitle">
    <w:name w:val="Appendix_NoTitle"/>
    <w:basedOn w:val="AnnexNoTitle"/>
    <w:next w:val="Normal"/>
    <w:rsid w:val="00B25CC1"/>
  </w:style>
  <w:style w:type="paragraph" w:customStyle="1" w:styleId="Tablefin">
    <w:name w:val="Table_fin"/>
    <w:basedOn w:val="Normal"/>
    <w:next w:val="Normal"/>
    <w:rsid w:val="00B25CC1"/>
    <w:pPr>
      <w:spacing w:before="0"/>
    </w:pPr>
    <w:rPr>
      <w:sz w:val="20"/>
      <w:lang w:val="en-GB"/>
    </w:rPr>
  </w:style>
  <w:style w:type="paragraph" w:customStyle="1" w:styleId="Tablehead">
    <w:name w:val="Table_head"/>
    <w:basedOn w:val="Normal"/>
    <w:next w:val="Normal"/>
    <w:rsid w:val="00B25CC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25CC1"/>
    <w:pPr>
      <w:keepNext/>
      <w:spacing w:before="360" w:after="120"/>
      <w:jc w:val="center"/>
    </w:pPr>
  </w:style>
  <w:style w:type="paragraph" w:customStyle="1" w:styleId="Tabletext">
    <w:name w:val="Table_text"/>
    <w:basedOn w:val="Normal"/>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25CC1"/>
    <w:pPr>
      <w:tabs>
        <w:tab w:val="clear" w:pos="1191"/>
        <w:tab w:val="clear" w:pos="1588"/>
        <w:tab w:val="clear" w:pos="1985"/>
        <w:tab w:val="center" w:pos="4820"/>
        <w:tab w:val="right" w:pos="9639"/>
      </w:tabs>
    </w:pPr>
  </w:style>
  <w:style w:type="paragraph" w:customStyle="1" w:styleId="Equationlegend">
    <w:name w:val="Equation_legend"/>
    <w:basedOn w:val="NormalIndent"/>
    <w:rsid w:val="00B25CC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5CC1"/>
    <w:pPr>
      <w:ind w:left="794"/>
    </w:pPr>
  </w:style>
  <w:style w:type="paragraph" w:customStyle="1" w:styleId="Figurelegend">
    <w:name w:val="Figure_legend"/>
    <w:basedOn w:val="Normal"/>
    <w:rsid w:val="00B25CC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25CC1"/>
    <w:pPr>
      <w:keepNext/>
      <w:keepLines/>
      <w:spacing w:before="480" w:after="80"/>
      <w:jc w:val="center"/>
    </w:pPr>
    <w:rPr>
      <w:caps/>
      <w:sz w:val="18"/>
    </w:rPr>
  </w:style>
  <w:style w:type="paragraph" w:customStyle="1" w:styleId="Figuretitle">
    <w:name w:val="Figure_title"/>
    <w:basedOn w:val="Normal"/>
    <w:next w:val="Figure"/>
    <w:rsid w:val="00B25CC1"/>
    <w:pPr>
      <w:keepNext/>
      <w:spacing w:before="0" w:after="120"/>
      <w:jc w:val="center"/>
    </w:pPr>
    <w:rPr>
      <w:rFonts w:ascii="Times New Roman Bold" w:hAnsi="Times New Roman Bold"/>
      <w:b/>
      <w:sz w:val="18"/>
    </w:rPr>
  </w:style>
  <w:style w:type="paragraph" w:customStyle="1" w:styleId="Figure">
    <w:name w:val="Figure"/>
    <w:basedOn w:val="FigureNo"/>
    <w:next w:val="Normal"/>
    <w:rsid w:val="00B25CC1"/>
    <w:pPr>
      <w:keepNext w:val="0"/>
      <w:spacing w:before="0" w:after="240"/>
    </w:pPr>
  </w:style>
  <w:style w:type="paragraph" w:customStyle="1" w:styleId="tocpart">
    <w:name w:val="tocpart"/>
    <w:basedOn w:val="Normal"/>
    <w:rsid w:val="00B25CC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5CC1"/>
    <w:pPr>
      <w:keepNext/>
      <w:keepLines/>
      <w:spacing w:before="480"/>
      <w:jc w:val="center"/>
    </w:pPr>
    <w:rPr>
      <w:sz w:val="28"/>
    </w:rPr>
  </w:style>
  <w:style w:type="paragraph" w:customStyle="1" w:styleId="Arttitle">
    <w:name w:val="Art_title"/>
    <w:basedOn w:val="Normal"/>
    <w:next w:val="Normalaftertitle"/>
    <w:rsid w:val="00B25CC1"/>
    <w:pPr>
      <w:keepNext/>
      <w:keepLines/>
      <w:spacing w:before="240"/>
      <w:jc w:val="center"/>
    </w:pPr>
    <w:rPr>
      <w:b/>
      <w:sz w:val="28"/>
    </w:rPr>
  </w:style>
  <w:style w:type="paragraph" w:customStyle="1" w:styleId="Blanc">
    <w:name w:val="Blanc"/>
    <w:basedOn w:val="Normal"/>
    <w:next w:val="Tabletext"/>
    <w:rsid w:val="00B25CC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5CC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25CC1"/>
    <w:pPr>
      <w:keepNext/>
      <w:keepLines/>
      <w:spacing w:before="160"/>
      <w:ind w:left="794"/>
    </w:pPr>
    <w:rPr>
      <w:i/>
    </w:rPr>
  </w:style>
  <w:style w:type="paragraph" w:customStyle="1" w:styleId="ChapNo">
    <w:name w:val="Chap_No"/>
    <w:basedOn w:val="ArtNo"/>
    <w:next w:val="Chaptitle"/>
    <w:rsid w:val="00B25CC1"/>
    <w:rPr>
      <w:b/>
    </w:rPr>
  </w:style>
  <w:style w:type="paragraph" w:customStyle="1" w:styleId="Chaptitle">
    <w:name w:val="Chap_title"/>
    <w:basedOn w:val="Arttitle"/>
    <w:next w:val="Normalaftertitle"/>
    <w:rsid w:val="00B25CC1"/>
  </w:style>
  <w:style w:type="character" w:styleId="FootnoteReference">
    <w:name w:val="footnote reference"/>
    <w:basedOn w:val="DefaultParagraphFont"/>
    <w:semiHidden/>
    <w:rsid w:val="00B25CC1"/>
    <w:rPr>
      <w:position w:val="6"/>
      <w:sz w:val="18"/>
    </w:rPr>
  </w:style>
  <w:style w:type="paragraph" w:styleId="FootnoteText">
    <w:name w:val="footnote text"/>
    <w:basedOn w:val="Normal"/>
    <w:semiHidden/>
    <w:rsid w:val="00B25CC1"/>
    <w:pPr>
      <w:keepLines/>
      <w:tabs>
        <w:tab w:val="left" w:pos="255"/>
      </w:tabs>
      <w:ind w:left="255" w:hanging="255"/>
    </w:pPr>
    <w:rPr>
      <w:sz w:val="22"/>
    </w:rPr>
  </w:style>
  <w:style w:type="paragraph" w:styleId="Index1">
    <w:name w:val="index 1"/>
    <w:basedOn w:val="Normal"/>
    <w:next w:val="Normal"/>
    <w:semiHidden/>
    <w:rsid w:val="00B25CC1"/>
  </w:style>
  <w:style w:type="paragraph" w:styleId="Index2">
    <w:name w:val="index 2"/>
    <w:basedOn w:val="Normal"/>
    <w:next w:val="Normal"/>
    <w:semiHidden/>
    <w:rsid w:val="00B25CC1"/>
    <w:pPr>
      <w:ind w:left="283"/>
    </w:pPr>
  </w:style>
  <w:style w:type="paragraph" w:styleId="Index3">
    <w:name w:val="index 3"/>
    <w:basedOn w:val="Normal"/>
    <w:next w:val="Normal"/>
    <w:semiHidden/>
    <w:rsid w:val="00B25CC1"/>
    <w:pPr>
      <w:ind w:left="566"/>
    </w:pPr>
  </w:style>
  <w:style w:type="paragraph" w:styleId="IndexHeading">
    <w:name w:val="index heading"/>
    <w:basedOn w:val="Normal"/>
    <w:next w:val="Index1"/>
    <w:semiHidden/>
    <w:rsid w:val="00B25CC1"/>
  </w:style>
  <w:style w:type="paragraph" w:customStyle="1" w:styleId="Line">
    <w:name w:val="Line"/>
    <w:basedOn w:val="Normal"/>
    <w:next w:val="Normal"/>
    <w:rsid w:val="00B25CC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5CC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5CC1"/>
  </w:style>
  <w:style w:type="paragraph" w:customStyle="1" w:styleId="Partref">
    <w:name w:val="Part_ref"/>
    <w:basedOn w:val="Normal"/>
    <w:next w:val="Normal"/>
    <w:rsid w:val="00B25CC1"/>
    <w:pPr>
      <w:keepNext/>
      <w:keepLines/>
      <w:spacing w:after="280"/>
      <w:jc w:val="center"/>
    </w:pPr>
  </w:style>
  <w:style w:type="paragraph" w:customStyle="1" w:styleId="Parttitle">
    <w:name w:val="Part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5CC1"/>
  </w:style>
  <w:style w:type="paragraph" w:customStyle="1" w:styleId="QuestionNo">
    <w:name w:val="Question_No"/>
    <w:basedOn w:val="RecNo"/>
    <w:next w:val="Normal"/>
    <w:rsid w:val="00B25CC1"/>
  </w:style>
  <w:style w:type="paragraph" w:customStyle="1" w:styleId="Questionref">
    <w:name w:val="Question_ref"/>
    <w:basedOn w:val="Recref"/>
    <w:next w:val="Questiondate"/>
    <w:rsid w:val="00B25CC1"/>
  </w:style>
  <w:style w:type="paragraph" w:customStyle="1" w:styleId="Questiontitle">
    <w:name w:val="Question_title"/>
    <w:basedOn w:val="Normal"/>
    <w:next w:val="Questionref"/>
    <w:rsid w:val="00B25CC1"/>
  </w:style>
  <w:style w:type="paragraph" w:customStyle="1" w:styleId="Reftext">
    <w:name w:val="Ref_text"/>
    <w:basedOn w:val="Normal"/>
    <w:rsid w:val="00B25CC1"/>
    <w:pPr>
      <w:ind w:left="794" w:hanging="794"/>
    </w:pPr>
    <w:rPr>
      <w:sz w:val="22"/>
    </w:rPr>
  </w:style>
  <w:style w:type="paragraph" w:customStyle="1" w:styleId="Reftitle">
    <w:name w:val="Ref_title"/>
    <w:basedOn w:val="Normal"/>
    <w:next w:val="Reftext"/>
    <w:rsid w:val="00B25CC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5CC1"/>
  </w:style>
  <w:style w:type="paragraph" w:customStyle="1" w:styleId="RepNo">
    <w:name w:val="Rep_No"/>
    <w:basedOn w:val="RecNo"/>
    <w:next w:val="Reptitle"/>
    <w:rsid w:val="00B25CC1"/>
  </w:style>
  <w:style w:type="paragraph" w:customStyle="1" w:styleId="Reptitle">
    <w:name w:val="Rep_title"/>
    <w:basedOn w:val="Rectitle"/>
    <w:next w:val="Repref"/>
    <w:rsid w:val="00B25CC1"/>
  </w:style>
  <w:style w:type="paragraph" w:customStyle="1" w:styleId="Repref">
    <w:name w:val="Rep_ref"/>
    <w:basedOn w:val="Recref"/>
    <w:next w:val="Repdate"/>
    <w:rsid w:val="00B25CC1"/>
  </w:style>
  <w:style w:type="paragraph" w:customStyle="1" w:styleId="Resdate">
    <w:name w:val="Res_date"/>
    <w:basedOn w:val="Recdate"/>
    <w:next w:val="Normalaftertitle"/>
    <w:rsid w:val="00B25CC1"/>
  </w:style>
  <w:style w:type="paragraph" w:customStyle="1" w:styleId="ResNo">
    <w:name w:val="Res_No"/>
    <w:basedOn w:val="RecNo"/>
    <w:next w:val="Restitle"/>
    <w:rsid w:val="00B25CC1"/>
  </w:style>
  <w:style w:type="paragraph" w:customStyle="1" w:styleId="Restitle">
    <w:name w:val="Res_title"/>
    <w:basedOn w:val="Normal"/>
    <w:next w:val="Resref"/>
    <w:rsid w:val="00B25CC1"/>
    <w:pPr>
      <w:spacing w:before="240"/>
      <w:jc w:val="center"/>
    </w:pPr>
    <w:rPr>
      <w:b/>
      <w:sz w:val="28"/>
    </w:rPr>
  </w:style>
  <w:style w:type="paragraph" w:customStyle="1" w:styleId="Resref">
    <w:name w:val="Res_ref"/>
    <w:basedOn w:val="Recref"/>
    <w:next w:val="Resdate"/>
    <w:rsid w:val="00B25CC1"/>
  </w:style>
  <w:style w:type="paragraph" w:customStyle="1" w:styleId="SectionNo">
    <w:name w:val="Section_No"/>
    <w:basedOn w:val="Normal"/>
    <w:next w:val="Normal"/>
    <w:rsid w:val="00B25CC1"/>
  </w:style>
  <w:style w:type="paragraph" w:customStyle="1" w:styleId="Sectiontitle">
    <w:name w:val="Section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5CC1"/>
    <w:pPr>
      <w:tabs>
        <w:tab w:val="clear" w:pos="794"/>
        <w:tab w:val="clear" w:pos="1191"/>
        <w:tab w:val="clear" w:pos="1588"/>
        <w:tab w:val="clear" w:pos="1985"/>
        <w:tab w:val="right" w:pos="9611"/>
      </w:tabs>
    </w:pPr>
    <w:rPr>
      <w:i/>
    </w:rPr>
  </w:style>
  <w:style w:type="paragraph" w:styleId="TOC1">
    <w:name w:val="toc 1"/>
    <w:basedOn w:val="Normal"/>
    <w:semiHidden/>
    <w:rsid w:val="00B25CC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25CC1"/>
    <w:pPr>
      <w:tabs>
        <w:tab w:val="clear" w:pos="567"/>
        <w:tab w:val="left" w:pos="1276"/>
      </w:tabs>
      <w:spacing w:before="160"/>
      <w:ind w:left="1276" w:hanging="709"/>
    </w:pPr>
  </w:style>
  <w:style w:type="paragraph" w:styleId="TOC3">
    <w:name w:val="toc 3"/>
    <w:basedOn w:val="TOC2"/>
    <w:semiHidden/>
    <w:rsid w:val="00B25CC1"/>
    <w:pPr>
      <w:tabs>
        <w:tab w:val="clear" w:pos="1276"/>
        <w:tab w:val="left" w:pos="2155"/>
      </w:tabs>
      <w:ind w:left="2155" w:hanging="879"/>
    </w:pPr>
  </w:style>
  <w:style w:type="paragraph" w:styleId="TOC4">
    <w:name w:val="toc 4"/>
    <w:basedOn w:val="TOC3"/>
    <w:semiHidden/>
    <w:rsid w:val="00B25CC1"/>
    <w:pPr>
      <w:tabs>
        <w:tab w:val="left" w:pos="3261"/>
      </w:tabs>
      <w:spacing w:before="80"/>
      <w:ind w:left="3261" w:hanging="993"/>
    </w:pPr>
  </w:style>
  <w:style w:type="paragraph" w:styleId="TOC5">
    <w:name w:val="toc 5"/>
    <w:basedOn w:val="TOC4"/>
    <w:semiHidden/>
    <w:rsid w:val="00B25CC1"/>
  </w:style>
  <w:style w:type="paragraph" w:styleId="TOC6">
    <w:name w:val="toc 6"/>
    <w:basedOn w:val="TOC4"/>
    <w:semiHidden/>
    <w:rsid w:val="00B25CC1"/>
  </w:style>
  <w:style w:type="paragraph" w:styleId="TOC7">
    <w:name w:val="toc 7"/>
    <w:basedOn w:val="TOC4"/>
    <w:semiHidden/>
    <w:rsid w:val="00B25CC1"/>
  </w:style>
  <w:style w:type="paragraph" w:styleId="TOC8">
    <w:name w:val="toc 8"/>
    <w:basedOn w:val="TOC4"/>
    <w:semiHidden/>
    <w:rsid w:val="00B25CC1"/>
  </w:style>
  <w:style w:type="paragraph" w:customStyle="1" w:styleId="Annexref">
    <w:name w:val="Annex_ref"/>
    <w:basedOn w:val="Normal"/>
    <w:next w:val="Normalaftertitle"/>
    <w:rsid w:val="00B25CC1"/>
    <w:pPr>
      <w:keepNext/>
      <w:keepLines/>
      <w:spacing w:after="280"/>
      <w:jc w:val="center"/>
    </w:pPr>
  </w:style>
  <w:style w:type="paragraph" w:customStyle="1" w:styleId="Appendixref">
    <w:name w:val="Appendix_ref"/>
    <w:basedOn w:val="Annexref"/>
    <w:next w:val="Normalaftertitle"/>
    <w:rsid w:val="00B25CC1"/>
  </w:style>
  <w:style w:type="paragraph" w:customStyle="1" w:styleId="Tabletitle">
    <w:name w:val="Table_title"/>
    <w:basedOn w:val="Normal"/>
    <w:next w:val="Tablehead"/>
    <w:rsid w:val="00B25CC1"/>
    <w:pPr>
      <w:keepNext/>
      <w:spacing w:before="0" w:after="120"/>
      <w:jc w:val="center"/>
    </w:pPr>
    <w:rPr>
      <w:b/>
    </w:rPr>
  </w:style>
  <w:style w:type="paragraph" w:customStyle="1" w:styleId="Summary">
    <w:name w:val="Summary"/>
    <w:basedOn w:val="Normal"/>
    <w:next w:val="Normalaftertitle"/>
    <w:rsid w:val="00B25CC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B25CC1"/>
    <w:pPr>
      <w:ind w:left="-85" w:firstLine="0"/>
    </w:pPr>
    <w:rPr>
      <w:lang w:val="en-US"/>
    </w:rPr>
  </w:style>
  <w:style w:type="paragraph" w:customStyle="1" w:styleId="RecTitle0">
    <w:name w:val="Rec_Title"/>
    <w:basedOn w:val="Normal"/>
    <w:next w:val="Normal"/>
    <w:rsid w:val="006E7B0E"/>
    <w:pPr>
      <w:keepNext/>
      <w:keepLines/>
      <w:tabs>
        <w:tab w:val="clear" w:pos="794"/>
        <w:tab w:val="clear" w:pos="1191"/>
        <w:tab w:val="clear" w:pos="1588"/>
        <w:tab w:val="clear" w:pos="1985"/>
        <w:tab w:val="center" w:pos="4849"/>
        <w:tab w:val="right" w:pos="9696"/>
      </w:tabs>
      <w:spacing w:before="180"/>
      <w:jc w:val="center"/>
    </w:pPr>
    <w:rPr>
      <w:b/>
      <w:bCs/>
      <w:sz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TotalTime>
  <Pages>6</Pages>
  <Words>2002</Words>
  <Characters>11557</Characters>
  <Application>Microsoft Office Word</Application>
  <DocSecurity>0</DocSecurity>
  <Lines>679</Lines>
  <Paragraphs>542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13017</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Gachet, Christelle</cp:lastModifiedBy>
  <cp:revision>9</cp:revision>
  <cp:lastPrinted>2020-04-24T05:20:00Z</cp:lastPrinted>
  <dcterms:created xsi:type="dcterms:W3CDTF">2011-03-31T12:17:00Z</dcterms:created>
  <dcterms:modified xsi:type="dcterms:W3CDTF">2020-04-24T05:21:00Z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