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124" w:rsidRDefault="00EA6124" w:rsidP="00EA6124"/>
    <w:p w:rsidR="00EA6124" w:rsidRDefault="00EA6124" w:rsidP="00EA6124"/>
    <w:p w:rsidR="00EA6124" w:rsidRDefault="00EA6124" w:rsidP="00EA6124"/>
    <w:p w:rsidR="00EA6124" w:rsidRDefault="00EA6124" w:rsidP="00EA6124"/>
    <w:p w:rsidR="00EA6124" w:rsidRDefault="00EA6124" w:rsidP="00EA6124"/>
    <w:p w:rsidR="00EA6124" w:rsidRDefault="00EA6124" w:rsidP="00EA6124"/>
    <w:p w:rsidR="00EA6124" w:rsidRDefault="00EA6124" w:rsidP="00EA6124"/>
    <w:p w:rsidR="00EA6124" w:rsidRDefault="00EA6124" w:rsidP="00EA6124"/>
    <w:p w:rsidR="00EA6124" w:rsidRDefault="00EA6124" w:rsidP="00EA6124"/>
    <w:p w:rsidR="00EA6124" w:rsidRDefault="00EA6124" w:rsidP="00EA6124"/>
    <w:p w:rsidR="00EA6124" w:rsidRDefault="00EA6124" w:rsidP="00EA6124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A6124" w:rsidTr="00E159C0">
        <w:tc>
          <w:tcPr>
            <w:tcW w:w="10089" w:type="dxa"/>
          </w:tcPr>
          <w:p w:rsidR="00EA6124" w:rsidRPr="001511A6" w:rsidRDefault="00EA6124" w:rsidP="00E159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A6124" w:rsidRPr="001511A6" w:rsidRDefault="00EA6124" w:rsidP="00E159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Recommendation  ITU-R  SM.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1135</w:t>
            </w:r>
            <w:r w:rsidR="007B444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-0</w:t>
            </w:r>
          </w:p>
          <w:p w:rsidR="00EA6124" w:rsidRPr="001511A6" w:rsidRDefault="00EA6124" w:rsidP="00E159C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10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1995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EA6124" w:rsidRPr="007B3EA0" w:rsidTr="00E159C0">
        <w:tc>
          <w:tcPr>
            <w:tcW w:w="10089" w:type="dxa"/>
          </w:tcPr>
          <w:p w:rsidR="00EA6124" w:rsidRPr="001511A6" w:rsidRDefault="00EA6124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EA6124" w:rsidRPr="001511A6" w:rsidRDefault="00EA6124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SINPO and SINPFEMO codes</w:t>
            </w:r>
          </w:p>
          <w:p w:rsidR="00EA6124" w:rsidRPr="001511A6" w:rsidRDefault="00EA6124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EA6124" w:rsidTr="00E159C0">
        <w:tc>
          <w:tcPr>
            <w:tcW w:w="10089" w:type="dxa"/>
          </w:tcPr>
          <w:p w:rsidR="00EA6124" w:rsidRPr="007B3EA0" w:rsidRDefault="00EA6124" w:rsidP="00E159C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A6124" w:rsidRPr="007B3EA0" w:rsidRDefault="00EA6124" w:rsidP="00E159C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A6124" w:rsidRPr="007B3EA0" w:rsidRDefault="00EA6124" w:rsidP="00E159C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EA6124" w:rsidRPr="001511A6" w:rsidRDefault="00EA6124" w:rsidP="00E159C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EA6124" w:rsidRPr="001511A6" w:rsidRDefault="00EA6124" w:rsidP="00E159C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 Series</w:t>
            </w:r>
          </w:p>
          <w:p w:rsidR="00EA6124" w:rsidRPr="001511A6" w:rsidRDefault="00EA6124" w:rsidP="00E159C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Spectrum management</w:t>
            </w:r>
          </w:p>
          <w:p w:rsidR="00EA6124" w:rsidRPr="001511A6" w:rsidRDefault="00EA6124" w:rsidP="00E159C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EA6124" w:rsidRDefault="00EA6124" w:rsidP="00EA6124">
      <w:pPr>
        <w:spacing w:before="80"/>
        <w:rPr>
          <w:i/>
          <w:sz w:val="22"/>
          <w:lang w:val="en-US"/>
        </w:rPr>
      </w:pPr>
    </w:p>
    <w:p w:rsidR="00EA6124" w:rsidRDefault="00EA6124" w:rsidP="00EA6124">
      <w:pPr>
        <w:spacing w:before="80"/>
        <w:rPr>
          <w:i/>
          <w:sz w:val="22"/>
          <w:lang w:val="en-US"/>
        </w:rPr>
      </w:pPr>
    </w:p>
    <w:p w:rsidR="00EA6124" w:rsidRDefault="00EA6124" w:rsidP="00EA6124">
      <w:pPr>
        <w:spacing w:before="80"/>
        <w:rPr>
          <w:i/>
          <w:sz w:val="22"/>
          <w:lang w:val="en-US"/>
        </w:rPr>
      </w:pPr>
    </w:p>
    <w:p w:rsidR="00EA6124" w:rsidRDefault="00EA6124" w:rsidP="00EA6124">
      <w:pPr>
        <w:spacing w:before="80"/>
        <w:rPr>
          <w:i/>
          <w:sz w:val="22"/>
          <w:lang w:val="en-US"/>
        </w:rPr>
      </w:pPr>
    </w:p>
    <w:p w:rsidR="00EA6124" w:rsidRDefault="00EA6124" w:rsidP="00EA6124">
      <w:pPr>
        <w:spacing w:before="80"/>
        <w:rPr>
          <w:i/>
          <w:sz w:val="22"/>
          <w:lang w:val="en-US"/>
        </w:rPr>
      </w:pPr>
    </w:p>
    <w:p w:rsidR="00EA6124" w:rsidRDefault="00EA6124" w:rsidP="00EA6124">
      <w:pPr>
        <w:spacing w:before="80"/>
        <w:rPr>
          <w:i/>
          <w:sz w:val="22"/>
          <w:lang w:val="en-US"/>
        </w:rPr>
      </w:pPr>
    </w:p>
    <w:p w:rsidR="00EA6124" w:rsidRDefault="00EA6124" w:rsidP="00EA6124">
      <w:pPr>
        <w:pStyle w:val="Equation"/>
        <w:tabs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EA6124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A6124" w:rsidRPr="00586EF8" w:rsidRDefault="00EA6124" w:rsidP="00EA6124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EA6124" w:rsidRDefault="00EA6124" w:rsidP="00EA6124">
      <w:pPr>
        <w:spacing w:before="240"/>
        <w:rPr>
          <w:lang w:val="en-US"/>
        </w:rPr>
      </w:pPr>
      <w:r>
        <w:rPr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EA6124" w:rsidRDefault="00EA6124" w:rsidP="00EA6124">
      <w:pPr>
        <w:rPr>
          <w:lang w:val="en-US"/>
        </w:rPr>
      </w:pPr>
      <w:r>
        <w:rPr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EA6124" w:rsidRPr="00B714F3" w:rsidRDefault="00EA6124" w:rsidP="00EA6124">
      <w:pPr>
        <w:pStyle w:val="Heading1"/>
        <w:spacing w:before="680"/>
        <w:jc w:val="center"/>
        <w:rPr>
          <w:lang w:val="en-US"/>
        </w:rPr>
      </w:pPr>
      <w:r w:rsidRPr="00B714F3">
        <w:rPr>
          <w:lang w:val="en-US"/>
        </w:rPr>
        <w:t>Policy on Intellectual Property Right (IPR)</w:t>
      </w:r>
    </w:p>
    <w:p w:rsidR="00EA6124" w:rsidRPr="00B714F3" w:rsidRDefault="00EA6124" w:rsidP="00EA6124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lang w:val="en-US"/>
        </w:rPr>
      </w:pPr>
      <w:r w:rsidRPr="00B714F3">
        <w:rPr>
          <w:lang w:val="en-US"/>
        </w:rPr>
        <w:t xml:space="preserve">ITU-R policy on IPR is described in the Common Patent Policy for ITU-T/ITU-R/ISO/IEC referenced in </w:t>
      </w:r>
      <w:bookmarkStart w:id="1" w:name="_GoBack"/>
      <w:bookmarkEnd w:id="1"/>
      <w:r w:rsidRPr="00B714F3">
        <w:rPr>
          <w:lang w:val="en-US"/>
        </w:rPr>
        <w:t xml:space="preserve">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lang w:val="en-US"/>
          </w:rPr>
          <w:t>http://www.itu.int/ITU-R/go/patents/en</w:t>
        </w:r>
      </w:hyperlink>
      <w:r w:rsidRPr="00B714F3">
        <w:rPr>
          <w:lang w:val="en-US"/>
        </w:rPr>
        <w:t xml:space="preserve"> where the Guidelines for Implementation of the Common Patent Policy for ITU</w:t>
      </w:r>
      <w:r w:rsidRPr="00B714F3">
        <w:rPr>
          <w:lang w:val="en-US"/>
        </w:rPr>
        <w:noBreakHyphen/>
        <w:t>T/ITU</w:t>
      </w:r>
      <w:r w:rsidRPr="00B714F3">
        <w:rPr>
          <w:lang w:val="en-US"/>
        </w:rPr>
        <w:noBreakHyphen/>
        <w:t xml:space="preserve">R/ISO/IEC and the ITU-R patent information database can also be found. </w:t>
      </w:r>
    </w:p>
    <w:p w:rsidR="00EA6124" w:rsidRDefault="00EA6124" w:rsidP="00EA6124">
      <w:pPr>
        <w:jc w:val="center"/>
        <w:rPr>
          <w:sz w:val="22"/>
          <w:lang w:val="en-US"/>
        </w:rPr>
      </w:pPr>
    </w:p>
    <w:p w:rsidR="00EA6124" w:rsidRDefault="00EA6124" w:rsidP="00EA6124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EA6124" w:rsidRPr="007B3EA0" w:rsidTr="00E159C0">
        <w:tc>
          <w:tcPr>
            <w:tcW w:w="9360" w:type="dxa"/>
            <w:gridSpan w:val="2"/>
          </w:tcPr>
          <w:p w:rsidR="00EA6124" w:rsidRPr="00036EE3" w:rsidRDefault="00EA6124" w:rsidP="00E159C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EA6124" w:rsidRPr="00036EE3" w:rsidRDefault="00EA6124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EA6124" w:rsidRPr="00036EE3" w:rsidTr="00E159C0">
        <w:tc>
          <w:tcPr>
            <w:tcW w:w="1140" w:type="dxa"/>
          </w:tcPr>
          <w:p w:rsidR="00EA6124" w:rsidRPr="00036EE3" w:rsidRDefault="00EA6124" w:rsidP="00E159C0">
            <w:pPr>
              <w:spacing w:before="200" w:after="100"/>
              <w:ind w:left="57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Series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EA6124" w:rsidRPr="00036EE3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BO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EA6124" w:rsidRPr="007B3EA0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BR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EA6124" w:rsidRPr="00036EE3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BS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EA6124" w:rsidRPr="00ED2695" w:rsidTr="00E159C0">
        <w:tc>
          <w:tcPr>
            <w:tcW w:w="1140" w:type="dxa"/>
            <w:shd w:val="clear" w:color="auto" w:fill="auto"/>
          </w:tcPr>
          <w:p w:rsidR="00EA6124" w:rsidRPr="00ED2695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ED2695">
              <w:rPr>
                <w:b/>
                <w:bCs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EA6124" w:rsidRPr="00ED2695" w:rsidRDefault="00EA6124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EA6124" w:rsidRPr="00036EE3" w:rsidTr="00E159C0">
        <w:tc>
          <w:tcPr>
            <w:tcW w:w="1140" w:type="dxa"/>
            <w:shd w:val="clear" w:color="auto" w:fill="auto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EA6124" w:rsidRPr="00036EE3" w:rsidRDefault="00EA6124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EA6124" w:rsidRPr="00036EE3" w:rsidTr="00E159C0">
        <w:tc>
          <w:tcPr>
            <w:tcW w:w="1140" w:type="dxa"/>
            <w:shd w:val="clear" w:color="auto" w:fill="auto"/>
          </w:tcPr>
          <w:p w:rsidR="00EA6124" w:rsidRPr="00906589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906589">
              <w:rPr>
                <w:b/>
                <w:bCs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EA6124" w:rsidRPr="00906589" w:rsidRDefault="00EA6124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EA6124" w:rsidRPr="00036EE3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P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spacing w:before="30" w:after="30"/>
              <w:jc w:val="left"/>
              <w:rPr>
                <w:lang w:val="fr-CH"/>
              </w:rPr>
            </w:pPr>
            <w:r w:rsidRPr="00036EE3">
              <w:rPr>
                <w:lang w:val="fr-CH"/>
              </w:rPr>
              <w:t>Radiowave propagation</w:t>
            </w:r>
          </w:p>
        </w:tc>
      </w:tr>
      <w:tr w:rsidR="00EA6124" w:rsidRPr="00036EE3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RA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EA6124" w:rsidRPr="00036EE3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RS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EA6124" w:rsidRPr="00036EE3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Fixed-satellite service</w:t>
            </w:r>
          </w:p>
        </w:tc>
      </w:tr>
      <w:tr w:rsidR="00EA6124" w:rsidRPr="00036EE3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SA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Space applications and meteorology</w:t>
            </w:r>
          </w:p>
        </w:tc>
      </w:tr>
      <w:tr w:rsidR="00EA6124" w:rsidRPr="007B3EA0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SF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Frequency sharing and coordination between fixed-satellite and fixed service systems</w:t>
            </w:r>
          </w:p>
        </w:tc>
      </w:tr>
      <w:tr w:rsidR="00EA6124" w:rsidRPr="00036EE3" w:rsidTr="00E159C0">
        <w:tc>
          <w:tcPr>
            <w:tcW w:w="1140" w:type="dxa"/>
            <w:shd w:val="clear" w:color="auto" w:fill="F3F3F3"/>
          </w:tcPr>
          <w:p w:rsidR="00EA6124" w:rsidRPr="00906589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:rsidR="00EA6124" w:rsidRPr="00906589" w:rsidRDefault="00EA6124" w:rsidP="00E159C0">
            <w:pPr>
              <w:spacing w:before="30" w:after="30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Spectrum management</w:t>
            </w:r>
          </w:p>
        </w:tc>
      </w:tr>
      <w:tr w:rsidR="00EA6124" w:rsidRPr="00036EE3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SNG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Satellite news gathering</w:t>
            </w:r>
          </w:p>
        </w:tc>
      </w:tr>
      <w:tr w:rsidR="00EA6124" w:rsidRPr="007B3EA0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TF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Time signals and frequency standards emissions</w:t>
            </w:r>
          </w:p>
        </w:tc>
      </w:tr>
      <w:tr w:rsidR="00EA6124" w:rsidRPr="00036EE3" w:rsidTr="00E159C0">
        <w:tc>
          <w:tcPr>
            <w:tcW w:w="1140" w:type="dxa"/>
          </w:tcPr>
          <w:p w:rsidR="00EA6124" w:rsidRPr="00036EE3" w:rsidRDefault="00EA6124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V</w:t>
            </w:r>
          </w:p>
        </w:tc>
        <w:tc>
          <w:tcPr>
            <w:tcW w:w="8220" w:type="dxa"/>
          </w:tcPr>
          <w:p w:rsidR="00EA6124" w:rsidRPr="00036EE3" w:rsidRDefault="00EA6124" w:rsidP="00E159C0">
            <w:pPr>
              <w:spacing w:before="30" w:after="18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Vocabulary and related subjects</w:t>
            </w:r>
          </w:p>
        </w:tc>
      </w:tr>
    </w:tbl>
    <w:p w:rsidR="00EA6124" w:rsidRPr="00036EE3" w:rsidRDefault="00EA6124" w:rsidP="00EA6124">
      <w:pPr>
        <w:spacing w:before="30" w:after="30"/>
        <w:jc w:val="center"/>
        <w:rPr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EA6124" w:rsidTr="00E159C0">
        <w:tc>
          <w:tcPr>
            <w:tcW w:w="720" w:type="dxa"/>
          </w:tcPr>
          <w:p w:rsidR="00EA6124" w:rsidRDefault="00EA6124" w:rsidP="00E159C0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EA6124" w:rsidRPr="00036EE3" w:rsidRDefault="00EA6124" w:rsidP="00EA6124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EA6124" w:rsidRPr="007B3EA0" w:rsidTr="00E159C0">
        <w:tc>
          <w:tcPr>
            <w:tcW w:w="9360" w:type="dxa"/>
          </w:tcPr>
          <w:p w:rsidR="00EA6124" w:rsidRPr="002F5199" w:rsidRDefault="00EA6124" w:rsidP="00E159C0">
            <w:pPr>
              <w:spacing w:after="120"/>
              <w:jc w:val="center"/>
              <w:rPr>
                <w:lang w:val="en-US"/>
              </w:rPr>
            </w:pPr>
            <w:r w:rsidRPr="002F5199">
              <w:rPr>
                <w:b/>
                <w:bCs/>
                <w:i/>
                <w:iCs/>
                <w:lang w:val="en-US"/>
              </w:rPr>
              <w:t>Note</w:t>
            </w:r>
            <w:r w:rsidRPr="002F5199">
              <w:rPr>
                <w:lang w:val="en-US"/>
              </w:rPr>
              <w:t xml:space="preserve">: </w:t>
            </w:r>
            <w:r w:rsidRPr="002F5199">
              <w:rPr>
                <w:i/>
                <w:iCs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EA6124" w:rsidRDefault="00EA6124" w:rsidP="00EA6124">
      <w:pPr>
        <w:spacing w:before="0"/>
        <w:jc w:val="center"/>
        <w:rPr>
          <w:sz w:val="22"/>
          <w:lang w:val="en-US"/>
        </w:rPr>
      </w:pPr>
    </w:p>
    <w:p w:rsidR="00EA6124" w:rsidRDefault="00EA6124" w:rsidP="00EA6124">
      <w:pPr>
        <w:spacing w:before="0"/>
        <w:jc w:val="center"/>
        <w:rPr>
          <w:sz w:val="22"/>
          <w:lang w:val="en-US"/>
        </w:rPr>
      </w:pPr>
    </w:p>
    <w:p w:rsidR="00EA6124" w:rsidRPr="002F5199" w:rsidRDefault="00EA6124" w:rsidP="00EA6124">
      <w:pPr>
        <w:spacing w:before="0"/>
        <w:jc w:val="right"/>
        <w:rPr>
          <w:i/>
          <w:iCs/>
          <w:lang w:val="en-US"/>
        </w:rPr>
      </w:pPr>
      <w:r w:rsidRPr="002F5199">
        <w:rPr>
          <w:i/>
          <w:iCs/>
          <w:lang w:val="en-US"/>
        </w:rPr>
        <w:t>Electronic Publication</w:t>
      </w:r>
    </w:p>
    <w:p w:rsidR="00EA6124" w:rsidRPr="002F5199" w:rsidRDefault="00EA6124" w:rsidP="00EA6124">
      <w:pPr>
        <w:spacing w:before="0"/>
        <w:jc w:val="right"/>
        <w:rPr>
          <w:lang w:val="en-US"/>
        </w:rPr>
      </w:pPr>
      <w:smartTag w:uri="urn:schemas-microsoft-com:office:smarttags" w:element="City">
        <w:smartTag w:uri="urn:schemas-microsoft-com:office:smarttags" w:element="State">
          <w:r w:rsidRPr="002F5199">
            <w:rPr>
              <w:lang w:val="en-US"/>
            </w:rPr>
            <w:t>Geneva</w:t>
          </w:r>
        </w:smartTag>
      </w:smartTag>
      <w:r w:rsidRPr="002F5199">
        <w:rPr>
          <w:lang w:val="en-US"/>
        </w:rPr>
        <w:t>, 20</w:t>
      </w:r>
      <w:r>
        <w:rPr>
          <w:lang w:val="en-US"/>
        </w:rPr>
        <w:t>11</w:t>
      </w:r>
    </w:p>
    <w:p w:rsidR="00EA6124" w:rsidRDefault="00EA6124" w:rsidP="00EA6124">
      <w:pPr>
        <w:jc w:val="center"/>
        <w:rPr>
          <w:sz w:val="22"/>
          <w:lang w:val="en-US"/>
        </w:rPr>
      </w:pPr>
    </w:p>
    <w:p w:rsidR="00EA6124" w:rsidRPr="00470E28" w:rsidRDefault="00EA6124" w:rsidP="00EA6124">
      <w:pPr>
        <w:jc w:val="center"/>
        <w:rPr>
          <w:lang w:val="en-US"/>
        </w:rPr>
      </w:pPr>
      <w:r w:rsidRPr="00470E28">
        <w:rPr>
          <w:lang w:val="en-US"/>
        </w:rPr>
        <w:sym w:font="Symbol" w:char="F0E3"/>
      </w:r>
      <w:r w:rsidRPr="00470E28">
        <w:rPr>
          <w:lang w:val="en-US"/>
        </w:rPr>
        <w:t xml:space="preserve"> ITU </w:t>
      </w:r>
      <w:bookmarkStart w:id="2" w:name="iiannee"/>
      <w:bookmarkEnd w:id="2"/>
      <w:r w:rsidRPr="00470E28">
        <w:rPr>
          <w:lang w:val="en-US"/>
        </w:rPr>
        <w:t>20</w:t>
      </w:r>
      <w:r>
        <w:rPr>
          <w:lang w:val="en-US"/>
        </w:rPr>
        <w:t>11</w:t>
      </w:r>
    </w:p>
    <w:p w:rsidR="00EA6124" w:rsidRPr="00470E28" w:rsidRDefault="00EA6124" w:rsidP="00EA6124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EA6124" w:rsidRDefault="00EA6124" w:rsidP="00EA6124">
      <w:pPr>
        <w:spacing w:before="160"/>
        <w:rPr>
          <w:i/>
          <w:lang w:val="en-US"/>
        </w:rPr>
        <w:sectPr w:rsidR="00EA6124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7C0D3A" w:rsidRDefault="00EA6124">
      <w:pPr>
        <w:pStyle w:val="Rec"/>
        <w:spacing w:before="0"/>
        <w:rPr>
          <w:position w:val="6"/>
          <w:sz w:val="16"/>
        </w:rPr>
      </w:pPr>
      <w:r>
        <w:lastRenderedPageBreak/>
        <w:t>RECOMMENDATION  ITU-R  SM.1135</w:t>
      </w:r>
      <w:r w:rsidR="007B4446">
        <w:t>-0</w:t>
      </w:r>
      <w:r>
        <w:rPr>
          <w:rStyle w:val="FootnoteReference"/>
        </w:rPr>
        <w:footnoteReference w:customMarkFollows="1" w:id="1"/>
        <w:t>*</w:t>
      </w:r>
    </w:p>
    <w:p w:rsidR="007C0D3A" w:rsidRDefault="00400EF8" w:rsidP="00400EF8">
      <w:pPr>
        <w:pStyle w:val="RecTitle"/>
      </w:pPr>
      <w:r>
        <w:t>SINPO and</w:t>
      </w:r>
      <w:r w:rsidR="00EA6124">
        <w:t xml:space="preserve"> SINPFEMO </w:t>
      </w:r>
      <w:r>
        <w:t>codes</w:t>
      </w:r>
    </w:p>
    <w:p w:rsidR="007C0D3A" w:rsidRDefault="00EA6124">
      <w:pPr>
        <w:pStyle w:val="RecTitleDate"/>
      </w:pPr>
      <w:r>
        <w:t>(1995)</w:t>
      </w:r>
    </w:p>
    <w:p w:rsidR="007C0D3A" w:rsidRDefault="00EA6124">
      <w:pPr>
        <w:pStyle w:val="headfoot"/>
        <w:rPr>
          <w:color w:val="FFFFFF"/>
        </w:rPr>
      </w:pPr>
      <w:r>
        <w:rPr>
          <w:color w:val="FFFFFF"/>
        </w:rPr>
        <w:t>Rec. ITU-R SM.1135</w:t>
      </w:r>
    </w:p>
    <w:p w:rsidR="00795CBB" w:rsidRPr="00795CBB" w:rsidRDefault="00795CBB" w:rsidP="00877045">
      <w:pPr>
        <w:pStyle w:val="HeadingSum"/>
        <w:spacing w:before="0"/>
        <w:rPr>
          <w:sz w:val="20"/>
          <w:lang w:val="en-US"/>
        </w:rPr>
      </w:pPr>
      <w:r w:rsidRPr="00795CBB">
        <w:rPr>
          <w:sz w:val="20"/>
          <w:lang w:val="en-US"/>
        </w:rPr>
        <w:t>Scope</w:t>
      </w:r>
    </w:p>
    <w:p w:rsidR="00795CBB" w:rsidRDefault="00795CBB" w:rsidP="00795CBB">
      <w:pPr>
        <w:pStyle w:val="Summary"/>
        <w:jc w:val="left"/>
        <w:rPr>
          <w:sz w:val="20"/>
          <w:lang w:val="en-US"/>
        </w:rPr>
      </w:pPr>
      <w:r w:rsidRPr="00795CBB">
        <w:rPr>
          <w:sz w:val="20"/>
          <w:lang w:val="en-US"/>
        </w:rPr>
        <w:t>This Recommendation provides classification of reception quality according to SINPO and SINPFEMO coding.</w:t>
      </w:r>
    </w:p>
    <w:p w:rsidR="00877045" w:rsidRPr="00877045" w:rsidRDefault="00877045" w:rsidP="00877045">
      <w:pPr>
        <w:pStyle w:val="Headingb"/>
        <w:rPr>
          <w:sz w:val="20"/>
          <w:lang w:val="en-US"/>
        </w:rPr>
      </w:pPr>
      <w:r w:rsidRPr="00877045">
        <w:rPr>
          <w:sz w:val="20"/>
          <w:lang w:val="en-US"/>
        </w:rPr>
        <w:t>Keywords</w:t>
      </w:r>
    </w:p>
    <w:p w:rsidR="00877045" w:rsidRPr="00F94CCF" w:rsidRDefault="00877045" w:rsidP="00877045">
      <w:r>
        <w:t>Reception quality, SINPO, SINPFEMO</w:t>
      </w:r>
    </w:p>
    <w:p w:rsidR="007C0D3A" w:rsidRDefault="00EA6124">
      <w:pPr>
        <w:pStyle w:val="Normalaftertitle"/>
      </w:pPr>
      <w:r>
        <w:t>The ITU Radiocommunication Assembly,</w:t>
      </w:r>
    </w:p>
    <w:p w:rsidR="007C0D3A" w:rsidRDefault="00EA6124">
      <w:pPr>
        <w:pStyle w:val="call"/>
      </w:pPr>
      <w:r>
        <w:t>considering</w:t>
      </w:r>
    </w:p>
    <w:p w:rsidR="007C0D3A" w:rsidRDefault="00400EF8">
      <w:r>
        <w:t>a</w:t>
      </w:r>
      <w:r w:rsidR="00EA6124">
        <w:t>)</w:t>
      </w:r>
      <w:r w:rsidR="00EA6124">
        <w:tab/>
        <w:t>that it would be advisable for all administrations to use the same signal reporting codes, and that the number of officially recognized codes must consequently be as restricted as possible;</w:t>
      </w:r>
    </w:p>
    <w:p w:rsidR="007C0D3A" w:rsidRDefault="00400EF8">
      <w:r>
        <w:t>b</w:t>
      </w:r>
      <w:r w:rsidR="00EA6124">
        <w:t>)</w:t>
      </w:r>
      <w:r w:rsidR="00EA6124">
        <w:tab/>
        <w:t>that the abbreviations in the Q code are in general inadequate for obtaining a clear idea of the quality of a transmission;</w:t>
      </w:r>
    </w:p>
    <w:p w:rsidR="007C0D3A" w:rsidRDefault="00400EF8" w:rsidP="00400EF8">
      <w:r>
        <w:t>c</w:t>
      </w:r>
      <w:r w:rsidR="00EA6124">
        <w:t>)</w:t>
      </w:r>
      <w:r w:rsidR="00EA6124">
        <w:tab/>
        <w:t>that the SINPO code has been used for years by some administrations;</w:t>
      </w:r>
    </w:p>
    <w:p w:rsidR="007C0D3A" w:rsidRDefault="00400EF8">
      <w:r>
        <w:t>d</w:t>
      </w:r>
      <w:r w:rsidR="00EA6124">
        <w:t>)</w:t>
      </w:r>
      <w:r w:rsidR="00EA6124">
        <w:tab/>
        <w:t>that the SINPO code gives a more accurate description of the transmission quality and is easy to use;</w:t>
      </w:r>
    </w:p>
    <w:p w:rsidR="007C0D3A" w:rsidRDefault="00400EF8">
      <w:r>
        <w:t>e</w:t>
      </w:r>
      <w:r w:rsidR="00EA6124">
        <w:t>)</w:t>
      </w:r>
      <w:r w:rsidR="00EA6124">
        <w:tab/>
        <w:t>that the SINPFEMO code is derived from the SINPO code by adding three letters relating to special features of telephone transmissions and is easy to use;</w:t>
      </w:r>
    </w:p>
    <w:p w:rsidR="007C0D3A" w:rsidRDefault="00400EF8">
      <w:r>
        <w:t>f</w:t>
      </w:r>
      <w:r w:rsidR="00EA6124">
        <w:t>)</w:t>
      </w:r>
      <w:r w:rsidR="00EA6124">
        <w:tab/>
        <w:t>that the information which is not included in the SINPO or SINPFEMO code may be transmitted satisfactorily by service message,</w:t>
      </w:r>
    </w:p>
    <w:p w:rsidR="007C0D3A" w:rsidRDefault="007C0D3A"/>
    <w:p w:rsidR="007C0D3A" w:rsidRDefault="00EA6124">
      <w:pPr>
        <w:pStyle w:val="call"/>
      </w:pPr>
      <w:r>
        <w:t>recommends</w:t>
      </w:r>
    </w:p>
    <w:p w:rsidR="007C0D3A" w:rsidRDefault="00EA6124">
      <w:r>
        <w:rPr>
          <w:b/>
        </w:rPr>
        <w:t>1</w:t>
      </w:r>
      <w:r>
        <w:tab/>
        <w:t>that the SINPO and SINPFEMO codes given in Annex 1 shall be used by administrations.</w:t>
      </w:r>
    </w:p>
    <w:p w:rsidR="00EA6124" w:rsidRDefault="00EA6124"/>
    <w:p w:rsidR="007C0D3A" w:rsidRDefault="00EA6124">
      <w:pPr>
        <w:pStyle w:val="Annex"/>
      </w:pPr>
      <w:r>
        <w:t>ANNEX  1</w:t>
      </w:r>
    </w:p>
    <w:p w:rsidR="007C0D3A" w:rsidRDefault="00EA6124">
      <w:pPr>
        <w:pStyle w:val="AnnexTitle"/>
      </w:pPr>
      <w:r>
        <w:t>SINPO and SINPFEMO codes</w:t>
      </w:r>
    </w:p>
    <w:p w:rsidR="007C0D3A" w:rsidRDefault="007C0D3A">
      <w:pPr>
        <w:pStyle w:val="Table"/>
        <w:spacing w:before="0"/>
        <w:rPr>
          <w:sz w:val="8"/>
        </w:rPr>
      </w:pPr>
      <w:bookmarkStart w:id="3" w:name="source"/>
      <w:bookmarkEnd w:id="3"/>
    </w:p>
    <w:p w:rsidR="007C0D3A" w:rsidRDefault="00EA6124">
      <w:pPr>
        <w:pStyle w:val="TableTitle"/>
      </w:pPr>
      <w:r>
        <w:t>SINPO signal reporting code</w:t>
      </w:r>
    </w:p>
    <w:p w:rsidR="007C0D3A" w:rsidRDefault="007C0D3A">
      <w:pPr>
        <w:pStyle w:val="Blanc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22"/>
        <w:gridCol w:w="1622"/>
        <w:gridCol w:w="1531"/>
        <w:gridCol w:w="1531"/>
        <w:gridCol w:w="1531"/>
        <w:gridCol w:w="1622"/>
      </w:tblGrid>
      <w:tr w:rsidR="007C0D3A">
        <w:trPr>
          <w:cantSplit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7C0D3A">
            <w:pPr>
              <w:pStyle w:val="TableText"/>
              <w:framePr w:hSpace="181" w:wrap="notBeside" w:vAnchor="text" w:hAnchor="page" w:xAlign="center" w:y="1"/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jc w:val="center"/>
            </w:pPr>
            <w:r>
              <w:t>S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jc w:val="center"/>
            </w:pPr>
            <w:r>
              <w:t>I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jc w:val="center"/>
            </w:pPr>
            <w:r>
              <w:t>N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jc w:val="center"/>
            </w:pPr>
            <w:r>
              <w:t>P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jc w:val="center"/>
            </w:pPr>
            <w:r>
              <w:t>O</w:t>
            </w:r>
          </w:p>
        </w:tc>
      </w:tr>
      <w:tr w:rsidR="00400EF8" w:rsidTr="00400EF8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180" w:after="0"/>
              <w:jc w:val="center"/>
            </w:pPr>
            <w:r>
              <w:t>Rating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180" w:after="0"/>
              <w:jc w:val="center"/>
            </w:pPr>
            <w:r>
              <w:t>Signal</w:t>
            </w:r>
          </w:p>
        </w:tc>
        <w:tc>
          <w:tcPr>
            <w:tcW w:w="45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jc w:val="center"/>
            </w:pPr>
            <w:r>
              <w:t>Degrading effect of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180" w:after="0"/>
              <w:jc w:val="center"/>
            </w:pPr>
            <w:r>
              <w:t>Overall</w:t>
            </w:r>
          </w:p>
        </w:tc>
      </w:tr>
      <w:tr w:rsidR="007C0D3A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0"/>
              <w:jc w:val="center"/>
            </w:pPr>
            <w:r>
              <w:t>scale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0" w:after="0"/>
              <w:jc w:val="center"/>
            </w:pPr>
            <w:r>
              <w:t>strength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200"/>
              <w:jc w:val="center"/>
            </w:pPr>
            <w:r>
              <w:t>Interference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200"/>
              <w:jc w:val="center"/>
            </w:pPr>
            <w:r>
              <w:t>Noise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jc w:val="center"/>
            </w:pPr>
            <w:r>
              <w:t>Propagation</w:t>
            </w:r>
            <w:r>
              <w:br/>
              <w:t>disturbance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0"/>
              <w:jc w:val="center"/>
            </w:pPr>
            <w:r>
              <w:t>rating</w:t>
            </w:r>
          </w:p>
        </w:tc>
      </w:tr>
      <w:tr w:rsidR="007C0D3A">
        <w:trPr>
          <w:cantSplit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40"/>
              <w:jc w:val="center"/>
            </w:pPr>
            <w:r>
              <w:t>5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40"/>
              <w:jc w:val="left"/>
            </w:pPr>
            <w:r>
              <w:t>Excellent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40"/>
              <w:jc w:val="left"/>
            </w:pPr>
            <w:r>
              <w:t>Nil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40"/>
              <w:jc w:val="left"/>
            </w:pPr>
            <w:r>
              <w:t>Nil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40"/>
              <w:jc w:val="left"/>
            </w:pPr>
            <w:r>
              <w:t>Nil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40"/>
              <w:jc w:val="left"/>
            </w:pPr>
            <w:r>
              <w:t>Excellent</w:t>
            </w:r>
          </w:p>
        </w:tc>
      </w:tr>
      <w:tr w:rsidR="007C0D3A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center"/>
            </w:pPr>
            <w:r>
              <w:t>4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Good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Slight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Slight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Slight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Good</w:t>
            </w:r>
          </w:p>
        </w:tc>
      </w:tr>
      <w:tr w:rsidR="007C0D3A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center"/>
            </w:pPr>
            <w:r>
              <w:t>3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Fair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Moderate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Moderate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Moderate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Fair</w:t>
            </w:r>
          </w:p>
        </w:tc>
      </w:tr>
      <w:tr w:rsidR="007C0D3A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center"/>
            </w:pPr>
            <w:r>
              <w:t>2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Poor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Severe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Severe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Severe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jc w:val="left"/>
            </w:pPr>
            <w:r>
              <w:t>Poor</w:t>
            </w:r>
          </w:p>
        </w:tc>
      </w:tr>
      <w:tr w:rsidR="007C0D3A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60"/>
              <w:jc w:val="center"/>
            </w:pPr>
            <w:r>
              <w:t>1</w:t>
            </w:r>
          </w:p>
        </w:tc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60"/>
              <w:jc w:val="left"/>
            </w:pPr>
            <w:r>
              <w:t>Barely audible</w:t>
            </w:r>
          </w:p>
        </w:tc>
        <w:tc>
          <w:tcPr>
            <w:tcW w:w="1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60"/>
              <w:jc w:val="left"/>
            </w:pPr>
            <w:r>
              <w:t>Extreme</w:t>
            </w:r>
          </w:p>
        </w:tc>
        <w:tc>
          <w:tcPr>
            <w:tcW w:w="1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60"/>
              <w:jc w:val="left"/>
            </w:pPr>
            <w:r>
              <w:t>Extreme</w:t>
            </w:r>
          </w:p>
        </w:tc>
        <w:tc>
          <w:tcPr>
            <w:tcW w:w="1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60"/>
              <w:jc w:val="left"/>
            </w:pPr>
            <w:r>
              <w:t>Extreme</w:t>
            </w:r>
          </w:p>
        </w:tc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60"/>
              <w:jc w:val="left"/>
            </w:pPr>
            <w:r>
              <w:t>Unusable</w:t>
            </w:r>
          </w:p>
        </w:tc>
      </w:tr>
    </w:tbl>
    <w:p w:rsidR="007C0D3A" w:rsidRDefault="007C0D3A">
      <w:pPr>
        <w:pStyle w:val="Tablefin"/>
        <w:spacing w:before="0"/>
      </w:pPr>
    </w:p>
    <w:p w:rsidR="007C0D3A" w:rsidRDefault="007C0D3A">
      <w:pPr>
        <w:spacing w:before="0"/>
        <w:rPr>
          <w:sz w:val="8"/>
        </w:rPr>
      </w:pPr>
    </w:p>
    <w:p w:rsidR="007C0D3A" w:rsidRDefault="007C0D3A">
      <w:pPr>
        <w:pStyle w:val="Table"/>
        <w:spacing w:before="0"/>
        <w:rPr>
          <w:sz w:val="8"/>
        </w:rPr>
      </w:pPr>
    </w:p>
    <w:p w:rsidR="007C0D3A" w:rsidRDefault="00EA6124">
      <w:pPr>
        <w:pStyle w:val="TableTitle"/>
      </w:pPr>
      <w:r>
        <w:t>SINPFEMO signal reporting code</w:t>
      </w:r>
    </w:p>
    <w:p w:rsidR="007C0D3A" w:rsidRDefault="007C0D3A">
      <w:pPr>
        <w:pStyle w:val="Blanc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021"/>
        <w:gridCol w:w="1021"/>
        <w:gridCol w:w="1140"/>
        <w:gridCol w:w="1140"/>
        <w:gridCol w:w="1140"/>
        <w:gridCol w:w="1140"/>
        <w:gridCol w:w="1140"/>
      </w:tblGrid>
      <w:tr w:rsidR="007C0D3A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7C0D3A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S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I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N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P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F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E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M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O</w:t>
            </w:r>
          </w:p>
        </w:tc>
      </w:tr>
      <w:tr w:rsidR="00400EF8" w:rsidTr="00400EF8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180" w:after="0"/>
              <w:ind w:left="57" w:right="57"/>
              <w:jc w:val="center"/>
            </w:pPr>
            <w:r>
              <w:t>Rating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180" w:after="0"/>
              <w:ind w:left="57" w:right="57"/>
              <w:jc w:val="center"/>
            </w:pPr>
            <w:r>
              <w:t>Signal</w:t>
            </w:r>
          </w:p>
        </w:tc>
        <w:tc>
          <w:tcPr>
            <w:tcW w:w="3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Degrading effect of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180" w:after="0"/>
              <w:ind w:left="57" w:right="57"/>
              <w:jc w:val="center"/>
            </w:pPr>
            <w:r>
              <w:t>Frequency</w:t>
            </w:r>
          </w:p>
        </w:tc>
        <w:tc>
          <w:tcPr>
            <w:tcW w:w="22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Modulation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180" w:after="0"/>
              <w:ind w:left="57" w:right="57"/>
              <w:jc w:val="center"/>
            </w:pPr>
            <w:r>
              <w:t>Overall</w:t>
            </w:r>
          </w:p>
        </w:tc>
      </w:tr>
      <w:tr w:rsidR="007C0D3A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0"/>
              <w:ind w:left="57" w:right="57"/>
              <w:jc w:val="center"/>
            </w:pPr>
            <w:r>
              <w:t>scale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0"/>
              <w:ind w:left="57" w:right="57"/>
              <w:jc w:val="center"/>
            </w:pPr>
            <w:r>
              <w:t>strength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200"/>
              <w:ind w:left="57" w:right="57"/>
              <w:jc w:val="center"/>
            </w:pPr>
            <w:r>
              <w:t>Interference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200"/>
              <w:ind w:left="57" w:right="57"/>
              <w:jc w:val="center"/>
            </w:pPr>
            <w:r>
              <w:t>Noise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57" w:right="57"/>
              <w:jc w:val="center"/>
            </w:pPr>
            <w:r>
              <w:t>Propagation</w:t>
            </w:r>
            <w:r>
              <w:br/>
              <w:t>disturbance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0" w:after="0"/>
              <w:ind w:left="57" w:right="57"/>
              <w:jc w:val="center"/>
            </w:pPr>
            <w:r>
              <w:t>of fading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200"/>
              <w:ind w:left="57" w:right="57"/>
              <w:jc w:val="center"/>
            </w:pPr>
            <w:r>
              <w:t>Quality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200"/>
              <w:ind w:left="57" w:right="57"/>
              <w:jc w:val="center"/>
            </w:pPr>
            <w:r>
              <w:t>Depth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0" w:after="0"/>
              <w:ind w:left="57" w:right="57"/>
              <w:jc w:val="center"/>
            </w:pPr>
            <w:r>
              <w:t>rating</w:t>
            </w:r>
          </w:p>
        </w:tc>
      </w:tr>
      <w:tr w:rsidR="007C0D3A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57" w:right="57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Excellent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Nil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Nil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Nil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Nil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Excellent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Maximum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Excellent</w:t>
            </w:r>
          </w:p>
        </w:tc>
      </w:tr>
      <w:tr w:rsidR="007C0D3A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Good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Slight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Slight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Slight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Slow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Good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Good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Good</w:t>
            </w:r>
          </w:p>
        </w:tc>
      </w:tr>
      <w:tr w:rsidR="007C0D3A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Fair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Moderate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Moderate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Moderate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Moderate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Fair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Fair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Fair</w:t>
            </w:r>
          </w:p>
        </w:tc>
      </w:tr>
      <w:tr w:rsidR="007C0D3A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Poor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Severe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Severe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Severe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Fast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Poor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Poor or Nil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Poor</w:t>
            </w:r>
          </w:p>
        </w:tc>
      </w:tr>
      <w:tr w:rsidR="007C0D3A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57" w:right="57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Barely</w:t>
            </w:r>
            <w:r>
              <w:br/>
              <w:t>audible</w:t>
            </w:r>
          </w:p>
        </w:tc>
        <w:tc>
          <w:tcPr>
            <w:tcW w:w="10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Extreme</w:t>
            </w:r>
          </w:p>
        </w:tc>
        <w:tc>
          <w:tcPr>
            <w:tcW w:w="10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Extreme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Extreme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Very fast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Very poor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Continuously</w:t>
            </w:r>
            <w:r>
              <w:br/>
              <w:t>over-</w:t>
            </w:r>
            <w:r>
              <w:br/>
              <w:t>modulated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Unusable</w:t>
            </w:r>
          </w:p>
        </w:tc>
      </w:tr>
    </w:tbl>
    <w:p w:rsidR="007C0D3A" w:rsidRDefault="007C0D3A">
      <w:pPr>
        <w:pStyle w:val="Tablefin"/>
        <w:spacing w:before="0"/>
      </w:pPr>
    </w:p>
    <w:p w:rsidR="007C0D3A" w:rsidRDefault="007C0D3A">
      <w:pPr>
        <w:spacing w:before="0"/>
        <w:rPr>
          <w:sz w:val="8"/>
        </w:rPr>
      </w:pPr>
    </w:p>
    <w:p w:rsidR="007C0D3A" w:rsidRDefault="00EA6124">
      <w:r>
        <w:rPr>
          <w:i/>
        </w:rPr>
        <w:t>Special remarks:</w:t>
      </w:r>
    </w:p>
    <w:p w:rsidR="007C0D3A" w:rsidRDefault="00EA6124">
      <w:pPr>
        <w:pStyle w:val="enumlev1"/>
      </w:pPr>
      <w:r>
        <w:rPr>
          <w:i/>
        </w:rPr>
        <w:t>a)</w:t>
      </w:r>
      <w:r>
        <w:tab/>
        <w:t>A signal report shall consist of the code word SINPO or SINPFEMO followed by a group of five or eight numerals, rating, respectively, the five or eight characteristics of the particular signal code.</w:t>
      </w:r>
    </w:p>
    <w:p w:rsidR="007C0D3A" w:rsidRDefault="00EA6124">
      <w:pPr>
        <w:pStyle w:val="enumlev1"/>
      </w:pPr>
      <w:r>
        <w:rPr>
          <w:i/>
        </w:rPr>
        <w:t>b)</w:t>
      </w:r>
      <w:r>
        <w:tab/>
        <w:t>The letter X shall be used instead of a numeral for characteristics not rated.</w:t>
      </w:r>
    </w:p>
    <w:p w:rsidR="007C0D3A" w:rsidRDefault="00EA6124">
      <w:pPr>
        <w:pStyle w:val="enumlev1"/>
      </w:pPr>
      <w:r>
        <w:rPr>
          <w:i/>
        </w:rPr>
        <w:t>c)</w:t>
      </w:r>
      <w:r>
        <w:tab/>
        <w:t>Although the code word SINPFEMO is intended for radiotelephony, it may be used for radiotelegraphy.</w:t>
      </w:r>
    </w:p>
    <w:p w:rsidR="007C0D3A" w:rsidRDefault="00EA6124">
      <w:pPr>
        <w:pStyle w:val="enumlev1"/>
      </w:pPr>
      <w:r>
        <w:rPr>
          <w:i/>
        </w:rPr>
        <w:t>d)</w:t>
      </w:r>
      <w:r>
        <w:tab/>
        <w:t>The overall rating for radiotelegraphy shall be as indicated in Tables 1 and 2.</w:t>
      </w:r>
    </w:p>
    <w:p w:rsidR="007C0D3A" w:rsidRDefault="00EA6124">
      <w:pPr>
        <w:pStyle w:val="Table"/>
      </w:pPr>
      <w:r>
        <w:t>TABLE  1</w:t>
      </w:r>
    </w:p>
    <w:p w:rsidR="007C0D3A" w:rsidRDefault="007C0D3A">
      <w:pPr>
        <w:pStyle w:val="Blanc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4536"/>
      </w:tblGrid>
      <w:tr w:rsidR="007C0D3A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142" w:right="142"/>
              <w:jc w:val="center"/>
            </w:pPr>
            <w:r>
              <w:t>Overall rating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142" w:right="142"/>
              <w:jc w:val="center"/>
            </w:pPr>
            <w:r>
              <w:t>Mechanized Operations</w:t>
            </w:r>
          </w:p>
        </w:tc>
      </w:tr>
      <w:tr w:rsidR="007C0D3A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after="40"/>
              <w:ind w:left="142" w:right="142"/>
              <w:jc w:val="left"/>
            </w:pPr>
            <w:r>
              <w:tab/>
              <w:t>5. Excellent</w:t>
            </w:r>
          </w:p>
        </w:tc>
        <w:tc>
          <w:tcPr>
            <w:tcW w:w="4536" w:type="dxa"/>
            <w:tcBorders>
              <w:top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142" w:right="142"/>
            </w:pPr>
            <w:r>
              <w:t>4-channel time-division multiplex</w:t>
            </w:r>
          </w:p>
        </w:tc>
      </w:tr>
      <w:tr w:rsidR="007C0D3A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 w:after="40"/>
              <w:ind w:left="142" w:right="142"/>
            </w:pPr>
            <w:r>
              <w:tab/>
              <w:t>4. Good</w:t>
            </w:r>
          </w:p>
        </w:tc>
        <w:tc>
          <w:tcPr>
            <w:tcW w:w="4536" w:type="dxa"/>
            <w:tcBorders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142" w:right="142"/>
            </w:pPr>
            <w:r>
              <w:t>2-channel time-division multiplex</w:t>
            </w:r>
          </w:p>
        </w:tc>
      </w:tr>
      <w:tr w:rsidR="007C0D3A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 w:after="40"/>
              <w:ind w:left="142" w:right="142"/>
            </w:pPr>
            <w:r>
              <w:tab/>
              <w:t>3. Fair</w:t>
            </w:r>
          </w:p>
        </w:tc>
        <w:tc>
          <w:tcPr>
            <w:tcW w:w="4536" w:type="dxa"/>
            <w:tcBorders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142" w:right="142"/>
            </w:pPr>
            <w:r>
              <w:t>Marginal single start-stop printer</w:t>
            </w:r>
          </w:p>
        </w:tc>
      </w:tr>
      <w:tr w:rsidR="007C0D3A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 w:after="40"/>
              <w:ind w:left="142" w:right="142"/>
            </w:pPr>
            <w:r>
              <w:tab/>
              <w:t>2. Poor</w:t>
            </w:r>
          </w:p>
        </w:tc>
        <w:tc>
          <w:tcPr>
            <w:tcW w:w="4536" w:type="dxa"/>
            <w:tcBorders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142" w:right="142"/>
            </w:pPr>
            <w:r>
              <w:t>BKs, XQs and call signs readable</w:t>
            </w:r>
          </w:p>
        </w:tc>
      </w:tr>
      <w:tr w:rsidR="007C0D3A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/>
              <w:ind w:left="142" w:right="142"/>
              <w:jc w:val="left"/>
            </w:pPr>
            <w:r>
              <w:tab/>
              <w:t>1. Unusable</w:t>
            </w:r>
          </w:p>
        </w:tc>
        <w:tc>
          <w:tcPr>
            <w:tcW w:w="4536" w:type="dxa"/>
            <w:tcBorders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142" w:right="142"/>
            </w:pPr>
            <w:r>
              <w:t>Unreadable</w:t>
            </w:r>
          </w:p>
        </w:tc>
      </w:tr>
    </w:tbl>
    <w:p w:rsidR="007C0D3A" w:rsidRDefault="007C0D3A">
      <w:pPr>
        <w:pStyle w:val="Tablefin"/>
        <w:spacing w:before="0"/>
      </w:pPr>
    </w:p>
    <w:p w:rsidR="007C0D3A" w:rsidRDefault="007C0D3A" w:rsidP="00EA6124"/>
    <w:p w:rsidR="00EA6124" w:rsidRDefault="00EA6124" w:rsidP="00EA6124"/>
    <w:p w:rsidR="007C0D3A" w:rsidRDefault="00EA6124">
      <w:pPr>
        <w:pStyle w:val="Table"/>
      </w:pPr>
      <w:r>
        <w:t>TABLE  2</w:t>
      </w:r>
    </w:p>
    <w:p w:rsidR="007C0D3A" w:rsidRDefault="007C0D3A">
      <w:pPr>
        <w:pStyle w:val="Blanc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3402"/>
      </w:tblGrid>
      <w:tr w:rsidR="007C0D3A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142" w:right="142"/>
              <w:jc w:val="center"/>
            </w:pPr>
            <w:r>
              <w:t>Overall rating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ind w:left="142" w:right="142"/>
              <w:jc w:val="center"/>
            </w:pPr>
            <w:r>
              <w:t>Morse Operation</w:t>
            </w:r>
          </w:p>
        </w:tc>
      </w:tr>
      <w:tr w:rsidR="007C0D3A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after="40"/>
              <w:ind w:left="142" w:right="142"/>
              <w:jc w:val="left"/>
            </w:pPr>
            <w:r>
              <w:tab/>
              <w:t>5. Excellent</w:t>
            </w:r>
          </w:p>
        </w:tc>
        <w:tc>
          <w:tcPr>
            <w:tcW w:w="3402" w:type="dxa"/>
            <w:tcBorders>
              <w:top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after="40"/>
              <w:ind w:left="142" w:right="142"/>
            </w:pPr>
            <w:r>
              <w:t>High speed</w:t>
            </w:r>
          </w:p>
        </w:tc>
      </w:tr>
      <w:tr w:rsidR="007C0D3A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 w:after="40"/>
              <w:ind w:left="142" w:right="142"/>
            </w:pPr>
            <w:r>
              <w:tab/>
              <w:t>4. Good</w:t>
            </w: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142" w:right="142"/>
            </w:pPr>
            <w:r>
              <w:t>100 wpm</w:t>
            </w:r>
          </w:p>
        </w:tc>
      </w:tr>
      <w:tr w:rsidR="007C0D3A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 w:after="40"/>
              <w:ind w:left="142" w:right="142"/>
            </w:pPr>
            <w:r>
              <w:tab/>
              <w:t>3. Fair</w:t>
            </w: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142" w:right="142"/>
            </w:pPr>
            <w:r>
              <w:t>50 wpm</w:t>
            </w:r>
          </w:p>
        </w:tc>
      </w:tr>
      <w:tr w:rsidR="007C0D3A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 w:after="40"/>
              <w:ind w:left="142" w:right="142"/>
            </w:pPr>
            <w:r>
              <w:tab/>
              <w:t>2. Poor</w:t>
            </w: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 w:after="40"/>
              <w:ind w:left="142" w:right="142"/>
            </w:pPr>
            <w:r>
              <w:t>BKs, XQs and call signs readable</w:t>
            </w:r>
          </w:p>
        </w:tc>
      </w:tr>
      <w:tr w:rsidR="007C0D3A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/>
              <w:ind w:left="142" w:right="142"/>
              <w:jc w:val="left"/>
            </w:pPr>
            <w:r>
              <w:tab/>
              <w:t>1. Unusable</w:t>
            </w:r>
          </w:p>
        </w:tc>
        <w:tc>
          <w:tcPr>
            <w:tcW w:w="3402" w:type="dxa"/>
            <w:tcBorders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40"/>
              <w:ind w:left="142" w:right="142"/>
            </w:pPr>
            <w:r>
              <w:t>Unreadable</w:t>
            </w:r>
          </w:p>
        </w:tc>
      </w:tr>
    </w:tbl>
    <w:p w:rsidR="007C0D3A" w:rsidRDefault="007C0D3A">
      <w:pPr>
        <w:pStyle w:val="Tablefin"/>
      </w:pPr>
    </w:p>
    <w:p w:rsidR="007C0D3A" w:rsidRDefault="007C0D3A"/>
    <w:p w:rsidR="007C0D3A" w:rsidRDefault="00EA6124" w:rsidP="00EA6124">
      <w:pPr>
        <w:pStyle w:val="enumlev1"/>
        <w:keepNext/>
      </w:pPr>
      <w:r>
        <w:rPr>
          <w:i/>
        </w:rPr>
        <w:t>e)</w:t>
      </w:r>
      <w:r>
        <w:tab/>
        <w:t>The overall rating for telephony shall be as indicated in Table 3.</w:t>
      </w:r>
    </w:p>
    <w:p w:rsidR="007C0D3A" w:rsidRDefault="00EA6124">
      <w:pPr>
        <w:pStyle w:val="Table"/>
      </w:pPr>
      <w:r>
        <w:t>TABLE  3</w:t>
      </w:r>
    </w:p>
    <w:p w:rsidR="007C0D3A" w:rsidRDefault="007C0D3A">
      <w:pPr>
        <w:pStyle w:val="Blanc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4173"/>
        <w:gridCol w:w="2268"/>
      </w:tblGrid>
      <w:tr w:rsidR="007C0D3A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jc w:val="center"/>
            </w:pPr>
            <w:r>
              <w:t>Overall rating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jc w:val="center"/>
            </w:pPr>
            <w:r>
              <w:t>Operating Condition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jc w:val="center"/>
            </w:pPr>
            <w:r>
              <w:t>Quality</w:t>
            </w:r>
          </w:p>
        </w:tc>
      </w:tr>
      <w:tr w:rsidR="007C0D3A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624"/>
              </w:tabs>
              <w:spacing w:before="60" w:after="60"/>
              <w:jc w:val="left"/>
            </w:pPr>
            <w:r>
              <w:tab/>
              <w:t>5. Excellent</w:t>
            </w:r>
            <w:r>
              <w:br/>
            </w:r>
            <w:r>
              <w:tab/>
              <w:t>4. Good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60"/>
              <w:jc w:val="left"/>
            </w:pPr>
            <w:r>
              <w:t>Signal quality unaffected</w:t>
            </w:r>
            <w:r>
              <w:br/>
              <w:t>Signal quality slightly affected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60"/>
              <w:jc w:val="left"/>
            </w:pPr>
            <w:r>
              <w:t>Commercial</w:t>
            </w:r>
          </w:p>
        </w:tc>
      </w:tr>
      <w:tr w:rsidR="007C0D3A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624"/>
              </w:tabs>
              <w:spacing w:before="60" w:after="60"/>
              <w:jc w:val="left"/>
            </w:pPr>
            <w:r>
              <w:tab/>
              <w:t>3. Fair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60"/>
            </w:pPr>
            <w:r>
              <w:t>Signal quality seriously affected; channel usable by operators or by experienced subscribers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60"/>
              <w:jc w:val="left"/>
            </w:pPr>
            <w:r>
              <w:t>Marginally commercial</w:t>
            </w:r>
          </w:p>
        </w:tc>
      </w:tr>
      <w:tr w:rsidR="007C0D3A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624"/>
              </w:tabs>
              <w:spacing w:before="60" w:after="60"/>
              <w:jc w:val="left"/>
            </w:pPr>
            <w:r>
              <w:tab/>
              <w:t>2. Poor</w:t>
            </w:r>
            <w:r>
              <w:br/>
            </w:r>
            <w:r>
              <w:tab/>
              <w:t>1. Unusable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60"/>
              <w:jc w:val="left"/>
            </w:pPr>
            <w:r>
              <w:t>Channel just usable by operators</w:t>
            </w:r>
            <w:r>
              <w:br/>
              <w:t>Channel unusable by operators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0D3A" w:rsidRDefault="00EA6124">
            <w:pPr>
              <w:pStyle w:val="TableText"/>
              <w:framePr w:hSpace="181" w:wrap="notBeside" w:vAnchor="text" w:hAnchor="page" w:xAlign="center" w:y="1"/>
              <w:spacing w:before="60" w:after="60"/>
              <w:jc w:val="left"/>
            </w:pPr>
            <w:r>
              <w:t>Not commercial</w:t>
            </w:r>
          </w:p>
        </w:tc>
      </w:tr>
    </w:tbl>
    <w:p w:rsidR="007C0D3A" w:rsidRDefault="007C0D3A">
      <w:pPr>
        <w:pStyle w:val="Tablefin"/>
      </w:pPr>
    </w:p>
    <w:p w:rsidR="007C0D3A" w:rsidRDefault="007C0D3A">
      <w:pPr>
        <w:spacing w:before="0"/>
      </w:pPr>
    </w:p>
    <w:p w:rsidR="007C0D3A" w:rsidRDefault="007C0D3A">
      <w:pPr>
        <w:pStyle w:val="Line"/>
      </w:pPr>
    </w:p>
    <w:p w:rsidR="007C0D3A" w:rsidRDefault="007C0D3A"/>
    <w:p w:rsidR="007C0D3A" w:rsidRDefault="007C0D3A"/>
    <w:p w:rsidR="00EA6124" w:rsidRDefault="00EA6124"/>
    <w:p w:rsidR="00EA6124" w:rsidRDefault="00EA6124"/>
    <w:p w:rsidR="00EA6124" w:rsidRDefault="00EA6124"/>
    <w:p w:rsidR="00EA6124" w:rsidRDefault="00EA6124"/>
    <w:p w:rsidR="00EA6124" w:rsidRDefault="00EA6124"/>
    <w:p w:rsidR="00EA6124" w:rsidRDefault="00EA6124"/>
    <w:p w:rsidR="00EA6124" w:rsidRDefault="00EA6124"/>
    <w:p w:rsidR="00EA6124" w:rsidRDefault="00EA6124"/>
    <w:p w:rsidR="00EA6124" w:rsidRDefault="00EA6124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/>
    <w:p w:rsidR="007C0D3A" w:rsidRDefault="007C0D3A" w:rsidP="00EA6124"/>
    <w:p w:rsidR="00EA6124" w:rsidRDefault="00EA6124" w:rsidP="00EA6124"/>
    <w:sectPr w:rsidR="00EA6124" w:rsidSect="00EA6124">
      <w:headerReference w:type="even" r:id="rId13"/>
      <w:headerReference w:type="default" r:id="rId14"/>
      <w:pgSz w:w="11913" w:h="16834"/>
      <w:pgMar w:top="1088" w:right="1088" w:bottom="1088" w:left="1088" w:header="483" w:footer="483" w:gutter="0"/>
      <w:pgNumType w:start="1"/>
      <w:cols w:space="720"/>
      <w:vAlign w:val="both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D3A" w:rsidRDefault="00EA6124">
      <w:pPr>
        <w:spacing w:before="0"/>
      </w:pPr>
      <w:r>
        <w:separator/>
      </w:r>
    </w:p>
  </w:endnote>
  <w:endnote w:type="continuationSeparator" w:id="0">
    <w:p w:rsidR="007C0D3A" w:rsidRDefault="00EA612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D3A" w:rsidRDefault="00EA6124">
      <w:r>
        <w:rPr>
          <w:b/>
        </w:rPr>
        <w:t>_______________</w:t>
      </w:r>
    </w:p>
  </w:footnote>
  <w:footnote w:type="continuationSeparator" w:id="0">
    <w:p w:rsidR="007C0D3A" w:rsidRDefault="00EA6124">
      <w:pPr>
        <w:spacing w:before="0"/>
      </w:pPr>
      <w:r>
        <w:continuationSeparator/>
      </w:r>
    </w:p>
  </w:footnote>
  <w:footnote w:id="1">
    <w:p w:rsidR="007C0D3A" w:rsidRDefault="00EA6124" w:rsidP="00400EF8">
      <w:pPr>
        <w:pStyle w:val="FootnoteText"/>
        <w:ind w:left="313" w:hanging="313"/>
      </w:pPr>
      <w:r>
        <w:rPr>
          <w:rStyle w:val="FootnoteReference"/>
        </w:rPr>
        <w:t>*</w:t>
      </w:r>
      <w:r>
        <w:tab/>
      </w:r>
      <w:r w:rsidR="00400EF8">
        <w:t xml:space="preserve">Radiocommunication Study Group 1 made editorial amendments to this Recommendation in </w:t>
      </w:r>
      <w:r w:rsidR="007B4446">
        <w:t xml:space="preserve">the years </w:t>
      </w:r>
      <w:r w:rsidR="00400EF8">
        <w:t xml:space="preserve">2011 </w:t>
      </w:r>
      <w:r w:rsidR="007B4446">
        <w:t xml:space="preserve">and 2019 </w:t>
      </w:r>
      <w:r w:rsidR="00400EF8">
        <w:t>in accordance with Resolution ITU-R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124" w:rsidRDefault="00EA612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124" w:rsidRDefault="00EA6124" w:rsidP="00B033C8">
    <w:pPr>
      <w:pStyle w:val="Header"/>
      <w:ind w:right="360" w:firstLine="36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E2D5F8F" wp14:editId="7DB7B1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124" w:rsidRPr="00EA6124" w:rsidRDefault="00EA6124" w:rsidP="00EA6124">
    <w:pPr>
      <w:pStyle w:val="Header"/>
      <w:jc w:val="left"/>
      <w:rPr>
        <w:lang w:val="en-US"/>
      </w:rPr>
    </w:pPr>
    <w:r w:rsidRPr="00EA6124">
      <w:rPr>
        <w:rStyle w:val="PageNumber"/>
      </w:rPr>
      <w:fldChar w:fldCharType="begin"/>
    </w:r>
    <w:r w:rsidRPr="00EA6124">
      <w:rPr>
        <w:rStyle w:val="PageNumber"/>
        <w:lang w:val="en-US"/>
      </w:rPr>
      <w:instrText xml:space="preserve"> PAGE </w:instrText>
    </w:r>
    <w:r w:rsidRPr="00EA6124">
      <w:rPr>
        <w:rStyle w:val="PageNumber"/>
      </w:rPr>
      <w:fldChar w:fldCharType="separate"/>
    </w:r>
    <w:r w:rsidR="002048B6">
      <w:rPr>
        <w:rStyle w:val="PageNumber"/>
        <w:noProof/>
        <w:lang w:val="en-US"/>
      </w:rPr>
      <w:t>ii</w:t>
    </w:r>
    <w:r w:rsidRPr="00EA6124">
      <w:rPr>
        <w:rStyle w:val="PageNumber"/>
      </w:rPr>
      <w:fldChar w:fldCharType="end"/>
    </w:r>
    <w:r w:rsidRPr="00EA6124">
      <w:rPr>
        <w:lang w:val="en-US"/>
      </w:rPr>
      <w:tab/>
    </w:r>
    <w:r>
      <w:fldChar w:fldCharType="begin"/>
    </w:r>
    <w:r>
      <w:instrText>styleref head_foot</w:instrText>
    </w:r>
    <w:r>
      <w:fldChar w:fldCharType="separate"/>
    </w:r>
    <w:r w:rsidR="002048B6">
      <w:rPr>
        <w:noProof/>
      </w:rPr>
      <w:t>Rec. ITU-R SM.1135</w:t>
    </w:r>
    <w:r>
      <w:fldChar w:fldCharType="end"/>
    </w:r>
    <w:r w:rsidR="007B4446">
      <w:t>-0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124" w:rsidRDefault="00EA6124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D93228">
      <w:rPr>
        <w:b w:val="0"/>
        <w:bCs w:val="0"/>
        <w:lang w:val="en-US"/>
      </w:rPr>
      <w:t>Error! Unknown document property name.</w:t>
    </w:r>
    <w:r>
      <w:rPr>
        <w:b w:val="0"/>
        <w:bCs w:val="0"/>
      </w:rPr>
      <w:fldChar w:fldCharType="end"/>
    </w:r>
    <w:r>
      <w:rPr>
        <w:b w:val="0"/>
        <w:bCs w:val="0"/>
      </w:rPr>
      <w:t xml:space="preserve"> </w:t>
    </w:r>
    <w:r>
      <w:rPr>
        <w:b w:val="0"/>
        <w:bCs w:val="0"/>
      </w:rPr>
      <w:fldChar w:fldCharType="begin"/>
    </w:r>
    <w:r>
      <w:rPr>
        <w:b w:val="0"/>
        <w:bCs w:val="0"/>
      </w:rPr>
      <w:instrText>styleref href</w:instrText>
    </w:r>
    <w:r>
      <w:rPr>
        <w:b w:val="0"/>
        <w:bCs w:val="0"/>
      </w:rPr>
      <w:fldChar w:fldCharType="separate"/>
    </w:r>
    <w:r w:rsidR="00D93228">
      <w:rPr>
        <w:noProof/>
        <w:lang w:val="en-US"/>
      </w:rPr>
      <w:t>Error! Use the Home tab to apply href to the text that you want to appear here.</w:t>
    </w:r>
    <w:r>
      <w:rPr>
        <w:b w:val="0"/>
        <w:bCs w:val="0"/>
      </w:rPr>
      <w:fldChar w:fldCharType="end"/>
    </w:r>
    <w:r>
      <w:tab/>
    </w:r>
    <w:r>
      <w:rPr>
        <w:rStyle w:val="PageNumber"/>
        <w:b w:val="0"/>
        <w:bCs w:val="0"/>
      </w:rPr>
      <w:fldChar w:fldCharType="begin"/>
    </w:r>
    <w:r>
      <w:rPr>
        <w:rStyle w:val="PageNumber"/>
        <w:b w:val="0"/>
        <w:bCs w:val="0"/>
      </w:rPr>
      <w:instrText xml:space="preserve"> PAGE </w:instrText>
    </w:r>
    <w:r>
      <w:rPr>
        <w:rStyle w:val="PageNumber"/>
        <w:b w:val="0"/>
        <w:bCs w:val="0"/>
      </w:rPr>
      <w:fldChar w:fldCharType="separate"/>
    </w:r>
    <w:r>
      <w:rPr>
        <w:rStyle w:val="PageNumber"/>
        <w:b w:val="0"/>
        <w:bCs w:val="0"/>
        <w:noProof/>
      </w:rPr>
      <w:t>1</w:t>
    </w:r>
    <w:r>
      <w:rPr>
        <w:rStyle w:val="PageNumber"/>
        <w:b w:val="0"/>
        <w:bCs w:val="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D3A" w:rsidRDefault="00EA6124">
    <w:pPr>
      <w:pStyle w:val="Header"/>
    </w:pPr>
    <w:r>
      <w:fldChar w:fldCharType="begin"/>
    </w:r>
    <w:r>
      <w:instrText>PAGE</w:instrText>
    </w:r>
    <w:r>
      <w:fldChar w:fldCharType="separate"/>
    </w:r>
    <w:r w:rsidR="002048B6">
      <w:rPr>
        <w:noProof/>
      </w:rPr>
      <w:t>2</w:t>
    </w:r>
    <w:r>
      <w:fldChar w:fldCharType="end"/>
    </w:r>
    <w:r>
      <w:tab/>
    </w:r>
    <w:r>
      <w:fldChar w:fldCharType="begin"/>
    </w:r>
    <w:r>
      <w:instrText>styleref head_foot</w:instrText>
    </w:r>
    <w:r>
      <w:fldChar w:fldCharType="separate"/>
    </w:r>
    <w:r w:rsidR="002048B6">
      <w:rPr>
        <w:noProof/>
      </w:rPr>
      <w:t>Rec. ITU-R SM.1135</w:t>
    </w:r>
    <w:r>
      <w:fldChar w:fldCharType="end"/>
    </w:r>
    <w:r w:rsidR="007B4446">
      <w:t>-0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D3A" w:rsidRDefault="00EA6124">
    <w:pPr>
      <w:pStyle w:val="Header"/>
    </w:pPr>
    <w:r>
      <w:tab/>
    </w:r>
    <w:r>
      <w:fldChar w:fldCharType="begin"/>
    </w:r>
    <w:r>
      <w:instrText>styleref head_foot</w:instrText>
    </w:r>
    <w:r>
      <w:fldChar w:fldCharType="separate"/>
    </w:r>
    <w:r w:rsidR="002048B6">
      <w:rPr>
        <w:noProof/>
      </w:rPr>
      <w:t>Rec. ITU-R SM.1135</w:t>
    </w:r>
    <w:r>
      <w:fldChar w:fldCharType="end"/>
    </w:r>
    <w:r w:rsidR="007B4446">
      <w:t>-0</w:t>
    </w:r>
    <w:r>
      <w:tab/>
    </w:r>
    <w:r>
      <w:fldChar w:fldCharType="begin"/>
    </w:r>
    <w:r>
      <w:instrText>PAGE</w:instrText>
    </w:r>
    <w:r>
      <w:fldChar w:fldCharType="separate"/>
    </w:r>
    <w:r w:rsidR="002048B6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intFractionalCharacterWidth/>
  <w:hideSpellingErrors/>
  <w:hideGrammaticalErrors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EF8"/>
    <w:rsid w:val="002048B6"/>
    <w:rsid w:val="00400EF8"/>
    <w:rsid w:val="00710A74"/>
    <w:rsid w:val="00795CBB"/>
    <w:rsid w:val="007B4446"/>
    <w:rsid w:val="007C0D3A"/>
    <w:rsid w:val="00877045"/>
    <w:rsid w:val="00D93228"/>
    <w:rsid w:val="00EA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docId w15:val="{BD0470A9-E51C-43D4-9136-7A30D427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/>
      <w:jc w:val="both"/>
      <w:textAlignment w:val="baseline"/>
    </w:pPr>
    <w:rPr>
      <w:rFonts w:ascii="Times New Roman" w:hAnsi="Times New Roman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480"/>
      <w:ind w:left="794" w:hanging="79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313"/>
      <w:ind w:left="794" w:hanging="794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181"/>
      <w:ind w:left="794" w:hanging="794"/>
      <w:outlineLvl w:val="2"/>
    </w:pPr>
    <w:rPr>
      <w:b/>
      <w:bCs/>
    </w:r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851"/>
      </w:tabs>
      <w:ind w:left="851" w:hanging="851"/>
      <w:outlineLvl w:val="3"/>
    </w:pPr>
  </w:style>
  <w:style w:type="paragraph" w:styleId="Heading5">
    <w:name w:val="heading 5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4"/>
    </w:pPr>
  </w:style>
  <w:style w:type="paragraph" w:styleId="Heading6">
    <w:name w:val="heading 6"/>
    <w:basedOn w:val="Heading3"/>
    <w:next w:val="Normal"/>
    <w:qFormat/>
    <w:pPr>
      <w:tabs>
        <w:tab w:val="clear" w:pos="794"/>
        <w:tab w:val="left" w:pos="1191"/>
      </w:tabs>
      <w:ind w:left="1191" w:hanging="1191"/>
      <w:outlineLvl w:val="5"/>
    </w:pPr>
  </w:style>
  <w:style w:type="paragraph" w:styleId="Heading7">
    <w:name w:val="heading 7"/>
    <w:basedOn w:val="Heading3"/>
    <w:next w:val="Normal"/>
    <w:qFormat/>
    <w:pPr>
      <w:tabs>
        <w:tab w:val="clear" w:pos="794"/>
        <w:tab w:val="left" w:pos="1361"/>
      </w:tabs>
      <w:spacing w:before="200"/>
      <w:ind w:left="0" w:firstLine="0"/>
      <w:outlineLvl w:val="6"/>
    </w:pPr>
  </w:style>
  <w:style w:type="paragraph" w:styleId="Heading8">
    <w:name w:val="heading 8"/>
    <w:basedOn w:val="Heading3"/>
    <w:next w:val="Normal"/>
    <w:qFormat/>
    <w:pPr>
      <w:tabs>
        <w:tab w:val="clear" w:pos="794"/>
        <w:tab w:val="left" w:pos="1418"/>
      </w:tabs>
      <w:ind w:left="1418" w:hanging="1418"/>
      <w:outlineLvl w:val="7"/>
    </w:pPr>
  </w:style>
  <w:style w:type="paragraph" w:styleId="Heading9">
    <w:name w:val="heading 9"/>
    <w:basedOn w:val="Heading3"/>
    <w:next w:val="Normal"/>
    <w:qFormat/>
    <w:pPr>
      <w:tabs>
        <w:tab w:val="clear" w:pos="794"/>
        <w:tab w:val="left" w:pos="1531"/>
      </w:tabs>
      <w:ind w:left="1531" w:hanging="153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TOC8">
    <w:name w:val="toc 8"/>
    <w:basedOn w:val="Normal"/>
    <w:next w:val="Normal"/>
    <w:semiHidden/>
    <w:pPr>
      <w:tabs>
        <w:tab w:val="left" w:pos="7711"/>
        <w:tab w:val="right" w:leader="dot" w:pos="9725"/>
      </w:tabs>
      <w:ind w:left="6350"/>
    </w:pPr>
  </w:style>
  <w:style w:type="paragraph" w:styleId="TOC7">
    <w:name w:val="toc 7"/>
    <w:basedOn w:val="TOC2"/>
    <w:next w:val="Normal"/>
    <w:semiHidden/>
    <w:pPr>
      <w:spacing w:before="20"/>
      <w:ind w:right="652"/>
    </w:pPr>
  </w:style>
  <w:style w:type="paragraph" w:styleId="TOC6">
    <w:name w:val="toc 6"/>
    <w:basedOn w:val="Normal"/>
    <w:next w:val="Normal"/>
    <w:semiHidden/>
    <w:pPr>
      <w:tabs>
        <w:tab w:val="left" w:pos="5104"/>
        <w:tab w:val="right" w:leader="dot" w:pos="9725"/>
      </w:tabs>
      <w:ind w:left="3969"/>
    </w:pPr>
  </w:style>
  <w:style w:type="paragraph" w:styleId="TOC5">
    <w:name w:val="toc 5"/>
    <w:basedOn w:val="Normal"/>
    <w:next w:val="Normal"/>
    <w:semiHidden/>
    <w:pPr>
      <w:tabs>
        <w:tab w:val="left" w:pos="3969"/>
        <w:tab w:val="right" w:leader="dot" w:pos="9725"/>
      </w:tabs>
      <w:ind w:left="2948"/>
    </w:pPr>
  </w:style>
  <w:style w:type="paragraph" w:styleId="TOC4">
    <w:name w:val="toc 4"/>
    <w:basedOn w:val="TOC3"/>
    <w:next w:val="TOC5"/>
    <w:semiHidden/>
    <w:pPr>
      <w:tabs>
        <w:tab w:val="left" w:pos="2948"/>
      </w:tabs>
      <w:ind w:left="2948" w:hanging="907"/>
    </w:pPr>
  </w:style>
  <w:style w:type="paragraph" w:styleId="TOC3">
    <w:name w:val="toc 3"/>
    <w:basedOn w:val="TOC2"/>
    <w:next w:val="TOC4"/>
    <w:semiHidden/>
    <w:pPr>
      <w:tabs>
        <w:tab w:val="clear" w:pos="1247"/>
        <w:tab w:val="left" w:pos="2041"/>
      </w:tabs>
      <w:spacing w:before="20"/>
      <w:ind w:left="2041" w:hanging="794"/>
    </w:pPr>
  </w:style>
  <w:style w:type="paragraph" w:styleId="TOC2">
    <w:name w:val="toc 2"/>
    <w:basedOn w:val="TOC1"/>
    <w:next w:val="TOC3"/>
    <w:semiHidden/>
    <w:pPr>
      <w:tabs>
        <w:tab w:val="clear" w:pos="567"/>
        <w:tab w:val="left" w:pos="1247"/>
      </w:tabs>
      <w:spacing w:before="40"/>
      <w:ind w:left="1247" w:hanging="680"/>
    </w:pPr>
  </w:style>
  <w:style w:type="paragraph" w:styleId="TOC1">
    <w:name w:val="toc 1"/>
    <w:basedOn w:val="Normal"/>
    <w:next w:val="TOC2"/>
    <w:semiHidden/>
    <w:pPr>
      <w:keepNext/>
      <w:tabs>
        <w:tab w:val="clear" w:pos="794"/>
        <w:tab w:val="clear" w:pos="1191"/>
        <w:tab w:val="clear" w:pos="1588"/>
        <w:tab w:val="clear" w:pos="1985"/>
        <w:tab w:val="left" w:pos="567"/>
        <w:tab w:val="right" w:leader="dot" w:pos="9072"/>
        <w:tab w:val="right" w:pos="9725"/>
      </w:tabs>
      <w:spacing w:before="120"/>
      <w:ind w:left="567" w:right="653" w:hanging="567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LineNumber">
    <w:name w:val="line number"/>
    <w:basedOn w:val="DefaultParagraphFont"/>
    <w:semiHidden/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jc w:val="left"/>
    </w:pPr>
    <w:rPr>
      <w:b/>
      <w:bCs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</w:pPr>
    <w:rPr>
      <w:b/>
      <w:bCs/>
    </w:rPr>
  </w:style>
  <w:style w:type="character" w:styleId="FootnoteReference">
    <w:name w:val="footnote reference"/>
    <w:basedOn w:val="DefaultParagraphFont"/>
    <w:semiHidden/>
    <w:rPr>
      <w:position w:val="4"/>
      <w:sz w:val="16"/>
      <w:szCs w:val="16"/>
    </w:rPr>
  </w:style>
  <w:style w:type="paragraph" w:styleId="FootnoteText">
    <w:name w:val="footnote text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left" w:pos="313"/>
      </w:tabs>
    </w:pPr>
    <w:rPr>
      <w:sz w:val="18"/>
      <w:szCs w:val="18"/>
    </w:rPr>
  </w:style>
  <w:style w:type="paragraph" w:styleId="NormalIndent">
    <w:name w:val="Normal Indent"/>
    <w:basedOn w:val="Normal"/>
    <w:semiHidden/>
    <w:pPr>
      <w:ind w:left="600"/>
    </w:p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Line1">
    <w:name w:val="Line_1"/>
    <w:basedOn w:val="Normal"/>
    <w:next w:val="Normal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before="20"/>
      <w:jc w:val="left"/>
    </w:pPr>
    <w:rPr>
      <w:noProof/>
    </w:rPr>
  </w:style>
  <w:style w:type="character" w:styleId="PageNumber">
    <w:name w:val="page number"/>
    <w:basedOn w:val="DefaultParagraphFont"/>
    <w:rsid w:val="00EA6124"/>
  </w:style>
  <w:style w:type="paragraph" w:customStyle="1" w:styleId="TableLegend">
    <w:name w:val="Table_Legend"/>
    <w:basedOn w:val="Normal"/>
    <w:next w:val="Normal"/>
    <w:pPr>
      <w:keepNext/>
      <w:spacing w:before="86" w:line="199" w:lineRule="exact"/>
      <w:ind w:left="-85" w:right="-85"/>
    </w:pPr>
    <w:rPr>
      <w:sz w:val="18"/>
      <w:szCs w:val="18"/>
    </w:rPr>
  </w:style>
  <w:style w:type="paragraph" w:customStyle="1" w:styleId="TableTitle">
    <w:name w:val="Table_Title"/>
    <w:basedOn w:val="Table"/>
    <w:next w:val="Blanc"/>
    <w:pPr>
      <w:spacing w:before="0"/>
    </w:pPr>
    <w:rPr>
      <w:b/>
      <w:bCs/>
    </w:rPr>
  </w:style>
  <w:style w:type="paragraph" w:customStyle="1" w:styleId="TableText">
    <w:name w:val="Table_Text"/>
    <w:basedOn w:val="TableLegend"/>
    <w:pPr>
      <w:spacing w:before="100" w:after="100" w:line="190" w:lineRule="exact"/>
      <w:ind w:left="0" w:right="0"/>
    </w:pPr>
  </w:style>
  <w:style w:type="paragraph" w:customStyle="1" w:styleId="enumlev1">
    <w:name w:val="enumlev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397"/>
      </w:tabs>
      <w:spacing w:before="86"/>
      <w:ind w:left="397" w:hanging="397"/>
    </w:pPr>
  </w:style>
  <w:style w:type="paragraph" w:customStyle="1" w:styleId="enumlev2">
    <w:name w:val="enumlev2"/>
    <w:basedOn w:val="enumlev1"/>
    <w:pPr>
      <w:tabs>
        <w:tab w:val="clear" w:pos="397"/>
        <w:tab w:val="left" w:pos="794"/>
      </w:tabs>
      <w:ind w:left="794"/>
    </w:pPr>
  </w:style>
  <w:style w:type="paragraph" w:customStyle="1" w:styleId="enumlev3">
    <w:name w:val="enumlev3"/>
    <w:basedOn w:val="enumlev2"/>
    <w:pPr>
      <w:tabs>
        <w:tab w:val="clear" w:pos="794"/>
        <w:tab w:val="left" w:pos="1191"/>
      </w:tabs>
      <w:ind w:left="1191"/>
    </w:pPr>
  </w:style>
  <w:style w:type="paragraph" w:customStyle="1" w:styleId="Table">
    <w:name w:val="Table_#"/>
    <w:basedOn w:val="Normal"/>
    <w:next w:val="TableTitle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szCs w:val="18"/>
    </w:rPr>
  </w:style>
  <w:style w:type="paragraph" w:customStyle="1" w:styleId="Figure">
    <w:name w:val="Figure"/>
    <w:basedOn w:val="Normal"/>
    <w:next w:val="Normal"/>
    <w:pPr>
      <w:keepNext/>
      <w:keepLines/>
      <w:spacing w:before="240"/>
      <w:jc w:val="center"/>
    </w:pPr>
  </w:style>
  <w:style w:type="paragraph" w:customStyle="1" w:styleId="FigureLegend">
    <w:name w:val="Figure_Legend"/>
    <w:basedOn w:val="TableLegend"/>
    <w:next w:val="FigureRemark"/>
    <w:pPr>
      <w:jc w:val="left"/>
    </w:pPr>
  </w:style>
  <w:style w:type="paragraph" w:customStyle="1" w:styleId="Figure0">
    <w:name w:val="Figure_#"/>
    <w:basedOn w:val="Table"/>
    <w:next w:val="FigureTitle"/>
  </w:style>
  <w:style w:type="paragraph" w:customStyle="1" w:styleId="FigureTitle">
    <w:name w:val="Figure_Title"/>
    <w:basedOn w:val="TableTitle"/>
    <w:next w:val="FigureLegend"/>
    <w:pPr>
      <w:spacing w:after="240"/>
    </w:pPr>
  </w:style>
  <w:style w:type="paragraph" w:customStyle="1" w:styleId="Annex">
    <w:name w:val="Annex_#"/>
    <w:basedOn w:val="Normal"/>
    <w:next w:val="AnnexRe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</w:style>
  <w:style w:type="paragraph" w:customStyle="1" w:styleId="AnnexRef">
    <w:name w:val="Annex_Ref"/>
    <w:basedOn w:val="Normal"/>
    <w:next w:val="AnnexTitle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</w:pPr>
  </w:style>
  <w:style w:type="paragraph" w:customStyle="1" w:styleId="AnnexTitle">
    <w:name w:val="Annex_Title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after="200"/>
      <w:jc w:val="center"/>
    </w:pPr>
    <w:rPr>
      <w:b/>
      <w:bCs/>
      <w:sz w:val="24"/>
      <w:szCs w:val="24"/>
    </w:rPr>
  </w:style>
  <w:style w:type="paragraph" w:customStyle="1" w:styleId="Appendix">
    <w:name w:val="Appendix_#"/>
    <w:basedOn w:val="Annex"/>
    <w:next w:val="AppendixRef"/>
  </w:style>
  <w:style w:type="paragraph" w:customStyle="1" w:styleId="AppendixRef">
    <w:name w:val="Appendix_Ref"/>
    <w:basedOn w:val="AnnexRef"/>
    <w:next w:val="AppendixTitle"/>
  </w:style>
  <w:style w:type="paragraph" w:customStyle="1" w:styleId="AppendixTitle">
    <w:name w:val="Appendix_Title"/>
    <w:basedOn w:val="AnnexTitle"/>
    <w:next w:val="Normal"/>
  </w:style>
  <w:style w:type="paragraph" w:customStyle="1" w:styleId="RefTitle">
    <w:name w:val="Ref_Title"/>
    <w:basedOn w:val="Normal"/>
    <w:next w:val="Ref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600"/>
      <w:jc w:val="center"/>
    </w:pPr>
    <w:rPr>
      <w:sz w:val="18"/>
      <w:szCs w:val="18"/>
    </w:rPr>
  </w:style>
  <w:style w:type="paragraph" w:customStyle="1" w:styleId="RefText">
    <w:name w:val="Ref_Text"/>
    <w:basedOn w:val="Normal"/>
    <w:pPr>
      <w:ind w:left="567" w:hanging="567"/>
    </w:pPr>
    <w:rPr>
      <w:sz w:val="18"/>
      <w:szCs w:val="18"/>
    </w:rPr>
  </w:style>
  <w:style w:type="paragraph" w:customStyle="1" w:styleId="listitem">
    <w:name w:val="listitem"/>
    <w:basedOn w:val="Normal"/>
    <w:pPr>
      <w:keepLines/>
      <w:spacing w:before="0"/>
      <w:jc w:val="left"/>
    </w:pPr>
  </w:style>
  <w:style w:type="paragraph" w:customStyle="1" w:styleId="Rec">
    <w:name w:val="Rec_#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</w:pPr>
  </w:style>
  <w:style w:type="paragraph" w:customStyle="1" w:styleId="RecTitle">
    <w:name w:val="Rec_Title"/>
    <w:basedOn w:val="Rec"/>
    <w:next w:val="RecTitleRef"/>
    <w:pPr>
      <w:spacing w:before="180"/>
    </w:pPr>
    <w:rPr>
      <w:b/>
      <w:bCs/>
    </w:rPr>
  </w:style>
  <w:style w:type="paragraph" w:customStyle="1" w:styleId="Normalaftertitle">
    <w:name w:val="Normal after title"/>
    <w:basedOn w:val="Normal"/>
    <w:next w:val="Normal"/>
    <w:pPr>
      <w:spacing w:before="480"/>
    </w:pPr>
  </w:style>
  <w:style w:type="paragraph" w:customStyle="1" w:styleId="call">
    <w:name w:val="call"/>
    <w:basedOn w:val="Normal"/>
    <w:next w:val="Normal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</w:rPr>
  </w:style>
  <w:style w:type="paragraph" w:customStyle="1" w:styleId="deftitle">
    <w:name w:val="def title"/>
    <w:basedOn w:val="Heading2"/>
    <w:next w:val="deftexte"/>
    <w:pPr>
      <w:outlineLvl w:val="9"/>
    </w:pPr>
  </w:style>
  <w:style w:type="paragraph" w:customStyle="1" w:styleId="deftexte">
    <w:name w:val="def texte"/>
    <w:basedOn w:val="Normal"/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49"/>
        <w:tab w:val="right" w:pos="9696"/>
      </w:tabs>
      <w:spacing w:before="140" w:after="40"/>
      <w:jc w:val="left"/>
    </w:pPr>
    <w:rPr>
      <w:sz w:val="22"/>
      <w:szCs w:val="22"/>
    </w:rPr>
  </w:style>
  <w:style w:type="paragraph" w:customStyle="1" w:styleId="Section">
    <w:name w:val="Section #"/>
    <w:basedOn w:val="Normal"/>
    <w:next w:val="Sectiontitle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</w:pPr>
  </w:style>
  <w:style w:type="paragraph" w:customStyle="1" w:styleId="Sectiontitle">
    <w:name w:val="Section title"/>
    <w:basedOn w:val="Section"/>
    <w:next w:val="Rec"/>
    <w:pPr>
      <w:pageBreakBefore w:val="0"/>
      <w:spacing w:before="240"/>
    </w:pPr>
    <w:rPr>
      <w:i/>
      <w:iCs/>
    </w:rPr>
  </w:style>
  <w:style w:type="paragraph" w:customStyle="1" w:styleId="RecTitleRef">
    <w:name w:val="Rec_Title/Ref"/>
    <w:basedOn w:val="RecTitle"/>
    <w:next w:val="RecTitleDate"/>
    <w:pPr>
      <w:spacing w:before="136"/>
    </w:pPr>
    <w:rPr>
      <w:b w:val="0"/>
      <w:bCs w:val="0"/>
    </w:rPr>
  </w:style>
  <w:style w:type="paragraph" w:customStyle="1" w:styleId="RecTitleDate">
    <w:name w:val="Rec_Title/Date"/>
    <w:basedOn w:val="RecTitleRef"/>
    <w:next w:val="headfoot"/>
    <w:pPr>
      <w:tabs>
        <w:tab w:val="clear" w:pos="4849"/>
      </w:tabs>
      <w:jc w:val="right"/>
    </w:pPr>
  </w:style>
  <w:style w:type="paragraph" w:customStyle="1" w:styleId="heading">
    <w:name w:val="heading"/>
    <w:basedOn w:val="Heading2"/>
    <w:pPr>
      <w:tabs>
        <w:tab w:val="left" w:pos="1191"/>
        <w:tab w:val="left" w:pos="1588"/>
      </w:tabs>
      <w:outlineLvl w:val="9"/>
    </w:pPr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customStyle="1" w:styleId="headfoot">
    <w:name w:val="head_foot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</w:rPr>
  </w:style>
  <w:style w:type="paragraph" w:customStyle="1" w:styleId="Part">
    <w:name w:val="Part_#"/>
    <w:basedOn w:val="Annex"/>
    <w:next w:val="PartRef"/>
  </w:style>
  <w:style w:type="paragraph" w:customStyle="1" w:styleId="PartRef">
    <w:name w:val="Part_Ref"/>
    <w:basedOn w:val="AnnexRef"/>
  </w:style>
  <w:style w:type="paragraph" w:customStyle="1" w:styleId="PartTitle">
    <w:name w:val="Part_Title"/>
    <w:basedOn w:val="AnnexTitle"/>
    <w:next w:val="Normalaftertitle"/>
  </w:style>
  <w:style w:type="paragraph" w:customStyle="1" w:styleId="Rep">
    <w:name w:val="Rep_#"/>
    <w:basedOn w:val="Rec"/>
    <w:next w:val="RepTitle"/>
  </w:style>
  <w:style w:type="paragraph" w:customStyle="1" w:styleId="RepTitle">
    <w:name w:val="Rep_Title"/>
    <w:basedOn w:val="RecTitle"/>
    <w:next w:val="RepTitleRef"/>
  </w:style>
  <w:style w:type="paragraph" w:customStyle="1" w:styleId="RepTitleDate">
    <w:name w:val="Rep_Title/Date"/>
    <w:basedOn w:val="RecTitleDate"/>
    <w:next w:val="headfoot"/>
  </w:style>
  <w:style w:type="paragraph" w:customStyle="1" w:styleId="RepTitleRef">
    <w:name w:val="Rep_Title/Ref"/>
    <w:basedOn w:val="RecTitleRef"/>
    <w:next w:val="RepTitleDate"/>
  </w:style>
  <w:style w:type="paragraph" w:customStyle="1" w:styleId="RefDoc">
    <w:name w:val="Ref_Doc"/>
    <w:basedOn w:val="RefText"/>
    <w:next w:val="RefText"/>
    <w:pPr>
      <w:spacing w:before="227"/>
    </w:pPr>
    <w:rPr>
      <w:i/>
      <w:iCs/>
    </w:rPr>
  </w:style>
  <w:style w:type="paragraph" w:customStyle="1" w:styleId="Question">
    <w:name w:val="Question_#"/>
    <w:basedOn w:val="Rec"/>
    <w:next w:val="QuestionTitle"/>
    <w:pPr>
      <w:spacing w:before="0"/>
    </w:pPr>
  </w:style>
  <w:style w:type="paragraph" w:customStyle="1" w:styleId="QuestionTitle">
    <w:name w:val="Question_Title"/>
    <w:basedOn w:val="RecTitle"/>
    <w:next w:val="QuestionTitleRef"/>
  </w:style>
  <w:style w:type="paragraph" w:customStyle="1" w:styleId="QuestionTitleDate">
    <w:name w:val="Question_Title/Date"/>
    <w:basedOn w:val="RecTitleDate"/>
    <w:next w:val="headfoot"/>
  </w:style>
  <w:style w:type="paragraph" w:customStyle="1" w:styleId="QuestionTitleRef">
    <w:name w:val="Question_Title/Ref"/>
    <w:basedOn w:val="RecTitleRef"/>
    <w:next w:val="QuestionTitleDate"/>
  </w:style>
  <w:style w:type="paragraph" w:customStyle="1" w:styleId="Res">
    <w:name w:val="Res_#"/>
    <w:basedOn w:val="Rec"/>
    <w:next w:val="ResTitle"/>
  </w:style>
  <w:style w:type="paragraph" w:customStyle="1" w:styleId="ResTitle">
    <w:name w:val="Res_Title"/>
    <w:basedOn w:val="RecTitle"/>
    <w:next w:val="ResTitleRef"/>
  </w:style>
  <w:style w:type="paragraph" w:customStyle="1" w:styleId="ResTitleDate">
    <w:name w:val="Res_Title/Date"/>
    <w:basedOn w:val="RecTitleDate"/>
    <w:next w:val="headfoot"/>
  </w:style>
  <w:style w:type="paragraph" w:customStyle="1" w:styleId="ResTitleRef">
    <w:name w:val="Res_Title/Ref"/>
    <w:basedOn w:val="RecTitleRef"/>
    <w:next w:val="ResTitleDate"/>
  </w:style>
  <w:style w:type="paragraph" w:customStyle="1" w:styleId="Tablefin">
    <w:name w:val="Table_fin"/>
    <w:basedOn w:val="Normal"/>
    <w:next w:val="Normal"/>
    <w:pPr>
      <w:spacing w:before="284"/>
    </w:pPr>
  </w:style>
  <w:style w:type="paragraph" w:customStyle="1" w:styleId="Note">
    <w:name w:val="Note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Style">
    <w:name w:val="Style"/>
    <w:basedOn w:val="Normal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</w:pPr>
    <w:rPr>
      <w:i/>
      <w:iCs/>
      <w:sz w:val="28"/>
      <w:szCs w:val="28"/>
    </w:rPr>
  </w:style>
  <w:style w:type="paragraph" w:customStyle="1" w:styleId="Sectionsous">
    <w:name w:val="Section_sous"/>
    <w:basedOn w:val="Section"/>
    <w:next w:val="Rec"/>
    <w:pPr>
      <w:pageBreakBefore w:val="0"/>
      <w:spacing w:before="240"/>
    </w:pPr>
  </w:style>
  <w:style w:type="paragraph" w:customStyle="1" w:styleId="CCI">
    <w:name w:val="CCI"/>
    <w:basedOn w:val="Normal"/>
    <w:next w:val="cal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</w:pPr>
  </w:style>
  <w:style w:type="paragraph" w:customStyle="1" w:styleId="FigureRemark">
    <w:name w:val="Figure_Remark"/>
    <w:basedOn w:val="TableLegend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</w:rPr>
  </w:style>
  <w:style w:type="paragraph" w:customStyle="1" w:styleId="Fig">
    <w:name w:val="Fig"/>
    <w:basedOn w:val="Figure"/>
    <w:next w:val="Fig0"/>
    <w:pPr>
      <w:keepNext w:val="0"/>
      <w:keepLines w:val="0"/>
      <w:spacing w:before="136"/>
    </w:pPr>
    <w:rPr>
      <w:lang w:val="en-US"/>
    </w:rPr>
  </w:style>
  <w:style w:type="paragraph" w:customStyle="1" w:styleId="Fig0">
    <w:name w:val="Fig_#"/>
    <w:basedOn w:val="Fig"/>
    <w:next w:val="Normal"/>
    <w:pPr>
      <w:jc w:val="left"/>
    </w:pPr>
    <w:rPr>
      <w:color w:val="FF0000"/>
    </w:rPr>
  </w:style>
  <w:style w:type="paragraph" w:customStyle="1" w:styleId="Title2">
    <w:name w:val="Title 2"/>
    <w:basedOn w:val="Normal"/>
    <w:next w:val="Title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rFonts w:ascii="Arial" w:hAnsi="Arial" w:cs="Arial"/>
      <w:sz w:val="22"/>
      <w:szCs w:val="22"/>
    </w:rPr>
  </w:style>
  <w:style w:type="paragraph" w:customStyle="1" w:styleId="Title3">
    <w:name w:val="Title 3"/>
    <w:basedOn w:val="Title2"/>
    <w:pPr>
      <w:spacing w:before="240"/>
    </w:pPr>
    <w:rPr>
      <w:b/>
      <w:bCs/>
    </w:rPr>
  </w:style>
  <w:style w:type="paragraph" w:customStyle="1" w:styleId="Source">
    <w:name w:val="Source"/>
    <w:basedOn w:val="Normal"/>
    <w:next w:val="Title1"/>
    <w:pPr>
      <w:tabs>
        <w:tab w:val="clear" w:pos="794"/>
        <w:tab w:val="clear" w:pos="1191"/>
        <w:tab w:val="clear" w:pos="1588"/>
        <w:tab w:val="clear" w:pos="1985"/>
      </w:tabs>
      <w:spacing w:before="720"/>
      <w:jc w:val="center"/>
    </w:pPr>
    <w:rPr>
      <w:rFonts w:ascii="Times" w:hAnsi="Times" w:cs="Times"/>
      <w:b/>
      <w:bCs/>
      <w:sz w:val="24"/>
      <w:szCs w:val="24"/>
      <w:lang w:val="fr-FR"/>
    </w:rPr>
  </w:style>
  <w:style w:type="paragraph" w:customStyle="1" w:styleId="Title1">
    <w:name w:val="Title 1"/>
    <w:basedOn w:val="Normal"/>
    <w:next w:val="Title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rFonts w:ascii="Times" w:hAnsi="Times" w:cs="Times"/>
      <w:caps/>
      <w:sz w:val="24"/>
      <w:szCs w:val="24"/>
      <w:lang w:val="fr-FR"/>
    </w:rPr>
  </w:style>
  <w:style w:type="paragraph" w:customStyle="1" w:styleId="Tablehead">
    <w:name w:val="Table_head"/>
    <w:basedOn w:val="Normal"/>
    <w:next w:val="Normal"/>
    <w:rsid w:val="00EA612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  <w:lang w:val="fr-FR" w:eastAsia="en-US"/>
    </w:rPr>
  </w:style>
  <w:style w:type="paragraph" w:customStyle="1" w:styleId="Tabletext0">
    <w:name w:val="Table_text"/>
    <w:basedOn w:val="Normal"/>
    <w:rsid w:val="00EA612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lang w:val="fr-FR" w:eastAsia="en-US"/>
    </w:rPr>
  </w:style>
  <w:style w:type="paragraph" w:customStyle="1" w:styleId="Chaptitle">
    <w:name w:val="Chap_title"/>
    <w:basedOn w:val="Normal"/>
    <w:next w:val="Normal"/>
    <w:rsid w:val="00EA6124"/>
    <w:pPr>
      <w:keepNext/>
      <w:keepLines/>
      <w:spacing w:before="240"/>
      <w:jc w:val="center"/>
    </w:pPr>
    <w:rPr>
      <w:b/>
      <w:sz w:val="28"/>
      <w:lang w:val="fr-FR" w:eastAsia="en-US"/>
    </w:rPr>
  </w:style>
  <w:style w:type="character" w:styleId="Hyperlink">
    <w:name w:val="Hyperlink"/>
    <w:basedOn w:val="DefaultParagraphFont"/>
    <w:rsid w:val="00EA6124"/>
    <w:rPr>
      <w:color w:val="0000FF"/>
      <w:u w:val="single"/>
    </w:rPr>
  </w:style>
  <w:style w:type="paragraph" w:customStyle="1" w:styleId="HeadingSum">
    <w:name w:val="Heading_Sum"/>
    <w:basedOn w:val="Normal"/>
    <w:next w:val="Normal"/>
    <w:rsid w:val="00795CBB"/>
    <w:pPr>
      <w:keepNext/>
      <w:keepLines/>
      <w:spacing w:before="240"/>
    </w:pPr>
    <w:rPr>
      <w:b/>
      <w:sz w:val="22"/>
      <w:lang w:val="es-ES_tradnl" w:eastAsia="en-US"/>
    </w:rPr>
  </w:style>
  <w:style w:type="paragraph" w:customStyle="1" w:styleId="Summary">
    <w:name w:val="Summary"/>
    <w:basedOn w:val="Normal"/>
    <w:next w:val="Normal"/>
    <w:rsid w:val="00795CBB"/>
    <w:pPr>
      <w:spacing w:before="120" w:after="480"/>
    </w:pPr>
    <w:rPr>
      <w:sz w:val="22"/>
      <w:lang w:val="es-ES_tradnl" w:eastAsia="en-US"/>
    </w:rPr>
  </w:style>
  <w:style w:type="paragraph" w:customStyle="1" w:styleId="Headingb">
    <w:name w:val="Heading_b"/>
    <w:basedOn w:val="Normal"/>
    <w:next w:val="Normal"/>
    <w:link w:val="HeadingbChar"/>
    <w:qFormat/>
    <w:rsid w:val="007B44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60"/>
      <w:jc w:val="left"/>
    </w:pPr>
    <w:rPr>
      <w:rFonts w:ascii="Times New Roman Bold" w:hAnsi="Times New Roman Bold" w:cs="Times New Roman Bold"/>
      <w:b/>
      <w:sz w:val="24"/>
      <w:lang w:val="fr-CH" w:eastAsia="en-US"/>
    </w:rPr>
  </w:style>
  <w:style w:type="character" w:customStyle="1" w:styleId="HeadingbChar">
    <w:name w:val="Heading_b Char"/>
    <w:link w:val="Headingb"/>
    <w:locked/>
    <w:rsid w:val="007B4446"/>
    <w:rPr>
      <w:rFonts w:ascii="Times New Roman Bold" w:hAnsi="Times New Roman Bold" w:cs="Times New Roman Bold"/>
      <w:b/>
      <w:sz w:val="24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BR_RE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7BC2B-7A31-4CB2-9E5C-73D99382F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BR_REC.DOT</Template>
  <TotalTime>12</TotalTime>
  <Pages>5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SM.1135 - Sinpo and sinpfemo codes</vt:lpstr>
    </vt:vector>
  </TitlesOfParts>
  <Manager>PV..1677</Manager>
  <Company>ITU</Company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SM.1135 - Sinpo and sinpfemo codes</dc:title>
  <dc:subject>SM Series = Spectrum management</dc:subject>
  <dc:creator>ITU Radiocommunication Bureau (BR)</dc:creator>
  <cp:keywords>SM, 1135</cp:keywords>
  <dc:description>Saisie + récup:  12.09.96  LS_x000d_
M.E.P:               13.09.96  LS_x000d_
Corr:                  30.09.96  LS_x000d_
Corr. Ult. 10.10.96/YA_x000d_
WW2/WW7                  13.11.97     / PV</dc:description>
  <cp:lastModifiedBy>Gachet, Christelle</cp:lastModifiedBy>
  <cp:revision>9</cp:revision>
  <cp:lastPrinted>2019-09-13T05:33:00Z</cp:lastPrinted>
  <dcterms:created xsi:type="dcterms:W3CDTF">2011-06-27T12:48:00Z</dcterms:created>
  <dcterms:modified xsi:type="dcterms:W3CDTF">2019-09-16T08:03:00Z</dcterms:modified>
  <cp:category>\\WW7//     Folios:      1    à     3</cp:category>
</cp:coreProperties>
</file>