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43C" w:rsidRPr="00575CB8" w:rsidRDefault="0080643C" w:rsidP="0080643C">
      <w:pPr>
        <w:rPr>
          <w:lang w:val="en-US"/>
        </w:rPr>
      </w:pPr>
      <w:bookmarkStart w:id="0" w:name="dbreak"/>
      <w:bookmarkEnd w:id="0"/>
    </w:p>
    <w:p w:rsidR="0080643C" w:rsidRDefault="0080643C" w:rsidP="0080643C"/>
    <w:p w:rsidR="0080643C" w:rsidRDefault="0080643C" w:rsidP="0080643C"/>
    <w:p w:rsidR="0080643C" w:rsidRDefault="0080643C" w:rsidP="0080643C"/>
    <w:p w:rsidR="0080643C" w:rsidRDefault="0080643C" w:rsidP="0080643C"/>
    <w:p w:rsidR="0080643C" w:rsidRDefault="0080643C" w:rsidP="0080643C"/>
    <w:p w:rsidR="0080643C" w:rsidRDefault="0080643C" w:rsidP="0080643C"/>
    <w:p w:rsidR="00FF6079" w:rsidRDefault="00FF6079" w:rsidP="0080643C"/>
    <w:p w:rsidR="00FF6079" w:rsidRDefault="00FF6079" w:rsidP="0080643C"/>
    <w:p w:rsidR="00FF6079" w:rsidRDefault="00FF6079" w:rsidP="0080643C"/>
    <w:p w:rsidR="00FF6079" w:rsidRDefault="00FF6079" w:rsidP="0080643C"/>
    <w:p w:rsidR="0080643C" w:rsidRDefault="0080643C" w:rsidP="0080643C"/>
    <w:p w:rsidR="0080643C" w:rsidRDefault="0080643C" w:rsidP="0080643C"/>
    <w:p w:rsidR="0080643C" w:rsidRDefault="0080643C" w:rsidP="0080643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0643C" w:rsidRPr="00675F62" w:rsidTr="00742195">
        <w:tc>
          <w:tcPr>
            <w:tcW w:w="10089" w:type="dxa"/>
          </w:tcPr>
          <w:p w:rsidR="0080643C" w:rsidRPr="0010336F" w:rsidRDefault="0080643C" w:rsidP="00742195">
            <w:pPr>
              <w:spacing w:before="380" w:line="280" w:lineRule="exact"/>
              <w:jc w:val="right"/>
              <w:rPr>
                <w:rFonts w:ascii="Tahoma" w:hAnsi="Tahoma" w:cs="Tahoma"/>
                <w:b/>
                <w:bCs/>
                <w:iCs/>
                <w:color w:val="243285"/>
                <w:sz w:val="32"/>
                <w:szCs w:val="32"/>
                <w:lang w:val="en-US"/>
              </w:rPr>
            </w:pPr>
          </w:p>
          <w:p w:rsidR="0080643C" w:rsidRPr="0010336F" w:rsidRDefault="0080643C" w:rsidP="0074219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SM</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1131</w:t>
            </w:r>
          </w:p>
          <w:p w:rsidR="0080643C" w:rsidRPr="0010336F" w:rsidRDefault="0080643C" w:rsidP="0074219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1995</w:t>
            </w:r>
            <w:r w:rsidRPr="0010336F">
              <w:rPr>
                <w:rFonts w:ascii="Tahoma" w:hAnsi="Tahoma" w:cs="Tahoma"/>
                <w:b/>
                <w:bCs/>
                <w:iCs/>
                <w:color w:val="243285"/>
                <w:szCs w:val="24"/>
                <w:lang w:val="es-ES_tradnl"/>
              </w:rPr>
              <w:t>)</w:t>
            </w:r>
          </w:p>
        </w:tc>
      </w:tr>
      <w:tr w:rsidR="0080643C" w:rsidRPr="00B50133" w:rsidTr="00742195">
        <w:tc>
          <w:tcPr>
            <w:tcW w:w="10089" w:type="dxa"/>
          </w:tcPr>
          <w:p w:rsidR="0080643C" w:rsidRPr="0010336F" w:rsidRDefault="0080643C" w:rsidP="00742195">
            <w:pPr>
              <w:spacing w:before="80" w:line="500" w:lineRule="exact"/>
              <w:jc w:val="right"/>
              <w:rPr>
                <w:rFonts w:ascii="Tahoma" w:hAnsi="Tahoma" w:cs="Tahoma"/>
                <w:b/>
                <w:bCs/>
                <w:iCs/>
                <w:color w:val="243285"/>
                <w:sz w:val="44"/>
                <w:szCs w:val="44"/>
                <w:lang w:val="es-ES_tradnl"/>
              </w:rPr>
            </w:pPr>
          </w:p>
          <w:p w:rsidR="0080643C" w:rsidRDefault="0080643C" w:rsidP="00742195">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Factores que intervienen en la atribución</w:t>
            </w:r>
            <w:r>
              <w:rPr>
                <w:rFonts w:ascii="Tahoma" w:hAnsi="Tahoma" w:cs="Tahoma"/>
                <w:b/>
                <w:bCs/>
                <w:color w:val="243285"/>
                <w:sz w:val="44"/>
                <w:szCs w:val="44"/>
                <w:lang w:val="es-ES_tradnl"/>
              </w:rPr>
              <w:br/>
              <w:t>de espec</w:t>
            </w:r>
            <w:bookmarkStart w:id="1" w:name="_GoBack"/>
            <w:bookmarkEnd w:id="1"/>
            <w:r>
              <w:rPr>
                <w:rFonts w:ascii="Tahoma" w:hAnsi="Tahoma" w:cs="Tahoma"/>
                <w:b/>
                <w:bCs/>
                <w:color w:val="243285"/>
                <w:sz w:val="44"/>
                <w:szCs w:val="44"/>
                <w:lang w:val="es-ES_tradnl"/>
              </w:rPr>
              <w:t>tro a escala mundial</w:t>
            </w:r>
          </w:p>
          <w:p w:rsidR="0080643C" w:rsidRPr="0010336F" w:rsidRDefault="0080643C" w:rsidP="00742195">
            <w:pPr>
              <w:spacing w:before="80" w:line="500" w:lineRule="exact"/>
              <w:jc w:val="right"/>
              <w:rPr>
                <w:rFonts w:ascii="Tahoma" w:hAnsi="Tahoma" w:cs="Tahoma"/>
                <w:b/>
                <w:bCs/>
                <w:iCs/>
                <w:color w:val="243285"/>
                <w:sz w:val="44"/>
                <w:szCs w:val="44"/>
                <w:lang w:val="es-ES_tradnl"/>
              </w:rPr>
            </w:pPr>
          </w:p>
        </w:tc>
      </w:tr>
      <w:tr w:rsidR="0080643C" w:rsidRPr="00B50133" w:rsidTr="00742195">
        <w:tc>
          <w:tcPr>
            <w:tcW w:w="10089" w:type="dxa"/>
          </w:tcPr>
          <w:p w:rsidR="0080643C" w:rsidRPr="0010336F" w:rsidRDefault="0080643C" w:rsidP="00742195">
            <w:pPr>
              <w:spacing w:before="80" w:line="280" w:lineRule="exact"/>
              <w:ind w:right="640"/>
              <w:rPr>
                <w:rFonts w:ascii="Tahoma" w:hAnsi="Tahoma" w:cs="Tahoma"/>
                <w:b/>
                <w:bCs/>
                <w:iCs/>
                <w:color w:val="243285"/>
                <w:sz w:val="32"/>
                <w:szCs w:val="32"/>
                <w:lang w:val="es-ES_tradnl"/>
              </w:rPr>
            </w:pPr>
          </w:p>
          <w:p w:rsidR="0080643C" w:rsidRPr="0010336F" w:rsidRDefault="0080643C" w:rsidP="00742195">
            <w:pPr>
              <w:spacing w:before="80" w:line="280" w:lineRule="exact"/>
              <w:ind w:right="640"/>
              <w:rPr>
                <w:rFonts w:ascii="Tahoma" w:hAnsi="Tahoma" w:cs="Tahoma"/>
                <w:b/>
                <w:bCs/>
                <w:iCs/>
                <w:color w:val="243285"/>
                <w:sz w:val="32"/>
                <w:szCs w:val="32"/>
                <w:lang w:val="es-ES_tradnl"/>
              </w:rPr>
            </w:pPr>
          </w:p>
          <w:p w:rsidR="0080643C" w:rsidRPr="0010336F" w:rsidRDefault="0080643C" w:rsidP="00742195">
            <w:pPr>
              <w:spacing w:before="80" w:after="180" w:line="360" w:lineRule="exact"/>
              <w:ind w:right="720"/>
              <w:rPr>
                <w:rFonts w:ascii="Tahoma" w:hAnsi="Tahoma" w:cs="Tahoma"/>
                <w:b/>
                <w:bCs/>
                <w:iCs/>
                <w:color w:val="243285"/>
                <w:sz w:val="36"/>
                <w:szCs w:val="36"/>
                <w:lang w:val="es-ES_tradnl"/>
              </w:rPr>
            </w:pPr>
          </w:p>
          <w:p w:rsidR="0080643C" w:rsidRPr="0010336F" w:rsidRDefault="0080643C" w:rsidP="0074219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SM</w:t>
            </w:r>
          </w:p>
          <w:p w:rsidR="0080643C" w:rsidRPr="0010336F" w:rsidRDefault="0080643C" w:rsidP="0074219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Gestión del espectro</w:t>
            </w:r>
          </w:p>
        </w:tc>
      </w:tr>
    </w:tbl>
    <w:p w:rsidR="0080643C" w:rsidRPr="0026666F" w:rsidRDefault="0080643C" w:rsidP="0080643C">
      <w:pPr>
        <w:spacing w:before="80"/>
        <w:rPr>
          <w:i/>
          <w:sz w:val="22"/>
          <w:lang w:val="es-ES_tradnl"/>
        </w:rPr>
      </w:pPr>
    </w:p>
    <w:p w:rsidR="0080643C" w:rsidRPr="0026666F" w:rsidRDefault="0080643C" w:rsidP="0080643C">
      <w:pPr>
        <w:spacing w:before="80"/>
        <w:rPr>
          <w:i/>
          <w:sz w:val="22"/>
          <w:lang w:val="es-ES_tradnl"/>
        </w:rPr>
      </w:pPr>
    </w:p>
    <w:p w:rsidR="0080643C" w:rsidRPr="0026666F" w:rsidRDefault="0080643C" w:rsidP="0080643C">
      <w:pPr>
        <w:spacing w:before="80"/>
        <w:rPr>
          <w:i/>
          <w:sz w:val="22"/>
          <w:lang w:val="es-ES_tradnl"/>
        </w:rPr>
      </w:pPr>
    </w:p>
    <w:p w:rsidR="0080643C" w:rsidRPr="0026666F" w:rsidRDefault="0080643C" w:rsidP="0080643C">
      <w:pPr>
        <w:spacing w:before="80"/>
        <w:rPr>
          <w:i/>
          <w:sz w:val="22"/>
          <w:lang w:val="es-ES_tradnl"/>
        </w:rPr>
      </w:pPr>
    </w:p>
    <w:p w:rsidR="0080643C" w:rsidRPr="0026666F" w:rsidRDefault="0080643C" w:rsidP="0080643C">
      <w:pPr>
        <w:spacing w:before="80"/>
        <w:rPr>
          <w:i/>
          <w:sz w:val="22"/>
          <w:lang w:val="es-ES_tradnl"/>
        </w:rPr>
      </w:pPr>
    </w:p>
    <w:p w:rsidR="0080643C" w:rsidRPr="0026666F" w:rsidRDefault="0080643C" w:rsidP="0080643C">
      <w:pPr>
        <w:spacing w:before="80"/>
        <w:rPr>
          <w:i/>
          <w:sz w:val="22"/>
          <w:lang w:val="es-ES_tradnl"/>
        </w:rPr>
      </w:pPr>
    </w:p>
    <w:p w:rsidR="0080643C" w:rsidRPr="0026666F" w:rsidRDefault="0080643C" w:rsidP="0080643C">
      <w:pPr>
        <w:pStyle w:val="Equation"/>
        <w:tabs>
          <w:tab w:val="clear" w:pos="4820"/>
          <w:tab w:val="clear" w:pos="9639"/>
          <w:tab w:val="left" w:pos="1191"/>
          <w:tab w:val="left" w:pos="1588"/>
          <w:tab w:val="left" w:pos="1985"/>
        </w:tabs>
        <w:rPr>
          <w:rFonts w:ascii="Palatino Linotype" w:hAnsi="Palatino Linotype"/>
          <w:lang w:val="es-ES_tradnl"/>
        </w:rPr>
        <w:sectPr w:rsidR="0080643C" w:rsidRPr="0026666F">
          <w:headerReference w:type="even" r:id="rId6"/>
          <w:headerReference w:type="default" r:id="rId7"/>
          <w:pgSz w:w="11907" w:h="16840" w:code="9"/>
          <w:pgMar w:top="1089" w:right="1089" w:bottom="284" w:left="1089" w:header="567" w:footer="284" w:gutter="0"/>
          <w:pgNumType w:start="1"/>
          <w:cols w:space="720"/>
        </w:sectPr>
      </w:pPr>
    </w:p>
    <w:p w:rsidR="0080643C" w:rsidRPr="006C718C" w:rsidRDefault="0080643C" w:rsidP="00FF60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2" w:name="c2tope"/>
      <w:bookmarkEnd w:id="2"/>
      <w:r w:rsidRPr="006C718C">
        <w:rPr>
          <w:bCs/>
          <w:sz w:val="24"/>
          <w:szCs w:val="24"/>
          <w:lang w:val="es-ES_tradnl"/>
        </w:rPr>
        <w:lastRenderedPageBreak/>
        <w:t>Prólogo</w:t>
      </w:r>
    </w:p>
    <w:p w:rsidR="0080643C" w:rsidRPr="006C718C" w:rsidRDefault="0080643C" w:rsidP="0080643C">
      <w:pPr>
        <w:spacing w:before="180"/>
        <w:rPr>
          <w:lang w:val="es-ES_tradnl"/>
        </w:rPr>
      </w:pPr>
      <w:r w:rsidRPr="006C718C">
        <w:rPr>
          <w:lang w:val="es-ES_tradnl"/>
        </w:rPr>
        <w:t>El Sector de Radiocomunicaciones tiene como cometido garantizar la utilizaci</w:t>
      </w:r>
      <w:r>
        <w:rPr>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0643C" w:rsidRPr="006C718C" w:rsidRDefault="0080643C" w:rsidP="0080643C">
      <w:pPr>
        <w:rPr>
          <w:lang w:val="es-ES_tradnl"/>
        </w:rPr>
      </w:pPr>
      <w:r w:rsidRPr="006C718C">
        <w:rPr>
          <w:lang w:val="es-ES_tradnl"/>
        </w:rPr>
        <w:t>Las Conferencias Mundiales y Regionales de Radiocomunicaciones y las Asambleas de Radiocomunicaciones, c</w:t>
      </w:r>
      <w:r>
        <w:rPr>
          <w:lang w:val="es-ES_tradnl"/>
        </w:rPr>
        <w:t>on la colaboración de las Comisiones de Estudio, cumplen las funciones reglamentarias y políticas del Sector de Radiocomunicaciones.</w:t>
      </w:r>
    </w:p>
    <w:p w:rsidR="0080643C" w:rsidRPr="00021E8A" w:rsidRDefault="0080643C" w:rsidP="0080643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80643C" w:rsidRPr="00021E8A" w:rsidRDefault="0080643C" w:rsidP="0080643C">
      <w:pPr>
        <w:spacing w:before="180"/>
        <w:rPr>
          <w:lang w:val="es-ES_tradnl"/>
        </w:rPr>
      </w:pPr>
      <w:r w:rsidRPr="00021E8A">
        <w:rPr>
          <w:lang w:val="es-ES_tradnl"/>
        </w:rPr>
        <w:t>La política del UIT</w:t>
      </w:r>
      <w:r w:rsidRPr="00021E8A">
        <w:rPr>
          <w:lang w:val="es-ES_tradnl"/>
        </w:rPr>
        <w:noBreakHyphen/>
        <w:t>R sobre Derechos de Propiedad Intelectual se describe en la Política Común de Patentes UIT</w:t>
      </w:r>
      <w:r w:rsidRPr="00021E8A">
        <w:rPr>
          <w:lang w:val="es-ES_tradnl"/>
        </w:rPr>
        <w:noBreakHyphen/>
        <w:t>T/UIT</w:t>
      </w:r>
      <w:r w:rsidRPr="00021E8A">
        <w:rPr>
          <w:lang w:val="es-ES_tradnl"/>
        </w:rPr>
        <w:noBreakHyphen/>
        <w:t>R/ISO/CEI a la que se hace referencia en el Anexo 1 a la Resolución UIT</w:t>
      </w:r>
      <w:r w:rsidRPr="00021E8A">
        <w:rPr>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lang w:val="es-ES_tradnl"/>
          </w:rPr>
          <w:t>http://www.itu.int/ITU-R/go/patents/es</w:t>
        </w:r>
      </w:hyperlink>
      <w:r w:rsidRPr="00021E8A">
        <w:rPr>
          <w:lang w:val="es-ES_tradnl"/>
        </w:rPr>
        <w:t>, donde también aparecen las Directrices para la implementación de la Política Común de Patentes UIT</w:t>
      </w:r>
      <w:r w:rsidRPr="00021E8A">
        <w:rPr>
          <w:lang w:val="es-ES_tradnl"/>
        </w:rPr>
        <w:noBreakHyphen/>
        <w:t>T/UIT</w:t>
      </w:r>
      <w:r w:rsidRPr="00021E8A">
        <w:rPr>
          <w:lang w:val="es-ES_tradnl"/>
        </w:rPr>
        <w:noBreakHyphen/>
        <w:t>R/ISO/CEI y la base de datos sobre información de patentes del UIT</w:t>
      </w:r>
      <w:r w:rsidRPr="00021E8A">
        <w:rPr>
          <w:lang w:val="es-ES_tradnl"/>
        </w:rPr>
        <w:noBreakHyphen/>
        <w:t>R sobre este asunto.</w:t>
      </w:r>
    </w:p>
    <w:p w:rsidR="0080643C" w:rsidRPr="007C36CA" w:rsidRDefault="0080643C" w:rsidP="0080643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80643C" w:rsidRPr="00B50133" w:rsidTr="00742195">
        <w:tc>
          <w:tcPr>
            <w:tcW w:w="9360" w:type="dxa"/>
            <w:gridSpan w:val="2"/>
          </w:tcPr>
          <w:p w:rsidR="0080643C" w:rsidRPr="00021E8A" w:rsidRDefault="0080643C" w:rsidP="0074219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80643C" w:rsidRPr="00763D08" w:rsidRDefault="0080643C" w:rsidP="007421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80643C" w:rsidRPr="00036EE3" w:rsidTr="00742195">
        <w:tc>
          <w:tcPr>
            <w:tcW w:w="1140" w:type="dxa"/>
            <w:tcBorders>
              <w:bottom w:val="nil"/>
            </w:tcBorders>
          </w:tcPr>
          <w:p w:rsidR="0080643C" w:rsidRPr="00036EE3" w:rsidRDefault="0080643C" w:rsidP="00742195">
            <w:pPr>
              <w:spacing w:before="180" w:after="100"/>
              <w:ind w:left="57"/>
              <w:rPr>
                <w:b/>
                <w:bCs/>
                <w:lang w:val="en-US"/>
              </w:rPr>
            </w:pPr>
            <w:r w:rsidRPr="00036EE3">
              <w:rPr>
                <w:b/>
                <w:bCs/>
                <w:lang w:val="en-US"/>
              </w:rPr>
              <w:t>Series</w:t>
            </w:r>
          </w:p>
        </w:tc>
        <w:tc>
          <w:tcPr>
            <w:tcW w:w="8220" w:type="dxa"/>
            <w:tcBorders>
              <w:bottom w:val="nil"/>
            </w:tcBorders>
          </w:tcPr>
          <w:p w:rsidR="0080643C" w:rsidRPr="00036EE3" w:rsidRDefault="0080643C" w:rsidP="007421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80643C" w:rsidRPr="004532F7" w:rsidTr="00742195">
        <w:tc>
          <w:tcPr>
            <w:tcW w:w="1140" w:type="dxa"/>
            <w:tcBorders>
              <w:top w:val="nil"/>
              <w:bottom w:val="nil"/>
            </w:tcBorders>
            <w:shd w:val="clear" w:color="auto" w:fill="auto"/>
          </w:tcPr>
          <w:p w:rsidR="0080643C" w:rsidRPr="004532F7" w:rsidRDefault="0080643C" w:rsidP="00742195">
            <w:pPr>
              <w:spacing w:before="30" w:after="30"/>
              <w:ind w:left="57"/>
              <w:jc w:val="left"/>
              <w:rPr>
                <w:b/>
                <w:bCs/>
                <w:lang w:val="en-US"/>
              </w:rPr>
            </w:pPr>
            <w:r w:rsidRPr="004532F7">
              <w:rPr>
                <w:b/>
                <w:bCs/>
                <w:lang w:val="en-US"/>
              </w:rPr>
              <w:t>BO</w:t>
            </w:r>
          </w:p>
        </w:tc>
        <w:tc>
          <w:tcPr>
            <w:tcW w:w="8220" w:type="dxa"/>
            <w:tcBorders>
              <w:top w:val="nil"/>
              <w:bottom w:val="nil"/>
            </w:tcBorders>
            <w:shd w:val="clear" w:color="auto" w:fill="auto"/>
          </w:tcPr>
          <w:p w:rsidR="0080643C" w:rsidRPr="004532F7" w:rsidRDefault="0080643C" w:rsidP="007421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80643C" w:rsidRPr="00B50133" w:rsidTr="00742195">
        <w:tc>
          <w:tcPr>
            <w:tcW w:w="1140" w:type="dxa"/>
            <w:tcBorders>
              <w:top w:val="nil"/>
              <w:bottom w:val="nil"/>
            </w:tcBorders>
            <w:shd w:val="clear" w:color="auto" w:fill="auto"/>
          </w:tcPr>
          <w:p w:rsidR="0080643C" w:rsidRPr="006B22C3" w:rsidRDefault="0080643C" w:rsidP="00742195">
            <w:pPr>
              <w:spacing w:before="30" w:after="30"/>
              <w:ind w:left="57"/>
              <w:jc w:val="left"/>
              <w:rPr>
                <w:b/>
                <w:bCs/>
                <w:lang w:val="en-US"/>
              </w:rPr>
            </w:pPr>
            <w:r w:rsidRPr="006B22C3">
              <w:rPr>
                <w:b/>
                <w:bCs/>
                <w:lang w:val="en-US"/>
              </w:rPr>
              <w:t>BR</w:t>
            </w:r>
          </w:p>
        </w:tc>
        <w:tc>
          <w:tcPr>
            <w:tcW w:w="8220" w:type="dxa"/>
            <w:tcBorders>
              <w:top w:val="nil"/>
              <w:bottom w:val="nil"/>
            </w:tcBorders>
            <w:shd w:val="clear" w:color="auto" w:fill="auto"/>
          </w:tcPr>
          <w:p w:rsidR="0080643C" w:rsidRPr="006B22C3" w:rsidRDefault="0080643C" w:rsidP="007421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80643C" w:rsidRPr="00847DD5" w:rsidTr="00742195">
        <w:tc>
          <w:tcPr>
            <w:tcW w:w="1140" w:type="dxa"/>
            <w:tcBorders>
              <w:top w:val="nil"/>
              <w:bottom w:val="nil"/>
            </w:tcBorders>
            <w:shd w:val="clear" w:color="auto" w:fill="auto"/>
          </w:tcPr>
          <w:p w:rsidR="0080643C" w:rsidRPr="00847DD5" w:rsidRDefault="0080643C" w:rsidP="00742195">
            <w:pPr>
              <w:spacing w:before="30" w:after="30"/>
              <w:ind w:left="57"/>
              <w:jc w:val="left"/>
              <w:rPr>
                <w:b/>
                <w:bCs/>
                <w:lang w:val="en-US"/>
              </w:rPr>
            </w:pPr>
            <w:r w:rsidRPr="00847DD5">
              <w:rPr>
                <w:b/>
                <w:bCs/>
                <w:lang w:val="en-US"/>
              </w:rPr>
              <w:t>BS</w:t>
            </w:r>
          </w:p>
        </w:tc>
        <w:tc>
          <w:tcPr>
            <w:tcW w:w="8220" w:type="dxa"/>
            <w:tcBorders>
              <w:top w:val="nil"/>
              <w:bottom w:val="nil"/>
            </w:tcBorders>
            <w:shd w:val="clear" w:color="auto" w:fill="auto"/>
          </w:tcPr>
          <w:p w:rsidR="0080643C" w:rsidRPr="00847DD5" w:rsidRDefault="0080643C" w:rsidP="007421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80643C" w:rsidRPr="00ED2695" w:rsidTr="00742195">
        <w:tc>
          <w:tcPr>
            <w:tcW w:w="1140" w:type="dxa"/>
            <w:tcBorders>
              <w:top w:val="nil"/>
              <w:bottom w:val="nil"/>
            </w:tcBorders>
            <w:shd w:val="clear" w:color="auto" w:fill="auto"/>
          </w:tcPr>
          <w:p w:rsidR="0080643C" w:rsidRPr="00ED2695" w:rsidRDefault="0080643C" w:rsidP="00742195">
            <w:pPr>
              <w:spacing w:before="30" w:after="30"/>
              <w:ind w:left="57"/>
              <w:jc w:val="left"/>
              <w:rPr>
                <w:b/>
                <w:bCs/>
                <w:lang w:val="en-US"/>
              </w:rPr>
            </w:pPr>
            <w:r w:rsidRPr="00ED2695">
              <w:rPr>
                <w:b/>
                <w:bCs/>
                <w:lang w:val="en-US"/>
              </w:rPr>
              <w:t>BT</w:t>
            </w:r>
          </w:p>
        </w:tc>
        <w:tc>
          <w:tcPr>
            <w:tcW w:w="8220" w:type="dxa"/>
            <w:tcBorders>
              <w:top w:val="nil"/>
              <w:bottom w:val="nil"/>
            </w:tcBorders>
            <w:shd w:val="clear" w:color="auto" w:fill="auto"/>
          </w:tcPr>
          <w:p w:rsidR="0080643C" w:rsidRPr="00021E8A" w:rsidRDefault="0080643C" w:rsidP="007421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80643C" w:rsidRPr="00366CEE" w:rsidTr="00742195">
        <w:tc>
          <w:tcPr>
            <w:tcW w:w="1140" w:type="dxa"/>
            <w:tcBorders>
              <w:top w:val="nil"/>
              <w:bottom w:val="nil"/>
            </w:tcBorders>
            <w:shd w:val="clear" w:color="auto" w:fill="auto"/>
          </w:tcPr>
          <w:p w:rsidR="0080643C" w:rsidRPr="00366CEE" w:rsidRDefault="0080643C" w:rsidP="00742195">
            <w:pPr>
              <w:spacing w:before="30" w:after="30"/>
              <w:ind w:left="57"/>
              <w:jc w:val="left"/>
              <w:rPr>
                <w:b/>
                <w:bCs/>
                <w:lang w:val="fr-CH"/>
              </w:rPr>
            </w:pPr>
            <w:r w:rsidRPr="00366CEE">
              <w:rPr>
                <w:b/>
                <w:bCs/>
                <w:lang w:val="fr-CH"/>
              </w:rPr>
              <w:t>F</w:t>
            </w:r>
          </w:p>
        </w:tc>
        <w:tc>
          <w:tcPr>
            <w:tcW w:w="8220" w:type="dxa"/>
            <w:tcBorders>
              <w:top w:val="nil"/>
              <w:bottom w:val="nil"/>
            </w:tcBorders>
            <w:shd w:val="clear" w:color="auto" w:fill="auto"/>
          </w:tcPr>
          <w:p w:rsidR="0080643C" w:rsidRPr="00366CEE" w:rsidRDefault="0080643C" w:rsidP="007421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80643C" w:rsidRPr="00B50133" w:rsidTr="00742195">
        <w:tc>
          <w:tcPr>
            <w:tcW w:w="1140" w:type="dxa"/>
            <w:tcBorders>
              <w:top w:val="nil"/>
              <w:bottom w:val="nil"/>
            </w:tcBorders>
            <w:shd w:val="clear" w:color="auto" w:fill="auto"/>
          </w:tcPr>
          <w:p w:rsidR="0080643C" w:rsidRPr="0010336F" w:rsidRDefault="0080643C" w:rsidP="00742195">
            <w:pPr>
              <w:spacing w:before="30" w:after="30"/>
              <w:ind w:left="57"/>
              <w:jc w:val="left"/>
              <w:rPr>
                <w:rFonts w:hAnsi="Times New Roman Bold"/>
                <w:b/>
                <w:bCs/>
                <w:lang w:val="en-US"/>
              </w:rPr>
            </w:pPr>
            <w:r w:rsidRPr="0010336F">
              <w:rPr>
                <w:rFonts w:hAnsi="Times New Roman Bold"/>
                <w:b/>
                <w:bCs/>
                <w:lang w:val="en-US"/>
              </w:rPr>
              <w:t>M</w:t>
            </w:r>
          </w:p>
        </w:tc>
        <w:tc>
          <w:tcPr>
            <w:tcW w:w="8220" w:type="dxa"/>
            <w:tcBorders>
              <w:top w:val="nil"/>
              <w:bottom w:val="nil"/>
            </w:tcBorders>
            <w:shd w:val="clear" w:color="auto" w:fill="auto"/>
          </w:tcPr>
          <w:p w:rsidR="0080643C" w:rsidRPr="0010336F" w:rsidRDefault="0080643C" w:rsidP="0074219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80643C" w:rsidRPr="00B50133" w:rsidTr="00742195">
        <w:tc>
          <w:tcPr>
            <w:tcW w:w="1140" w:type="dxa"/>
            <w:tcBorders>
              <w:top w:val="nil"/>
              <w:bottom w:val="nil"/>
            </w:tcBorders>
            <w:shd w:val="clear" w:color="auto" w:fill="auto"/>
          </w:tcPr>
          <w:p w:rsidR="0080643C" w:rsidRPr="00F95576" w:rsidRDefault="0080643C" w:rsidP="00742195">
            <w:pPr>
              <w:spacing w:before="30" w:after="30"/>
              <w:ind w:left="57"/>
              <w:jc w:val="left"/>
              <w:rPr>
                <w:b/>
                <w:bCs/>
                <w:lang w:val="fr-CH"/>
              </w:rPr>
            </w:pPr>
            <w:r w:rsidRPr="00F95576">
              <w:rPr>
                <w:b/>
                <w:bCs/>
                <w:lang w:val="fr-CH"/>
              </w:rPr>
              <w:t>P</w:t>
            </w:r>
          </w:p>
        </w:tc>
        <w:tc>
          <w:tcPr>
            <w:tcW w:w="8220" w:type="dxa"/>
            <w:tcBorders>
              <w:top w:val="nil"/>
              <w:bottom w:val="nil"/>
            </w:tcBorders>
            <w:shd w:val="clear" w:color="auto" w:fill="auto"/>
          </w:tcPr>
          <w:p w:rsidR="0080643C" w:rsidRPr="00F95576" w:rsidRDefault="0080643C" w:rsidP="00742195">
            <w:pPr>
              <w:spacing w:before="30" w:after="30"/>
              <w:jc w:val="left"/>
              <w:rPr>
                <w:lang w:val="es-ES_tradnl"/>
              </w:rPr>
            </w:pPr>
            <w:r w:rsidRPr="00F95576">
              <w:rPr>
                <w:lang w:val="es-ES_tradnl"/>
              </w:rPr>
              <w:t>Propagación de las ondas radioeléctricas</w:t>
            </w:r>
          </w:p>
        </w:tc>
      </w:tr>
      <w:tr w:rsidR="0080643C" w:rsidRPr="00DE71F7" w:rsidTr="00742195">
        <w:tc>
          <w:tcPr>
            <w:tcW w:w="1140" w:type="dxa"/>
            <w:tcBorders>
              <w:top w:val="nil"/>
              <w:bottom w:val="nil"/>
            </w:tcBorders>
            <w:shd w:val="clear" w:color="auto" w:fill="auto"/>
          </w:tcPr>
          <w:p w:rsidR="0080643C" w:rsidRPr="00DE71F7" w:rsidRDefault="0080643C" w:rsidP="00742195">
            <w:pPr>
              <w:spacing w:before="30" w:after="30"/>
              <w:ind w:left="57"/>
              <w:jc w:val="left"/>
              <w:rPr>
                <w:b/>
                <w:bCs/>
                <w:lang w:val="en-US"/>
              </w:rPr>
            </w:pPr>
            <w:r w:rsidRPr="00DE71F7">
              <w:rPr>
                <w:b/>
                <w:bCs/>
                <w:lang w:val="en-US"/>
              </w:rPr>
              <w:t>RA</w:t>
            </w:r>
          </w:p>
        </w:tc>
        <w:tc>
          <w:tcPr>
            <w:tcW w:w="8220" w:type="dxa"/>
            <w:tcBorders>
              <w:top w:val="nil"/>
              <w:bottom w:val="nil"/>
            </w:tcBorders>
            <w:shd w:val="clear" w:color="auto" w:fill="auto"/>
          </w:tcPr>
          <w:p w:rsidR="0080643C" w:rsidRPr="00DE71F7" w:rsidRDefault="0080643C" w:rsidP="007421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80643C" w:rsidRPr="00B50133" w:rsidTr="00742195">
        <w:tc>
          <w:tcPr>
            <w:tcW w:w="1140" w:type="dxa"/>
            <w:tcBorders>
              <w:top w:val="nil"/>
              <w:bottom w:val="nil"/>
            </w:tcBorders>
            <w:shd w:val="clear" w:color="auto" w:fill="auto"/>
          </w:tcPr>
          <w:p w:rsidR="0080643C" w:rsidRPr="00D12388" w:rsidRDefault="0080643C" w:rsidP="00742195">
            <w:pPr>
              <w:spacing w:before="30" w:after="30"/>
              <w:ind w:left="57"/>
              <w:jc w:val="left"/>
              <w:rPr>
                <w:b/>
                <w:bCs/>
                <w:lang w:val="en-US"/>
              </w:rPr>
            </w:pPr>
            <w:r w:rsidRPr="00D12388">
              <w:rPr>
                <w:b/>
                <w:bCs/>
                <w:lang w:val="en-US"/>
              </w:rPr>
              <w:t>RS</w:t>
            </w:r>
          </w:p>
        </w:tc>
        <w:tc>
          <w:tcPr>
            <w:tcW w:w="8220" w:type="dxa"/>
            <w:tcBorders>
              <w:top w:val="nil"/>
              <w:bottom w:val="nil"/>
            </w:tcBorders>
            <w:shd w:val="clear" w:color="auto" w:fill="auto"/>
          </w:tcPr>
          <w:p w:rsidR="0080643C" w:rsidRPr="00D12388" w:rsidRDefault="0080643C" w:rsidP="0074219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80643C" w:rsidRPr="00025336" w:rsidTr="00742195">
        <w:tc>
          <w:tcPr>
            <w:tcW w:w="1140" w:type="dxa"/>
            <w:tcBorders>
              <w:top w:val="nil"/>
              <w:bottom w:val="nil"/>
            </w:tcBorders>
            <w:shd w:val="clear" w:color="auto" w:fill="auto"/>
          </w:tcPr>
          <w:p w:rsidR="0080643C" w:rsidRPr="00025336" w:rsidRDefault="0080643C" w:rsidP="00742195">
            <w:pPr>
              <w:spacing w:before="30" w:after="30"/>
              <w:ind w:left="57"/>
              <w:jc w:val="left"/>
              <w:rPr>
                <w:b/>
                <w:bCs/>
                <w:lang w:val="en-US"/>
              </w:rPr>
            </w:pPr>
            <w:r w:rsidRPr="00025336">
              <w:rPr>
                <w:b/>
                <w:bCs/>
                <w:lang w:val="en-US"/>
              </w:rPr>
              <w:t>S</w:t>
            </w:r>
          </w:p>
        </w:tc>
        <w:tc>
          <w:tcPr>
            <w:tcW w:w="8220" w:type="dxa"/>
            <w:tcBorders>
              <w:top w:val="nil"/>
              <w:bottom w:val="nil"/>
            </w:tcBorders>
            <w:shd w:val="clear" w:color="auto" w:fill="auto"/>
          </w:tcPr>
          <w:p w:rsidR="0080643C" w:rsidRPr="00025336" w:rsidRDefault="0080643C" w:rsidP="00742195">
            <w:pPr>
              <w:spacing w:before="30" w:after="30"/>
              <w:jc w:val="left"/>
              <w:rPr>
                <w:lang w:val="en-US"/>
              </w:rPr>
            </w:pPr>
            <w:r w:rsidRPr="00025336">
              <w:t>Servicio fijo por satélite</w:t>
            </w:r>
          </w:p>
        </w:tc>
      </w:tr>
      <w:tr w:rsidR="0080643C" w:rsidRPr="00975AEB" w:rsidTr="00742195">
        <w:tc>
          <w:tcPr>
            <w:tcW w:w="1140" w:type="dxa"/>
            <w:tcBorders>
              <w:top w:val="nil"/>
              <w:bottom w:val="nil"/>
            </w:tcBorders>
            <w:shd w:val="clear" w:color="auto" w:fill="auto"/>
          </w:tcPr>
          <w:p w:rsidR="0080643C" w:rsidRPr="00975AEB" w:rsidRDefault="0080643C" w:rsidP="00742195">
            <w:pPr>
              <w:spacing w:before="30" w:after="30"/>
              <w:ind w:left="57"/>
              <w:jc w:val="left"/>
              <w:rPr>
                <w:b/>
                <w:bCs/>
                <w:lang w:val="en-US"/>
              </w:rPr>
            </w:pPr>
            <w:r w:rsidRPr="00975AEB">
              <w:rPr>
                <w:b/>
                <w:bCs/>
                <w:lang w:val="en-US"/>
              </w:rPr>
              <w:t>SA</w:t>
            </w:r>
          </w:p>
        </w:tc>
        <w:tc>
          <w:tcPr>
            <w:tcW w:w="8220" w:type="dxa"/>
            <w:tcBorders>
              <w:top w:val="nil"/>
              <w:bottom w:val="nil"/>
            </w:tcBorders>
            <w:shd w:val="clear" w:color="auto" w:fill="auto"/>
          </w:tcPr>
          <w:p w:rsidR="0080643C" w:rsidRPr="00975AEB" w:rsidRDefault="0080643C" w:rsidP="00742195">
            <w:pPr>
              <w:spacing w:before="30" w:after="30"/>
              <w:jc w:val="left"/>
              <w:rPr>
                <w:lang w:val="en-US"/>
              </w:rPr>
            </w:pPr>
            <w:r w:rsidRPr="00975AEB">
              <w:t>Aplicaciones espaciales y meteorología</w:t>
            </w:r>
          </w:p>
        </w:tc>
      </w:tr>
      <w:tr w:rsidR="0080643C" w:rsidRPr="00B50133" w:rsidTr="00742195">
        <w:tc>
          <w:tcPr>
            <w:tcW w:w="1140" w:type="dxa"/>
            <w:tcBorders>
              <w:top w:val="nil"/>
              <w:bottom w:val="nil"/>
            </w:tcBorders>
            <w:shd w:val="clear" w:color="auto" w:fill="auto"/>
          </w:tcPr>
          <w:p w:rsidR="0080643C" w:rsidRPr="00746AC6" w:rsidRDefault="0080643C" w:rsidP="00742195">
            <w:pPr>
              <w:spacing w:before="30" w:after="30"/>
              <w:ind w:left="57"/>
              <w:jc w:val="left"/>
              <w:rPr>
                <w:b/>
                <w:bCs/>
                <w:lang w:val="en-US"/>
              </w:rPr>
            </w:pPr>
            <w:r w:rsidRPr="00746AC6">
              <w:rPr>
                <w:b/>
                <w:bCs/>
                <w:lang w:val="en-US"/>
              </w:rPr>
              <w:t>SF</w:t>
            </w:r>
          </w:p>
        </w:tc>
        <w:tc>
          <w:tcPr>
            <w:tcW w:w="8220" w:type="dxa"/>
            <w:tcBorders>
              <w:top w:val="nil"/>
              <w:bottom w:val="nil"/>
            </w:tcBorders>
            <w:shd w:val="clear" w:color="auto" w:fill="auto"/>
          </w:tcPr>
          <w:p w:rsidR="0080643C" w:rsidRPr="00746AC6" w:rsidRDefault="0080643C" w:rsidP="00742195">
            <w:pPr>
              <w:spacing w:before="30" w:after="30"/>
              <w:jc w:val="left"/>
              <w:rPr>
                <w:lang w:val="es-ES_tradnl"/>
              </w:rPr>
            </w:pPr>
            <w:r w:rsidRPr="00746AC6">
              <w:rPr>
                <w:lang w:val="es-ES_tradnl"/>
              </w:rPr>
              <w:t>Compartición de frecuencias y coordinación entre los sistemas del servicio fijo por satélite y del servicio fijo</w:t>
            </w:r>
          </w:p>
        </w:tc>
      </w:tr>
      <w:tr w:rsidR="0080643C" w:rsidRPr="00746AC6" w:rsidTr="00742195">
        <w:tc>
          <w:tcPr>
            <w:tcW w:w="1140" w:type="dxa"/>
            <w:tcBorders>
              <w:top w:val="nil"/>
              <w:bottom w:val="nil"/>
            </w:tcBorders>
            <w:shd w:val="clear" w:color="auto" w:fill="F3F3F3"/>
          </w:tcPr>
          <w:p w:rsidR="0080643C" w:rsidRPr="00746AC6" w:rsidRDefault="0080643C" w:rsidP="00742195">
            <w:pPr>
              <w:spacing w:before="30" w:after="30"/>
              <w:ind w:left="57"/>
              <w:jc w:val="left"/>
              <w:rPr>
                <w:b/>
                <w:bCs/>
                <w:color w:val="000080"/>
                <w:lang w:val="en-US"/>
              </w:rPr>
            </w:pPr>
            <w:r w:rsidRPr="00746AC6">
              <w:rPr>
                <w:b/>
                <w:bCs/>
                <w:color w:val="000080"/>
                <w:lang w:val="en-US"/>
              </w:rPr>
              <w:t>SM</w:t>
            </w:r>
          </w:p>
        </w:tc>
        <w:tc>
          <w:tcPr>
            <w:tcW w:w="8220" w:type="dxa"/>
            <w:tcBorders>
              <w:top w:val="nil"/>
              <w:bottom w:val="nil"/>
            </w:tcBorders>
            <w:shd w:val="clear" w:color="auto" w:fill="F3F3F3"/>
          </w:tcPr>
          <w:p w:rsidR="0080643C" w:rsidRPr="00746AC6" w:rsidRDefault="0080643C" w:rsidP="00742195">
            <w:pPr>
              <w:spacing w:before="30" w:after="30"/>
              <w:jc w:val="left"/>
              <w:rPr>
                <w:b/>
                <w:bCs/>
                <w:color w:val="000080"/>
                <w:lang w:val="en-US"/>
              </w:rPr>
            </w:pPr>
            <w:r w:rsidRPr="00746AC6">
              <w:rPr>
                <w:b/>
                <w:bCs/>
                <w:color w:val="000080"/>
              </w:rPr>
              <w:t>Gestión del espectro</w:t>
            </w:r>
          </w:p>
        </w:tc>
      </w:tr>
      <w:tr w:rsidR="0080643C" w:rsidRPr="00036EE3" w:rsidTr="00742195">
        <w:tc>
          <w:tcPr>
            <w:tcW w:w="1140" w:type="dxa"/>
            <w:tcBorders>
              <w:top w:val="nil"/>
            </w:tcBorders>
          </w:tcPr>
          <w:p w:rsidR="0080643C" w:rsidRPr="00036EE3" w:rsidRDefault="0080643C" w:rsidP="00742195">
            <w:pPr>
              <w:spacing w:before="30" w:after="30"/>
              <w:ind w:left="57"/>
              <w:jc w:val="left"/>
              <w:rPr>
                <w:b/>
                <w:bCs/>
                <w:lang w:val="en-US"/>
              </w:rPr>
            </w:pPr>
            <w:r w:rsidRPr="00036EE3">
              <w:rPr>
                <w:b/>
                <w:bCs/>
                <w:lang w:val="en-US"/>
              </w:rPr>
              <w:t>SNG</w:t>
            </w:r>
          </w:p>
        </w:tc>
        <w:tc>
          <w:tcPr>
            <w:tcW w:w="8220" w:type="dxa"/>
            <w:tcBorders>
              <w:top w:val="nil"/>
            </w:tcBorders>
          </w:tcPr>
          <w:p w:rsidR="0080643C" w:rsidRPr="00021E8A" w:rsidRDefault="0080643C" w:rsidP="00742195">
            <w:pPr>
              <w:spacing w:before="30" w:after="30"/>
              <w:jc w:val="left"/>
              <w:rPr>
                <w:bCs/>
                <w:lang w:val="en-US"/>
              </w:rPr>
            </w:pPr>
            <w:r w:rsidRPr="00021E8A">
              <w:rPr>
                <w:bCs/>
              </w:rPr>
              <w:t>Periodismo electrónico por satélite</w:t>
            </w:r>
          </w:p>
        </w:tc>
      </w:tr>
      <w:tr w:rsidR="0080643C" w:rsidRPr="00B50133" w:rsidTr="00742195">
        <w:tc>
          <w:tcPr>
            <w:tcW w:w="1140" w:type="dxa"/>
          </w:tcPr>
          <w:p w:rsidR="0080643C" w:rsidRPr="00036EE3" w:rsidRDefault="0080643C" w:rsidP="00742195">
            <w:pPr>
              <w:spacing w:before="30" w:after="30"/>
              <w:ind w:left="57"/>
              <w:jc w:val="left"/>
              <w:rPr>
                <w:b/>
                <w:bCs/>
                <w:lang w:val="en-US"/>
              </w:rPr>
            </w:pPr>
            <w:r w:rsidRPr="00036EE3">
              <w:rPr>
                <w:b/>
                <w:bCs/>
                <w:lang w:val="en-US"/>
              </w:rPr>
              <w:t>TF</w:t>
            </w:r>
          </w:p>
        </w:tc>
        <w:tc>
          <w:tcPr>
            <w:tcW w:w="8220" w:type="dxa"/>
          </w:tcPr>
          <w:p w:rsidR="0080643C" w:rsidRPr="00021E8A" w:rsidRDefault="0080643C" w:rsidP="00742195">
            <w:pPr>
              <w:spacing w:before="30" w:after="30"/>
              <w:jc w:val="left"/>
              <w:rPr>
                <w:bCs/>
                <w:lang w:val="es-ES_tradnl"/>
              </w:rPr>
            </w:pPr>
            <w:r w:rsidRPr="00021E8A">
              <w:rPr>
                <w:bCs/>
                <w:lang w:val="es-ES_tradnl"/>
              </w:rPr>
              <w:t>Emisiones de frecuencias patrón y señales horarias</w:t>
            </w:r>
          </w:p>
        </w:tc>
      </w:tr>
      <w:tr w:rsidR="0080643C" w:rsidRPr="00036EE3" w:rsidTr="00742195">
        <w:tc>
          <w:tcPr>
            <w:tcW w:w="1140" w:type="dxa"/>
          </w:tcPr>
          <w:p w:rsidR="0080643C" w:rsidRPr="00036EE3" w:rsidRDefault="0080643C" w:rsidP="00742195">
            <w:pPr>
              <w:spacing w:before="30" w:after="30"/>
              <w:ind w:left="57"/>
              <w:jc w:val="left"/>
              <w:rPr>
                <w:b/>
                <w:bCs/>
                <w:lang w:val="en-US"/>
              </w:rPr>
            </w:pPr>
            <w:r w:rsidRPr="00036EE3">
              <w:rPr>
                <w:b/>
                <w:bCs/>
                <w:lang w:val="en-US"/>
              </w:rPr>
              <w:t>V</w:t>
            </w:r>
          </w:p>
        </w:tc>
        <w:tc>
          <w:tcPr>
            <w:tcW w:w="8220" w:type="dxa"/>
          </w:tcPr>
          <w:p w:rsidR="0080643C" w:rsidRPr="00021E8A" w:rsidRDefault="0080643C" w:rsidP="00742195">
            <w:pPr>
              <w:spacing w:before="30" w:after="140"/>
              <w:jc w:val="left"/>
              <w:rPr>
                <w:bCs/>
                <w:lang w:val="en-US"/>
              </w:rPr>
            </w:pPr>
            <w:r w:rsidRPr="00021E8A">
              <w:rPr>
                <w:bCs/>
              </w:rPr>
              <w:t>Vocabulario y cuestiones afines</w:t>
            </w:r>
          </w:p>
        </w:tc>
      </w:tr>
    </w:tbl>
    <w:p w:rsidR="0080643C" w:rsidRPr="00036EE3" w:rsidRDefault="0080643C" w:rsidP="0080643C">
      <w:pPr>
        <w:spacing w:before="0" w:after="140"/>
        <w:jc w:val="center"/>
        <w:rPr>
          <w:lang w:val="en-US"/>
        </w:rPr>
      </w:pPr>
    </w:p>
    <w:p w:rsidR="0080643C" w:rsidRPr="00BE0C43" w:rsidRDefault="0080643C" w:rsidP="0080643C">
      <w:pPr>
        <w:spacing w:before="0"/>
        <w:rPr>
          <w:rFonts w:ascii="Calibri" w:eastAsia="SimSun" w:hAnsi="Calibri" w:cs="Arial"/>
          <w:vanish/>
          <w:sz w:val="22"/>
          <w:szCs w:val="22"/>
          <w:lang w:val="es-ES_tradnl"/>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80643C" w:rsidRPr="00B50133" w:rsidTr="00742195">
        <w:tc>
          <w:tcPr>
            <w:tcW w:w="9360" w:type="dxa"/>
          </w:tcPr>
          <w:p w:rsidR="0080643C" w:rsidRPr="00763D08" w:rsidRDefault="0080643C" w:rsidP="00742195">
            <w:pPr>
              <w:spacing w:before="92" w:after="92"/>
              <w:jc w:val="left"/>
              <w:rPr>
                <w:i/>
                <w:iCs/>
                <w:lang w:val="es-ES_tradnl"/>
              </w:rPr>
            </w:pPr>
            <w:r w:rsidRPr="00763D08">
              <w:rPr>
                <w:b/>
                <w:bCs/>
                <w:i/>
                <w:iCs/>
                <w:lang w:val="es-ES_tradnl"/>
              </w:rPr>
              <w:t xml:space="preserve">     </w:t>
            </w:r>
            <w:r>
              <w:rPr>
                <w:b/>
                <w:bCs/>
                <w:i/>
                <w:iCs/>
                <w:lang w:val="es-ES_tradnl"/>
              </w:rPr>
              <w:t xml:space="preserve">    </w:t>
            </w:r>
            <w:r w:rsidRPr="00763D08">
              <w:rPr>
                <w:b/>
                <w:bCs/>
                <w:i/>
                <w:iCs/>
                <w:lang w:val="es-ES_tradnl"/>
              </w:rPr>
              <w:t>Nota</w:t>
            </w:r>
            <w:r w:rsidRPr="00763D08">
              <w:rPr>
                <w:i/>
                <w:iCs/>
                <w:lang w:val="es-ES_tradnl"/>
              </w:rPr>
              <w:t xml:space="preserve">: Esta Recomendación UIT-R fue aprobada en inglés conforme al procedimiento detallado en la </w:t>
            </w:r>
            <w:r w:rsidRPr="00763D08">
              <w:rPr>
                <w:i/>
                <w:iCs/>
                <w:lang w:val="es-ES_tradnl"/>
              </w:rPr>
              <w:br/>
              <w:t xml:space="preserve">   </w:t>
            </w:r>
            <w:r>
              <w:rPr>
                <w:i/>
                <w:iCs/>
                <w:lang w:val="es-ES_tradnl"/>
              </w:rPr>
              <w:t xml:space="preserve">     </w:t>
            </w:r>
            <w:r w:rsidRPr="00763D08">
              <w:rPr>
                <w:i/>
                <w:iCs/>
                <w:lang w:val="es-ES_tradnl"/>
              </w:rPr>
              <w:t>Resolución UIT-R 1.</w:t>
            </w:r>
          </w:p>
        </w:tc>
      </w:tr>
    </w:tbl>
    <w:p w:rsidR="00FF6079" w:rsidRPr="007904A2" w:rsidRDefault="00FF6079" w:rsidP="00FF6079">
      <w:pPr>
        <w:spacing w:before="0" w:after="140"/>
        <w:jc w:val="center"/>
        <w:rPr>
          <w:lang w:val="es-ES_tradnl"/>
        </w:rPr>
      </w:pPr>
    </w:p>
    <w:p w:rsidR="0080643C" w:rsidRPr="00763D08" w:rsidRDefault="0080643C" w:rsidP="0080643C">
      <w:pPr>
        <w:spacing w:before="60"/>
        <w:jc w:val="right"/>
        <w:rPr>
          <w:i/>
          <w:iCs/>
          <w:lang w:val="es-ES_tradnl"/>
        </w:rPr>
      </w:pPr>
      <w:r w:rsidRPr="00763D08">
        <w:rPr>
          <w:i/>
          <w:iCs/>
          <w:lang w:val="es-ES_tradnl"/>
        </w:rPr>
        <w:t>Publicación electrónica</w:t>
      </w:r>
    </w:p>
    <w:p w:rsidR="0080643C" w:rsidRPr="00763D08" w:rsidRDefault="0080643C" w:rsidP="0080643C">
      <w:pPr>
        <w:spacing w:before="0" w:after="40"/>
        <w:jc w:val="right"/>
        <w:rPr>
          <w:lang w:val="es-ES_tradnl"/>
        </w:rPr>
      </w:pPr>
      <w:r w:rsidRPr="00763D08">
        <w:rPr>
          <w:lang w:val="es-ES_tradnl"/>
        </w:rPr>
        <w:t>Ginebra, 20</w:t>
      </w:r>
      <w:r>
        <w:rPr>
          <w:lang w:val="es-ES_tradnl"/>
        </w:rPr>
        <w:t>11</w:t>
      </w:r>
    </w:p>
    <w:p w:rsidR="00FF6079" w:rsidRPr="007904A2" w:rsidRDefault="00FF6079" w:rsidP="00FF6079">
      <w:pPr>
        <w:spacing w:before="0" w:after="140"/>
        <w:jc w:val="center"/>
        <w:rPr>
          <w:lang w:val="es-ES_tradnl"/>
        </w:rPr>
      </w:pPr>
    </w:p>
    <w:p w:rsidR="0080643C" w:rsidRPr="00763D08" w:rsidRDefault="0080643C" w:rsidP="0080643C">
      <w:pPr>
        <w:spacing w:before="0"/>
        <w:jc w:val="center"/>
        <w:rPr>
          <w:lang w:val="es-ES_tradnl"/>
        </w:rPr>
      </w:pPr>
      <w:r w:rsidRPr="00470E28">
        <w:rPr>
          <w:lang w:val="en-US"/>
        </w:rPr>
        <w:sym w:font="Symbol" w:char="F0E3"/>
      </w:r>
      <w:r w:rsidRPr="00763D08">
        <w:rPr>
          <w:lang w:val="es-ES_tradnl"/>
        </w:rPr>
        <w:t xml:space="preserve"> UIT </w:t>
      </w:r>
      <w:bookmarkStart w:id="3" w:name="iiannee"/>
      <w:bookmarkEnd w:id="3"/>
      <w:r w:rsidRPr="00763D08">
        <w:rPr>
          <w:lang w:val="es-ES_tradnl"/>
        </w:rPr>
        <w:t>20</w:t>
      </w:r>
      <w:r>
        <w:rPr>
          <w:lang w:val="es-ES_tradnl"/>
        </w:rPr>
        <w:t>11</w:t>
      </w:r>
    </w:p>
    <w:p w:rsidR="0080643C" w:rsidRPr="006C718C" w:rsidRDefault="0080643C" w:rsidP="0080643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80643C" w:rsidRPr="006C718C" w:rsidRDefault="0080643C" w:rsidP="0080643C">
      <w:pPr>
        <w:spacing w:before="160"/>
        <w:rPr>
          <w:i/>
          <w:highlight w:val="yellow"/>
          <w:lang w:val="es-ES_tradnl"/>
        </w:rPr>
        <w:sectPr w:rsidR="0080643C" w:rsidRPr="006C718C" w:rsidSect="0080643C">
          <w:headerReference w:type="even" r:id="rId10"/>
          <w:headerReference w:type="default" r:id="rId11"/>
          <w:pgSz w:w="11907" w:h="16834" w:code="9"/>
          <w:pgMar w:top="1418" w:right="1134" w:bottom="1134" w:left="1134" w:header="720" w:footer="482" w:gutter="0"/>
          <w:pgNumType w:fmt="lowerRoman" w:start="2"/>
          <w:cols w:space="720"/>
        </w:sectPr>
      </w:pPr>
    </w:p>
    <w:p w:rsidR="0080643C" w:rsidRDefault="0080643C" w:rsidP="0080643C">
      <w:pPr>
        <w:pStyle w:val="Rec"/>
        <w:spacing w:before="0"/>
        <w:rPr>
          <w:lang w:val="es-ES_tradnl"/>
        </w:rPr>
      </w:pPr>
      <w:r>
        <w:rPr>
          <w:lang w:val="es-ES_tradnl"/>
        </w:rPr>
        <w:lastRenderedPageBreak/>
        <w:t xml:space="preserve">RECOMENDACIÓN UIT-R </w:t>
      </w:r>
      <w:r w:rsidRPr="0080643C">
        <w:rPr>
          <w:rStyle w:val="href"/>
          <w:lang w:val="es-ES_tradnl"/>
        </w:rPr>
        <w:t>SM.1131-1</w:t>
      </w:r>
      <w:r w:rsidRPr="00CF03F4">
        <w:rPr>
          <w:rStyle w:val="FootnoteReference"/>
          <w:sz w:val="16"/>
          <w:lang w:val="es-ES_tradnl"/>
        </w:rPr>
        <w:footnoteReference w:customMarkFollows="1" w:id="1"/>
        <w:t>*</w:t>
      </w:r>
      <w:r w:rsidRPr="0080643C">
        <w:rPr>
          <w:position w:val="6"/>
          <w:sz w:val="16"/>
          <w:vertAlign w:val="superscript"/>
          <w:lang w:val="es-ES_tradnl"/>
        </w:rPr>
        <w:t>,</w:t>
      </w:r>
      <w:r w:rsidRPr="009B3F81">
        <w:rPr>
          <w:sz w:val="16"/>
          <w:vertAlign w:val="superscript"/>
          <w:lang w:val="es-ES_tradnl"/>
        </w:rPr>
        <w:t xml:space="preserve"> </w:t>
      </w:r>
      <w:r w:rsidRPr="00CF03F4">
        <w:rPr>
          <w:rStyle w:val="FootnoteReference"/>
          <w:sz w:val="16"/>
          <w:lang w:val="es-ES_tradnl"/>
        </w:rPr>
        <w:footnoteReference w:customMarkFollows="1" w:id="2"/>
        <w:t>**</w:t>
      </w:r>
    </w:p>
    <w:p w:rsidR="0080643C" w:rsidRPr="0088334C" w:rsidRDefault="0080643C" w:rsidP="0080643C">
      <w:pPr>
        <w:pStyle w:val="RecTitle0"/>
        <w:rPr>
          <w:lang w:val="es-ES_tradnl"/>
        </w:rPr>
      </w:pPr>
      <w:r w:rsidRPr="0088334C">
        <w:rPr>
          <w:lang w:val="es-ES_tradnl"/>
        </w:rPr>
        <w:t>FACTORES  QUE  INTERVIENEN  EN  LA  ATRIBUCIÓN</w:t>
      </w:r>
      <w:r w:rsidRPr="0088334C">
        <w:rPr>
          <w:lang w:val="es-ES_tradnl"/>
        </w:rPr>
        <w:br/>
        <w:t>DE  ESPECTRO  A  ESCALA  MUNDIAL</w:t>
      </w:r>
    </w:p>
    <w:p w:rsidR="0080643C" w:rsidRPr="0088334C" w:rsidRDefault="0080643C" w:rsidP="0080643C">
      <w:pPr>
        <w:pStyle w:val="RecTitleRef"/>
        <w:rPr>
          <w:lang w:val="es-ES_tradnl"/>
        </w:rPr>
      </w:pPr>
      <w:r w:rsidRPr="0088334C">
        <w:rPr>
          <w:lang w:val="es-ES_tradnl"/>
        </w:rPr>
        <w:t>(Cuestión UIT-R 205/1)</w:t>
      </w:r>
    </w:p>
    <w:p w:rsidR="0080643C" w:rsidRPr="0088334C" w:rsidRDefault="0080643C" w:rsidP="0080643C">
      <w:pPr>
        <w:pStyle w:val="RecTitleDate"/>
        <w:rPr>
          <w:lang w:val="es-ES_tradnl"/>
        </w:rPr>
      </w:pPr>
      <w:r w:rsidRPr="0088334C">
        <w:rPr>
          <w:lang w:val="es-ES_tradnl"/>
        </w:rPr>
        <w:t>(1995)</w:t>
      </w:r>
    </w:p>
    <w:p w:rsidR="0080643C" w:rsidRPr="0088334C" w:rsidRDefault="0080643C" w:rsidP="0080643C">
      <w:pPr>
        <w:pStyle w:val="Normalaftertitle0"/>
        <w:rPr>
          <w:lang w:val="es-ES_tradnl"/>
        </w:rPr>
      </w:pPr>
      <w:r w:rsidRPr="0088334C">
        <w:rPr>
          <w:lang w:val="es-ES_tradnl"/>
        </w:rPr>
        <w:t>La Asamblea de Radiocomunicaciones de la UIT,</w:t>
      </w:r>
    </w:p>
    <w:p w:rsidR="0080643C" w:rsidRPr="0088334C" w:rsidRDefault="0080643C" w:rsidP="0080643C">
      <w:pPr>
        <w:pStyle w:val="call0"/>
        <w:rPr>
          <w:lang w:val="es-ES_tradnl"/>
        </w:rPr>
      </w:pPr>
      <w:r w:rsidRPr="0088334C">
        <w:rPr>
          <w:lang w:val="es-ES_tradnl"/>
        </w:rPr>
        <w:t>considerando</w:t>
      </w:r>
    </w:p>
    <w:p w:rsidR="0080643C" w:rsidRPr="0088334C" w:rsidRDefault="0080643C" w:rsidP="0034675F">
      <w:pPr>
        <w:rPr>
          <w:lang w:val="es-ES_tradnl"/>
        </w:rPr>
      </w:pPr>
      <w:r w:rsidRPr="0088334C">
        <w:rPr>
          <w:lang w:val="es-ES_tradnl"/>
        </w:rPr>
        <w:t>a)</w:t>
      </w:r>
      <w:r w:rsidRPr="0088334C">
        <w:rPr>
          <w:lang w:val="es-ES_tradnl"/>
        </w:rPr>
        <w:tab/>
        <w:t>que en el Reglamento de Radiocomunicaciones (RR) se especifican tres «Regiones» (números </w:t>
      </w:r>
      <w:r>
        <w:rPr>
          <w:lang w:val="es-ES_tradnl"/>
        </w:rPr>
        <w:t>5.2</w:t>
      </w:r>
      <w:r w:rsidRPr="0088334C">
        <w:rPr>
          <w:lang w:val="es-ES_tradnl"/>
        </w:rPr>
        <w:t xml:space="preserve"> a </w:t>
      </w:r>
      <w:r>
        <w:rPr>
          <w:lang w:val="es-ES_tradnl"/>
        </w:rPr>
        <w:t>5.</w:t>
      </w:r>
      <w:r w:rsidRPr="0088334C">
        <w:rPr>
          <w:lang w:val="es-ES_tradnl"/>
        </w:rPr>
        <w:t>9 del</w:t>
      </w:r>
      <w:r>
        <w:rPr>
          <w:lang w:val="es-ES_tradnl"/>
        </w:rPr>
        <w:t> </w:t>
      </w:r>
      <w:r w:rsidRPr="0088334C">
        <w:rPr>
          <w:lang w:val="es-ES_tradnl"/>
        </w:rPr>
        <w:t>RR);</w:t>
      </w:r>
    </w:p>
    <w:p w:rsidR="0080643C" w:rsidRPr="0088334C" w:rsidRDefault="0080643C" w:rsidP="0080643C">
      <w:pPr>
        <w:rPr>
          <w:lang w:val="es-ES_tradnl"/>
        </w:rPr>
      </w:pPr>
      <w:r w:rsidRPr="0088334C">
        <w:rPr>
          <w:lang w:val="es-ES_tradnl"/>
        </w:rPr>
        <w:t>b)</w:t>
      </w:r>
      <w:r w:rsidRPr="0088334C">
        <w:rPr>
          <w:lang w:val="es-ES_tradnl"/>
        </w:rPr>
        <w:tab/>
        <w:t>que los servicios atribuidos y los límites de bandas adjudicadas son muy diferentes en las tres regiones;</w:t>
      </w:r>
    </w:p>
    <w:p w:rsidR="0080643C" w:rsidRPr="0088334C" w:rsidRDefault="0080643C" w:rsidP="0080643C">
      <w:pPr>
        <w:rPr>
          <w:lang w:val="es-ES_tradnl"/>
        </w:rPr>
      </w:pPr>
      <w:r w:rsidRPr="0088334C">
        <w:rPr>
          <w:lang w:val="es-ES_tradnl"/>
        </w:rPr>
        <w:t>c)</w:t>
      </w:r>
      <w:r w:rsidRPr="0088334C">
        <w:rPr>
          <w:lang w:val="es-ES_tradnl"/>
        </w:rPr>
        <w:tab/>
        <w:t>que las atribuciones mundiales pueden:</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simplificar el Cuadro de atribución de bandas de frecuencias;</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disminuir las exigencias de coordinación;</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facilitar la disponibilidad de equipos para los mercados internacionales y reducir los costes de producción, ayudando especialmente a hacer frente a los requisitos de los países en desarrollo;</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facilitar las actividades que dependen de equipos compatibles internacionalmente (por ejemplo, control de tráfico aéreo);</w:t>
      </w:r>
    </w:p>
    <w:p w:rsidR="0080643C" w:rsidRPr="0088334C" w:rsidRDefault="0080643C" w:rsidP="0080643C">
      <w:pPr>
        <w:rPr>
          <w:lang w:val="es-ES_tradnl"/>
        </w:rPr>
      </w:pPr>
      <w:r w:rsidRPr="0088334C">
        <w:rPr>
          <w:lang w:val="es-ES_tradnl"/>
        </w:rPr>
        <w:t>d)</w:t>
      </w:r>
      <w:r w:rsidRPr="0088334C">
        <w:rPr>
          <w:lang w:val="es-ES_tradnl"/>
        </w:rPr>
        <w:tab/>
        <w:t>que es necesario definir los factores que se han de tener en cuenta al evaluar la necesidad de una atribución mundial con respecto a atribuciones regionales separadas en una gama de frecuencias específica,</w:t>
      </w:r>
    </w:p>
    <w:p w:rsidR="0080643C" w:rsidRPr="0088334C" w:rsidRDefault="0080643C" w:rsidP="0080643C">
      <w:pPr>
        <w:pStyle w:val="call0"/>
        <w:rPr>
          <w:lang w:val="es-ES_tradnl"/>
        </w:rPr>
      </w:pPr>
      <w:r w:rsidRPr="0088334C">
        <w:rPr>
          <w:lang w:val="es-ES_tradnl"/>
        </w:rPr>
        <w:t>recomienda</w:t>
      </w:r>
    </w:p>
    <w:p w:rsidR="0080643C" w:rsidRDefault="0080643C" w:rsidP="0080643C">
      <w:pPr>
        <w:rPr>
          <w:lang w:val="es-ES_tradnl"/>
        </w:rPr>
      </w:pPr>
      <w:r w:rsidRPr="0088334C">
        <w:rPr>
          <w:b/>
          <w:lang w:val="es-ES_tradnl"/>
        </w:rPr>
        <w:t>1</w:t>
      </w:r>
      <w:r w:rsidRPr="0088334C">
        <w:rPr>
          <w:lang w:val="es-ES_tradnl"/>
        </w:rPr>
        <w:tab/>
        <w:t>que, al considerar una atribución a escala mundial en lugar de regional en una determinada gama de frecuencias, las administraciones tengan en cuenta los factores del Anexo 1.</w:t>
      </w:r>
    </w:p>
    <w:p w:rsidR="0080643C" w:rsidRDefault="0080643C" w:rsidP="0080643C">
      <w:pPr>
        <w:rPr>
          <w:lang w:val="es-ES_tradnl"/>
        </w:rPr>
      </w:pPr>
    </w:p>
    <w:p w:rsidR="0080643C" w:rsidRPr="0088334C" w:rsidRDefault="0080643C" w:rsidP="0080643C">
      <w:pPr>
        <w:rPr>
          <w:lang w:val="es-ES_tradnl"/>
        </w:rPr>
      </w:pPr>
    </w:p>
    <w:p w:rsidR="0080643C" w:rsidRPr="00D01111" w:rsidRDefault="0080643C" w:rsidP="0080643C">
      <w:pPr>
        <w:pStyle w:val="Annex"/>
        <w:rPr>
          <w:lang w:val="es-ES_tradnl"/>
        </w:rPr>
      </w:pPr>
      <w:r w:rsidRPr="00D01111">
        <w:rPr>
          <w:lang w:val="es-ES_tradnl"/>
        </w:rPr>
        <w:t>ANEXO  1</w:t>
      </w:r>
    </w:p>
    <w:p w:rsidR="0080643C" w:rsidRPr="00D01111" w:rsidRDefault="0080643C" w:rsidP="0080643C">
      <w:pPr>
        <w:pStyle w:val="AnnexTitle"/>
        <w:rPr>
          <w:lang w:val="es-ES_tradnl"/>
        </w:rPr>
      </w:pPr>
      <w:r w:rsidRPr="00D01111">
        <w:rPr>
          <w:lang w:val="es-ES_tradnl"/>
        </w:rPr>
        <w:t>Factores que intervienen en la atribución de espectro a escala mundial</w:t>
      </w:r>
    </w:p>
    <w:p w:rsidR="0080643C" w:rsidRPr="00D01111" w:rsidRDefault="0080643C" w:rsidP="0080643C">
      <w:pPr>
        <w:pStyle w:val="Heading1"/>
        <w:rPr>
          <w:lang w:val="es-ES_tradnl"/>
        </w:rPr>
      </w:pPr>
      <w:r w:rsidRPr="00D01111">
        <w:rPr>
          <w:lang w:val="es-ES_tradnl"/>
        </w:rPr>
        <w:t>1</w:t>
      </w:r>
      <w:r w:rsidRPr="00D01111">
        <w:rPr>
          <w:lang w:val="es-ES_tradnl"/>
        </w:rPr>
        <w:tab/>
        <w:t>Introducción</w:t>
      </w:r>
    </w:p>
    <w:p w:rsidR="0080643C" w:rsidRPr="0088334C" w:rsidRDefault="0080643C" w:rsidP="0080643C">
      <w:pPr>
        <w:rPr>
          <w:lang w:val="es-ES_tradnl"/>
        </w:rPr>
      </w:pPr>
      <w:r w:rsidRPr="0088334C">
        <w:rPr>
          <w:lang w:val="es-ES_tradnl"/>
        </w:rPr>
        <w:t>Al evaluar dónde se necesitan atribuciones mundiales se han de tener en cuenta varios factores. Los factores siguientes se han de enmarcar en el contexto del tiempo disponible para obtener una atribución mundial donde ya existen atribuciones regionales diferentes. La obtención de una atribución mundial exige un plazo considerable para planificar y organizar los numerosos aspectos del cambio de atribuciones o designaciones de servicio. Un planteamiento metódico de la realización de una atribución mundial no sólo permitirá resolver asuntos técnicos y operacionales, sino que tendrá en cuenta la vida útil de los equipos. Puede reducir asimismo la perturbación y deslocalización de los servicios, mientras permite que ciertos servicios regionales sigan funcionando a condición de que su explotación no retrase el programa de ejecución mundial.</w:t>
      </w:r>
    </w:p>
    <w:p w:rsidR="0080643C" w:rsidRPr="00D01111" w:rsidRDefault="0080643C" w:rsidP="0080643C">
      <w:pPr>
        <w:pStyle w:val="Heading1"/>
        <w:rPr>
          <w:lang w:val="es-ES_tradnl"/>
        </w:rPr>
      </w:pPr>
      <w:r w:rsidRPr="00D01111">
        <w:rPr>
          <w:lang w:val="es-ES_tradnl"/>
        </w:rPr>
        <w:lastRenderedPageBreak/>
        <w:t>2</w:t>
      </w:r>
      <w:r w:rsidRPr="00D01111">
        <w:rPr>
          <w:lang w:val="es-ES_tradnl"/>
        </w:rPr>
        <w:tab/>
        <w:t>Factores técnicos</w:t>
      </w:r>
    </w:p>
    <w:p w:rsidR="0080643C" w:rsidRPr="0088334C" w:rsidRDefault="0080643C" w:rsidP="0080643C">
      <w:pPr>
        <w:rPr>
          <w:lang w:val="es-ES_tradnl"/>
        </w:rPr>
      </w:pPr>
      <w:r w:rsidRPr="0088334C">
        <w:rPr>
          <w:lang w:val="es-ES_tradnl"/>
        </w:rPr>
        <w:t>En la atribución de espectro se han de tener en cuenta factores técnicos, principalmente de propagación de frecuencias y de ubicación espacial. La comunicación de señales a larga distancia no puede limitarse a un asunto de coordinación en las fronteras, debido a las características de propagación (principalmente de las ondas decamétricas). Los sistemas espaciales con zonas de transmisión muy amplias requieren a menudo atribuciones mundiales; no obstante, en algunos casos, los sistemas espaciales pueden modificar las frecuencias en función de la dirección de transmisión o la posición del satélite durante la misma.</w:t>
      </w:r>
    </w:p>
    <w:p w:rsidR="0080643C" w:rsidRPr="00D01111" w:rsidRDefault="0080643C" w:rsidP="0080643C">
      <w:pPr>
        <w:pStyle w:val="Heading1"/>
        <w:rPr>
          <w:lang w:val="es-ES_tradnl"/>
        </w:rPr>
      </w:pPr>
      <w:r w:rsidRPr="00D01111">
        <w:rPr>
          <w:lang w:val="es-ES_tradnl"/>
        </w:rPr>
        <w:t>3</w:t>
      </w:r>
      <w:r w:rsidRPr="00D01111">
        <w:rPr>
          <w:lang w:val="es-ES_tradnl"/>
        </w:rPr>
        <w:tab/>
        <w:t>Factores operacionales</w:t>
      </w:r>
    </w:p>
    <w:p w:rsidR="0080643C" w:rsidRPr="0088334C" w:rsidRDefault="0080643C" w:rsidP="0080643C">
      <w:pPr>
        <w:rPr>
          <w:lang w:val="es-ES_tradnl"/>
        </w:rPr>
      </w:pPr>
      <w:r w:rsidRPr="0088334C">
        <w:rPr>
          <w:lang w:val="es-ES_tradnl"/>
        </w:rPr>
        <w:t>Ciertos servicios radioeléctricos requieren una atribución a escala mundial porque sus funciones exigen una movilidad de explotación y/o un interfuncionamiento internacional. Ciertas funciones operacionales, como los servicios móviles marítimo y aeronáutico, requieren a menudo planes mundiales de atribución y/o disposición de canales. Los servicios que suelen requerir atribuciones mundiales son, por ejemplo:</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servicio móvil aeronáutico (R) y (OR),</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servicio móvil marítimo,</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servicios de seguridad (es decir, radionavegación y señalización de socorro),</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servicio de radioastronomía,</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servicios espaciales,</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servicios por debajo de 30 MHz.</w:t>
      </w:r>
    </w:p>
    <w:p w:rsidR="0080643C" w:rsidRPr="0088334C" w:rsidRDefault="0080643C" w:rsidP="0080643C">
      <w:pPr>
        <w:rPr>
          <w:lang w:val="es-ES_tradnl"/>
        </w:rPr>
      </w:pPr>
      <w:r w:rsidRPr="0088334C">
        <w:rPr>
          <w:lang w:val="es-ES_tradnl"/>
        </w:rPr>
        <w:t>Otros sistemas radioeléctricos requieren atribuciones mundiales porque ofrecen, o son capaces de ofrecer, un servicio mundial a todas las administraciones que lo deseen. Son, por ejemplo:</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los servicios móviles por satélite explotados por proveedores de telecomunicaciones de los sectores público y privado,</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los servicios fijos por satélite,</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los servicios de radionavegación por satélite,</w:t>
      </w:r>
    </w:p>
    <w:p w:rsidR="0080643C" w:rsidRPr="0088334C" w:rsidRDefault="0080643C" w:rsidP="0080643C">
      <w:pPr>
        <w:pStyle w:val="enumlev1"/>
        <w:rPr>
          <w:sz w:val="20"/>
          <w:lang w:val="es-ES_tradnl"/>
        </w:rPr>
      </w:pPr>
      <w:r w:rsidRPr="0088334C">
        <w:rPr>
          <w:sz w:val="20"/>
          <w:lang w:val="es-ES_tradnl"/>
        </w:rPr>
        <w:t>–</w:t>
      </w:r>
      <w:r w:rsidRPr="0088334C">
        <w:rPr>
          <w:sz w:val="20"/>
          <w:lang w:val="es-ES_tradnl"/>
        </w:rPr>
        <w:tab/>
        <w:t>los servicios móviles terrestres</w:t>
      </w:r>
      <w:r w:rsidR="00B50133">
        <w:rPr>
          <w:sz w:val="20"/>
          <w:lang w:val="es-ES_tradnl"/>
        </w:rPr>
        <w:t xml:space="preserve"> como los ofrecidos por los I</w:t>
      </w:r>
      <w:r w:rsidRPr="0088334C">
        <w:rPr>
          <w:sz w:val="20"/>
          <w:lang w:val="es-ES_tradnl"/>
        </w:rPr>
        <w:t>MT.</w:t>
      </w:r>
    </w:p>
    <w:p w:rsidR="0080643C" w:rsidRPr="00D01111" w:rsidRDefault="0080643C" w:rsidP="0080643C">
      <w:pPr>
        <w:pStyle w:val="Heading1"/>
        <w:rPr>
          <w:lang w:val="es-ES_tradnl"/>
        </w:rPr>
      </w:pPr>
      <w:r w:rsidRPr="00D01111">
        <w:rPr>
          <w:lang w:val="es-ES_tradnl"/>
        </w:rPr>
        <w:t>4</w:t>
      </w:r>
      <w:r w:rsidRPr="00D01111">
        <w:rPr>
          <w:lang w:val="es-ES_tradnl"/>
        </w:rPr>
        <w:tab/>
        <w:t>Factores económicos</w:t>
      </w:r>
    </w:p>
    <w:p w:rsidR="0080643C" w:rsidRPr="0088334C" w:rsidRDefault="0080643C" w:rsidP="0080643C">
      <w:pPr>
        <w:rPr>
          <w:lang w:val="es-ES_tradnl"/>
        </w:rPr>
      </w:pPr>
      <w:r w:rsidRPr="0088334C">
        <w:rPr>
          <w:lang w:val="es-ES_tradnl"/>
        </w:rPr>
        <w:t>Se han de tener en cuenta los costes de atribución de espectro a escala mundial con respecto a las ventajas obtenidas. Las atribuciones mundiales pueden facilitar el desarrollo de equipos para los mercados internacionales y entrañar una posible reducción de los costes de los equipos y simplificar su adquisición. No obstante, la reasignación de frecuencias de equipos existentes no siempre es posible debido a las limitaciones de los equipos o porque el cambio necesario puede perjudicar a los servicios existentes. Por lo tanto, los costes pueden comprender parámetros como la eliminación de equipos que funcionan de acuerdo con atribuciones regionales no alineadas y las pérdidas sufridas por fabricantes de equipos que han realizado grandes inversiones en la tecnología correspondiente. Las mejoras técnicas como los sintetizadores de frecuencias disminuyen los costes asociados con los cambios de frecuencia; también disminuyen los costes asociados con atribuciones regionales diferentes, como las ineficacias de producción y la disponibilidad comercial.</w:t>
      </w:r>
    </w:p>
    <w:p w:rsidR="0080643C" w:rsidRPr="00D01111" w:rsidRDefault="0080643C" w:rsidP="0080643C">
      <w:pPr>
        <w:pStyle w:val="Heading1"/>
        <w:rPr>
          <w:lang w:val="es-ES_tradnl"/>
        </w:rPr>
      </w:pPr>
      <w:r w:rsidRPr="00D01111">
        <w:rPr>
          <w:lang w:val="es-ES_tradnl"/>
        </w:rPr>
        <w:t>5</w:t>
      </w:r>
      <w:r w:rsidRPr="00D01111">
        <w:rPr>
          <w:lang w:val="es-ES_tradnl"/>
        </w:rPr>
        <w:tab/>
        <w:t>Otros factores</w:t>
      </w:r>
    </w:p>
    <w:p w:rsidR="0080643C" w:rsidRPr="0088334C" w:rsidRDefault="0080643C" w:rsidP="0080643C">
      <w:pPr>
        <w:rPr>
          <w:lang w:val="es-ES_tradnl"/>
        </w:rPr>
      </w:pPr>
      <w:r w:rsidRPr="0088334C">
        <w:rPr>
          <w:lang w:val="es-ES_tradnl"/>
        </w:rPr>
        <w:t>En el Cuadro de atribución de bandas de frecuencias del RR, las administraciones pueden indicar por vía de notas que se apartan de una atribución determinada. En tales casos se habla de atribuciones adicionales o alternativas. Aunque estas atribuciones pueden tener influencias perturbadoras, son una cuestión de soberanía nacional y de flexibilidad, y la eliminación de atribuciones regionales no suprimirá la existencia de estas excepciones.</w:t>
      </w:r>
    </w:p>
    <w:p w:rsidR="0080643C" w:rsidRPr="00D01111" w:rsidRDefault="0080643C" w:rsidP="0080643C">
      <w:pPr>
        <w:rPr>
          <w:lang w:val="es-ES_tradnl"/>
        </w:rPr>
      </w:pPr>
    </w:p>
    <w:p w:rsidR="0080643C" w:rsidRPr="00D01111" w:rsidRDefault="0080643C" w:rsidP="0080643C">
      <w:pPr>
        <w:pStyle w:val="Line"/>
        <w:rPr>
          <w:lang w:val="es-ES_tradnl"/>
        </w:rPr>
      </w:pPr>
    </w:p>
    <w:p w:rsidR="0080643C" w:rsidRDefault="0080643C" w:rsidP="0080643C">
      <w:pPr>
        <w:rPr>
          <w:lang w:val="es-ES_tradnl" w:eastAsia="en-US"/>
        </w:rPr>
      </w:pPr>
    </w:p>
    <w:p w:rsidR="0080643C" w:rsidRPr="0080643C" w:rsidRDefault="0080643C" w:rsidP="0080643C">
      <w:pPr>
        <w:rPr>
          <w:lang w:val="es-ES_tradnl" w:eastAsia="en-US"/>
        </w:rPr>
      </w:pPr>
    </w:p>
    <w:sectPr w:rsidR="0080643C" w:rsidRPr="0080643C" w:rsidSect="00292592">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43C" w:rsidRDefault="0080643C">
      <w:r>
        <w:separator/>
      </w:r>
    </w:p>
  </w:endnote>
  <w:endnote w:type="continuationSeparator" w:id="0">
    <w:p w:rsidR="0080643C" w:rsidRDefault="0080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43C" w:rsidRDefault="0080643C">
      <w:r>
        <w:separator/>
      </w:r>
    </w:p>
  </w:footnote>
  <w:footnote w:type="continuationSeparator" w:id="0">
    <w:p w:rsidR="0080643C" w:rsidRDefault="0080643C">
      <w:r>
        <w:continuationSeparator/>
      </w:r>
    </w:p>
  </w:footnote>
  <w:footnote w:id="1">
    <w:p w:rsidR="0080643C" w:rsidRPr="00CF03F4" w:rsidRDefault="0080643C" w:rsidP="0080643C">
      <w:pPr>
        <w:pStyle w:val="FootnoteText"/>
        <w:rPr>
          <w:sz w:val="16"/>
          <w:lang w:val="es-ES_tradnl"/>
        </w:rPr>
      </w:pPr>
      <w:r w:rsidRPr="00CF03F4">
        <w:rPr>
          <w:rStyle w:val="FootnoteReference"/>
          <w:sz w:val="16"/>
          <w:lang w:val="es-ES_tradnl"/>
        </w:rPr>
        <w:t>*</w:t>
      </w:r>
      <w:r w:rsidRPr="00CF03F4">
        <w:rPr>
          <w:sz w:val="16"/>
          <w:lang w:val="es-ES_tradnl"/>
        </w:rPr>
        <w:t xml:space="preserve"> </w:t>
      </w:r>
      <w:r w:rsidRPr="00CF03F4">
        <w:rPr>
          <w:sz w:val="16"/>
          <w:lang w:val="es-ES_tradnl"/>
        </w:rPr>
        <w:tab/>
      </w:r>
      <w:r w:rsidRPr="009B3F81">
        <w:rPr>
          <w:sz w:val="18"/>
          <w:lang w:val="es-ES_tradnl"/>
        </w:rPr>
        <w:t>Esta Recomendación debe señalarse a la atención de las Comisiones de Estudio 1 y 2 de Desarrollo de las Telecomunicaciones</w:t>
      </w:r>
      <w:r>
        <w:rPr>
          <w:sz w:val="18"/>
          <w:lang w:val="es-ES_tradnl"/>
        </w:rPr>
        <w:t xml:space="preserve"> </w:t>
      </w:r>
      <w:r w:rsidRPr="009B3F81">
        <w:rPr>
          <w:sz w:val="18"/>
          <w:lang w:val="es-ES_tradnl"/>
        </w:rPr>
        <w:t>(UIT-D).</w:t>
      </w:r>
    </w:p>
  </w:footnote>
  <w:footnote w:id="2">
    <w:p w:rsidR="0080643C" w:rsidRPr="00643B38" w:rsidRDefault="0080643C" w:rsidP="00673C5C">
      <w:pPr>
        <w:pStyle w:val="FootnoteText"/>
        <w:rPr>
          <w:lang w:val="es-ES_tradnl"/>
        </w:rPr>
      </w:pPr>
      <w:r w:rsidRPr="009B3F81">
        <w:rPr>
          <w:rStyle w:val="FootnoteReference"/>
          <w:sz w:val="16"/>
          <w:lang w:val="es-ES_tradnl"/>
        </w:rPr>
        <w:t>**</w:t>
      </w:r>
      <w:r w:rsidRPr="00643B38">
        <w:rPr>
          <w:lang w:val="es-ES_tradnl"/>
        </w:rPr>
        <w:t xml:space="preserve"> </w:t>
      </w:r>
      <w:r>
        <w:rPr>
          <w:lang w:val="es-ES_tradnl"/>
        </w:rPr>
        <w:tab/>
      </w:r>
      <w:r w:rsidRPr="009B3F81">
        <w:rPr>
          <w:sz w:val="18"/>
          <w:lang w:val="es-ES_tradnl"/>
        </w:rPr>
        <w:t>La Comisión de Estudio 1 de Radiocomunicaciones introdujo algunas modificaciones redaccionales en esta Recomendación en</w:t>
      </w:r>
      <w:r>
        <w:rPr>
          <w:sz w:val="18"/>
          <w:lang w:val="es-ES_tradnl"/>
        </w:rPr>
        <w:t> </w:t>
      </w:r>
      <w:r w:rsidRPr="009B3F81">
        <w:rPr>
          <w:sz w:val="18"/>
          <w:lang w:val="es-ES_tradnl"/>
        </w:rPr>
        <w:t>2011</w:t>
      </w:r>
      <w:r w:rsidR="00673C5C">
        <w:rPr>
          <w:sz w:val="18"/>
          <w:lang w:val="es-ES_tradnl"/>
        </w:rPr>
        <w:t xml:space="preserve"> y 2015</w:t>
      </w:r>
      <w:r w:rsidRPr="009B3F81">
        <w:rPr>
          <w:sz w:val="18"/>
          <w:lang w:val="es-ES_tradnl"/>
        </w:rPr>
        <w:t>,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43C" w:rsidRDefault="0080643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43C" w:rsidRDefault="0080643C" w:rsidP="00D62884">
    <w:pPr>
      <w:pStyle w:val="Header"/>
      <w:ind w:right="360" w:firstLine="360"/>
    </w:pPr>
    <w:r>
      <w:rPr>
        <w:noProof/>
        <w:lang w:val="en-US" w:eastAsia="zh-CN"/>
      </w:rPr>
      <w:drawing>
        <wp:anchor distT="0" distB="0" distL="114300" distR="114300" simplePos="0" relativeHeight="251659264" behindDoc="1" locked="0" layoutInCell="1" allowOverlap="1" wp14:anchorId="3D848545" wp14:editId="1FF97D43">
          <wp:simplePos x="0" y="0"/>
          <wp:positionH relativeFrom="page">
            <wp:posOffset>0</wp:posOffset>
          </wp:positionH>
          <wp:positionV relativeFrom="page">
            <wp:posOffset>0</wp:posOffset>
          </wp:positionV>
          <wp:extent cx="7592060" cy="10760075"/>
          <wp:effectExtent l="0" t="0" r="8890" b="3175"/>
          <wp:wrapNone/>
          <wp:docPr id="2" name="Picture 1" descr="Description: 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43C" w:rsidRDefault="0080643C" w:rsidP="008064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5160">
      <w:rPr>
        <w:rStyle w:val="PageNumber"/>
        <w:b/>
        <w:bCs/>
        <w:noProof/>
        <w:lang w:val="en-US"/>
      </w:rPr>
      <w:t>ii</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55160" w:rsidRPr="00E5516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55160">
      <w:rPr>
        <w:b/>
        <w:bCs/>
        <w:noProof/>
      </w:rPr>
      <w:t>SM.1131-1</w:t>
    </w:r>
    <w:r>
      <w:rPr>
        <w:b/>
        <w:bCs/>
      </w:rPr>
      <w:fldChar w:fldCharType="end"/>
    </w:r>
  </w:p>
  <w:p w:rsidR="0080643C" w:rsidRPr="0080643C" w:rsidRDefault="0080643C" w:rsidP="0080643C">
    <w:pPr>
      <w:pStyle w:val="Header"/>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43C" w:rsidRDefault="0080643C">
    <w:pPr>
      <w:pStyle w:val="Header"/>
    </w:pPr>
    <w:r>
      <w:tab/>
    </w:r>
    <w:r>
      <w:fldChar w:fldCharType="begin"/>
    </w:r>
    <w:r w:rsidRPr="0080643C">
      <w:rPr>
        <w:lang w:val="en-US"/>
      </w:rPr>
      <w:instrText xml:space="preserve"> DOCPROPERTY "Header" \* MERGEFORMAT </w:instrText>
    </w:r>
    <w:r>
      <w:fldChar w:fldCharType="separate"/>
    </w:r>
    <w:r w:rsidR="00E55160">
      <w:rPr>
        <w:lang w:val="en-US"/>
      </w:rPr>
      <w:t xml:space="preserve">Rec. </w:t>
    </w:r>
    <w:r>
      <w:rPr>
        <w:lang w:val="en-US"/>
      </w:rPr>
      <w:fldChar w:fldCharType="end"/>
    </w:r>
    <w:r w:rsidRPr="0080643C">
      <w:rPr>
        <w:lang w:val="en-US"/>
      </w:rPr>
      <w:t xml:space="preserve">  </w:t>
    </w:r>
    <w:r>
      <w:rPr>
        <w:b/>
        <w:bCs/>
      </w:rPr>
      <w:fldChar w:fldCharType="begin"/>
    </w:r>
    <w:r w:rsidRPr="0080643C">
      <w:rPr>
        <w:lang w:val="en-US"/>
      </w:rPr>
      <w:instrText>styleref href</w:instrText>
    </w:r>
    <w:r>
      <w:rPr>
        <w:b/>
        <w:bCs/>
      </w:rPr>
      <w:fldChar w:fldCharType="separate"/>
    </w:r>
    <w:r w:rsidR="00E55160">
      <w:rPr>
        <w:b/>
        <w:bCs/>
        <w:noProof/>
      </w:rPr>
      <w:t>SM.1131-1</w:t>
    </w:r>
    <w:r>
      <w:rPr>
        <w:b/>
        <w:bCs/>
      </w:rPr>
      <w:fldChar w:fldCharType="end"/>
    </w:r>
    <w:r w:rsidRPr="0080643C">
      <w:rPr>
        <w:lang w:val="en-US"/>
      </w:rPr>
      <w:tab/>
    </w:r>
    <w:r>
      <w:rPr>
        <w:rStyle w:val="PageNumber"/>
        <w:b/>
        <w:bCs/>
      </w:rPr>
      <w:fldChar w:fldCharType="begin"/>
    </w:r>
    <w:r w:rsidRPr="0080643C">
      <w:rPr>
        <w:rStyle w:val="PageNumber"/>
        <w:lang w:val="en-US"/>
      </w:rPr>
      <w:instrText xml:space="preserve"> PAGE </w:instrText>
    </w:r>
    <w:r>
      <w:rPr>
        <w:rStyle w:val="PageNumber"/>
        <w:b/>
        <w:bCs/>
      </w:rPr>
      <w:fldChar w:fldCharType="separate"/>
    </w:r>
    <w:r w:rsidR="00A86ADF">
      <w:rPr>
        <w:rStyle w:val="PageNumber"/>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55160">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55160" w:rsidRPr="00E55160">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55160">
      <w:rPr>
        <w:b/>
        <w:bCs/>
        <w:noProof/>
      </w:rPr>
      <w:t>SM.1131-1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E55160" w:rsidRPr="00E5516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55160">
      <w:rPr>
        <w:b/>
        <w:bCs/>
        <w:noProof/>
      </w:rPr>
      <w:t>SM.1131-1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55160">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43C"/>
    <w:rsid w:val="00217EBF"/>
    <w:rsid w:val="00292592"/>
    <w:rsid w:val="002D76C4"/>
    <w:rsid w:val="0034675F"/>
    <w:rsid w:val="00607D68"/>
    <w:rsid w:val="00673C5C"/>
    <w:rsid w:val="007468DA"/>
    <w:rsid w:val="007904A2"/>
    <w:rsid w:val="0080643C"/>
    <w:rsid w:val="009E00A8"/>
    <w:rsid w:val="00A6617B"/>
    <w:rsid w:val="00A86ADF"/>
    <w:rsid w:val="00AB0DC8"/>
    <w:rsid w:val="00B44E24"/>
    <w:rsid w:val="00B50133"/>
    <w:rsid w:val="00DB6768"/>
    <w:rsid w:val="00DF4176"/>
    <w:rsid w:val="00E55160"/>
    <w:rsid w:val="00FF60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29FC237-6B27-41CF-ADD1-F8FA61379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079"/>
    <w:pPr>
      <w:tabs>
        <w:tab w:val="left" w:pos="794"/>
        <w:tab w:val="left" w:pos="1191"/>
        <w:tab w:val="left" w:pos="1588"/>
        <w:tab w:val="left" w:pos="1985"/>
      </w:tabs>
      <w:overflowPunct w:val="0"/>
      <w:autoSpaceDE w:val="0"/>
      <w:autoSpaceDN w:val="0"/>
      <w:adjustRightInd w:val="0"/>
      <w:spacing w:before="136"/>
      <w:jc w:val="both"/>
      <w:textAlignment w:val="baseline"/>
    </w:pPr>
    <w:rPr>
      <w:lang w:val="en-GB"/>
    </w:rPr>
  </w:style>
  <w:style w:type="paragraph" w:styleId="Heading1">
    <w:name w:val="heading 1"/>
    <w:basedOn w:val="Normal"/>
    <w:next w:val="Normal"/>
    <w:link w:val="Heading1Char"/>
    <w:qFormat/>
    <w:pPr>
      <w:keepNext/>
      <w:keepLines/>
      <w:spacing w:before="480"/>
      <w:ind w:left="794" w:hanging="794"/>
      <w:outlineLvl w:val="0"/>
    </w:pPr>
    <w:rPr>
      <w:b/>
      <w:sz w:val="24"/>
      <w:lang w:val="fr-FR" w:eastAsia="en-US"/>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rPr>
      <w:sz w:val="24"/>
      <w:lang w:val="fr-FR" w:eastAsia="en-US"/>
    </w:rPr>
  </w:style>
  <w:style w:type="paragraph" w:styleId="Footer">
    <w:name w:val="footer"/>
    <w:basedOn w:val="Normal"/>
    <w:pPr>
      <w:tabs>
        <w:tab w:val="clear" w:pos="794"/>
        <w:tab w:val="clear" w:pos="1191"/>
        <w:tab w:val="clear" w:pos="1588"/>
        <w:tab w:val="clear" w:pos="1985"/>
      </w:tabs>
      <w:spacing w:before="0"/>
    </w:pPr>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rPr>
      <w:sz w:val="24"/>
      <w:lang w:val="fr-FR" w:eastAsia="en-US"/>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rPr>
      <w:sz w:val="24"/>
      <w:lang w:val="fr-FR" w:eastAsia="en-US"/>
    </w:rPr>
  </w:style>
  <w:style w:type="paragraph" w:customStyle="1" w:styleId="Note">
    <w:name w:val="Note"/>
    <w:basedOn w:val="Normal"/>
    <w:pPr>
      <w:tabs>
        <w:tab w:val="clear" w:pos="794"/>
        <w:tab w:val="clear" w:pos="1191"/>
        <w:tab w:val="clear" w:pos="1588"/>
        <w:tab w:val="clear" w:pos="1985"/>
      </w:tabs>
      <w:spacing w:before="80"/>
    </w:pPr>
    <w:rPr>
      <w:sz w:val="22"/>
      <w:lang w:val="fr-FR" w:eastAsia="en-US"/>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lang w:val="fr-FR" w:eastAsia="en-US"/>
    </w:rPr>
  </w:style>
  <w:style w:type="paragraph" w:customStyle="1" w:styleId="HeadingSum">
    <w:name w:val="Heading_Sum"/>
    <w:basedOn w:val="Headingb"/>
    <w:next w:val="Normal"/>
    <w:autoRedefine/>
    <w:rsid w:val="009E00A8"/>
    <w:pPr>
      <w:spacing w:before="240"/>
    </w:pPr>
    <w:rPr>
      <w:lang w:val="es-ES_tradnl"/>
    </w:rPr>
  </w:style>
  <w:style w:type="paragraph" w:customStyle="1" w:styleId="Recref">
    <w:name w:val="Rec_ref"/>
    <w:basedOn w:val="Normal"/>
    <w:next w:val="Recdate"/>
    <w:pPr>
      <w:spacing w:before="120"/>
      <w:jc w:val="center"/>
    </w:pPr>
    <w:rPr>
      <w:sz w:val="24"/>
      <w:lang w:val="fr-FR" w:eastAsia="en-US"/>
    </w:r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lang w:val="fr-FR" w:eastAsia="en-US"/>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lang w:eastAsia="en-US"/>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eastAsia="en-US"/>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lang w:val="fr-FR" w:eastAsia="en-US"/>
    </w:rPr>
  </w:style>
  <w:style w:type="paragraph" w:customStyle="1" w:styleId="TableNo">
    <w:name w:val="Table_No"/>
    <w:basedOn w:val="Normal"/>
    <w:next w:val="Normal"/>
    <w:pPr>
      <w:keepNext/>
      <w:spacing w:before="360" w:after="120"/>
      <w:jc w:val="center"/>
    </w:pPr>
    <w:rPr>
      <w:sz w:val="24"/>
      <w:lang w:val="fr-FR" w:eastAsia="en-US"/>
    </w:r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eastAsia="en-US"/>
    </w:rPr>
  </w:style>
  <w:style w:type="paragraph" w:customStyle="1" w:styleId="Equation">
    <w:name w:val="Equation"/>
    <w:basedOn w:val="Normal"/>
    <w:pPr>
      <w:tabs>
        <w:tab w:val="clear" w:pos="1191"/>
        <w:tab w:val="clear" w:pos="1588"/>
        <w:tab w:val="clear" w:pos="1985"/>
        <w:tab w:val="center" w:pos="4820"/>
        <w:tab w:val="right" w:pos="9639"/>
      </w:tabs>
      <w:spacing w:before="120"/>
    </w:pPr>
    <w:rPr>
      <w:sz w:val="24"/>
      <w:lang w:val="fr-FR" w:eastAsia="en-US"/>
    </w:r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spacing w:before="120"/>
      <w:ind w:left="794"/>
    </w:pPr>
    <w:rPr>
      <w:sz w:val="24"/>
      <w:lang w:val="fr-FR" w:eastAsia="en-US"/>
    </w:r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lang w:val="fr-FR" w:eastAsia="en-US"/>
    </w:rPr>
  </w:style>
  <w:style w:type="paragraph" w:customStyle="1" w:styleId="FigureNo">
    <w:name w:val="Figure_No"/>
    <w:basedOn w:val="Normal"/>
    <w:next w:val="Figuretitle"/>
    <w:rsid w:val="00DF4176"/>
    <w:pPr>
      <w:keepNext/>
      <w:keepLines/>
      <w:spacing w:before="480" w:after="80"/>
      <w:jc w:val="center"/>
    </w:pPr>
    <w:rPr>
      <w:caps/>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spacing w:before="120"/>
      <w:ind w:left="2693" w:hanging="2693"/>
    </w:pPr>
    <w:rPr>
      <w:sz w:val="24"/>
      <w:lang w:val="fr-FR" w:eastAsia="en-US"/>
    </w:rPr>
  </w:style>
  <w:style w:type="paragraph" w:customStyle="1" w:styleId="ArtNo">
    <w:name w:val="Art_No"/>
    <w:basedOn w:val="Normal"/>
    <w:next w:val="Normal"/>
    <w:pPr>
      <w:keepNext/>
      <w:keepLines/>
      <w:spacing w:before="480"/>
      <w:jc w:val="center"/>
    </w:pPr>
    <w:rPr>
      <w:sz w:val="28"/>
      <w:lang w:val="fr-FR" w:eastAsia="en-US"/>
    </w:rPr>
  </w:style>
  <w:style w:type="paragraph" w:customStyle="1" w:styleId="Arttitle">
    <w:name w:val="Art_title"/>
    <w:basedOn w:val="Normal"/>
    <w:next w:val="Normalaftertitle"/>
    <w:pPr>
      <w:keepNext/>
      <w:keepLines/>
      <w:spacing w:before="240"/>
      <w:jc w:val="center"/>
    </w:pPr>
    <w:rPr>
      <w:b/>
      <w:sz w:val="28"/>
      <w:lang w:val="fr-FR" w:eastAsia="en-US"/>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eastAsia="en-US"/>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lang w:val="fr-FR" w:eastAsia="en-US"/>
    </w:rPr>
  </w:style>
  <w:style w:type="paragraph" w:customStyle="1" w:styleId="Call">
    <w:name w:val="Call"/>
    <w:basedOn w:val="Normal"/>
    <w:next w:val="Normal"/>
    <w:pPr>
      <w:keepNext/>
      <w:keepLines/>
      <w:spacing w:before="160"/>
      <w:ind w:left="794"/>
    </w:pPr>
    <w:rPr>
      <w:i/>
      <w:sz w:val="24"/>
      <w:lang w:val="fr-FR" w:eastAsia="en-US"/>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spacing w:before="120"/>
      <w:ind w:left="255" w:hanging="255"/>
    </w:pPr>
    <w:rPr>
      <w:sz w:val="22"/>
      <w:lang w:val="fr-FR" w:eastAsia="en-US"/>
    </w:rPr>
  </w:style>
  <w:style w:type="paragraph" w:styleId="Index1">
    <w:name w:val="index 1"/>
    <w:basedOn w:val="Normal"/>
    <w:next w:val="Normal"/>
    <w:semiHidden/>
    <w:pPr>
      <w:spacing w:before="120"/>
    </w:pPr>
    <w:rPr>
      <w:sz w:val="24"/>
      <w:lang w:val="fr-FR" w:eastAsia="en-US"/>
    </w:rPr>
  </w:style>
  <w:style w:type="paragraph" w:styleId="Index2">
    <w:name w:val="index 2"/>
    <w:basedOn w:val="Normal"/>
    <w:next w:val="Normal"/>
    <w:semiHidden/>
    <w:pPr>
      <w:spacing w:before="120"/>
      <w:ind w:left="283"/>
    </w:pPr>
    <w:rPr>
      <w:sz w:val="24"/>
      <w:lang w:val="fr-FR" w:eastAsia="en-US"/>
    </w:rPr>
  </w:style>
  <w:style w:type="paragraph" w:styleId="Index3">
    <w:name w:val="index 3"/>
    <w:basedOn w:val="Normal"/>
    <w:next w:val="Normal"/>
    <w:semiHidden/>
    <w:pPr>
      <w:spacing w:before="120"/>
      <w:ind w:left="566"/>
    </w:pPr>
    <w:rPr>
      <w:sz w:val="24"/>
      <w:lang w:val="fr-FR" w:eastAsia="en-US"/>
    </w:rPr>
  </w:style>
  <w:style w:type="paragraph" w:styleId="IndexHeading">
    <w:name w:val="index heading"/>
    <w:basedOn w:val="Normal"/>
    <w:next w:val="Index1"/>
    <w:semiHidden/>
    <w:pPr>
      <w:spacing w:before="120"/>
    </w:pPr>
    <w:rPr>
      <w:sz w:val="24"/>
      <w:lang w:val="fr-FR" w:eastAsia="en-US"/>
    </w:rPr>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lang w:eastAsia="en-US"/>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spacing w:before="120"/>
      <w:ind w:left="2693" w:right="964" w:hanging="2693"/>
    </w:pPr>
    <w:rPr>
      <w:sz w:val="24"/>
      <w:lang w:val="fr-FR" w:eastAsia="en-US"/>
    </w:rPr>
  </w:style>
  <w:style w:type="paragraph" w:customStyle="1" w:styleId="PartNo">
    <w:name w:val="Part_No"/>
    <w:basedOn w:val="Normal"/>
    <w:next w:val="Normal"/>
    <w:pPr>
      <w:spacing w:before="120"/>
    </w:pPr>
    <w:rPr>
      <w:sz w:val="24"/>
      <w:lang w:val="fr-FR" w:eastAsia="en-US"/>
    </w:rPr>
  </w:style>
  <w:style w:type="paragraph" w:customStyle="1" w:styleId="Partref">
    <w:name w:val="Part_ref"/>
    <w:basedOn w:val="Normal"/>
    <w:next w:val="Normal"/>
    <w:pPr>
      <w:keepNext/>
      <w:keepLines/>
      <w:spacing w:before="120" w:after="280"/>
      <w:jc w:val="center"/>
    </w:pPr>
    <w:rPr>
      <w:sz w:val="24"/>
      <w:lang w:val="fr-FR" w:eastAsia="en-US"/>
    </w:r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lang w:val="fr-FR" w:eastAsia="en-US"/>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pPr>
      <w:spacing w:before="120"/>
    </w:pPr>
    <w:rPr>
      <w:sz w:val="24"/>
      <w:lang w:val="fr-FR" w:eastAsia="en-US"/>
    </w:rPr>
  </w:style>
  <w:style w:type="paragraph" w:customStyle="1" w:styleId="Reftext">
    <w:name w:val="Ref_text"/>
    <w:basedOn w:val="Normal"/>
    <w:pPr>
      <w:spacing w:before="120"/>
      <w:ind w:left="794" w:hanging="794"/>
    </w:pPr>
    <w:rPr>
      <w:sz w:val="22"/>
      <w:lang w:val="fr-FR" w:eastAsia="en-US"/>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lang w:val="fr-FR" w:eastAsia="en-US"/>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lang w:val="fr-FR" w:eastAsia="en-US"/>
    </w:rPr>
  </w:style>
  <w:style w:type="paragraph" w:customStyle="1" w:styleId="SectionNo">
    <w:name w:val="Section_No"/>
    <w:basedOn w:val="Normal"/>
    <w:next w:val="Normal"/>
    <w:pPr>
      <w:spacing w:before="120"/>
    </w:pPr>
    <w:rPr>
      <w:sz w:val="24"/>
      <w:lang w:val="fr-FR" w:eastAsia="en-US"/>
    </w:rPr>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lang w:val="fr-FR" w:eastAsia="en-US"/>
    </w:rPr>
  </w:style>
  <w:style w:type="paragraph" w:customStyle="1" w:styleId="toc0">
    <w:name w:val="toc 0"/>
    <w:basedOn w:val="Normal"/>
    <w:next w:val="TOC1"/>
    <w:pPr>
      <w:tabs>
        <w:tab w:val="clear" w:pos="794"/>
        <w:tab w:val="clear" w:pos="1191"/>
        <w:tab w:val="clear" w:pos="1588"/>
        <w:tab w:val="clear" w:pos="1985"/>
        <w:tab w:val="right" w:pos="9611"/>
      </w:tabs>
      <w:spacing w:before="120"/>
    </w:pPr>
    <w:rPr>
      <w:i/>
      <w:sz w:val="24"/>
      <w:lang w:val="fr-FR" w:eastAsia="en-US"/>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sz w:val="24"/>
      <w:lang w:val="en-US" w:eastAsia="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lang w:val="fr-FR" w:eastAsia="en-US"/>
    </w:rPr>
  </w:style>
  <w:style w:type="paragraph" w:customStyle="1" w:styleId="Annexref">
    <w:name w:val="Annex_ref"/>
    <w:basedOn w:val="Normal"/>
    <w:next w:val="Normalaftertitle"/>
    <w:pPr>
      <w:keepNext/>
      <w:keepLines/>
      <w:spacing w:before="120" w:after="280"/>
      <w:jc w:val="center"/>
    </w:pPr>
    <w:rPr>
      <w:sz w:val="24"/>
      <w:lang w:val="fr-FR" w:eastAsia="en-US"/>
    </w:r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lang w:val="fr-FR" w:eastAsia="en-US"/>
    </w:rPr>
  </w:style>
  <w:style w:type="paragraph" w:customStyle="1" w:styleId="Tabletitle">
    <w:name w:val="Table_title"/>
    <w:basedOn w:val="Normal"/>
    <w:next w:val="Tablehead"/>
    <w:pPr>
      <w:keepNext/>
      <w:spacing w:before="0" w:after="120"/>
      <w:jc w:val="center"/>
    </w:pPr>
    <w:rPr>
      <w:b/>
      <w:sz w:val="24"/>
      <w:lang w:val="fr-FR" w:eastAsia="en-US"/>
    </w:rPr>
  </w:style>
  <w:style w:type="paragraph" w:customStyle="1" w:styleId="Summary">
    <w:name w:val="Summary"/>
    <w:basedOn w:val="Normal"/>
    <w:next w:val="Normalaftertitle"/>
    <w:autoRedefine/>
    <w:rsid w:val="009E00A8"/>
    <w:pPr>
      <w:spacing w:before="120" w:after="480"/>
    </w:pPr>
    <w:rPr>
      <w:sz w:val="24"/>
      <w:lang w:val="es-ES_tradnl" w:eastAsia="en-US"/>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0643C"/>
    <w:rPr>
      <w:b/>
      <w:sz w:val="24"/>
      <w:lang w:val="fr-FR" w:eastAsia="en-US"/>
    </w:rPr>
  </w:style>
  <w:style w:type="character" w:customStyle="1" w:styleId="HeaderChar">
    <w:name w:val="Header Char"/>
    <w:basedOn w:val="DefaultParagraphFont"/>
    <w:link w:val="Header"/>
    <w:rsid w:val="0080643C"/>
    <w:rPr>
      <w:sz w:val="24"/>
      <w:lang w:val="fr-FR" w:eastAsia="en-US"/>
    </w:rPr>
  </w:style>
  <w:style w:type="character" w:customStyle="1" w:styleId="FootnoteTextChar">
    <w:name w:val="Footnote Text Char"/>
    <w:basedOn w:val="DefaultParagraphFont"/>
    <w:link w:val="FootnoteText"/>
    <w:semiHidden/>
    <w:rsid w:val="0080643C"/>
    <w:rPr>
      <w:sz w:val="22"/>
      <w:lang w:val="fr-FR" w:eastAsia="en-US"/>
    </w:rPr>
  </w:style>
  <w:style w:type="paragraph" w:customStyle="1" w:styleId="RecTitle0">
    <w:name w:val="Rec_Title"/>
    <w:basedOn w:val="Normal"/>
    <w:next w:val="Normal"/>
    <w:rsid w:val="0080643C"/>
    <w:pPr>
      <w:keepNext/>
      <w:keepLines/>
      <w:tabs>
        <w:tab w:val="clear" w:pos="794"/>
        <w:tab w:val="clear" w:pos="1191"/>
        <w:tab w:val="clear" w:pos="1588"/>
        <w:tab w:val="clear" w:pos="1985"/>
        <w:tab w:val="center" w:pos="4849"/>
        <w:tab w:val="right" w:pos="9696"/>
      </w:tabs>
      <w:spacing w:before="180"/>
      <w:jc w:val="center"/>
    </w:pPr>
    <w:rPr>
      <w:b/>
      <w:bCs/>
    </w:rPr>
  </w:style>
  <w:style w:type="paragraph" w:customStyle="1" w:styleId="RecTitleDate">
    <w:name w:val="Rec_Title/Date"/>
    <w:basedOn w:val="Normal"/>
    <w:next w:val="Normal"/>
    <w:rsid w:val="0080643C"/>
    <w:pPr>
      <w:keepNext/>
      <w:keepLines/>
      <w:tabs>
        <w:tab w:val="clear" w:pos="794"/>
        <w:tab w:val="clear" w:pos="1191"/>
        <w:tab w:val="clear" w:pos="1588"/>
        <w:tab w:val="clear" w:pos="1985"/>
        <w:tab w:val="right" w:pos="9696"/>
      </w:tabs>
      <w:jc w:val="right"/>
    </w:pPr>
  </w:style>
  <w:style w:type="paragraph" w:customStyle="1" w:styleId="Rec">
    <w:name w:val="Rec #"/>
    <w:basedOn w:val="Normal"/>
    <w:next w:val="Normal"/>
    <w:rsid w:val="0080643C"/>
    <w:pPr>
      <w:keepNext/>
      <w:keepLines/>
      <w:spacing w:before="720"/>
      <w:jc w:val="center"/>
    </w:pPr>
  </w:style>
  <w:style w:type="character" w:styleId="Hyperlink">
    <w:name w:val="Hyperlink"/>
    <w:rsid w:val="0080643C"/>
    <w:rPr>
      <w:color w:val="0000FF"/>
      <w:u w:val="single"/>
    </w:rPr>
  </w:style>
  <w:style w:type="table" w:styleId="TableGrid">
    <w:name w:val="Table Grid"/>
    <w:basedOn w:val="TableNormal"/>
    <w:rsid w:val="0080643C"/>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TitleRef">
    <w:name w:val="Rec_Title/Ref"/>
    <w:basedOn w:val="Normal"/>
    <w:next w:val="RecTitleDate"/>
    <w:rsid w:val="0080643C"/>
    <w:pPr>
      <w:keepNext/>
      <w:keepLines/>
      <w:tabs>
        <w:tab w:val="clear" w:pos="794"/>
        <w:tab w:val="clear" w:pos="1191"/>
        <w:tab w:val="clear" w:pos="1588"/>
        <w:tab w:val="clear" w:pos="1985"/>
        <w:tab w:val="center" w:pos="4849"/>
        <w:tab w:val="right" w:pos="9696"/>
      </w:tabs>
      <w:jc w:val="center"/>
    </w:pPr>
  </w:style>
  <w:style w:type="paragraph" w:customStyle="1" w:styleId="Normalaftertitle0">
    <w:name w:val="Normal after title"/>
    <w:basedOn w:val="Normal"/>
    <w:next w:val="Normal"/>
    <w:rsid w:val="0080643C"/>
    <w:pPr>
      <w:spacing w:before="480"/>
    </w:pPr>
  </w:style>
  <w:style w:type="paragraph" w:customStyle="1" w:styleId="call0">
    <w:name w:val="call"/>
    <w:basedOn w:val="Normal"/>
    <w:next w:val="Normal"/>
    <w:rsid w:val="0080643C"/>
    <w:pPr>
      <w:keepNext/>
      <w:keepLines/>
      <w:tabs>
        <w:tab w:val="clear" w:pos="1191"/>
        <w:tab w:val="clear" w:pos="1588"/>
        <w:tab w:val="clear" w:pos="1985"/>
      </w:tabs>
      <w:spacing w:before="227"/>
      <w:ind w:left="794"/>
      <w:jc w:val="left"/>
    </w:pPr>
    <w:rPr>
      <w:i/>
      <w:iCs/>
    </w:rPr>
  </w:style>
  <w:style w:type="paragraph" w:customStyle="1" w:styleId="Annex">
    <w:name w:val="Annex_#"/>
    <w:basedOn w:val="Normal"/>
    <w:next w:val="Normal"/>
    <w:rsid w:val="0080643C"/>
    <w:pPr>
      <w:tabs>
        <w:tab w:val="clear" w:pos="794"/>
        <w:tab w:val="clear" w:pos="1191"/>
        <w:tab w:val="clear" w:pos="1588"/>
        <w:tab w:val="clear" w:pos="1985"/>
        <w:tab w:val="center" w:pos="4849"/>
        <w:tab w:val="right" w:pos="9696"/>
      </w:tabs>
      <w:spacing w:before="720" w:after="68"/>
      <w:jc w:val="center"/>
    </w:pPr>
  </w:style>
  <w:style w:type="paragraph" w:customStyle="1" w:styleId="AnnexTitle">
    <w:name w:val="Annex_Title"/>
    <w:basedOn w:val="Normal"/>
    <w:next w:val="Normalaftertitle0"/>
    <w:rsid w:val="0080643C"/>
    <w:pPr>
      <w:tabs>
        <w:tab w:val="clear" w:pos="794"/>
        <w:tab w:val="clear" w:pos="1191"/>
        <w:tab w:val="clear" w:pos="1588"/>
        <w:tab w:val="clear" w:pos="1985"/>
        <w:tab w:val="left" w:pos="4849"/>
        <w:tab w:val="right" w:pos="9696"/>
      </w:tabs>
      <w:spacing w:after="200"/>
      <w:jc w:val="center"/>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TotalTime>
  <Pages>4</Pages>
  <Words>1212</Words>
  <Characters>7105</Characters>
  <Application>Microsoft Office Word</Application>
  <DocSecurity>0</DocSecurity>
  <Lines>186</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Catalano Moreira, Rossana</cp:lastModifiedBy>
  <cp:revision>10</cp:revision>
  <cp:lastPrinted>2015-08-11T14:40:00Z</cp:lastPrinted>
  <dcterms:created xsi:type="dcterms:W3CDTF">2011-09-19T08:43:00Z</dcterms:created>
  <dcterms:modified xsi:type="dcterms:W3CDTF">2015-08-11T14:40:00Z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