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p w:rsidR="00323032" w:rsidRDefault="00323032" w:rsidP="00323032"/>
    <w:tbl>
      <w:tblPr>
        <w:tblW w:w="10089" w:type="dxa"/>
        <w:tblLook w:val="01E0" w:firstRow="1" w:lastRow="1" w:firstColumn="1" w:lastColumn="1" w:noHBand="0" w:noVBand="0"/>
      </w:tblPr>
      <w:tblGrid>
        <w:gridCol w:w="10089"/>
      </w:tblGrid>
      <w:tr w:rsidR="00323032" w:rsidTr="00E159C0">
        <w:tc>
          <w:tcPr>
            <w:tcW w:w="10089" w:type="dxa"/>
          </w:tcPr>
          <w:p w:rsidR="00323032" w:rsidRPr="001511A6" w:rsidRDefault="00323032" w:rsidP="00E159C0">
            <w:pPr>
              <w:spacing w:before="380" w:line="280" w:lineRule="exact"/>
              <w:jc w:val="right"/>
              <w:rPr>
                <w:rFonts w:ascii="Tahoma" w:hAnsi="Tahoma" w:cs="Tahoma"/>
                <w:b/>
                <w:bCs/>
                <w:iCs/>
                <w:color w:val="243285"/>
                <w:sz w:val="32"/>
                <w:szCs w:val="32"/>
                <w:lang w:val="en-US"/>
              </w:rPr>
            </w:pPr>
          </w:p>
          <w:p w:rsidR="00323032" w:rsidRPr="001511A6" w:rsidRDefault="00323032"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1131</w:t>
            </w:r>
            <w:r w:rsidR="009622F0">
              <w:rPr>
                <w:rFonts w:ascii="Tahoma" w:hAnsi="Tahoma" w:cs="Tahoma"/>
                <w:b/>
                <w:bCs/>
                <w:iCs/>
                <w:color w:val="243285"/>
                <w:sz w:val="36"/>
                <w:szCs w:val="36"/>
                <w:lang w:val="en-US"/>
              </w:rPr>
              <w:t>-0</w:t>
            </w:r>
          </w:p>
          <w:p w:rsidR="00323032" w:rsidRPr="00893C6F" w:rsidRDefault="00323032" w:rsidP="00893C6F">
            <w:pPr>
              <w:spacing w:before="80" w:line="280" w:lineRule="exact"/>
              <w:jc w:val="right"/>
              <w:rPr>
                <w:rFonts w:ascii="Tahoma" w:hAnsi="Tahoma" w:cs="Tahoma"/>
                <w:b/>
                <w:bCs/>
                <w:iCs/>
                <w:color w:val="243285"/>
                <w:sz w:val="24"/>
                <w:szCs w:val="24"/>
                <w:lang w:val="en-US"/>
              </w:rPr>
            </w:pPr>
            <w:r w:rsidRPr="00893C6F">
              <w:rPr>
                <w:rFonts w:ascii="Tahoma" w:hAnsi="Tahoma" w:cs="Tahoma"/>
                <w:b/>
                <w:bCs/>
                <w:iCs/>
                <w:color w:val="243285"/>
                <w:sz w:val="24"/>
                <w:szCs w:val="24"/>
                <w:lang w:val="en-US"/>
              </w:rPr>
              <w:t>(</w:t>
            </w:r>
            <w:r w:rsidR="00893C6F">
              <w:rPr>
                <w:rFonts w:ascii="Tahoma" w:hAnsi="Tahoma" w:cs="Tahoma"/>
                <w:b/>
                <w:bCs/>
                <w:iCs/>
                <w:color w:val="243285"/>
                <w:sz w:val="24"/>
                <w:szCs w:val="24"/>
                <w:lang w:val="en-US"/>
              </w:rPr>
              <w:t>10</w:t>
            </w:r>
            <w:r w:rsidRPr="00893C6F">
              <w:rPr>
                <w:rFonts w:ascii="Tahoma" w:hAnsi="Tahoma" w:cs="Tahoma"/>
                <w:b/>
                <w:bCs/>
                <w:iCs/>
                <w:color w:val="243285"/>
                <w:sz w:val="24"/>
                <w:szCs w:val="24"/>
                <w:lang w:val="en-US"/>
              </w:rPr>
              <w:t>/1995)</w:t>
            </w:r>
          </w:p>
        </w:tc>
      </w:tr>
      <w:tr w:rsidR="00323032" w:rsidRPr="007B3EA0" w:rsidTr="00E159C0">
        <w:tc>
          <w:tcPr>
            <w:tcW w:w="10089" w:type="dxa"/>
          </w:tcPr>
          <w:p w:rsidR="00323032" w:rsidRPr="001511A6" w:rsidRDefault="00323032" w:rsidP="00E159C0">
            <w:pPr>
              <w:spacing w:before="80" w:line="500" w:lineRule="exact"/>
              <w:jc w:val="right"/>
              <w:rPr>
                <w:rFonts w:ascii="Tahoma" w:hAnsi="Tahoma" w:cs="Tahoma"/>
                <w:b/>
                <w:bCs/>
                <w:iCs/>
                <w:color w:val="243285"/>
                <w:sz w:val="44"/>
                <w:szCs w:val="44"/>
                <w:lang w:val="en-US"/>
              </w:rPr>
            </w:pPr>
          </w:p>
          <w:p w:rsidR="00323032" w:rsidRPr="001511A6" w:rsidRDefault="00323032"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Factors to consider in allocating spectrum on a worl</w:t>
            </w:r>
            <w:r w:rsidR="009622F0">
              <w:rPr>
                <w:rFonts w:ascii="Tahoma" w:hAnsi="Tahoma" w:cs="Tahoma"/>
                <w:b/>
                <w:bCs/>
                <w:iCs/>
                <w:color w:val="243285"/>
                <w:sz w:val="44"/>
                <w:szCs w:val="44"/>
                <w:lang w:val="en-US"/>
              </w:rPr>
              <w:t>d</w:t>
            </w:r>
            <w:r>
              <w:rPr>
                <w:rFonts w:ascii="Tahoma" w:hAnsi="Tahoma" w:cs="Tahoma"/>
                <w:b/>
                <w:bCs/>
                <w:iCs/>
                <w:color w:val="243285"/>
                <w:sz w:val="44"/>
                <w:szCs w:val="44"/>
                <w:lang w:val="en-US"/>
              </w:rPr>
              <w:t>wide basis</w:t>
            </w:r>
          </w:p>
          <w:p w:rsidR="00323032" w:rsidRPr="001511A6" w:rsidRDefault="00323032" w:rsidP="00E159C0">
            <w:pPr>
              <w:spacing w:before="80" w:line="500" w:lineRule="exact"/>
              <w:jc w:val="right"/>
              <w:rPr>
                <w:rFonts w:ascii="Tahoma" w:hAnsi="Tahoma" w:cs="Tahoma"/>
                <w:b/>
                <w:bCs/>
                <w:iCs/>
                <w:color w:val="243285"/>
                <w:sz w:val="40"/>
                <w:szCs w:val="40"/>
                <w:lang w:val="en-US"/>
              </w:rPr>
            </w:pPr>
          </w:p>
        </w:tc>
      </w:tr>
      <w:tr w:rsidR="00323032" w:rsidTr="00E159C0">
        <w:tc>
          <w:tcPr>
            <w:tcW w:w="10089" w:type="dxa"/>
          </w:tcPr>
          <w:p w:rsidR="00323032" w:rsidRPr="007B3EA0" w:rsidRDefault="00323032" w:rsidP="00E159C0">
            <w:pPr>
              <w:spacing w:before="80" w:line="280" w:lineRule="exact"/>
              <w:ind w:right="640"/>
              <w:rPr>
                <w:rFonts w:ascii="Tahoma" w:hAnsi="Tahoma" w:cs="Tahoma"/>
                <w:b/>
                <w:bCs/>
                <w:iCs/>
                <w:color w:val="243285"/>
                <w:sz w:val="32"/>
                <w:szCs w:val="32"/>
                <w:lang w:val="en-US"/>
              </w:rPr>
            </w:pPr>
          </w:p>
          <w:p w:rsidR="00323032" w:rsidRPr="007B3EA0" w:rsidRDefault="00323032" w:rsidP="00E159C0">
            <w:pPr>
              <w:spacing w:before="80" w:line="280" w:lineRule="exact"/>
              <w:ind w:right="640"/>
              <w:rPr>
                <w:rFonts w:ascii="Tahoma" w:hAnsi="Tahoma" w:cs="Tahoma"/>
                <w:b/>
                <w:bCs/>
                <w:iCs/>
                <w:color w:val="243285"/>
                <w:sz w:val="32"/>
                <w:szCs w:val="32"/>
                <w:lang w:val="en-US"/>
              </w:rPr>
            </w:pPr>
          </w:p>
          <w:p w:rsidR="00323032" w:rsidRPr="007B3EA0" w:rsidRDefault="00323032" w:rsidP="00E159C0">
            <w:pPr>
              <w:spacing w:before="80" w:after="180" w:line="360" w:lineRule="exact"/>
              <w:ind w:right="720"/>
              <w:rPr>
                <w:rFonts w:ascii="Tahoma" w:hAnsi="Tahoma" w:cs="Tahoma"/>
                <w:b/>
                <w:bCs/>
                <w:iCs/>
                <w:color w:val="243285"/>
                <w:sz w:val="36"/>
                <w:szCs w:val="36"/>
                <w:lang w:val="en-US"/>
              </w:rPr>
            </w:pPr>
          </w:p>
          <w:p w:rsidR="00323032" w:rsidRPr="001511A6" w:rsidRDefault="00323032" w:rsidP="00E159C0">
            <w:pPr>
              <w:spacing w:before="80" w:after="180" w:line="360" w:lineRule="exact"/>
              <w:jc w:val="right"/>
              <w:rPr>
                <w:rFonts w:ascii="Tahoma" w:hAnsi="Tahoma" w:cs="Tahoma"/>
                <w:b/>
                <w:bCs/>
                <w:iCs/>
                <w:color w:val="243285"/>
                <w:sz w:val="36"/>
                <w:szCs w:val="36"/>
                <w:lang w:val="en-US"/>
              </w:rPr>
            </w:pPr>
          </w:p>
          <w:p w:rsidR="00323032" w:rsidRPr="001511A6" w:rsidRDefault="00323032"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323032" w:rsidRPr="001511A6" w:rsidRDefault="00323032"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323032" w:rsidRPr="001511A6" w:rsidRDefault="00323032" w:rsidP="00E159C0">
            <w:pPr>
              <w:spacing w:before="80" w:line="360" w:lineRule="exact"/>
              <w:jc w:val="right"/>
              <w:rPr>
                <w:rFonts w:ascii="Tahoma" w:hAnsi="Tahoma" w:cs="Tahoma"/>
                <w:b/>
                <w:bCs/>
                <w:iCs/>
                <w:color w:val="243285"/>
                <w:sz w:val="32"/>
                <w:szCs w:val="32"/>
                <w:lang w:val="en-US"/>
              </w:rPr>
            </w:pPr>
          </w:p>
        </w:tc>
      </w:tr>
    </w:tbl>
    <w:p w:rsidR="00323032" w:rsidRDefault="00323032" w:rsidP="00323032">
      <w:pPr>
        <w:spacing w:before="80"/>
        <w:rPr>
          <w:i/>
          <w:sz w:val="22"/>
          <w:lang w:val="en-US"/>
        </w:rPr>
      </w:pPr>
    </w:p>
    <w:p w:rsidR="00323032" w:rsidRDefault="00323032" w:rsidP="00323032">
      <w:pPr>
        <w:spacing w:before="80"/>
        <w:rPr>
          <w:i/>
          <w:sz w:val="22"/>
          <w:lang w:val="en-US"/>
        </w:rPr>
      </w:pPr>
    </w:p>
    <w:p w:rsidR="00323032" w:rsidRDefault="00323032" w:rsidP="00323032">
      <w:pPr>
        <w:spacing w:before="80"/>
        <w:rPr>
          <w:i/>
          <w:sz w:val="22"/>
          <w:lang w:val="en-US"/>
        </w:rPr>
      </w:pPr>
    </w:p>
    <w:p w:rsidR="00323032" w:rsidRDefault="00323032" w:rsidP="00323032">
      <w:pPr>
        <w:spacing w:before="80"/>
        <w:rPr>
          <w:i/>
          <w:sz w:val="22"/>
          <w:lang w:val="en-US"/>
        </w:rPr>
      </w:pPr>
    </w:p>
    <w:p w:rsidR="00323032" w:rsidRDefault="00323032" w:rsidP="00323032">
      <w:pPr>
        <w:spacing w:before="80"/>
        <w:rPr>
          <w:i/>
          <w:sz w:val="22"/>
          <w:lang w:val="en-US"/>
        </w:rPr>
      </w:pPr>
    </w:p>
    <w:p w:rsidR="00323032" w:rsidRDefault="00323032" w:rsidP="00323032">
      <w:pPr>
        <w:spacing w:before="80"/>
        <w:rPr>
          <w:i/>
          <w:sz w:val="22"/>
          <w:lang w:val="en-US"/>
        </w:rPr>
      </w:pPr>
    </w:p>
    <w:p w:rsidR="00323032" w:rsidRDefault="00323032" w:rsidP="00323032">
      <w:pPr>
        <w:pStyle w:val="Equation"/>
        <w:tabs>
          <w:tab w:val="left" w:pos="1191"/>
          <w:tab w:val="left" w:pos="1588"/>
          <w:tab w:val="left" w:pos="1985"/>
        </w:tabs>
        <w:rPr>
          <w:rFonts w:ascii="Palatino Linotype" w:hAnsi="Palatino Linotype"/>
          <w:lang w:val="en-US"/>
        </w:rPr>
        <w:sectPr w:rsidR="00323032">
          <w:headerReference w:type="even" r:id="rId6"/>
          <w:headerReference w:type="default" r:id="rId7"/>
          <w:pgSz w:w="11907" w:h="16840" w:code="9"/>
          <w:pgMar w:top="1089" w:right="1089" w:bottom="284" w:left="1089" w:header="567" w:footer="284" w:gutter="0"/>
          <w:pgNumType w:start="1"/>
          <w:cols w:space="720"/>
        </w:sectPr>
      </w:pPr>
    </w:p>
    <w:p w:rsidR="00323032" w:rsidRPr="00586EF8" w:rsidRDefault="00323032" w:rsidP="003230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323032" w:rsidRDefault="00323032" w:rsidP="00323032">
      <w:pPr>
        <w:spacing w:before="240"/>
        <w:rPr>
          <w:lang w:val="en-US"/>
        </w:rPr>
      </w:pPr>
      <w:r>
        <w:rPr>
          <w:lang w:val="en-US"/>
        </w:rPr>
        <w:t xml:space="preserve">The role of the </w:t>
      </w:r>
      <w:proofErr w:type="spellStart"/>
      <w:r>
        <w:rPr>
          <w:lang w:val="en-US"/>
        </w:rPr>
        <w:t>Radiocommunication</w:t>
      </w:r>
      <w:proofErr w:type="spellEnd"/>
      <w:r>
        <w:rPr>
          <w:lang w:val="en-US"/>
        </w:rPr>
        <w:t xml:space="preserve"> Sector is to ensure the rational, equitable, efficient and economical use of the radio-frequency spectrum by all </w:t>
      </w:r>
      <w:proofErr w:type="spellStart"/>
      <w:r>
        <w:rPr>
          <w:lang w:val="en-US"/>
        </w:rPr>
        <w:t>radiocommunication</w:t>
      </w:r>
      <w:proofErr w:type="spellEnd"/>
      <w:r>
        <w:rPr>
          <w:lang w:val="en-US"/>
        </w:rPr>
        <w:t xml:space="preserve"> services, including satellite services, and carry out studies without limit of frequency range on the basis of which Recommendations are adopted.</w:t>
      </w:r>
    </w:p>
    <w:p w:rsidR="00323032" w:rsidRDefault="00323032" w:rsidP="00323032">
      <w:pPr>
        <w:rPr>
          <w:lang w:val="en-US"/>
        </w:rPr>
      </w:pPr>
      <w:r>
        <w:rPr>
          <w:lang w:val="en-US"/>
        </w:rPr>
        <w:t xml:space="preserve">The regulatory and policy functions of the </w:t>
      </w:r>
      <w:proofErr w:type="spellStart"/>
      <w:r>
        <w:rPr>
          <w:lang w:val="en-US"/>
        </w:rPr>
        <w:t>Radiocommunication</w:t>
      </w:r>
      <w:proofErr w:type="spellEnd"/>
      <w:r>
        <w:rPr>
          <w:lang w:val="en-US"/>
        </w:rPr>
        <w:t xml:space="preserve"> Sector are performed by World and Regional </w:t>
      </w:r>
      <w:proofErr w:type="spellStart"/>
      <w:r>
        <w:rPr>
          <w:lang w:val="en-US"/>
        </w:rPr>
        <w:t>Radiocommunication</w:t>
      </w:r>
      <w:proofErr w:type="spellEnd"/>
      <w:r>
        <w:rPr>
          <w:lang w:val="en-US"/>
        </w:rPr>
        <w:t xml:space="preserve"> Conferences and </w:t>
      </w:r>
      <w:proofErr w:type="spellStart"/>
      <w:r>
        <w:rPr>
          <w:lang w:val="en-US"/>
        </w:rPr>
        <w:t>Radiocommunication</w:t>
      </w:r>
      <w:proofErr w:type="spellEnd"/>
      <w:r>
        <w:rPr>
          <w:lang w:val="en-US"/>
        </w:rPr>
        <w:t xml:space="preserve"> Assemblies supported by Study Groups.</w:t>
      </w:r>
    </w:p>
    <w:p w:rsidR="00323032" w:rsidRPr="00B714F3" w:rsidRDefault="00323032" w:rsidP="00323032">
      <w:pPr>
        <w:pStyle w:val="Heading1"/>
        <w:spacing w:before="680"/>
        <w:jc w:val="center"/>
        <w:rPr>
          <w:lang w:val="en-US"/>
        </w:rPr>
      </w:pPr>
      <w:r w:rsidRPr="00B714F3">
        <w:rPr>
          <w:lang w:val="en-US"/>
        </w:rPr>
        <w:t>Policy on Intellectual Property Right (IPR)</w:t>
      </w:r>
    </w:p>
    <w:p w:rsidR="00323032" w:rsidRPr="00B714F3" w:rsidRDefault="00323032" w:rsidP="00323032">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323032" w:rsidRDefault="00323032" w:rsidP="00323032">
      <w:pPr>
        <w:jc w:val="center"/>
        <w:rPr>
          <w:sz w:val="22"/>
          <w:lang w:val="en-US"/>
        </w:rPr>
      </w:pPr>
    </w:p>
    <w:p w:rsidR="00323032" w:rsidRDefault="00323032" w:rsidP="0032303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3032" w:rsidRPr="007B3EA0" w:rsidTr="00E159C0">
        <w:tc>
          <w:tcPr>
            <w:tcW w:w="9360" w:type="dxa"/>
            <w:gridSpan w:val="2"/>
          </w:tcPr>
          <w:p w:rsidR="00323032" w:rsidRPr="00036EE3" w:rsidRDefault="00323032"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23032" w:rsidRPr="00036EE3"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323032" w:rsidRPr="00036EE3" w:rsidTr="00E159C0">
        <w:tc>
          <w:tcPr>
            <w:tcW w:w="1140" w:type="dxa"/>
          </w:tcPr>
          <w:p w:rsidR="00323032" w:rsidRPr="00036EE3" w:rsidRDefault="00323032" w:rsidP="00E159C0">
            <w:pPr>
              <w:spacing w:before="200" w:after="100"/>
              <w:ind w:left="57"/>
              <w:rPr>
                <w:b/>
                <w:bCs/>
                <w:lang w:val="en-US"/>
              </w:rPr>
            </w:pPr>
            <w:r w:rsidRPr="00036EE3">
              <w:rPr>
                <w:b/>
                <w:bCs/>
                <w:lang w:val="en-US"/>
              </w:rPr>
              <w:t>Series</w:t>
            </w:r>
          </w:p>
        </w:tc>
        <w:tc>
          <w:tcPr>
            <w:tcW w:w="8220" w:type="dxa"/>
          </w:tcPr>
          <w:p w:rsidR="00323032" w:rsidRPr="00036EE3"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BO</w:t>
            </w:r>
          </w:p>
        </w:tc>
        <w:tc>
          <w:tcPr>
            <w:tcW w:w="8220" w:type="dxa"/>
          </w:tcPr>
          <w:p w:rsidR="00323032" w:rsidRPr="00036EE3"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23032" w:rsidRPr="007B3EA0" w:rsidTr="00E159C0">
        <w:tc>
          <w:tcPr>
            <w:tcW w:w="1140" w:type="dxa"/>
          </w:tcPr>
          <w:p w:rsidR="00323032" w:rsidRPr="00036EE3" w:rsidRDefault="00323032" w:rsidP="00E159C0">
            <w:pPr>
              <w:spacing w:before="30" w:after="30"/>
              <w:ind w:left="57"/>
              <w:jc w:val="left"/>
              <w:rPr>
                <w:b/>
                <w:bCs/>
                <w:lang w:val="en-US"/>
              </w:rPr>
            </w:pPr>
            <w:r w:rsidRPr="00036EE3">
              <w:rPr>
                <w:b/>
                <w:bCs/>
                <w:lang w:val="en-US"/>
              </w:rPr>
              <w:t>BR</w:t>
            </w:r>
          </w:p>
        </w:tc>
        <w:tc>
          <w:tcPr>
            <w:tcW w:w="8220" w:type="dxa"/>
          </w:tcPr>
          <w:p w:rsidR="00323032" w:rsidRPr="00036EE3"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BS</w:t>
            </w:r>
          </w:p>
        </w:tc>
        <w:tc>
          <w:tcPr>
            <w:tcW w:w="8220" w:type="dxa"/>
          </w:tcPr>
          <w:p w:rsidR="00323032" w:rsidRPr="00036EE3"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23032" w:rsidRPr="00ED2695" w:rsidTr="00E159C0">
        <w:tc>
          <w:tcPr>
            <w:tcW w:w="1140" w:type="dxa"/>
            <w:shd w:val="clear" w:color="auto" w:fill="auto"/>
          </w:tcPr>
          <w:p w:rsidR="00323032" w:rsidRPr="00ED2695" w:rsidRDefault="00323032" w:rsidP="00E159C0">
            <w:pPr>
              <w:spacing w:before="30" w:after="30"/>
              <w:ind w:left="57"/>
              <w:jc w:val="left"/>
              <w:rPr>
                <w:b/>
                <w:bCs/>
                <w:lang w:val="en-US"/>
              </w:rPr>
            </w:pPr>
            <w:r w:rsidRPr="00ED2695">
              <w:rPr>
                <w:b/>
                <w:bCs/>
                <w:lang w:val="en-US"/>
              </w:rPr>
              <w:t>BT</w:t>
            </w:r>
          </w:p>
        </w:tc>
        <w:tc>
          <w:tcPr>
            <w:tcW w:w="8220" w:type="dxa"/>
            <w:shd w:val="clear" w:color="auto" w:fill="auto"/>
          </w:tcPr>
          <w:p w:rsidR="00323032" w:rsidRPr="00ED2695"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23032" w:rsidRPr="00036EE3" w:rsidTr="00E159C0">
        <w:tc>
          <w:tcPr>
            <w:tcW w:w="1140" w:type="dxa"/>
            <w:shd w:val="clear" w:color="auto" w:fill="auto"/>
          </w:tcPr>
          <w:p w:rsidR="00323032" w:rsidRPr="00036EE3" w:rsidRDefault="00323032" w:rsidP="00E159C0">
            <w:pPr>
              <w:spacing w:before="30" w:after="30"/>
              <w:ind w:left="57"/>
              <w:jc w:val="left"/>
              <w:rPr>
                <w:b/>
                <w:bCs/>
                <w:lang w:val="fr-CH"/>
              </w:rPr>
            </w:pPr>
            <w:r w:rsidRPr="00036EE3">
              <w:rPr>
                <w:b/>
                <w:bCs/>
                <w:lang w:val="fr-CH"/>
              </w:rPr>
              <w:t>F</w:t>
            </w:r>
          </w:p>
        </w:tc>
        <w:tc>
          <w:tcPr>
            <w:tcW w:w="8220" w:type="dxa"/>
            <w:shd w:val="clear" w:color="auto" w:fill="auto"/>
          </w:tcPr>
          <w:p w:rsidR="00323032" w:rsidRPr="00036EE3" w:rsidRDefault="0032303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323032" w:rsidRPr="00036EE3" w:rsidTr="00E159C0">
        <w:tc>
          <w:tcPr>
            <w:tcW w:w="1140" w:type="dxa"/>
            <w:shd w:val="clear" w:color="auto" w:fill="auto"/>
          </w:tcPr>
          <w:p w:rsidR="00323032" w:rsidRPr="00906589" w:rsidRDefault="00323032" w:rsidP="00E159C0">
            <w:pPr>
              <w:spacing w:before="30" w:after="30"/>
              <w:ind w:left="57"/>
              <w:jc w:val="left"/>
              <w:rPr>
                <w:b/>
                <w:bCs/>
                <w:lang w:val="en-US"/>
              </w:rPr>
            </w:pPr>
            <w:r w:rsidRPr="00906589">
              <w:rPr>
                <w:b/>
                <w:bCs/>
                <w:lang w:val="en-US"/>
              </w:rPr>
              <w:t>M</w:t>
            </w:r>
          </w:p>
        </w:tc>
        <w:tc>
          <w:tcPr>
            <w:tcW w:w="8220" w:type="dxa"/>
            <w:shd w:val="clear" w:color="auto" w:fill="auto"/>
          </w:tcPr>
          <w:p w:rsidR="00323032" w:rsidRPr="00906589" w:rsidRDefault="0032303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323032" w:rsidRPr="00036EE3" w:rsidTr="00E159C0">
        <w:tc>
          <w:tcPr>
            <w:tcW w:w="1140" w:type="dxa"/>
          </w:tcPr>
          <w:p w:rsidR="00323032" w:rsidRPr="00036EE3" w:rsidRDefault="00323032" w:rsidP="00E159C0">
            <w:pPr>
              <w:spacing w:before="30" w:after="30"/>
              <w:ind w:left="57"/>
              <w:jc w:val="left"/>
              <w:rPr>
                <w:b/>
                <w:bCs/>
                <w:lang w:val="fr-CH"/>
              </w:rPr>
            </w:pPr>
            <w:r w:rsidRPr="00036EE3">
              <w:rPr>
                <w:b/>
                <w:bCs/>
                <w:lang w:val="fr-CH"/>
              </w:rPr>
              <w:t>P</w:t>
            </w:r>
          </w:p>
        </w:tc>
        <w:tc>
          <w:tcPr>
            <w:tcW w:w="8220" w:type="dxa"/>
          </w:tcPr>
          <w:p w:rsidR="00323032" w:rsidRPr="00036EE3" w:rsidRDefault="00323032" w:rsidP="00E159C0">
            <w:pPr>
              <w:spacing w:before="30" w:after="30"/>
              <w:jc w:val="left"/>
              <w:rPr>
                <w:lang w:val="fr-CH"/>
              </w:rPr>
            </w:pPr>
            <w:proofErr w:type="spellStart"/>
            <w:r w:rsidRPr="00036EE3">
              <w:rPr>
                <w:lang w:val="fr-CH"/>
              </w:rPr>
              <w:t>Radiowave</w:t>
            </w:r>
            <w:proofErr w:type="spellEnd"/>
            <w:r w:rsidRPr="00036EE3">
              <w:rPr>
                <w:lang w:val="fr-CH"/>
              </w:rPr>
              <w:t xml:space="preserve"> propagation</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RA</w:t>
            </w:r>
          </w:p>
        </w:tc>
        <w:tc>
          <w:tcPr>
            <w:tcW w:w="8220" w:type="dxa"/>
          </w:tcPr>
          <w:p w:rsidR="00323032" w:rsidRPr="00036EE3" w:rsidRDefault="0032303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RS</w:t>
            </w:r>
          </w:p>
        </w:tc>
        <w:tc>
          <w:tcPr>
            <w:tcW w:w="8220" w:type="dxa"/>
          </w:tcPr>
          <w:p w:rsidR="00323032" w:rsidRPr="00036EE3" w:rsidRDefault="0032303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S</w:t>
            </w:r>
          </w:p>
        </w:tc>
        <w:tc>
          <w:tcPr>
            <w:tcW w:w="8220" w:type="dxa"/>
          </w:tcPr>
          <w:p w:rsidR="00323032" w:rsidRPr="00036EE3" w:rsidRDefault="00323032" w:rsidP="00E159C0">
            <w:pPr>
              <w:spacing w:before="30" w:after="30"/>
              <w:jc w:val="left"/>
              <w:rPr>
                <w:lang w:val="en-US"/>
              </w:rPr>
            </w:pPr>
            <w:r w:rsidRPr="00036EE3">
              <w:rPr>
                <w:lang w:val="en-US"/>
              </w:rPr>
              <w:t>Fixed-satellite service</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SA</w:t>
            </w:r>
          </w:p>
        </w:tc>
        <w:tc>
          <w:tcPr>
            <w:tcW w:w="8220" w:type="dxa"/>
          </w:tcPr>
          <w:p w:rsidR="00323032" w:rsidRPr="00036EE3" w:rsidRDefault="00323032" w:rsidP="00E159C0">
            <w:pPr>
              <w:spacing w:before="30" w:after="30"/>
              <w:jc w:val="left"/>
              <w:rPr>
                <w:lang w:val="en-US"/>
              </w:rPr>
            </w:pPr>
            <w:r w:rsidRPr="00036EE3">
              <w:rPr>
                <w:lang w:val="en-US"/>
              </w:rPr>
              <w:t>Space applications and meteorology</w:t>
            </w:r>
          </w:p>
        </w:tc>
      </w:tr>
      <w:tr w:rsidR="00323032" w:rsidRPr="007B3EA0" w:rsidTr="00E159C0">
        <w:tc>
          <w:tcPr>
            <w:tcW w:w="1140" w:type="dxa"/>
          </w:tcPr>
          <w:p w:rsidR="00323032" w:rsidRPr="00036EE3" w:rsidRDefault="00323032" w:rsidP="00E159C0">
            <w:pPr>
              <w:spacing w:before="30" w:after="30"/>
              <w:ind w:left="57"/>
              <w:jc w:val="left"/>
              <w:rPr>
                <w:b/>
                <w:bCs/>
                <w:lang w:val="en-US"/>
              </w:rPr>
            </w:pPr>
            <w:r w:rsidRPr="00036EE3">
              <w:rPr>
                <w:b/>
                <w:bCs/>
                <w:lang w:val="en-US"/>
              </w:rPr>
              <w:t>SF</w:t>
            </w:r>
          </w:p>
        </w:tc>
        <w:tc>
          <w:tcPr>
            <w:tcW w:w="8220" w:type="dxa"/>
          </w:tcPr>
          <w:p w:rsidR="00323032" w:rsidRPr="00036EE3" w:rsidRDefault="00323032" w:rsidP="00E159C0">
            <w:pPr>
              <w:spacing w:before="30" w:after="30"/>
              <w:jc w:val="left"/>
              <w:rPr>
                <w:lang w:val="en-US"/>
              </w:rPr>
            </w:pPr>
            <w:r w:rsidRPr="00036EE3">
              <w:rPr>
                <w:lang w:val="en-US"/>
              </w:rPr>
              <w:t>Frequency sharing and coordination between fixed-satellite and fixed service systems</w:t>
            </w:r>
          </w:p>
        </w:tc>
      </w:tr>
      <w:tr w:rsidR="00323032" w:rsidRPr="00036EE3" w:rsidTr="00E159C0">
        <w:tc>
          <w:tcPr>
            <w:tcW w:w="1140" w:type="dxa"/>
            <w:shd w:val="clear" w:color="auto" w:fill="F3F3F3"/>
          </w:tcPr>
          <w:p w:rsidR="00323032" w:rsidRPr="00906589" w:rsidRDefault="00323032"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323032" w:rsidRPr="00906589" w:rsidRDefault="00323032" w:rsidP="00E159C0">
            <w:pPr>
              <w:spacing w:before="30" w:after="30"/>
              <w:jc w:val="left"/>
              <w:rPr>
                <w:b/>
                <w:bCs/>
                <w:color w:val="000080"/>
                <w:lang w:val="en-US"/>
              </w:rPr>
            </w:pPr>
            <w:r w:rsidRPr="00906589">
              <w:rPr>
                <w:b/>
                <w:bCs/>
                <w:color w:val="000080"/>
                <w:lang w:val="en-US"/>
              </w:rPr>
              <w:t>Spectrum management</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SNG</w:t>
            </w:r>
          </w:p>
        </w:tc>
        <w:tc>
          <w:tcPr>
            <w:tcW w:w="8220" w:type="dxa"/>
          </w:tcPr>
          <w:p w:rsidR="00323032" w:rsidRPr="00036EE3" w:rsidRDefault="00323032" w:rsidP="00E159C0">
            <w:pPr>
              <w:spacing w:before="30" w:after="30"/>
              <w:jc w:val="left"/>
              <w:rPr>
                <w:lang w:val="en-US"/>
              </w:rPr>
            </w:pPr>
            <w:r w:rsidRPr="00036EE3">
              <w:rPr>
                <w:lang w:val="en-US"/>
              </w:rPr>
              <w:t>Satellite news gathering</w:t>
            </w:r>
          </w:p>
        </w:tc>
      </w:tr>
      <w:tr w:rsidR="00323032" w:rsidRPr="007B3EA0" w:rsidTr="00E159C0">
        <w:tc>
          <w:tcPr>
            <w:tcW w:w="1140" w:type="dxa"/>
          </w:tcPr>
          <w:p w:rsidR="00323032" w:rsidRPr="00036EE3" w:rsidRDefault="00323032" w:rsidP="00E159C0">
            <w:pPr>
              <w:spacing w:before="30" w:after="30"/>
              <w:ind w:left="57"/>
              <w:jc w:val="left"/>
              <w:rPr>
                <w:b/>
                <w:bCs/>
                <w:lang w:val="en-US"/>
              </w:rPr>
            </w:pPr>
            <w:r w:rsidRPr="00036EE3">
              <w:rPr>
                <w:b/>
                <w:bCs/>
                <w:lang w:val="en-US"/>
              </w:rPr>
              <w:t>TF</w:t>
            </w:r>
          </w:p>
        </w:tc>
        <w:tc>
          <w:tcPr>
            <w:tcW w:w="8220" w:type="dxa"/>
          </w:tcPr>
          <w:p w:rsidR="00323032" w:rsidRPr="00036EE3" w:rsidRDefault="00323032" w:rsidP="00E159C0">
            <w:pPr>
              <w:spacing w:before="30" w:after="30"/>
              <w:jc w:val="left"/>
              <w:rPr>
                <w:lang w:val="en-US"/>
              </w:rPr>
            </w:pPr>
            <w:r w:rsidRPr="00036EE3">
              <w:rPr>
                <w:lang w:val="en-US"/>
              </w:rPr>
              <w:t>Time signals and frequency standards emissions</w:t>
            </w:r>
          </w:p>
        </w:tc>
      </w:tr>
      <w:tr w:rsidR="00323032" w:rsidRPr="00036EE3" w:rsidTr="00E159C0">
        <w:tc>
          <w:tcPr>
            <w:tcW w:w="1140" w:type="dxa"/>
          </w:tcPr>
          <w:p w:rsidR="00323032" w:rsidRPr="00036EE3" w:rsidRDefault="00323032" w:rsidP="00E159C0">
            <w:pPr>
              <w:spacing w:before="30" w:after="30"/>
              <w:ind w:left="57"/>
              <w:jc w:val="left"/>
              <w:rPr>
                <w:b/>
                <w:bCs/>
                <w:lang w:val="en-US"/>
              </w:rPr>
            </w:pPr>
            <w:r w:rsidRPr="00036EE3">
              <w:rPr>
                <w:b/>
                <w:bCs/>
                <w:lang w:val="en-US"/>
              </w:rPr>
              <w:t>V</w:t>
            </w:r>
          </w:p>
        </w:tc>
        <w:tc>
          <w:tcPr>
            <w:tcW w:w="8220" w:type="dxa"/>
          </w:tcPr>
          <w:p w:rsidR="00323032" w:rsidRPr="00036EE3" w:rsidRDefault="00323032" w:rsidP="00E159C0">
            <w:pPr>
              <w:spacing w:before="30" w:after="180"/>
              <w:jc w:val="left"/>
              <w:rPr>
                <w:lang w:val="en-US"/>
              </w:rPr>
            </w:pPr>
            <w:r w:rsidRPr="00036EE3">
              <w:rPr>
                <w:lang w:val="en-US"/>
              </w:rPr>
              <w:t>Vocabulary and related subjects</w:t>
            </w:r>
          </w:p>
        </w:tc>
      </w:tr>
    </w:tbl>
    <w:p w:rsidR="00323032" w:rsidRPr="00036EE3" w:rsidRDefault="00323032" w:rsidP="00323032">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23032" w:rsidTr="00E159C0">
        <w:tc>
          <w:tcPr>
            <w:tcW w:w="720" w:type="dxa"/>
          </w:tcPr>
          <w:p w:rsidR="00323032" w:rsidRDefault="00323032" w:rsidP="00E159C0">
            <w:pPr>
              <w:jc w:val="center"/>
              <w:rPr>
                <w:sz w:val="22"/>
                <w:lang w:val="en-US"/>
              </w:rPr>
            </w:pPr>
          </w:p>
        </w:tc>
      </w:tr>
    </w:tbl>
    <w:p w:rsidR="00323032" w:rsidRPr="00036EE3" w:rsidRDefault="00323032" w:rsidP="0032303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23032" w:rsidRPr="007B3EA0" w:rsidTr="00E159C0">
        <w:tc>
          <w:tcPr>
            <w:tcW w:w="9360" w:type="dxa"/>
          </w:tcPr>
          <w:p w:rsidR="00323032" w:rsidRPr="002F5199" w:rsidRDefault="00323032"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w:t>
            </w:r>
            <w:r w:rsidRPr="008608DB">
              <w:rPr>
                <w:i/>
                <w:iCs/>
                <w:sz w:val="18"/>
                <w:szCs w:val="18"/>
                <w:lang w:val="en-US"/>
              </w:rPr>
              <w:t>-</w:t>
            </w:r>
            <w:r w:rsidRPr="002F5199">
              <w:rPr>
                <w:i/>
                <w:iCs/>
                <w:lang w:val="en-US"/>
              </w:rPr>
              <w:t xml:space="preserve">R </w:t>
            </w:r>
            <w:r w:rsidRPr="008608DB">
              <w:rPr>
                <w:i/>
                <w:iCs/>
                <w:sz w:val="18"/>
                <w:szCs w:val="18"/>
                <w:lang w:val="en-US"/>
              </w:rPr>
              <w:t>1.</w:t>
            </w:r>
          </w:p>
        </w:tc>
      </w:tr>
    </w:tbl>
    <w:p w:rsidR="00323032" w:rsidRDefault="00323032" w:rsidP="00323032">
      <w:pPr>
        <w:spacing w:before="0"/>
        <w:jc w:val="center"/>
        <w:rPr>
          <w:sz w:val="22"/>
          <w:lang w:val="en-US"/>
        </w:rPr>
      </w:pPr>
    </w:p>
    <w:p w:rsidR="00323032" w:rsidRDefault="00323032" w:rsidP="00323032">
      <w:pPr>
        <w:spacing w:before="0"/>
        <w:jc w:val="center"/>
        <w:rPr>
          <w:sz w:val="22"/>
          <w:lang w:val="en-US"/>
        </w:rPr>
      </w:pPr>
    </w:p>
    <w:p w:rsidR="00323032" w:rsidRPr="002F5199" w:rsidRDefault="00323032" w:rsidP="00323032">
      <w:pPr>
        <w:spacing w:before="0"/>
        <w:jc w:val="right"/>
        <w:rPr>
          <w:i/>
          <w:iCs/>
          <w:lang w:val="en-US"/>
        </w:rPr>
      </w:pPr>
      <w:r w:rsidRPr="002F5199">
        <w:rPr>
          <w:i/>
          <w:iCs/>
          <w:lang w:val="en-US"/>
        </w:rPr>
        <w:t>Electronic Publication</w:t>
      </w:r>
    </w:p>
    <w:p w:rsidR="00323032" w:rsidRPr="002F5199" w:rsidRDefault="00323032" w:rsidP="00323032">
      <w:pPr>
        <w:spacing w:before="0"/>
        <w:jc w:val="right"/>
        <w:rPr>
          <w:lang w:val="en-US"/>
        </w:rPr>
      </w:pPr>
      <w:r w:rsidRPr="002F5199">
        <w:rPr>
          <w:lang w:val="en-US"/>
        </w:rPr>
        <w:t>Geneva, 20</w:t>
      </w:r>
      <w:r w:rsidR="009622F0">
        <w:rPr>
          <w:lang w:val="en-US"/>
        </w:rPr>
        <w:t>18</w:t>
      </w:r>
    </w:p>
    <w:p w:rsidR="00323032" w:rsidRDefault="00323032" w:rsidP="00323032">
      <w:pPr>
        <w:jc w:val="center"/>
        <w:rPr>
          <w:sz w:val="22"/>
          <w:lang w:val="en-US"/>
        </w:rPr>
      </w:pPr>
    </w:p>
    <w:p w:rsidR="00323032" w:rsidRPr="00470E28" w:rsidRDefault="00323032" w:rsidP="00323032">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sidR="009622F0">
        <w:rPr>
          <w:lang w:val="en-US"/>
        </w:rPr>
        <w:t>18</w:t>
      </w:r>
    </w:p>
    <w:p w:rsidR="00323032" w:rsidRPr="00470E28" w:rsidRDefault="00323032" w:rsidP="0032303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23032" w:rsidRDefault="00323032" w:rsidP="00323032">
      <w:pPr>
        <w:spacing w:before="160"/>
        <w:rPr>
          <w:i/>
          <w:lang w:val="en-US"/>
        </w:rPr>
        <w:sectPr w:rsidR="00323032"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344991" w:rsidRDefault="00323032">
      <w:pPr>
        <w:pStyle w:val="Rec"/>
        <w:spacing w:before="0"/>
      </w:pPr>
      <w:proofErr w:type="gramStart"/>
      <w:r>
        <w:lastRenderedPageBreak/>
        <w:t>RECOMMENDATION  ITU</w:t>
      </w:r>
      <w:proofErr w:type="gramEnd"/>
      <w:r>
        <w:t>-R  SM.1131</w:t>
      </w:r>
      <w:r w:rsidR="009622F0">
        <w:t>-0</w:t>
      </w:r>
      <w:r>
        <w:rPr>
          <w:rStyle w:val="FootnoteReference"/>
        </w:rPr>
        <w:footnoteReference w:customMarkFollows="1" w:id="1"/>
        <w:t>*</w:t>
      </w:r>
      <w:r w:rsidRPr="00323032">
        <w:rPr>
          <w:position w:val="8"/>
          <w:sz w:val="16"/>
        </w:rPr>
        <w:t>,</w:t>
      </w:r>
      <w:r w:rsidRPr="00323032">
        <w:rPr>
          <w:sz w:val="16"/>
        </w:rPr>
        <w:t xml:space="preserve"> </w:t>
      </w:r>
      <w:r>
        <w:rPr>
          <w:rStyle w:val="FootnoteReference"/>
        </w:rPr>
        <w:footnoteReference w:customMarkFollows="1" w:id="2"/>
        <w:t>**</w:t>
      </w:r>
    </w:p>
    <w:p w:rsidR="00344991" w:rsidRDefault="00323032" w:rsidP="00FC5870">
      <w:pPr>
        <w:pStyle w:val="RecTitle"/>
      </w:pPr>
      <w:r>
        <w:t>Factors to consider in allocating spectrum on a worldwide basis</w:t>
      </w:r>
    </w:p>
    <w:p w:rsidR="0000376F" w:rsidRPr="009622F0" w:rsidRDefault="0000376F" w:rsidP="0000376F">
      <w:pPr>
        <w:pStyle w:val="RecTitleRef"/>
        <w:rPr>
          <w:lang w:val="fr-CH"/>
        </w:rPr>
      </w:pPr>
      <w:r w:rsidRPr="009622F0">
        <w:rPr>
          <w:lang w:val="fr-CH"/>
        </w:rPr>
        <w:t xml:space="preserve">(Question </w:t>
      </w:r>
      <w:bookmarkStart w:id="2" w:name="_GoBack"/>
      <w:bookmarkEnd w:id="2"/>
      <w:r w:rsidRPr="009622F0">
        <w:rPr>
          <w:lang w:val="fr-CH"/>
        </w:rPr>
        <w:t>ITU-R 205/1)</w:t>
      </w:r>
    </w:p>
    <w:p w:rsidR="00323032" w:rsidRPr="009622F0" w:rsidRDefault="00323032">
      <w:pPr>
        <w:pStyle w:val="RecTitleDate"/>
        <w:rPr>
          <w:lang w:val="fr-CH"/>
        </w:rPr>
      </w:pPr>
    </w:p>
    <w:p w:rsidR="00344991" w:rsidRPr="009622F0" w:rsidRDefault="00323032">
      <w:pPr>
        <w:pStyle w:val="RecTitleDate"/>
        <w:rPr>
          <w:lang w:val="fr-CH"/>
        </w:rPr>
      </w:pPr>
      <w:r w:rsidRPr="009622F0">
        <w:rPr>
          <w:lang w:val="fr-CH"/>
        </w:rPr>
        <w:t>(1995)</w:t>
      </w:r>
    </w:p>
    <w:p w:rsidR="00344991" w:rsidRPr="009622F0" w:rsidRDefault="00323032">
      <w:pPr>
        <w:pStyle w:val="headfoot"/>
        <w:rPr>
          <w:color w:val="FFFFFF"/>
          <w:lang w:val="fr-CH"/>
        </w:rPr>
      </w:pPr>
      <w:r w:rsidRPr="009622F0">
        <w:rPr>
          <w:color w:val="FFFFFF"/>
          <w:lang w:val="fr-CH"/>
        </w:rPr>
        <w:t>Rec. ITU-R SM.1131</w:t>
      </w:r>
    </w:p>
    <w:p w:rsidR="00344991" w:rsidRDefault="00323032">
      <w:pPr>
        <w:pStyle w:val="Normalaftertitle"/>
      </w:pPr>
      <w:r>
        <w:t xml:space="preserve">The ITU </w:t>
      </w:r>
      <w:proofErr w:type="spellStart"/>
      <w:r>
        <w:t>Radiocommunication</w:t>
      </w:r>
      <w:proofErr w:type="spellEnd"/>
      <w:r>
        <w:t xml:space="preserve"> Assembly,</w:t>
      </w:r>
    </w:p>
    <w:p w:rsidR="00344991" w:rsidRDefault="00323032">
      <w:pPr>
        <w:pStyle w:val="call"/>
      </w:pPr>
      <w:proofErr w:type="gramStart"/>
      <w:r>
        <w:t>considering</w:t>
      </w:r>
      <w:proofErr w:type="gramEnd"/>
    </w:p>
    <w:p w:rsidR="00344991" w:rsidRDefault="00323032" w:rsidP="00323032">
      <w:r>
        <w:t>a)</w:t>
      </w:r>
      <w:r>
        <w:tab/>
      </w:r>
      <w:proofErr w:type="gramStart"/>
      <w:r>
        <w:t>that</w:t>
      </w:r>
      <w:proofErr w:type="gramEnd"/>
      <w:r>
        <w:t xml:space="preserve"> the Radio Regulations (RR) specify three “Regions” (RR Nos. 5.2 to 5.9);</w:t>
      </w:r>
    </w:p>
    <w:p w:rsidR="00344991" w:rsidRDefault="00323032">
      <w:r>
        <w:t>b)</w:t>
      </w:r>
      <w:r>
        <w:tab/>
      </w:r>
      <w:proofErr w:type="gramStart"/>
      <w:r>
        <w:t>that</w:t>
      </w:r>
      <w:proofErr w:type="gramEnd"/>
      <w:r>
        <w:t>, between the three Regions, there are many differences in allocated services and allocated band limits;</w:t>
      </w:r>
    </w:p>
    <w:p w:rsidR="00344991" w:rsidRDefault="00323032">
      <w:r>
        <w:t>c)</w:t>
      </w:r>
      <w:r>
        <w:tab/>
      </w:r>
      <w:proofErr w:type="gramStart"/>
      <w:r>
        <w:t>that</w:t>
      </w:r>
      <w:proofErr w:type="gramEnd"/>
      <w:r>
        <w:t xml:space="preserve"> worldwide allocations can:</w:t>
      </w:r>
    </w:p>
    <w:p w:rsidR="00344991" w:rsidRDefault="00323032">
      <w:pPr>
        <w:pStyle w:val="enumlev1"/>
      </w:pPr>
      <w:r>
        <w:t>–</w:t>
      </w:r>
      <w:r>
        <w:tab/>
        <w:t>simplify the Table of Frequency Allocations;</w:t>
      </w:r>
    </w:p>
    <w:p w:rsidR="00344991" w:rsidRDefault="00323032">
      <w:pPr>
        <w:pStyle w:val="enumlev1"/>
      </w:pPr>
      <w:r>
        <w:t>–</w:t>
      </w:r>
      <w:r>
        <w:tab/>
        <w:t>ease coordination requirements;</w:t>
      </w:r>
    </w:p>
    <w:p w:rsidR="00344991" w:rsidRDefault="00323032">
      <w:pPr>
        <w:pStyle w:val="enumlev1"/>
      </w:pPr>
      <w:r>
        <w:t>–</w:t>
      </w:r>
      <w:r>
        <w:tab/>
        <w:t>promote equipment availability for international markets and reduce production costs, thus helping to meet the requirements of developing countries in particular;</w:t>
      </w:r>
    </w:p>
    <w:p w:rsidR="00344991" w:rsidRDefault="00323032">
      <w:pPr>
        <w:pStyle w:val="enumlev1"/>
      </w:pPr>
      <w:r>
        <w:t>–</w:t>
      </w:r>
      <w:r>
        <w:tab/>
        <w:t>facilitate activities that depend on internationally operable equipment (i.e. flight traffic control);</w:t>
      </w:r>
    </w:p>
    <w:p w:rsidR="00344991" w:rsidRDefault="00323032">
      <w:r>
        <w:t>d)</w:t>
      </w:r>
      <w:r>
        <w:tab/>
      </w:r>
      <w:proofErr w:type="gramStart"/>
      <w:r>
        <w:t>that</w:t>
      </w:r>
      <w:proofErr w:type="gramEnd"/>
      <w:r>
        <w:t xml:space="preserve"> the factors to consider when evaluating the need for a worldwide allocation versus separate regional allocations in a specific frequency range need to be delineated,</w:t>
      </w:r>
    </w:p>
    <w:p w:rsidR="00344991" w:rsidRDefault="00323032">
      <w:pPr>
        <w:pStyle w:val="call"/>
      </w:pPr>
      <w:proofErr w:type="gramStart"/>
      <w:r>
        <w:t>recommends</w:t>
      </w:r>
      <w:proofErr w:type="gramEnd"/>
    </w:p>
    <w:p w:rsidR="00344991" w:rsidRDefault="00323032">
      <w:r>
        <w:rPr>
          <w:b/>
        </w:rPr>
        <w:t>1</w:t>
      </w:r>
      <w:r>
        <w:tab/>
        <w:t>that, when evaluating, for a specific frequency range, whether to allocate on a worldwide versus a regional basis, administrations should consider the factors in Annex 1.</w:t>
      </w:r>
    </w:p>
    <w:p w:rsidR="00344991" w:rsidRDefault="00344991"/>
    <w:p w:rsidR="00344991" w:rsidRDefault="00344991"/>
    <w:p w:rsidR="00323032" w:rsidRDefault="00323032"/>
    <w:p w:rsidR="00344991" w:rsidRDefault="00323032">
      <w:pPr>
        <w:pStyle w:val="Annex"/>
      </w:pPr>
      <w:proofErr w:type="gramStart"/>
      <w:r>
        <w:t>ANNEX  1</w:t>
      </w:r>
      <w:proofErr w:type="gramEnd"/>
    </w:p>
    <w:p w:rsidR="00344991" w:rsidRDefault="00323032">
      <w:pPr>
        <w:pStyle w:val="AnnexTitle"/>
      </w:pPr>
      <w:r>
        <w:t>Factors to consider for allocating spectrum on a worldwide basis</w:t>
      </w:r>
    </w:p>
    <w:p w:rsidR="00344991" w:rsidRDefault="00323032">
      <w:pPr>
        <w:pStyle w:val="Heading1"/>
      </w:pPr>
      <w:r>
        <w:t>1</w:t>
      </w:r>
      <w:r>
        <w:tab/>
        <w:t>Introduction</w:t>
      </w:r>
    </w:p>
    <w:p w:rsidR="00344991" w:rsidRDefault="00323032">
      <w:r>
        <w:t>Several factors need to be considered when evaluating where worldwide allocations are needed. The factors described below should be understood in the context of the time available to achieve a worldwide allocation where differing regional allocations currently exist. In achieving a worldwide allocation, a considerable period of time is required to plan and arrange for the many aspects of changing service allocations or service designations. An orderly approach to implementation of a worldwide allocation, will not only allow technical and operational issues to be resolved, but could permit attrition and obsolescence of equipment. It can minimize service disruption and dislocation, while permitting region specific services to continue operation under the proviso that continued operation does not retard the worldwide implementation programme.</w:t>
      </w:r>
    </w:p>
    <w:p w:rsidR="00344991" w:rsidRDefault="00323032">
      <w:pPr>
        <w:pStyle w:val="Heading1"/>
      </w:pPr>
      <w:r>
        <w:br w:type="page"/>
      </w:r>
      <w:r>
        <w:lastRenderedPageBreak/>
        <w:t>2</w:t>
      </w:r>
      <w:r>
        <w:tab/>
        <w:t>Technical factors</w:t>
      </w:r>
    </w:p>
    <w:p w:rsidR="00344991" w:rsidRDefault="00323032">
      <w:r>
        <w:t>Technical factors, predominantly frequency/propagation, and space location must be considered when allocating spectrum. Signals communicating over very long distances due to the propagation characteristics (primarily HF) cannot be localized as a border coordination issue. Space systems with wide area transmission footprints often require worldwide allocations; however, in some cases, space systems may be capable of varying frequencies based on the direction of transmission or the position of the satellite during transmission.</w:t>
      </w:r>
    </w:p>
    <w:p w:rsidR="00344991" w:rsidRDefault="00323032">
      <w:pPr>
        <w:pStyle w:val="Heading1"/>
      </w:pPr>
      <w:r>
        <w:t>3</w:t>
      </w:r>
      <w:r>
        <w:tab/>
        <w:t>Operational factors</w:t>
      </w:r>
    </w:p>
    <w:p w:rsidR="00344991" w:rsidRDefault="00323032">
      <w:r>
        <w:t>Certain radio services or types of radio services require allocation on a worldwide basis because the functions that they serve require international mobility of operation and/or interoperability. Some unique operational functions, such as maritime and aeronautical mobile services often require worldwide allotment and/or channelling plans. Examples of services or types of services generally requiring worldwide allocations include:</w:t>
      </w:r>
    </w:p>
    <w:p w:rsidR="00344991" w:rsidRDefault="00323032">
      <w:pPr>
        <w:pStyle w:val="enumlev1"/>
      </w:pPr>
      <w:r>
        <w:t>–</w:t>
      </w:r>
      <w:r>
        <w:tab/>
      </w:r>
      <w:proofErr w:type="gramStart"/>
      <w:r>
        <w:t>aeronautical</w:t>
      </w:r>
      <w:proofErr w:type="gramEnd"/>
      <w:r>
        <w:t xml:space="preserve"> mobile (R) and (OR),</w:t>
      </w:r>
    </w:p>
    <w:p w:rsidR="00344991" w:rsidRDefault="00323032">
      <w:pPr>
        <w:pStyle w:val="enumlev1"/>
      </w:pPr>
      <w:r>
        <w:t>–</w:t>
      </w:r>
      <w:r>
        <w:tab/>
      </w:r>
      <w:proofErr w:type="gramStart"/>
      <w:r>
        <w:t>maritime</w:t>
      </w:r>
      <w:proofErr w:type="gramEnd"/>
      <w:r>
        <w:t xml:space="preserve"> mobile service,</w:t>
      </w:r>
    </w:p>
    <w:p w:rsidR="00344991" w:rsidRDefault="00323032">
      <w:pPr>
        <w:pStyle w:val="enumlev1"/>
      </w:pPr>
      <w:r>
        <w:t>–</w:t>
      </w:r>
      <w:r>
        <w:tab/>
      </w:r>
      <w:proofErr w:type="gramStart"/>
      <w:r>
        <w:t>safety</w:t>
      </w:r>
      <w:proofErr w:type="gramEnd"/>
      <w:r>
        <w:t xml:space="preserve"> services (i.e. </w:t>
      </w:r>
      <w:proofErr w:type="spellStart"/>
      <w:r>
        <w:t>radionavigation</w:t>
      </w:r>
      <w:proofErr w:type="spellEnd"/>
      <w:r>
        <w:t>, and distress signalling),</w:t>
      </w:r>
    </w:p>
    <w:p w:rsidR="00344991" w:rsidRDefault="00323032">
      <w:pPr>
        <w:pStyle w:val="enumlev1"/>
      </w:pPr>
      <w:r>
        <w:t>–</w:t>
      </w:r>
      <w:r>
        <w:tab/>
      </w:r>
      <w:proofErr w:type="gramStart"/>
      <w:r>
        <w:t>radio</w:t>
      </w:r>
      <w:proofErr w:type="gramEnd"/>
      <w:r w:rsidR="009622F0">
        <w:t xml:space="preserve"> </w:t>
      </w:r>
      <w:r>
        <w:t>astronomy,</w:t>
      </w:r>
    </w:p>
    <w:p w:rsidR="00344991" w:rsidRDefault="00323032">
      <w:pPr>
        <w:pStyle w:val="enumlev1"/>
      </w:pPr>
      <w:r>
        <w:t>–</w:t>
      </w:r>
      <w:r>
        <w:tab/>
      </w:r>
      <w:proofErr w:type="gramStart"/>
      <w:r>
        <w:t>space</w:t>
      </w:r>
      <w:proofErr w:type="gramEnd"/>
      <w:r>
        <w:t xml:space="preserve"> services,</w:t>
      </w:r>
    </w:p>
    <w:p w:rsidR="00344991" w:rsidRDefault="00323032">
      <w:pPr>
        <w:pStyle w:val="enumlev1"/>
        <w:rPr>
          <w:strike/>
        </w:rPr>
      </w:pPr>
      <w:r>
        <w:t>–</w:t>
      </w:r>
      <w:r>
        <w:tab/>
      </w:r>
      <w:proofErr w:type="gramStart"/>
      <w:r>
        <w:t>services</w:t>
      </w:r>
      <w:proofErr w:type="gramEnd"/>
      <w:r>
        <w:t xml:space="preserve"> below 30 </w:t>
      </w:r>
      <w:proofErr w:type="spellStart"/>
      <w:r>
        <w:t>MHz.</w:t>
      </w:r>
      <w:proofErr w:type="spellEnd"/>
    </w:p>
    <w:p w:rsidR="00344991" w:rsidRDefault="00323032">
      <w:r>
        <w:t>Other radio systems require worldwide allocations because they provide, or are capable of providing a worldwide service available to all administrations as desired. Some examples, of such systems are:</w:t>
      </w:r>
    </w:p>
    <w:p w:rsidR="00344991" w:rsidRDefault="00323032">
      <w:pPr>
        <w:pStyle w:val="enumlev1"/>
      </w:pPr>
      <w:r>
        <w:t>–</w:t>
      </w:r>
      <w:r>
        <w:tab/>
      </w:r>
      <w:proofErr w:type="gramStart"/>
      <w:r>
        <w:t>the</w:t>
      </w:r>
      <w:proofErr w:type="gramEnd"/>
      <w:r>
        <w:t xml:space="preserve"> mobile-satellite service operated by public and private sector telecommunications providers,</w:t>
      </w:r>
    </w:p>
    <w:p w:rsidR="00344991" w:rsidRDefault="00323032">
      <w:pPr>
        <w:pStyle w:val="enumlev1"/>
      </w:pPr>
      <w:r>
        <w:t>–</w:t>
      </w:r>
      <w:r>
        <w:tab/>
      </w:r>
      <w:proofErr w:type="gramStart"/>
      <w:r>
        <w:t>the</w:t>
      </w:r>
      <w:proofErr w:type="gramEnd"/>
      <w:r>
        <w:t xml:space="preserve"> fixed-satellite service,</w:t>
      </w:r>
    </w:p>
    <w:p w:rsidR="00344991" w:rsidRDefault="00323032">
      <w:pPr>
        <w:pStyle w:val="enumlev1"/>
      </w:pPr>
      <w:r>
        <w:t>–</w:t>
      </w:r>
      <w:r>
        <w:tab/>
      </w:r>
      <w:proofErr w:type="gramStart"/>
      <w:r>
        <w:t>the</w:t>
      </w:r>
      <w:proofErr w:type="gramEnd"/>
      <w:r>
        <w:t xml:space="preserve"> </w:t>
      </w:r>
      <w:proofErr w:type="spellStart"/>
      <w:r>
        <w:t>radionavigation</w:t>
      </w:r>
      <w:proofErr w:type="spellEnd"/>
      <w:r>
        <w:t>-satellite service,</w:t>
      </w:r>
    </w:p>
    <w:p w:rsidR="00344991" w:rsidRDefault="00323032" w:rsidP="00625AB3">
      <w:pPr>
        <w:pStyle w:val="enumlev1"/>
      </w:pPr>
      <w:r>
        <w:t>–</w:t>
      </w:r>
      <w:r>
        <w:tab/>
      </w:r>
      <w:proofErr w:type="gramStart"/>
      <w:r>
        <w:t>the</w:t>
      </w:r>
      <w:proofErr w:type="gramEnd"/>
      <w:r>
        <w:t xml:space="preserve"> land mobile service such as that provided by </w:t>
      </w:r>
      <w:r w:rsidR="00625AB3">
        <w:t>IMT</w:t>
      </w:r>
      <w:r>
        <w:t>.</w:t>
      </w:r>
    </w:p>
    <w:p w:rsidR="00344991" w:rsidRDefault="00323032">
      <w:pPr>
        <w:pStyle w:val="Heading1"/>
      </w:pPr>
      <w:r>
        <w:t>4</w:t>
      </w:r>
      <w:r>
        <w:tab/>
        <w:t>Economic factors</w:t>
      </w:r>
    </w:p>
    <w:p w:rsidR="00344991" w:rsidRDefault="00323032">
      <w:r>
        <w:t>The costs of allocating spectrum on a worldwide basis versus the benefits achieved must be considered. Worldwide allocations may assist in the development of equipment for international markets, leading to possible reduction in equipment costs and simplification of the equipment acquisition process. However, frequency re-assignment of existing equipment may not always be possible due to equipment limitations, or because existing service will be impaired as a result of a required change. Therefore, costs may include such items as the elimination of equipment operating under non-aligned regional allocations and losses to equipment manufacturers heavily invested in associated technology. Technical improvements such as frequency synthesizers decrease the costs associated with changing frequencies; however, they also lower the costs associated with different regional allocations such as production inefficiencies and market availability.</w:t>
      </w:r>
    </w:p>
    <w:p w:rsidR="00344991" w:rsidRDefault="00323032">
      <w:pPr>
        <w:pStyle w:val="Heading1"/>
      </w:pPr>
      <w:r>
        <w:t>5</w:t>
      </w:r>
      <w:r>
        <w:tab/>
        <w:t>Other factors</w:t>
      </w:r>
    </w:p>
    <w:p w:rsidR="00344991" w:rsidRDefault="00323032">
      <w:r>
        <w:t>The RR and the Table of Frequency Allocations therein permit administrations to deviate from a particular allocation by use of footnotes. Such deviation takes the form of additional or alternative allocations. Although such allocations can be a disruptive influence, they remain an issue of national sovereignty and flexibility. The elimination of regional differences in allocations will not eliminate the existence of such deviations.</w:t>
      </w:r>
    </w:p>
    <w:p w:rsidR="00344991" w:rsidRDefault="00344991"/>
    <w:p w:rsidR="00344991" w:rsidRDefault="00344991">
      <w:pPr>
        <w:pStyle w:val="Line"/>
      </w:pPr>
    </w:p>
    <w:p w:rsidR="00344991" w:rsidRDefault="00344991"/>
    <w:p w:rsidR="00344991" w:rsidRDefault="00344991" w:rsidP="00323032"/>
    <w:sectPr w:rsidR="00344991" w:rsidSect="00323032">
      <w:headerReference w:type="even" r:id="rId12"/>
      <w:headerReference w:type="default" r:id="rId13"/>
      <w:pgSz w:w="11913" w:h="16834"/>
      <w:pgMar w:top="1088" w:right="1088" w:bottom="1088" w:left="1088" w:header="483" w:footer="483" w:gutter="0"/>
      <w:paperSrc w:first="1" w:other="1"/>
      <w:pgNumType w:start="1"/>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991" w:rsidRDefault="00323032">
      <w:pPr>
        <w:spacing w:before="0"/>
      </w:pPr>
      <w:r>
        <w:separator/>
      </w:r>
    </w:p>
  </w:endnote>
  <w:endnote w:type="continuationSeparator" w:id="0">
    <w:p w:rsidR="00344991" w:rsidRDefault="0032303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991" w:rsidRDefault="00323032">
      <w:r>
        <w:rPr>
          <w:b/>
        </w:rPr>
        <w:t>_______________</w:t>
      </w:r>
    </w:p>
  </w:footnote>
  <w:footnote w:type="continuationSeparator" w:id="0">
    <w:p w:rsidR="00344991" w:rsidRDefault="00323032">
      <w:pPr>
        <w:spacing w:before="0"/>
      </w:pPr>
      <w:r>
        <w:continuationSeparator/>
      </w:r>
    </w:p>
  </w:footnote>
  <w:footnote w:id="1">
    <w:p w:rsidR="00344991" w:rsidRDefault="00323032">
      <w:pPr>
        <w:pStyle w:val="FootnoteText"/>
      </w:pPr>
      <w:r>
        <w:rPr>
          <w:rStyle w:val="FootnoteReference"/>
        </w:rPr>
        <w:t>*</w:t>
      </w:r>
      <w:r>
        <w:t xml:space="preserve"> </w:t>
      </w:r>
      <w:r>
        <w:tab/>
        <w:t>This Recommendation should be brought to the attention of Telecommunication Development Study Groups 1 and 2 (ITU</w:t>
      </w:r>
      <w:r>
        <w:noBreakHyphen/>
        <w:t>D).</w:t>
      </w:r>
    </w:p>
  </w:footnote>
  <w:footnote w:id="2">
    <w:p w:rsidR="00323032" w:rsidRPr="00323032" w:rsidRDefault="00323032" w:rsidP="009622F0">
      <w:pPr>
        <w:pStyle w:val="FootnoteText"/>
        <w:ind w:left="313" w:hanging="313"/>
        <w:rPr>
          <w:lang w:val="en-US"/>
        </w:rPr>
      </w:pPr>
      <w:r>
        <w:rPr>
          <w:rStyle w:val="FootnoteReference"/>
        </w:rPr>
        <w:t>**</w:t>
      </w:r>
      <w:r>
        <w:tab/>
      </w:r>
      <w:proofErr w:type="spellStart"/>
      <w:r>
        <w:t>Radiocommunication</w:t>
      </w:r>
      <w:proofErr w:type="spellEnd"/>
      <w:r>
        <w:t xml:space="preserve"> Study Group 1 made editorial amendments to this Recommendation in </w:t>
      </w:r>
      <w:r w:rsidR="009622F0">
        <w:t xml:space="preserve">the years </w:t>
      </w:r>
      <w:r>
        <w:t>2011</w:t>
      </w:r>
      <w:r w:rsidR="009622F0">
        <w:t>,</w:t>
      </w:r>
      <w:r w:rsidR="008608DB">
        <w:t xml:space="preserve"> 2015 </w:t>
      </w:r>
      <w:r w:rsidR="009622F0">
        <w:t xml:space="preserve">and 2018 </w:t>
      </w:r>
      <w:r>
        <w:t>in acco</w:t>
      </w:r>
      <w:r w:rsidR="008608DB">
        <w:t>rdance with Resolution ITU-R 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32" w:rsidRDefault="0032303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32" w:rsidRDefault="00323032" w:rsidP="00B033C8">
    <w:pPr>
      <w:pStyle w:val="Header"/>
      <w:ind w:right="360" w:firstLine="360"/>
    </w:pPr>
    <w:r>
      <w:rPr>
        <w:noProof/>
      </w:rPr>
      <w:drawing>
        <wp:anchor distT="0" distB="0" distL="114300" distR="114300" simplePos="0" relativeHeight="251659264" behindDoc="1" locked="0" layoutInCell="1" allowOverlap="1" wp14:anchorId="219D53ED" wp14:editId="2BA9768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32" w:rsidRPr="00323032" w:rsidRDefault="00323032" w:rsidP="00323032">
    <w:pPr>
      <w:pStyle w:val="Header"/>
      <w:jc w:val="left"/>
      <w:rPr>
        <w:lang w:val="en-US"/>
      </w:rPr>
    </w:pPr>
    <w:r w:rsidRPr="00323032">
      <w:rPr>
        <w:rStyle w:val="PageNumber"/>
      </w:rPr>
      <w:fldChar w:fldCharType="begin"/>
    </w:r>
    <w:r w:rsidRPr="00323032">
      <w:rPr>
        <w:rStyle w:val="PageNumber"/>
        <w:lang w:val="en-US"/>
      </w:rPr>
      <w:instrText xml:space="preserve"> PAGE </w:instrText>
    </w:r>
    <w:r w:rsidRPr="00323032">
      <w:rPr>
        <w:rStyle w:val="PageNumber"/>
      </w:rPr>
      <w:fldChar w:fldCharType="separate"/>
    </w:r>
    <w:r w:rsidR="00FC5870">
      <w:rPr>
        <w:rStyle w:val="PageNumber"/>
        <w:noProof/>
        <w:lang w:val="en-US"/>
      </w:rPr>
      <w:t>ii</w:t>
    </w:r>
    <w:r w:rsidRPr="00323032">
      <w:rPr>
        <w:rStyle w:val="PageNumber"/>
      </w:rPr>
      <w:fldChar w:fldCharType="end"/>
    </w:r>
    <w:r w:rsidRPr="00323032">
      <w:rPr>
        <w:lang w:val="en-US"/>
      </w:rPr>
      <w:tab/>
    </w:r>
    <w:r>
      <w:fldChar w:fldCharType="begin"/>
    </w:r>
    <w:r>
      <w:instrText>styleref head_foot</w:instrText>
    </w:r>
    <w:r>
      <w:fldChar w:fldCharType="separate"/>
    </w:r>
    <w:r w:rsidR="00FC5870">
      <w:rPr>
        <w:noProof/>
      </w:rPr>
      <w:t>Rec. ITU-R SM.1131</w:t>
    </w:r>
    <w:r>
      <w:fldChar w:fldCharType="end"/>
    </w:r>
    <w:r w:rsidR="00D40CE0">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32" w:rsidRDefault="00323032">
    <w:pPr>
      <w:pStyle w:val="Header"/>
    </w:pPr>
    <w:r>
      <w:tab/>
    </w:r>
    <w:r>
      <w:fldChar w:fldCharType="begin"/>
    </w:r>
    <w:r>
      <w:instrText xml:space="preserve"> DOCPROPERTY "Header" \* MERGEFORMAT </w:instrText>
    </w:r>
    <w:r>
      <w:fldChar w:fldCharType="separate"/>
    </w:r>
    <w:r w:rsidR="00DB3A83">
      <w:rPr>
        <w:b w:val="0"/>
        <w:bCs w:val="0"/>
        <w:lang w:val="en-US"/>
      </w:rPr>
      <w:t>Error! Unknown document property name.</w:t>
    </w:r>
    <w:r>
      <w:rPr>
        <w:b w:val="0"/>
        <w:bCs w:val="0"/>
      </w:rPr>
      <w:fldChar w:fldCharType="end"/>
    </w:r>
    <w:r>
      <w:rPr>
        <w:b w:val="0"/>
        <w:bCs w:val="0"/>
      </w:rPr>
      <w:t xml:space="preserve"> </w:t>
    </w:r>
    <w:r>
      <w:rPr>
        <w:b w:val="0"/>
        <w:bCs w:val="0"/>
      </w:rPr>
      <w:fldChar w:fldCharType="begin"/>
    </w:r>
    <w:r>
      <w:rPr>
        <w:b w:val="0"/>
        <w:bCs w:val="0"/>
      </w:rPr>
      <w:instrText>styleref href</w:instrText>
    </w:r>
    <w:r>
      <w:rPr>
        <w:b w:val="0"/>
        <w:bCs w:val="0"/>
      </w:rPr>
      <w:fldChar w:fldCharType="separate"/>
    </w:r>
    <w:r w:rsidR="00DB3A83">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b w:val="0"/>
        <w:bCs w:val="0"/>
      </w:rPr>
      <w:instrText xml:space="preserve"> PAGE </w:instrText>
    </w:r>
    <w:r>
      <w:rPr>
        <w:rStyle w:val="PageNumber"/>
        <w:b w:val="0"/>
        <w:bCs w:val="0"/>
      </w:rPr>
      <w:fldChar w:fldCharType="separate"/>
    </w:r>
    <w:r w:rsidR="008608DB">
      <w:rPr>
        <w:rStyle w:val="PageNumber"/>
        <w:b w:val="0"/>
        <w:bCs w:val="0"/>
        <w:noProof/>
      </w:rPr>
      <w:t>iii</w:t>
    </w:r>
    <w:r>
      <w:rPr>
        <w:rStyle w:val="PageNumber"/>
        <w:b w:val="0"/>
        <w:bCs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991" w:rsidRDefault="00323032">
    <w:pPr>
      <w:pStyle w:val="Header"/>
    </w:pPr>
    <w:r>
      <w:fldChar w:fldCharType="begin"/>
    </w:r>
    <w:r>
      <w:instrText>PAGE</w:instrText>
    </w:r>
    <w:r>
      <w:fldChar w:fldCharType="separate"/>
    </w:r>
    <w:r w:rsidR="00FC5870">
      <w:rPr>
        <w:noProof/>
      </w:rPr>
      <w:t>2</w:t>
    </w:r>
    <w:r>
      <w:fldChar w:fldCharType="end"/>
    </w:r>
    <w:r>
      <w:tab/>
    </w:r>
    <w:r>
      <w:fldChar w:fldCharType="begin"/>
    </w:r>
    <w:r>
      <w:instrText>styleref head_foot</w:instrText>
    </w:r>
    <w:r>
      <w:fldChar w:fldCharType="separate"/>
    </w:r>
    <w:r w:rsidR="00FC5870">
      <w:rPr>
        <w:noProof/>
      </w:rPr>
      <w:t>Rec. ITU-R SM.1131</w:t>
    </w:r>
    <w:r>
      <w:fldChar w:fldCharType="end"/>
    </w:r>
    <w:r w:rsidR="009622F0">
      <w:t>-0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991" w:rsidRDefault="00323032">
    <w:pPr>
      <w:pStyle w:val="Header"/>
    </w:pPr>
    <w:r>
      <w:tab/>
    </w:r>
    <w:r>
      <w:fldChar w:fldCharType="begin"/>
    </w:r>
    <w:r>
      <w:instrText>styleref head_foot</w:instrText>
    </w:r>
    <w:r>
      <w:fldChar w:fldCharType="separate"/>
    </w:r>
    <w:r w:rsidR="00FC5870">
      <w:rPr>
        <w:noProof/>
      </w:rPr>
      <w:t>Rec. ITU-R SM.1131</w:t>
    </w:r>
    <w:r>
      <w:fldChar w:fldCharType="end"/>
    </w:r>
    <w:r w:rsidR="009622F0">
      <w:t>-0</w:t>
    </w:r>
    <w:r>
      <w:tab/>
    </w:r>
    <w:r>
      <w:fldChar w:fldCharType="begin"/>
    </w:r>
    <w:r>
      <w:instrText>PAGE</w:instrText>
    </w:r>
    <w:r>
      <w:fldChar w:fldCharType="separate"/>
    </w:r>
    <w:r w:rsidR="00FC5870">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proofState w:spelling="clean" w:grammar="clean"/>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A23"/>
    <w:rsid w:val="0000376F"/>
    <w:rsid w:val="00115669"/>
    <w:rsid w:val="00323032"/>
    <w:rsid w:val="00344991"/>
    <w:rsid w:val="00625AB3"/>
    <w:rsid w:val="00802A23"/>
    <w:rsid w:val="008608DB"/>
    <w:rsid w:val="00893C6F"/>
    <w:rsid w:val="008C150B"/>
    <w:rsid w:val="009622F0"/>
    <w:rsid w:val="00A81A81"/>
    <w:rsid w:val="00D40CE0"/>
    <w:rsid w:val="00DB3A83"/>
    <w:rsid w:val="00E2025E"/>
    <w:rsid w:val="00F32129"/>
    <w:rsid w:val="00F344B9"/>
    <w:rsid w:val="00FC58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48D7E4-0D72-46FD-92FC-C12E76E4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2F0"/>
    <w:pPr>
      <w:tabs>
        <w:tab w:val="left" w:pos="794"/>
        <w:tab w:val="left" w:pos="1191"/>
        <w:tab w:val="left" w:pos="1588"/>
        <w:tab w:val="left" w:pos="1985"/>
      </w:tabs>
      <w:overflowPunct w:val="0"/>
      <w:autoSpaceDE w:val="0"/>
      <w:autoSpaceDN w:val="0"/>
      <w:adjustRightInd w:val="0"/>
      <w:spacing w:before="136"/>
      <w:jc w:val="both"/>
      <w:textAlignment w:val="baseline"/>
    </w:pPr>
    <w:rPr>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rsid w:val="009622F0"/>
    <w:pPr>
      <w:tabs>
        <w:tab w:val="clear" w:pos="794"/>
        <w:tab w:val="clear" w:pos="1191"/>
        <w:tab w:val="clear" w:pos="1588"/>
        <w:tab w:val="clear" w:pos="1985"/>
        <w:tab w:val="center" w:pos="4849"/>
        <w:tab w:val="right" w:pos="9696"/>
      </w:tabs>
      <w:spacing w:before="720" w:after="68"/>
      <w:jc w:val="center"/>
      <w:outlineLvl w:val="0"/>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Title2">
    <w:name w:val="Title 2"/>
    <w:basedOn w:val="Normal"/>
    <w:next w:val="Title3"/>
    <w:pPr>
      <w:tabs>
        <w:tab w:val="clear" w:pos="794"/>
        <w:tab w:val="clear" w:pos="1191"/>
        <w:tab w:val="clear" w:pos="1588"/>
        <w:tab w:val="clear" w:pos="1985"/>
      </w:tabs>
      <w:spacing w:before="480"/>
      <w:jc w:val="center"/>
    </w:pPr>
    <w:rPr>
      <w:rFonts w:ascii="Arial" w:hAnsi="Arial" w:cs="Arial"/>
      <w:sz w:val="22"/>
      <w:szCs w:val="22"/>
    </w:rPr>
  </w:style>
  <w:style w:type="paragraph" w:customStyle="1" w:styleId="Title3">
    <w:name w:val="Title 3"/>
    <w:basedOn w:val="Title2"/>
    <w:pPr>
      <w:spacing w:before="240"/>
    </w:pPr>
    <w:rPr>
      <w:b/>
      <w:bCs/>
    </w:rPr>
  </w:style>
  <w:style w:type="paragraph" w:customStyle="1" w:styleId="Head">
    <w:name w:val="Head"/>
    <w:basedOn w:val="Normal"/>
    <w:pPr>
      <w:tabs>
        <w:tab w:val="clear" w:pos="794"/>
        <w:tab w:val="clear" w:pos="1191"/>
        <w:tab w:val="clear" w:pos="1588"/>
        <w:tab w:val="clear" w:pos="1985"/>
        <w:tab w:val="left" w:pos="6663"/>
      </w:tabs>
      <w:spacing w:before="0"/>
      <w:jc w:val="left"/>
    </w:pPr>
    <w:rPr>
      <w:rFonts w:ascii="Arial" w:hAnsi="Arial" w:cs="Arial"/>
      <w:sz w:val="22"/>
      <w:szCs w:val="22"/>
    </w:rPr>
  </w:style>
  <w:style w:type="paragraph" w:customStyle="1" w:styleId="RecTitle0">
    <w:name w:val="Rec Title"/>
    <w:basedOn w:val="Normal"/>
    <w:next w:val="Heading1"/>
    <w:pPr>
      <w:spacing w:before="240"/>
      <w:jc w:val="center"/>
    </w:pPr>
    <w:rPr>
      <w:rFonts w:ascii="Arial" w:hAnsi="Arial" w:cs="Arial"/>
      <w:b/>
      <w:bCs/>
      <w:sz w:val="22"/>
      <w:szCs w:val="22"/>
    </w:rPr>
  </w:style>
  <w:style w:type="paragraph" w:customStyle="1" w:styleId="toc0">
    <w:name w:val="toc 0"/>
    <w:basedOn w:val="Normal"/>
    <w:next w:val="TOC1"/>
    <w:pPr>
      <w:tabs>
        <w:tab w:val="clear" w:pos="794"/>
        <w:tab w:val="clear" w:pos="1191"/>
        <w:tab w:val="clear" w:pos="1588"/>
        <w:tab w:val="clear" w:pos="1985"/>
        <w:tab w:val="right" w:pos="9866"/>
      </w:tabs>
      <w:jc w:val="left"/>
    </w:pPr>
    <w:rPr>
      <w:rFonts w:ascii="Arial" w:hAnsi="Arial" w:cs="Arial"/>
      <w:sz w:val="22"/>
      <w:szCs w:val="22"/>
      <w:u w:val="words"/>
    </w:rPr>
  </w:style>
  <w:style w:type="paragraph" w:customStyle="1" w:styleId="Infodoc">
    <w:name w:val="Infodoc"/>
    <w:basedOn w:val="Normal"/>
    <w:pPr>
      <w:tabs>
        <w:tab w:val="clear" w:pos="794"/>
        <w:tab w:val="clear" w:pos="1588"/>
        <w:tab w:val="clear" w:pos="1985"/>
      </w:tabs>
      <w:spacing w:before="0"/>
      <w:ind w:left="1191" w:hanging="1191"/>
      <w:jc w:val="left"/>
    </w:pPr>
    <w:rPr>
      <w:rFonts w:ascii="Arial" w:hAnsi="Arial" w:cs="Arial"/>
      <w:sz w:val="22"/>
      <w:szCs w:val="22"/>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rFonts w:ascii="Arial" w:hAnsi="Arial" w:cs="Arial"/>
      <w:caps/>
      <w:sz w:val="22"/>
      <w:szCs w:val="22"/>
    </w:rPr>
  </w:style>
  <w:style w:type="paragraph" w:customStyle="1" w:styleId="Address">
    <w:name w:val="Address"/>
    <w:basedOn w:val="Normal"/>
    <w:pPr>
      <w:tabs>
        <w:tab w:val="clear" w:pos="794"/>
        <w:tab w:val="clear" w:pos="1191"/>
        <w:tab w:val="clear" w:pos="1588"/>
        <w:tab w:val="clear" w:pos="1985"/>
        <w:tab w:val="left" w:pos="5954"/>
        <w:tab w:val="left" w:pos="7201"/>
      </w:tabs>
      <w:ind w:left="794"/>
      <w:jc w:val="left"/>
    </w:pPr>
    <w:rPr>
      <w:rFonts w:ascii="Arial" w:hAnsi="Arial" w:cs="Arial"/>
      <w:sz w:val="22"/>
      <w:szCs w:val="22"/>
    </w:rPr>
  </w:style>
  <w:style w:type="paragraph" w:customStyle="1" w:styleId="Qlist">
    <w:name w:val="Qlist"/>
    <w:basedOn w:val="Normal"/>
    <w:pPr>
      <w:tabs>
        <w:tab w:val="clear" w:pos="1191"/>
        <w:tab w:val="clear" w:pos="1588"/>
        <w:tab w:val="left" w:pos="2268"/>
      </w:tabs>
      <w:spacing w:before="199"/>
      <w:ind w:left="2268" w:hanging="2268"/>
      <w:jc w:val="left"/>
    </w:pPr>
    <w:rPr>
      <w:rFonts w:ascii="Arial" w:hAnsi="Arial" w:cs="Arial"/>
      <w:b/>
      <w:bCs/>
      <w:sz w:val="22"/>
      <w:szCs w:val="22"/>
    </w:rPr>
  </w:style>
  <w:style w:type="paragraph" w:customStyle="1" w:styleId="Subject">
    <w:name w:val="Subject"/>
    <w:basedOn w:val="Normal"/>
    <w:next w:val="Title1"/>
    <w:pPr>
      <w:tabs>
        <w:tab w:val="clear" w:pos="794"/>
        <w:tab w:val="clear" w:pos="1191"/>
        <w:tab w:val="clear" w:pos="1588"/>
        <w:tab w:val="clear" w:pos="1985"/>
        <w:tab w:val="left" w:pos="1134"/>
      </w:tabs>
      <w:spacing w:before="0"/>
      <w:ind w:left="1134" w:hanging="1134"/>
      <w:jc w:val="left"/>
    </w:pPr>
    <w:rPr>
      <w:rFonts w:ascii="Arial" w:hAnsi="Arial" w:cs="Arial"/>
      <w:sz w:val="22"/>
      <w:szCs w:val="22"/>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1">
    <w:name w:val="Title 1"/>
    <w:basedOn w:val="Normal"/>
    <w:next w:val="Title2"/>
    <w:pPr>
      <w:tabs>
        <w:tab w:val="clear" w:pos="794"/>
        <w:tab w:val="clear" w:pos="1191"/>
        <w:tab w:val="clear" w:pos="1588"/>
        <w:tab w:val="clear" w:pos="1985"/>
      </w:tabs>
      <w:spacing w:before="720"/>
      <w:jc w:val="center"/>
    </w:pPr>
    <w:rPr>
      <w:rFonts w:ascii="Arial" w:hAnsi="Arial" w:cs="Arial"/>
      <w:b/>
      <w:bCs/>
      <w:sz w:val="22"/>
      <w:szCs w:val="22"/>
    </w:rPr>
  </w:style>
  <w:style w:type="paragraph" w:customStyle="1" w:styleId="meeting">
    <w:name w:val="meeting"/>
    <w:basedOn w:val="Head"/>
    <w:next w:val="Head"/>
    <w:pPr>
      <w:tabs>
        <w:tab w:val="left" w:pos="7371"/>
      </w:tabs>
      <w:spacing w:after="567"/>
    </w:pPr>
  </w:style>
  <w:style w:type="paragraph" w:styleId="List">
    <w:name w:val="List"/>
    <w:basedOn w:val="Normal"/>
    <w:semiHidden/>
    <w:pPr>
      <w:tabs>
        <w:tab w:val="clear" w:pos="794"/>
        <w:tab w:val="clear" w:pos="1191"/>
        <w:tab w:val="clear" w:pos="1588"/>
        <w:tab w:val="clear" w:pos="1985"/>
        <w:tab w:val="left" w:pos="1701"/>
        <w:tab w:val="left" w:pos="2127"/>
      </w:tabs>
      <w:ind w:left="2127" w:hanging="2127"/>
      <w:jc w:val="left"/>
    </w:pPr>
    <w:rPr>
      <w:rFonts w:ascii="Arial" w:hAnsi="Arial" w:cs="Arial"/>
      <w:sz w:val="22"/>
      <w:szCs w:val="22"/>
    </w:rPr>
  </w:style>
  <w:style w:type="paragraph" w:customStyle="1" w:styleId="Title4">
    <w:name w:val="Title 4"/>
    <w:basedOn w:val="Title3"/>
    <w:next w:val="Heading1"/>
    <w:pPr>
      <w:tabs>
        <w:tab w:val="left" w:pos="7513"/>
      </w:tabs>
    </w:pPr>
    <w:rPr>
      <w:b w:val="0"/>
      <w:bCs w:val="0"/>
    </w:rPr>
  </w:style>
  <w:style w:type="paragraph" w:customStyle="1" w:styleId="Keywords">
    <w:name w:val="Keywords"/>
    <w:basedOn w:val="Normal"/>
    <w:pPr>
      <w:tabs>
        <w:tab w:val="clear" w:pos="794"/>
        <w:tab w:val="clear" w:pos="1191"/>
      </w:tabs>
      <w:ind w:left="1588" w:hanging="1588"/>
      <w:jc w:val="left"/>
    </w:pPr>
    <w:rPr>
      <w:rFonts w:ascii="Arial" w:hAnsi="Arial" w:cs="Arial"/>
      <w:sz w:val="22"/>
      <w:szCs w:val="22"/>
    </w:rPr>
  </w:style>
  <w:style w:type="character" w:styleId="PageNumber">
    <w:name w:val="page number"/>
    <w:basedOn w:val="DefaultParagraphFont"/>
    <w:rsid w:val="00323032"/>
  </w:style>
  <w:style w:type="paragraph" w:customStyle="1" w:styleId="Tablehead">
    <w:name w:val="Table_head"/>
    <w:basedOn w:val="Normal"/>
    <w:next w:val="Normal"/>
    <w:rsid w:val="0032303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3230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323032"/>
    <w:pPr>
      <w:keepNext/>
      <w:keepLines/>
      <w:spacing w:before="240"/>
      <w:jc w:val="center"/>
    </w:pPr>
    <w:rPr>
      <w:b/>
      <w:sz w:val="28"/>
      <w:lang w:val="fr-FR" w:eastAsia="en-US"/>
    </w:rPr>
  </w:style>
  <w:style w:type="character" w:styleId="Hyperlink">
    <w:name w:val="Hyperlink"/>
    <w:basedOn w:val="DefaultParagraphFont"/>
    <w:rsid w:val="003230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7</TotalTime>
  <Pages>4</Pages>
  <Words>994</Words>
  <Characters>6440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SM.1131 - Factors to consider in allocating spectrum on a worldwide basis</vt:lpstr>
    </vt:vector>
  </TitlesOfParts>
  <Manager>PV..1677</Manager>
  <Company>ITU</Company>
  <LinksUpToDate>false</LinksUpToDate>
  <CharactersWithSpaces>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SM.1131 - Factors to consider in allocating spectrum on a worldwide basis</dc:title>
  <dc:subject>SM Series = Spectrum management</dc:subject>
  <dc:creator>ITU Radiocommunication Bureau (BR)</dc:creator>
  <cp:keywords>SM, 1131</cp:keywords>
  <dc:description>Saisie + MEP:   10.09.96/DD_x000d_
Corr. BAT:         01.10.96/DD_x000d_
WW2/WW7                  13.11.97     / PV</dc:description>
  <cp:lastModifiedBy>Gomez, Yoanni</cp:lastModifiedBy>
  <cp:revision>15</cp:revision>
  <cp:lastPrinted>2018-10-12T13:40:00Z</cp:lastPrinted>
  <dcterms:created xsi:type="dcterms:W3CDTF">2015-08-07T13:50:00Z</dcterms:created>
  <dcterms:modified xsi:type="dcterms:W3CDTF">2018-10-17T13:34:00Z</dcterms:modified>
  <cp:category>\\WW7//     Folios:      1    à     2</cp:category>
</cp:coreProperties>
</file>