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2826" w:rsidRPr="000D2B2B" w:rsidRDefault="00FA2826" w:rsidP="003A1935">
      <w:pPr>
        <w:rPr>
          <w:lang w:eastAsia="zh-CN"/>
        </w:rPr>
      </w:pPr>
    </w:p>
    <w:p w:rsidR="00FA2826" w:rsidRPr="000D2B2B" w:rsidRDefault="00FA2826" w:rsidP="003A1935"/>
    <w:p w:rsidR="00FA2826" w:rsidRPr="000D2B2B" w:rsidRDefault="00FA2826" w:rsidP="003A1935"/>
    <w:p w:rsidR="00FA2826" w:rsidRPr="000D2B2B" w:rsidRDefault="00FA2826" w:rsidP="003A1935">
      <w:pPr>
        <w:rPr>
          <w:lang w:eastAsia="zh-CN"/>
        </w:rPr>
      </w:pPr>
    </w:p>
    <w:p w:rsidR="00FA2826" w:rsidRPr="000D2B2B" w:rsidRDefault="00FA2826" w:rsidP="003A1935"/>
    <w:p w:rsidR="00FA2826" w:rsidRPr="000D2B2B" w:rsidRDefault="00FA2826" w:rsidP="003A1935"/>
    <w:p w:rsidR="00FA2826" w:rsidRPr="000D2B2B" w:rsidRDefault="00FA2826" w:rsidP="003A1935"/>
    <w:p w:rsidR="00FA2826" w:rsidRPr="000D2B2B" w:rsidRDefault="00FA2826" w:rsidP="003A1935"/>
    <w:p w:rsidR="00FA2826" w:rsidRPr="000D2B2B" w:rsidRDefault="00FA2826" w:rsidP="003A1935"/>
    <w:p w:rsidR="00FA2826" w:rsidRDefault="00FA2826" w:rsidP="003A1935">
      <w:pPr>
        <w:rPr>
          <w:lang w:eastAsia="zh-CN"/>
        </w:rPr>
      </w:pPr>
    </w:p>
    <w:p w:rsidR="00485E6C" w:rsidRDefault="00485E6C" w:rsidP="003A1935">
      <w:pPr>
        <w:rPr>
          <w:lang w:eastAsia="zh-CN"/>
        </w:rPr>
      </w:pPr>
    </w:p>
    <w:p w:rsidR="004B2F0F" w:rsidRPr="000D2B2B" w:rsidRDefault="004B2F0F" w:rsidP="003A1935">
      <w:pPr>
        <w:rPr>
          <w:lang w:eastAsia="zh-CN"/>
        </w:rPr>
      </w:pPr>
    </w:p>
    <w:tbl>
      <w:tblPr>
        <w:tblW w:w="10089" w:type="dxa"/>
        <w:tblLook w:val="01E0" w:firstRow="1" w:lastRow="1" w:firstColumn="1" w:lastColumn="1" w:noHBand="0" w:noVBand="0"/>
      </w:tblPr>
      <w:tblGrid>
        <w:gridCol w:w="10089"/>
      </w:tblGrid>
      <w:tr w:rsidR="00FA2826" w:rsidRPr="004A0FE3" w:rsidTr="00E82171">
        <w:tc>
          <w:tcPr>
            <w:tcW w:w="10089" w:type="dxa"/>
          </w:tcPr>
          <w:p w:rsidR="00FA2826" w:rsidRPr="004A0FE3" w:rsidRDefault="00FA2826" w:rsidP="003A1935">
            <w:pPr>
              <w:spacing w:before="380"/>
              <w:jc w:val="right"/>
              <w:rPr>
                <w:rFonts w:ascii="Tahoma" w:hAnsi="Tahoma" w:cs="Tahoma"/>
                <w:b/>
                <w:bCs/>
                <w:iCs/>
                <w:color w:val="243285"/>
                <w:sz w:val="32"/>
                <w:szCs w:val="32"/>
                <w:lang w:val="en-US"/>
              </w:rPr>
            </w:pPr>
          </w:p>
          <w:p w:rsidR="00FA2826" w:rsidRPr="004A0FE3" w:rsidRDefault="00FA2826" w:rsidP="003A1935">
            <w:pPr>
              <w:spacing w:before="380"/>
              <w:jc w:val="right"/>
              <w:rPr>
                <w:rFonts w:ascii="Tahoma" w:hAnsi="Tahoma" w:cs="Tahoma"/>
                <w:b/>
                <w:bCs/>
                <w:iCs/>
                <w:color w:val="243285"/>
                <w:sz w:val="36"/>
                <w:szCs w:val="36"/>
                <w:lang w:eastAsia="zh-CN"/>
              </w:rPr>
            </w:pPr>
            <w:r w:rsidRPr="004A0FE3">
              <w:rPr>
                <w:rFonts w:ascii="Tahoma" w:hAnsi="Tahoma" w:cs="Tahoma"/>
                <w:b/>
                <w:bCs/>
                <w:iCs/>
                <w:color w:val="243285"/>
                <w:sz w:val="36"/>
                <w:szCs w:val="36"/>
              </w:rPr>
              <w:t xml:space="preserve">ITU-R  </w:t>
            </w:r>
            <w:r w:rsidR="005722F1">
              <w:rPr>
                <w:rFonts w:ascii="Tahoma" w:hAnsi="Tahoma" w:cs="Tahoma"/>
                <w:b/>
                <w:bCs/>
                <w:iCs/>
                <w:color w:val="243285"/>
                <w:sz w:val="36"/>
                <w:szCs w:val="36"/>
                <w:lang w:eastAsia="zh-CN"/>
              </w:rPr>
              <w:t>SM.</w:t>
            </w:r>
            <w:r w:rsidR="00F63B18">
              <w:rPr>
                <w:rFonts w:ascii="Tahoma" w:hAnsi="Tahoma" w:cs="Tahoma"/>
                <w:b/>
                <w:bCs/>
                <w:iCs/>
                <w:color w:val="243285"/>
                <w:sz w:val="36"/>
                <w:szCs w:val="36"/>
                <w:lang w:val="en-US"/>
              </w:rPr>
              <w:t xml:space="preserve"> 1051-3 </w:t>
            </w:r>
            <w:r w:rsidRPr="00B80D49">
              <w:rPr>
                <w:rFonts w:ascii="SimHei" w:eastAsia="SimHei" w:hAnsi="Tahoma" w:cs="Tahoma" w:hint="eastAsia"/>
                <w:b/>
                <w:bCs/>
                <w:iCs/>
                <w:color w:val="243285"/>
                <w:sz w:val="36"/>
                <w:szCs w:val="36"/>
                <w:lang w:eastAsia="zh-CN"/>
              </w:rPr>
              <w:t>建议书</w:t>
            </w:r>
          </w:p>
          <w:p w:rsidR="00FA2826" w:rsidRPr="004A0FE3" w:rsidRDefault="00FA2826" w:rsidP="003A1935">
            <w:pPr>
              <w:spacing w:before="80"/>
              <w:jc w:val="right"/>
              <w:rPr>
                <w:rFonts w:ascii="Tahoma" w:hAnsi="Tahoma" w:cs="Tahoma"/>
                <w:b/>
                <w:bCs/>
                <w:iCs/>
                <w:color w:val="243285"/>
                <w:szCs w:val="24"/>
              </w:rPr>
            </w:pPr>
            <w:r w:rsidRPr="004A0FE3">
              <w:rPr>
                <w:rFonts w:ascii="Tahoma" w:hAnsi="Tahoma" w:cs="Tahoma"/>
                <w:b/>
                <w:bCs/>
                <w:iCs/>
                <w:color w:val="243285"/>
                <w:szCs w:val="24"/>
              </w:rPr>
              <w:t>(</w:t>
            </w:r>
            <w:r w:rsidR="00E73F53">
              <w:rPr>
                <w:rFonts w:ascii="Tahoma" w:hAnsi="Tahoma" w:cs="Tahoma" w:hint="eastAsia"/>
                <w:b/>
                <w:bCs/>
                <w:iCs/>
                <w:color w:val="243285"/>
                <w:szCs w:val="24"/>
                <w:lang w:eastAsia="zh-CN"/>
              </w:rPr>
              <w:t>08</w:t>
            </w:r>
            <w:r w:rsidRPr="004A0FE3">
              <w:rPr>
                <w:rFonts w:ascii="Tahoma" w:hAnsi="Tahoma" w:cs="Tahoma"/>
                <w:b/>
                <w:bCs/>
                <w:iCs/>
                <w:color w:val="243285"/>
                <w:szCs w:val="24"/>
              </w:rPr>
              <w:t>/</w:t>
            </w:r>
            <w:r w:rsidR="005722F1">
              <w:rPr>
                <w:rFonts w:ascii="Tahoma" w:hAnsi="Tahoma" w:cs="Tahoma"/>
                <w:b/>
                <w:bCs/>
                <w:iCs/>
                <w:color w:val="243285"/>
                <w:szCs w:val="24"/>
                <w:lang w:eastAsia="zh-CN"/>
              </w:rPr>
              <w:t>201</w:t>
            </w:r>
            <w:r w:rsidR="00DB10B5">
              <w:rPr>
                <w:rFonts w:ascii="Tahoma" w:hAnsi="Tahoma" w:cs="Tahoma" w:hint="eastAsia"/>
                <w:b/>
                <w:bCs/>
                <w:iCs/>
                <w:color w:val="243285"/>
                <w:szCs w:val="24"/>
                <w:lang w:eastAsia="zh-CN"/>
              </w:rPr>
              <w:t>4</w:t>
            </w:r>
            <w:r w:rsidRPr="004A0FE3">
              <w:rPr>
                <w:rFonts w:ascii="Tahoma" w:hAnsi="Tahoma" w:cs="Tahoma"/>
                <w:b/>
                <w:bCs/>
                <w:iCs/>
                <w:color w:val="243285"/>
                <w:szCs w:val="24"/>
              </w:rPr>
              <w:t>)</w:t>
            </w:r>
          </w:p>
        </w:tc>
      </w:tr>
      <w:tr w:rsidR="00FA2826" w:rsidRPr="004A0FE3" w:rsidTr="00E82171">
        <w:tc>
          <w:tcPr>
            <w:tcW w:w="10089" w:type="dxa"/>
          </w:tcPr>
          <w:p w:rsidR="00FA2826" w:rsidRPr="004B2F0F" w:rsidRDefault="00FA2826" w:rsidP="003A1935">
            <w:pPr>
              <w:spacing w:before="80"/>
              <w:jc w:val="right"/>
              <w:rPr>
                <w:rFonts w:ascii="Tahoma" w:hAnsi="Tahoma" w:cs="Tahoma"/>
                <w:b/>
                <w:bCs/>
                <w:iCs/>
                <w:color w:val="243285"/>
                <w:sz w:val="32"/>
                <w:szCs w:val="32"/>
                <w:lang w:eastAsia="zh-CN"/>
              </w:rPr>
            </w:pPr>
          </w:p>
          <w:p w:rsidR="00FA2826" w:rsidRPr="002334D5" w:rsidRDefault="00F63B18" w:rsidP="00DB10B5">
            <w:pPr>
              <w:wordWrap w:val="0"/>
              <w:spacing w:before="80"/>
              <w:jc w:val="right"/>
              <w:rPr>
                <w:rFonts w:ascii="Tahoma" w:hAnsi="Tahoma" w:cs="Tahoma"/>
                <w:b/>
                <w:bCs/>
                <w:iCs/>
                <w:color w:val="243285"/>
                <w:sz w:val="44"/>
                <w:szCs w:val="44"/>
                <w:lang w:val="en-US" w:eastAsia="zh-CN"/>
              </w:rPr>
            </w:pPr>
            <w:r>
              <w:rPr>
                <w:rFonts w:ascii="SimHei" w:eastAsia="SimHei" w:hAnsi="SimSun" w:cs="SimSun" w:hint="eastAsia"/>
                <w:b/>
                <w:bCs/>
                <w:iCs/>
                <w:color w:val="243285"/>
                <w:sz w:val="44"/>
                <w:szCs w:val="44"/>
                <w:lang w:val="en-GB" w:eastAsia="zh-CN"/>
              </w:rPr>
              <w:t>优先确定并消除</w:t>
            </w:r>
            <w:r>
              <w:rPr>
                <w:rFonts w:ascii="Tahoma" w:hAnsi="Tahoma" w:cs="Tahoma"/>
                <w:b/>
                <w:bCs/>
                <w:iCs/>
                <w:color w:val="243285"/>
                <w:sz w:val="44"/>
                <w:szCs w:val="44"/>
                <w:lang w:val="en-GB" w:eastAsia="zh-CN"/>
              </w:rPr>
              <w:t>406-406.1 MHz</w:t>
            </w:r>
            <w:r>
              <w:rPr>
                <w:rFonts w:ascii="SimHei" w:eastAsia="SimHei" w:hAnsi="SimSun" w:cs="SimSun" w:hint="eastAsia"/>
                <w:b/>
                <w:bCs/>
                <w:iCs/>
                <w:color w:val="243285"/>
                <w:sz w:val="44"/>
                <w:szCs w:val="44"/>
                <w:lang w:val="en-GB" w:eastAsia="zh-CN"/>
              </w:rPr>
              <w:t>频段</w:t>
            </w:r>
            <w:r>
              <w:rPr>
                <w:rFonts w:ascii="SimHei" w:eastAsia="SimHei" w:hAnsi="SimSun" w:cs="SimSun" w:hint="eastAsia"/>
                <w:b/>
                <w:bCs/>
                <w:iCs/>
                <w:color w:val="243285"/>
                <w:sz w:val="44"/>
                <w:szCs w:val="44"/>
                <w:lang w:val="en-GB" w:eastAsia="zh-CN"/>
              </w:rPr>
              <w:br/>
              <w:t>的有害干扰</w:t>
            </w:r>
          </w:p>
          <w:p w:rsidR="00FA2826" w:rsidRPr="004B2F0F" w:rsidRDefault="00FA2826" w:rsidP="003A1935">
            <w:pPr>
              <w:spacing w:before="80"/>
              <w:jc w:val="right"/>
              <w:rPr>
                <w:rFonts w:ascii="Tahoma" w:hAnsi="Tahoma" w:cs="Tahoma"/>
                <w:b/>
                <w:bCs/>
                <w:iCs/>
                <w:color w:val="243285"/>
                <w:sz w:val="32"/>
                <w:szCs w:val="32"/>
                <w:lang w:val="en-US" w:eastAsia="zh-CN"/>
              </w:rPr>
            </w:pPr>
            <w:r w:rsidRPr="004B2F0F">
              <w:rPr>
                <w:rFonts w:ascii="Tahoma" w:hAnsi="Tahoma" w:cs="Tahoma"/>
                <w:b/>
                <w:bCs/>
                <w:iCs/>
                <w:color w:val="243285"/>
                <w:sz w:val="32"/>
                <w:szCs w:val="32"/>
                <w:lang w:val="en-US" w:eastAsia="zh-CN"/>
              </w:rPr>
              <w:t xml:space="preserve"> </w:t>
            </w:r>
          </w:p>
        </w:tc>
      </w:tr>
      <w:tr w:rsidR="00FA2826" w:rsidRPr="004A0FE3" w:rsidTr="00E82171">
        <w:tc>
          <w:tcPr>
            <w:tcW w:w="10089" w:type="dxa"/>
          </w:tcPr>
          <w:p w:rsidR="00FA2826" w:rsidRPr="004A0FE3" w:rsidRDefault="00FA2826" w:rsidP="003A1935">
            <w:pPr>
              <w:spacing w:before="80"/>
              <w:ind w:right="640"/>
              <w:rPr>
                <w:rFonts w:ascii="Tahoma" w:hAnsi="Tahoma" w:cs="Tahoma"/>
                <w:b/>
                <w:bCs/>
                <w:iCs/>
                <w:color w:val="243285"/>
                <w:sz w:val="32"/>
                <w:szCs w:val="32"/>
                <w:lang w:val="en-US" w:eastAsia="zh-CN"/>
              </w:rPr>
            </w:pPr>
          </w:p>
          <w:p w:rsidR="00FA2826" w:rsidRDefault="00FA2826" w:rsidP="003A1935">
            <w:pPr>
              <w:spacing w:before="80"/>
              <w:ind w:right="640"/>
              <w:rPr>
                <w:rFonts w:ascii="Tahoma" w:hAnsi="Tahoma" w:cs="Tahoma"/>
                <w:b/>
                <w:bCs/>
                <w:iCs/>
                <w:color w:val="243285"/>
                <w:sz w:val="32"/>
                <w:szCs w:val="32"/>
                <w:lang w:val="en-US" w:eastAsia="zh-CN"/>
              </w:rPr>
            </w:pPr>
          </w:p>
          <w:p w:rsidR="00FA2826" w:rsidRPr="004A0FE3" w:rsidRDefault="00FA2826" w:rsidP="003A1935">
            <w:pPr>
              <w:spacing w:before="80" w:after="180"/>
              <w:ind w:right="720"/>
              <w:rPr>
                <w:rFonts w:ascii="Tahoma" w:hAnsi="Tahoma" w:cs="Tahoma"/>
                <w:b/>
                <w:bCs/>
                <w:iCs/>
                <w:color w:val="243285"/>
                <w:sz w:val="36"/>
                <w:szCs w:val="36"/>
                <w:lang w:val="en-US" w:eastAsia="zh-CN"/>
              </w:rPr>
            </w:pPr>
          </w:p>
          <w:p w:rsidR="00FA2826" w:rsidRPr="004A0FE3" w:rsidRDefault="00FA2826" w:rsidP="003A1935">
            <w:pPr>
              <w:spacing w:before="80" w:after="180"/>
              <w:jc w:val="right"/>
              <w:rPr>
                <w:rFonts w:ascii="SimHei" w:hAnsi="Tahoma" w:cs="Tahoma"/>
                <w:b/>
                <w:bCs/>
                <w:iCs/>
                <w:color w:val="243285"/>
                <w:sz w:val="36"/>
                <w:szCs w:val="36"/>
                <w:lang w:val="en-US" w:eastAsia="zh-CN"/>
              </w:rPr>
            </w:pPr>
            <w:r w:rsidRPr="004A0FE3">
              <w:rPr>
                <w:rFonts w:ascii="Tahoma" w:hAnsi="Tahoma" w:cs="Tahoma"/>
                <w:b/>
                <w:bCs/>
                <w:iCs/>
                <w:color w:val="243285"/>
                <w:sz w:val="36"/>
                <w:szCs w:val="36"/>
                <w:lang w:val="en-US" w:eastAsia="zh-CN"/>
              </w:rPr>
              <w:t xml:space="preserve">SM </w:t>
            </w:r>
            <w:r w:rsidRPr="00C72176">
              <w:rPr>
                <w:rFonts w:ascii="SimHei" w:eastAsia="SimHei" w:hAnsi="Tahoma" w:cs="Tahoma" w:hint="eastAsia"/>
                <w:b/>
                <w:bCs/>
                <w:iCs/>
                <w:color w:val="243285"/>
                <w:sz w:val="36"/>
                <w:szCs w:val="36"/>
                <w:lang w:val="en-US" w:eastAsia="zh-CN"/>
              </w:rPr>
              <w:t>系列</w:t>
            </w:r>
          </w:p>
          <w:p w:rsidR="00FA2826" w:rsidRPr="00C72176" w:rsidRDefault="00FA2826" w:rsidP="003A1935">
            <w:pPr>
              <w:spacing w:before="80" w:after="180"/>
              <w:jc w:val="right"/>
              <w:rPr>
                <w:rFonts w:ascii="SimHei" w:eastAsia="SimHei" w:hAnsi="Tahoma" w:cs="Tahoma"/>
                <w:b/>
                <w:bCs/>
                <w:iCs/>
                <w:color w:val="243285"/>
                <w:sz w:val="36"/>
                <w:szCs w:val="36"/>
                <w:lang w:val="en-US" w:eastAsia="zh-CN"/>
              </w:rPr>
            </w:pPr>
            <w:r w:rsidRPr="00C72176">
              <w:rPr>
                <w:rFonts w:ascii="SimHei" w:eastAsia="SimHei" w:hAnsi="Tahoma" w:cs="Tahoma" w:hint="eastAsia"/>
                <w:b/>
                <w:bCs/>
                <w:iCs/>
                <w:color w:val="243285"/>
                <w:sz w:val="36"/>
                <w:szCs w:val="36"/>
                <w:lang w:val="en-US" w:eastAsia="zh-CN"/>
              </w:rPr>
              <w:t>频谱管理</w:t>
            </w:r>
          </w:p>
          <w:p w:rsidR="00FA2826" w:rsidRPr="004A0FE3" w:rsidRDefault="00FA2826" w:rsidP="003A1935">
            <w:pPr>
              <w:spacing w:before="80"/>
              <w:jc w:val="right"/>
              <w:rPr>
                <w:rFonts w:ascii="Tahoma" w:hAnsi="Tahoma" w:cs="Tahoma"/>
                <w:b/>
                <w:bCs/>
                <w:iCs/>
                <w:color w:val="243285"/>
                <w:sz w:val="32"/>
                <w:szCs w:val="32"/>
                <w:lang w:val="en-US" w:eastAsia="zh-CN"/>
              </w:rPr>
            </w:pPr>
          </w:p>
        </w:tc>
      </w:tr>
    </w:tbl>
    <w:p w:rsidR="00FA2826" w:rsidRPr="000D2B2B" w:rsidRDefault="00FA2826" w:rsidP="003A1935">
      <w:pPr>
        <w:spacing w:before="80"/>
        <w:rPr>
          <w:i/>
          <w:sz w:val="22"/>
          <w:lang w:val="en-US" w:eastAsia="zh-CN"/>
        </w:rPr>
      </w:pPr>
    </w:p>
    <w:p w:rsidR="00FA2826" w:rsidRPr="000D2B2B" w:rsidRDefault="00FA2826" w:rsidP="003A1935">
      <w:pPr>
        <w:spacing w:before="80"/>
        <w:rPr>
          <w:i/>
          <w:sz w:val="22"/>
          <w:lang w:val="en-US" w:eastAsia="zh-CN"/>
        </w:rPr>
      </w:pPr>
    </w:p>
    <w:p w:rsidR="00FA2826" w:rsidRPr="000D2B2B" w:rsidRDefault="00FA2826" w:rsidP="003A1935">
      <w:pPr>
        <w:spacing w:before="80"/>
        <w:rPr>
          <w:i/>
          <w:sz w:val="22"/>
          <w:lang w:val="en-US" w:eastAsia="zh-CN"/>
        </w:rPr>
      </w:pPr>
    </w:p>
    <w:p w:rsidR="00FA2826" w:rsidRPr="000D2B2B" w:rsidRDefault="00FA2826" w:rsidP="003A1935">
      <w:pPr>
        <w:spacing w:before="80"/>
        <w:rPr>
          <w:i/>
          <w:sz w:val="22"/>
          <w:lang w:val="en-US" w:eastAsia="zh-CN"/>
        </w:rPr>
      </w:pPr>
    </w:p>
    <w:p w:rsidR="00FA2826" w:rsidRPr="004B2F0F" w:rsidRDefault="00FA2826" w:rsidP="003A1935">
      <w:pPr>
        <w:spacing w:before="80"/>
        <w:rPr>
          <w:i/>
          <w:sz w:val="22"/>
          <w:u w:val="single"/>
          <w:lang w:val="en-US" w:eastAsia="zh-CN"/>
        </w:rPr>
      </w:pPr>
    </w:p>
    <w:p w:rsidR="00FA2826" w:rsidRPr="000D2B2B" w:rsidRDefault="00FA2826" w:rsidP="003A1935">
      <w:pPr>
        <w:keepNext/>
        <w:keepLines/>
        <w:tabs>
          <w:tab w:val="clear" w:pos="794"/>
          <w:tab w:val="clear" w:pos="1191"/>
          <w:tab w:val="clear" w:pos="1588"/>
          <w:tab w:val="clear" w:pos="1985"/>
        </w:tabs>
        <w:spacing w:before="240"/>
        <w:jc w:val="center"/>
        <w:rPr>
          <w:sz w:val="28"/>
          <w:lang w:val="en-US" w:eastAsia="zh-CN"/>
        </w:rPr>
        <w:sectPr w:rsidR="00FA2826" w:rsidRPr="000D2B2B" w:rsidSect="005D4238">
          <w:headerReference w:type="even" r:id="rId8"/>
          <w:headerReference w:type="default" r:id="rId9"/>
          <w:pgSz w:w="11907" w:h="16834" w:code="9"/>
          <w:pgMar w:top="1089" w:right="1089" w:bottom="284" w:left="1089" w:header="567" w:footer="284" w:gutter="0"/>
          <w:paperSrc w:first="15" w:other="15"/>
          <w:cols w:space="720"/>
        </w:sectPr>
      </w:pPr>
    </w:p>
    <w:p w:rsidR="00485E6C" w:rsidRPr="00586EF8" w:rsidRDefault="00485E6C" w:rsidP="00485E6C">
      <w:pPr>
        <w:pStyle w:val="Heading1"/>
        <w:spacing w:before="120"/>
        <w:jc w:val="center"/>
        <w:rPr>
          <w:lang w:val="en-US" w:eastAsia="zh-CN"/>
        </w:rPr>
      </w:pPr>
      <w:r>
        <w:rPr>
          <w:rFonts w:hint="eastAsia"/>
          <w:lang w:val="fr-CH" w:eastAsia="zh-CN"/>
        </w:rPr>
        <w:lastRenderedPageBreak/>
        <w:t>前言</w:t>
      </w:r>
    </w:p>
    <w:p w:rsidR="00485E6C" w:rsidRPr="00355C93" w:rsidRDefault="00485E6C" w:rsidP="00485E6C">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485E6C" w:rsidRPr="00355C93" w:rsidRDefault="00485E6C" w:rsidP="00485E6C">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485E6C" w:rsidRPr="00943821" w:rsidRDefault="00485E6C" w:rsidP="00485E6C">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485E6C" w:rsidRPr="00355C93" w:rsidRDefault="00485E6C" w:rsidP="00485E6C">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B714F3">
          <w:rPr>
            <w:rStyle w:val="Hyperlink"/>
            <w:sz w:val="20"/>
            <w:lang w:val="en-US" w:eastAsia="zh-CN"/>
          </w:rPr>
          <w:t>http://www.itu.i</w:t>
        </w:r>
        <w:r>
          <w:rPr>
            <w:rStyle w:val="Hyperlink"/>
            <w:sz w:val="20"/>
            <w:lang w:val="en-US" w:eastAsia="zh-CN"/>
          </w:rPr>
          <w:t>nt/ITU-</w:t>
        </w:r>
        <w:r w:rsidRPr="00B714F3">
          <w:rPr>
            <w:rStyle w:val="Hyperlink"/>
            <w:sz w:val="20"/>
            <w:lang w:val="en-US" w:eastAsia="zh-CN"/>
          </w:rPr>
          <w:t>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485E6C" w:rsidRDefault="00485E6C" w:rsidP="00485E6C">
      <w:pPr>
        <w:jc w:val="center"/>
        <w:rPr>
          <w:sz w:val="22"/>
          <w:lang w:val="en-US" w:eastAsia="zh-CN"/>
        </w:rPr>
      </w:pPr>
    </w:p>
    <w:p w:rsidR="00485E6C" w:rsidRDefault="00485E6C" w:rsidP="00485E6C">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485E6C" w:rsidTr="00245829">
        <w:tc>
          <w:tcPr>
            <w:tcW w:w="9748" w:type="dxa"/>
            <w:gridSpan w:val="2"/>
          </w:tcPr>
          <w:p w:rsidR="00485E6C" w:rsidRPr="00C12100" w:rsidRDefault="00485E6C" w:rsidP="002458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Pr>
                <w:rFonts w:hint="eastAsia"/>
                <w:bCs/>
                <w:lang w:val="en-US" w:eastAsia="zh-CN"/>
              </w:rPr>
              <w:t xml:space="preserve"> </w:t>
            </w:r>
            <w:r w:rsidRPr="00C12100">
              <w:rPr>
                <w:rFonts w:hint="eastAsia"/>
                <w:bCs/>
                <w:lang w:val="en-US" w:eastAsia="zh-CN"/>
              </w:rPr>
              <w:t>系列建议书</w:t>
            </w:r>
          </w:p>
          <w:p w:rsidR="00485E6C" w:rsidRPr="00F128B0" w:rsidRDefault="00485E6C" w:rsidP="00245829">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1"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485E6C" w:rsidRPr="00355C93" w:rsidTr="00245829">
        <w:tc>
          <w:tcPr>
            <w:tcW w:w="960" w:type="dxa"/>
          </w:tcPr>
          <w:p w:rsidR="00485E6C" w:rsidRPr="00355C93" w:rsidRDefault="00485E6C" w:rsidP="00245829">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485E6C" w:rsidRPr="00355C93" w:rsidRDefault="00485E6C" w:rsidP="002458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485E6C" w:rsidRPr="00355C93" w:rsidTr="00245829">
        <w:tc>
          <w:tcPr>
            <w:tcW w:w="960" w:type="dxa"/>
          </w:tcPr>
          <w:p w:rsidR="00485E6C" w:rsidRPr="00355C93" w:rsidRDefault="00485E6C" w:rsidP="00245829">
            <w:pPr>
              <w:spacing w:before="30" w:after="30"/>
              <w:ind w:left="57"/>
              <w:jc w:val="left"/>
              <w:rPr>
                <w:b/>
                <w:bCs/>
                <w:sz w:val="20"/>
                <w:lang w:val="en-US"/>
              </w:rPr>
            </w:pPr>
            <w:r w:rsidRPr="00355C93">
              <w:rPr>
                <w:b/>
                <w:bCs/>
                <w:sz w:val="20"/>
                <w:lang w:val="en-US"/>
              </w:rPr>
              <w:t>BO</w:t>
            </w:r>
          </w:p>
        </w:tc>
        <w:tc>
          <w:tcPr>
            <w:tcW w:w="8788" w:type="dxa"/>
          </w:tcPr>
          <w:p w:rsidR="00485E6C" w:rsidRPr="00355C93" w:rsidRDefault="00485E6C" w:rsidP="002458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485E6C" w:rsidRPr="00355C93" w:rsidTr="00245829">
        <w:tc>
          <w:tcPr>
            <w:tcW w:w="960" w:type="dxa"/>
          </w:tcPr>
          <w:p w:rsidR="00485E6C" w:rsidRPr="00355C93" w:rsidRDefault="00485E6C" w:rsidP="00245829">
            <w:pPr>
              <w:spacing w:before="30" w:after="30"/>
              <w:ind w:left="57"/>
              <w:jc w:val="left"/>
              <w:rPr>
                <w:b/>
                <w:bCs/>
                <w:sz w:val="20"/>
                <w:lang w:val="en-US"/>
              </w:rPr>
            </w:pPr>
            <w:r w:rsidRPr="00355C93">
              <w:rPr>
                <w:b/>
                <w:bCs/>
                <w:sz w:val="20"/>
                <w:lang w:val="en-US"/>
              </w:rPr>
              <w:t>BR</w:t>
            </w:r>
          </w:p>
        </w:tc>
        <w:tc>
          <w:tcPr>
            <w:tcW w:w="8788" w:type="dxa"/>
          </w:tcPr>
          <w:p w:rsidR="00485E6C" w:rsidRPr="00355C93" w:rsidRDefault="00485E6C" w:rsidP="002458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485E6C" w:rsidRPr="00355C93" w:rsidTr="00245829">
        <w:tc>
          <w:tcPr>
            <w:tcW w:w="960" w:type="dxa"/>
          </w:tcPr>
          <w:p w:rsidR="00485E6C" w:rsidRPr="00355C93" w:rsidRDefault="00485E6C" w:rsidP="00245829">
            <w:pPr>
              <w:spacing w:before="30" w:after="30"/>
              <w:ind w:left="57"/>
              <w:jc w:val="left"/>
              <w:rPr>
                <w:b/>
                <w:bCs/>
                <w:sz w:val="20"/>
                <w:lang w:val="en-US"/>
              </w:rPr>
            </w:pPr>
            <w:r w:rsidRPr="00355C93">
              <w:rPr>
                <w:b/>
                <w:bCs/>
                <w:sz w:val="20"/>
                <w:lang w:val="en-US"/>
              </w:rPr>
              <w:t>BS</w:t>
            </w:r>
          </w:p>
        </w:tc>
        <w:tc>
          <w:tcPr>
            <w:tcW w:w="8788" w:type="dxa"/>
          </w:tcPr>
          <w:p w:rsidR="00485E6C" w:rsidRPr="00355C93" w:rsidRDefault="00485E6C" w:rsidP="002458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485E6C" w:rsidRPr="00355C93" w:rsidTr="00245829">
        <w:tc>
          <w:tcPr>
            <w:tcW w:w="960" w:type="dxa"/>
          </w:tcPr>
          <w:p w:rsidR="00485E6C" w:rsidRPr="00355C93" w:rsidRDefault="00485E6C" w:rsidP="00245829">
            <w:pPr>
              <w:spacing w:before="30" w:after="30"/>
              <w:ind w:left="57"/>
              <w:jc w:val="left"/>
              <w:rPr>
                <w:b/>
                <w:bCs/>
                <w:sz w:val="20"/>
                <w:lang w:val="en-US"/>
              </w:rPr>
            </w:pPr>
            <w:r w:rsidRPr="00355C93">
              <w:rPr>
                <w:b/>
                <w:bCs/>
                <w:sz w:val="20"/>
                <w:lang w:val="en-US"/>
              </w:rPr>
              <w:t>BT</w:t>
            </w:r>
          </w:p>
        </w:tc>
        <w:tc>
          <w:tcPr>
            <w:tcW w:w="8788" w:type="dxa"/>
          </w:tcPr>
          <w:p w:rsidR="00485E6C" w:rsidRPr="00355C93" w:rsidRDefault="00485E6C" w:rsidP="002458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485E6C" w:rsidRPr="00355C93" w:rsidTr="00245829">
        <w:tc>
          <w:tcPr>
            <w:tcW w:w="960" w:type="dxa"/>
            <w:tcBorders>
              <w:bottom w:val="nil"/>
            </w:tcBorders>
          </w:tcPr>
          <w:p w:rsidR="00485E6C" w:rsidRPr="00355C93" w:rsidRDefault="00485E6C" w:rsidP="00245829">
            <w:pPr>
              <w:spacing w:before="30" w:after="30"/>
              <w:ind w:left="57"/>
              <w:jc w:val="left"/>
              <w:rPr>
                <w:b/>
                <w:bCs/>
                <w:sz w:val="20"/>
                <w:lang w:val="fr-CH"/>
              </w:rPr>
            </w:pPr>
            <w:r w:rsidRPr="00355C93">
              <w:rPr>
                <w:b/>
                <w:bCs/>
                <w:sz w:val="20"/>
                <w:lang w:val="fr-CH"/>
              </w:rPr>
              <w:t>F</w:t>
            </w:r>
          </w:p>
        </w:tc>
        <w:tc>
          <w:tcPr>
            <w:tcW w:w="8788" w:type="dxa"/>
            <w:tcBorders>
              <w:bottom w:val="nil"/>
            </w:tcBorders>
          </w:tcPr>
          <w:p w:rsidR="00485E6C" w:rsidRPr="00355C93" w:rsidRDefault="00485E6C" w:rsidP="0024582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485E6C" w:rsidRPr="00355C93" w:rsidTr="00245829">
        <w:tc>
          <w:tcPr>
            <w:tcW w:w="960" w:type="dxa"/>
            <w:tcBorders>
              <w:top w:val="nil"/>
              <w:bottom w:val="nil"/>
            </w:tcBorders>
            <w:shd w:val="clear" w:color="auto" w:fill="auto"/>
          </w:tcPr>
          <w:p w:rsidR="00485E6C" w:rsidRPr="00245829" w:rsidRDefault="00485E6C" w:rsidP="00245829">
            <w:pPr>
              <w:spacing w:before="30" w:after="30"/>
              <w:ind w:left="57"/>
              <w:jc w:val="left"/>
              <w:rPr>
                <w:b/>
                <w:bCs/>
                <w:sz w:val="20"/>
                <w:lang w:val="fr-CH"/>
              </w:rPr>
            </w:pPr>
            <w:r w:rsidRPr="00245829">
              <w:rPr>
                <w:b/>
                <w:bCs/>
                <w:sz w:val="20"/>
                <w:lang w:val="fr-CH"/>
              </w:rPr>
              <w:t>M</w:t>
            </w:r>
          </w:p>
        </w:tc>
        <w:tc>
          <w:tcPr>
            <w:tcW w:w="8788" w:type="dxa"/>
            <w:tcBorders>
              <w:top w:val="nil"/>
              <w:bottom w:val="nil"/>
            </w:tcBorders>
            <w:shd w:val="clear" w:color="auto" w:fill="auto"/>
          </w:tcPr>
          <w:p w:rsidR="00485E6C" w:rsidRPr="00245829" w:rsidRDefault="00485E6C" w:rsidP="002458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eastAsia="zh-CN"/>
              </w:rPr>
            </w:pPr>
            <w:r w:rsidRPr="00245829">
              <w:rPr>
                <w:rFonts w:hint="eastAsia"/>
                <w:b w:val="0"/>
                <w:sz w:val="20"/>
                <w:lang w:val="fr-CH" w:eastAsia="zh-CN"/>
              </w:rPr>
              <w:t>移动、无线电定位、业余和相关卫星业务</w:t>
            </w:r>
          </w:p>
        </w:tc>
      </w:tr>
      <w:tr w:rsidR="00485E6C" w:rsidRPr="00355C93" w:rsidTr="00245829">
        <w:tc>
          <w:tcPr>
            <w:tcW w:w="960" w:type="dxa"/>
            <w:tcBorders>
              <w:top w:val="nil"/>
            </w:tcBorders>
            <w:shd w:val="clear" w:color="auto" w:fill="FFFFFF" w:themeFill="background1"/>
          </w:tcPr>
          <w:p w:rsidR="00485E6C" w:rsidRPr="00ED017E" w:rsidRDefault="00485E6C" w:rsidP="00245829">
            <w:pPr>
              <w:spacing w:before="30" w:after="30"/>
              <w:ind w:left="57"/>
              <w:jc w:val="left"/>
              <w:rPr>
                <w:sz w:val="20"/>
                <w:lang w:val="fr-CH"/>
              </w:rPr>
            </w:pPr>
            <w:r w:rsidRPr="00ED017E">
              <w:rPr>
                <w:sz w:val="20"/>
                <w:lang w:val="fr-CH"/>
              </w:rPr>
              <w:t>P</w:t>
            </w:r>
          </w:p>
        </w:tc>
        <w:tc>
          <w:tcPr>
            <w:tcW w:w="8788" w:type="dxa"/>
            <w:tcBorders>
              <w:top w:val="nil"/>
            </w:tcBorders>
            <w:shd w:val="clear" w:color="auto" w:fill="FFFFFF" w:themeFill="background1"/>
          </w:tcPr>
          <w:p w:rsidR="00485E6C" w:rsidRPr="00ED017E" w:rsidRDefault="00485E6C" w:rsidP="00245829">
            <w:pPr>
              <w:spacing w:before="30" w:after="30"/>
              <w:jc w:val="left"/>
              <w:rPr>
                <w:sz w:val="20"/>
                <w:lang w:val="fr-CH"/>
              </w:rPr>
            </w:pPr>
            <w:r w:rsidRPr="00ED017E">
              <w:rPr>
                <w:rFonts w:hint="eastAsia"/>
                <w:sz w:val="20"/>
                <w:lang w:val="fr-CH"/>
              </w:rPr>
              <w:t>无线电波传播</w:t>
            </w:r>
          </w:p>
        </w:tc>
      </w:tr>
      <w:tr w:rsidR="00485E6C" w:rsidRPr="00355C93" w:rsidTr="00245829">
        <w:tc>
          <w:tcPr>
            <w:tcW w:w="960" w:type="dxa"/>
          </w:tcPr>
          <w:p w:rsidR="00485E6C" w:rsidRPr="00355C93" w:rsidRDefault="00485E6C" w:rsidP="00245829">
            <w:pPr>
              <w:spacing w:before="30" w:after="30"/>
              <w:ind w:left="57"/>
              <w:jc w:val="left"/>
              <w:rPr>
                <w:b/>
                <w:bCs/>
                <w:sz w:val="20"/>
                <w:lang w:val="en-US"/>
              </w:rPr>
            </w:pPr>
            <w:r w:rsidRPr="00355C93">
              <w:rPr>
                <w:b/>
                <w:bCs/>
                <w:sz w:val="20"/>
                <w:lang w:val="en-US"/>
              </w:rPr>
              <w:t>RA</w:t>
            </w:r>
          </w:p>
        </w:tc>
        <w:tc>
          <w:tcPr>
            <w:tcW w:w="8788" w:type="dxa"/>
          </w:tcPr>
          <w:p w:rsidR="00485E6C" w:rsidRPr="00355C93" w:rsidRDefault="00485E6C" w:rsidP="0024582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485E6C" w:rsidRPr="00355C93" w:rsidTr="00245829">
        <w:tc>
          <w:tcPr>
            <w:tcW w:w="960" w:type="dxa"/>
          </w:tcPr>
          <w:p w:rsidR="00485E6C" w:rsidRPr="00355C93" w:rsidRDefault="00485E6C" w:rsidP="00245829">
            <w:pPr>
              <w:spacing w:before="30" w:after="30"/>
              <w:ind w:left="57"/>
              <w:jc w:val="left"/>
              <w:rPr>
                <w:b/>
                <w:bCs/>
                <w:sz w:val="20"/>
                <w:lang w:val="en-US"/>
              </w:rPr>
            </w:pPr>
            <w:r w:rsidRPr="00355C93">
              <w:rPr>
                <w:b/>
                <w:bCs/>
                <w:sz w:val="20"/>
                <w:lang w:val="en-US"/>
              </w:rPr>
              <w:t>RS</w:t>
            </w:r>
          </w:p>
        </w:tc>
        <w:tc>
          <w:tcPr>
            <w:tcW w:w="8788" w:type="dxa"/>
          </w:tcPr>
          <w:p w:rsidR="00485E6C" w:rsidRPr="00355C93" w:rsidRDefault="00485E6C" w:rsidP="0024582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485E6C" w:rsidRPr="00355C93" w:rsidTr="00245829">
        <w:tc>
          <w:tcPr>
            <w:tcW w:w="960" w:type="dxa"/>
            <w:shd w:val="clear" w:color="auto" w:fill="FFFFFF" w:themeFill="background1"/>
          </w:tcPr>
          <w:p w:rsidR="00485E6C" w:rsidRPr="002C01E1" w:rsidRDefault="00485E6C" w:rsidP="00245829">
            <w:pPr>
              <w:spacing w:before="30" w:after="30"/>
              <w:ind w:left="57"/>
              <w:jc w:val="left"/>
              <w:rPr>
                <w:b/>
                <w:bCs/>
                <w:sz w:val="20"/>
                <w:lang w:val="en-US"/>
              </w:rPr>
            </w:pPr>
            <w:r w:rsidRPr="002C01E1">
              <w:rPr>
                <w:b/>
                <w:bCs/>
                <w:sz w:val="20"/>
                <w:lang w:val="en-US"/>
              </w:rPr>
              <w:t>S</w:t>
            </w:r>
          </w:p>
        </w:tc>
        <w:tc>
          <w:tcPr>
            <w:tcW w:w="8788" w:type="dxa"/>
            <w:shd w:val="clear" w:color="auto" w:fill="FFFFFF" w:themeFill="background1"/>
          </w:tcPr>
          <w:p w:rsidR="00485E6C" w:rsidRPr="002C01E1" w:rsidRDefault="00485E6C" w:rsidP="00245829">
            <w:pPr>
              <w:spacing w:before="30" w:after="30"/>
              <w:jc w:val="left"/>
              <w:rPr>
                <w:sz w:val="20"/>
                <w:lang w:val="en-US"/>
              </w:rPr>
            </w:pPr>
            <w:r w:rsidRPr="002C01E1">
              <w:rPr>
                <w:rFonts w:hint="eastAsia"/>
                <w:sz w:val="20"/>
                <w:lang w:val="en-US"/>
              </w:rPr>
              <w:t>卫星固定业务</w:t>
            </w:r>
          </w:p>
        </w:tc>
      </w:tr>
      <w:tr w:rsidR="00485E6C" w:rsidRPr="00355C93" w:rsidTr="00245829">
        <w:tc>
          <w:tcPr>
            <w:tcW w:w="960" w:type="dxa"/>
          </w:tcPr>
          <w:p w:rsidR="00485E6C" w:rsidRPr="00355C93" w:rsidRDefault="00485E6C" w:rsidP="00245829">
            <w:pPr>
              <w:spacing w:before="30" w:after="30"/>
              <w:ind w:left="57"/>
              <w:jc w:val="left"/>
              <w:rPr>
                <w:b/>
                <w:bCs/>
                <w:sz w:val="20"/>
                <w:lang w:val="en-US"/>
              </w:rPr>
            </w:pPr>
            <w:r w:rsidRPr="00355C93">
              <w:rPr>
                <w:b/>
                <w:bCs/>
                <w:sz w:val="20"/>
                <w:lang w:val="en-US"/>
              </w:rPr>
              <w:t>SA</w:t>
            </w:r>
          </w:p>
        </w:tc>
        <w:tc>
          <w:tcPr>
            <w:tcW w:w="8788" w:type="dxa"/>
          </w:tcPr>
          <w:p w:rsidR="00485E6C" w:rsidRPr="00355C93" w:rsidRDefault="00485E6C" w:rsidP="00245829">
            <w:pPr>
              <w:spacing w:before="30" w:after="30"/>
              <w:jc w:val="left"/>
              <w:rPr>
                <w:sz w:val="20"/>
                <w:lang w:val="en-US"/>
              </w:rPr>
            </w:pPr>
            <w:r w:rsidRPr="00355C93">
              <w:rPr>
                <w:rFonts w:hint="eastAsia"/>
                <w:sz w:val="20"/>
                <w:lang w:val="en-US" w:eastAsia="zh-CN"/>
              </w:rPr>
              <w:t>空间应用和气象</w:t>
            </w:r>
          </w:p>
        </w:tc>
      </w:tr>
      <w:tr w:rsidR="00485E6C" w:rsidRPr="00355C93" w:rsidTr="00245829">
        <w:tc>
          <w:tcPr>
            <w:tcW w:w="960" w:type="dxa"/>
            <w:tcBorders>
              <w:bottom w:val="nil"/>
            </w:tcBorders>
          </w:tcPr>
          <w:p w:rsidR="00485E6C" w:rsidRPr="00355C93" w:rsidRDefault="00485E6C" w:rsidP="00245829">
            <w:pPr>
              <w:spacing w:before="30" w:after="30"/>
              <w:ind w:left="57"/>
              <w:jc w:val="left"/>
              <w:rPr>
                <w:b/>
                <w:bCs/>
                <w:sz w:val="20"/>
                <w:lang w:val="en-US"/>
              </w:rPr>
            </w:pPr>
            <w:r w:rsidRPr="00355C93">
              <w:rPr>
                <w:b/>
                <w:bCs/>
                <w:sz w:val="20"/>
                <w:lang w:val="en-US"/>
              </w:rPr>
              <w:t>SF</w:t>
            </w:r>
          </w:p>
        </w:tc>
        <w:tc>
          <w:tcPr>
            <w:tcW w:w="8788" w:type="dxa"/>
            <w:tcBorders>
              <w:bottom w:val="nil"/>
            </w:tcBorders>
          </w:tcPr>
          <w:p w:rsidR="00485E6C" w:rsidRPr="00355C93" w:rsidRDefault="00485E6C" w:rsidP="00245829">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485E6C" w:rsidRPr="00355C93" w:rsidTr="00245829">
        <w:tc>
          <w:tcPr>
            <w:tcW w:w="960" w:type="dxa"/>
            <w:tcBorders>
              <w:top w:val="nil"/>
              <w:bottom w:val="nil"/>
            </w:tcBorders>
            <w:shd w:val="pct5" w:color="auto" w:fill="auto"/>
          </w:tcPr>
          <w:p w:rsidR="00485E6C" w:rsidRPr="00245829" w:rsidRDefault="00485E6C" w:rsidP="00245829">
            <w:pPr>
              <w:spacing w:before="30" w:after="30"/>
              <w:ind w:left="57"/>
              <w:jc w:val="left"/>
              <w:rPr>
                <w:b/>
                <w:bCs/>
                <w:color w:val="000080"/>
                <w:sz w:val="20"/>
                <w:lang w:val="en-US"/>
              </w:rPr>
            </w:pPr>
            <w:r w:rsidRPr="00245829">
              <w:rPr>
                <w:b/>
                <w:bCs/>
                <w:color w:val="000080"/>
                <w:sz w:val="20"/>
                <w:lang w:val="en-US"/>
              </w:rPr>
              <w:t>SM</w:t>
            </w:r>
          </w:p>
        </w:tc>
        <w:tc>
          <w:tcPr>
            <w:tcW w:w="8788" w:type="dxa"/>
            <w:tcBorders>
              <w:top w:val="nil"/>
              <w:bottom w:val="nil"/>
            </w:tcBorders>
            <w:shd w:val="pct5" w:color="auto" w:fill="auto"/>
          </w:tcPr>
          <w:p w:rsidR="00485E6C" w:rsidRPr="00245829" w:rsidRDefault="00485E6C" w:rsidP="0024582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en-US"/>
              </w:rPr>
            </w:pPr>
            <w:r w:rsidRPr="00245829">
              <w:rPr>
                <w:rFonts w:hint="eastAsia"/>
                <w:b/>
                <w:bCs/>
                <w:color w:val="000080"/>
                <w:sz w:val="20"/>
                <w:lang w:val="en-US"/>
              </w:rPr>
              <w:t>频谱管理</w:t>
            </w:r>
          </w:p>
        </w:tc>
      </w:tr>
      <w:tr w:rsidR="00485E6C" w:rsidRPr="00355C93" w:rsidTr="00245829">
        <w:tc>
          <w:tcPr>
            <w:tcW w:w="960" w:type="dxa"/>
            <w:tcBorders>
              <w:top w:val="nil"/>
            </w:tcBorders>
          </w:tcPr>
          <w:p w:rsidR="00485E6C" w:rsidRPr="00355C93" w:rsidRDefault="00485E6C" w:rsidP="00245829">
            <w:pPr>
              <w:spacing w:before="30" w:after="30"/>
              <w:ind w:left="57"/>
              <w:jc w:val="left"/>
              <w:rPr>
                <w:b/>
                <w:bCs/>
                <w:sz w:val="20"/>
                <w:lang w:val="en-US"/>
              </w:rPr>
            </w:pPr>
            <w:r w:rsidRPr="00355C93">
              <w:rPr>
                <w:b/>
                <w:bCs/>
                <w:sz w:val="20"/>
                <w:lang w:val="en-US"/>
              </w:rPr>
              <w:t>SNG</w:t>
            </w:r>
          </w:p>
        </w:tc>
        <w:tc>
          <w:tcPr>
            <w:tcW w:w="8788" w:type="dxa"/>
            <w:tcBorders>
              <w:top w:val="nil"/>
            </w:tcBorders>
          </w:tcPr>
          <w:p w:rsidR="00485E6C" w:rsidRPr="00355C93" w:rsidRDefault="00485E6C" w:rsidP="00245829">
            <w:pPr>
              <w:spacing w:before="30" w:after="30"/>
              <w:jc w:val="left"/>
              <w:rPr>
                <w:sz w:val="20"/>
                <w:lang w:val="en-US"/>
              </w:rPr>
            </w:pPr>
            <w:r w:rsidRPr="00355C93">
              <w:rPr>
                <w:rFonts w:hint="eastAsia"/>
                <w:sz w:val="20"/>
                <w:lang w:val="en-US" w:eastAsia="zh-CN"/>
              </w:rPr>
              <w:t>卫星新闻采集</w:t>
            </w:r>
          </w:p>
        </w:tc>
      </w:tr>
      <w:tr w:rsidR="00485E6C" w:rsidRPr="00355C93" w:rsidTr="00245829">
        <w:tc>
          <w:tcPr>
            <w:tcW w:w="960" w:type="dxa"/>
          </w:tcPr>
          <w:p w:rsidR="00485E6C" w:rsidRPr="00355C93" w:rsidRDefault="00485E6C" w:rsidP="00245829">
            <w:pPr>
              <w:spacing w:before="30" w:after="30"/>
              <w:ind w:left="57"/>
              <w:jc w:val="left"/>
              <w:rPr>
                <w:b/>
                <w:bCs/>
                <w:sz w:val="20"/>
                <w:lang w:val="en-US"/>
              </w:rPr>
            </w:pPr>
            <w:r w:rsidRPr="00355C93">
              <w:rPr>
                <w:b/>
                <w:bCs/>
                <w:sz w:val="20"/>
                <w:lang w:val="en-US"/>
              </w:rPr>
              <w:t>TF</w:t>
            </w:r>
          </w:p>
        </w:tc>
        <w:tc>
          <w:tcPr>
            <w:tcW w:w="8788" w:type="dxa"/>
          </w:tcPr>
          <w:p w:rsidR="00485E6C" w:rsidRPr="00355C93" w:rsidRDefault="00485E6C" w:rsidP="00245829">
            <w:pPr>
              <w:spacing w:before="30" w:after="30"/>
              <w:jc w:val="left"/>
              <w:rPr>
                <w:sz w:val="20"/>
                <w:lang w:val="en-US" w:eastAsia="zh-CN"/>
              </w:rPr>
            </w:pPr>
            <w:r w:rsidRPr="00355C93">
              <w:rPr>
                <w:rFonts w:hint="eastAsia"/>
                <w:sz w:val="20"/>
                <w:lang w:val="en-US" w:eastAsia="zh-CN"/>
              </w:rPr>
              <w:t>时间信号和频率标准发射</w:t>
            </w:r>
          </w:p>
        </w:tc>
      </w:tr>
      <w:tr w:rsidR="00485E6C" w:rsidRPr="00355C93" w:rsidTr="00245829">
        <w:tc>
          <w:tcPr>
            <w:tcW w:w="960" w:type="dxa"/>
          </w:tcPr>
          <w:p w:rsidR="00485E6C" w:rsidRPr="00355C93" w:rsidRDefault="00485E6C" w:rsidP="00245829">
            <w:pPr>
              <w:spacing w:before="30" w:after="30"/>
              <w:ind w:left="57"/>
              <w:jc w:val="left"/>
              <w:rPr>
                <w:b/>
                <w:bCs/>
                <w:sz w:val="20"/>
                <w:lang w:val="en-US"/>
              </w:rPr>
            </w:pPr>
            <w:r w:rsidRPr="00355C93">
              <w:rPr>
                <w:b/>
                <w:bCs/>
                <w:sz w:val="20"/>
                <w:lang w:val="en-US"/>
              </w:rPr>
              <w:t>V</w:t>
            </w:r>
          </w:p>
        </w:tc>
        <w:tc>
          <w:tcPr>
            <w:tcW w:w="8788" w:type="dxa"/>
          </w:tcPr>
          <w:p w:rsidR="00485E6C" w:rsidRPr="00355C93" w:rsidRDefault="00485E6C" w:rsidP="00245829">
            <w:pPr>
              <w:spacing w:before="30" w:after="180"/>
              <w:jc w:val="left"/>
              <w:rPr>
                <w:sz w:val="20"/>
                <w:lang w:val="en-US"/>
              </w:rPr>
            </w:pPr>
            <w:r w:rsidRPr="00355C93">
              <w:rPr>
                <w:rFonts w:hint="eastAsia"/>
                <w:sz w:val="20"/>
                <w:lang w:val="en-US" w:eastAsia="zh-CN"/>
              </w:rPr>
              <w:t>词汇和相关问题</w:t>
            </w:r>
          </w:p>
        </w:tc>
      </w:tr>
    </w:tbl>
    <w:p w:rsidR="00485E6C" w:rsidRDefault="00485E6C" w:rsidP="00485E6C">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529"/>
      </w:tblGrid>
      <w:tr w:rsidR="00485E6C" w:rsidTr="00245829">
        <w:tc>
          <w:tcPr>
            <w:tcW w:w="9775" w:type="dxa"/>
          </w:tcPr>
          <w:p w:rsidR="00485E6C" w:rsidRPr="00793097" w:rsidRDefault="00485E6C" w:rsidP="00245829">
            <w:pPr>
              <w:spacing w:after="120"/>
              <w:rPr>
                <w:rFonts w:eastAsia="STKaiti"/>
                <w:sz w:val="20"/>
                <w:lang w:eastAsia="zh-CN"/>
              </w:rPr>
            </w:pPr>
            <w:r w:rsidRPr="00793097">
              <w:rPr>
                <w:rFonts w:eastAsia="STKaiti" w:hint="eastAsia"/>
                <w:b/>
                <w:sz w:val="20"/>
                <w:lang w:eastAsia="zh-CN"/>
              </w:rPr>
              <w:t>说明：</w:t>
            </w:r>
            <w:r w:rsidRPr="00793097">
              <w:rPr>
                <w:rFonts w:eastAsia="STKaiti" w:hint="eastAsia"/>
                <w:sz w:val="20"/>
                <w:lang w:eastAsia="zh-CN"/>
              </w:rPr>
              <w:t>该</w:t>
            </w:r>
            <w:r w:rsidRPr="00793097">
              <w:rPr>
                <w:rFonts w:eastAsia="STKaiti" w:hint="eastAsia"/>
                <w:sz w:val="20"/>
                <w:lang w:eastAsia="zh-CN"/>
              </w:rPr>
              <w:t>ITU-R</w:t>
            </w:r>
            <w:r w:rsidRPr="00793097">
              <w:rPr>
                <w:rFonts w:eastAsia="STKaiti" w:hint="eastAsia"/>
                <w:sz w:val="20"/>
                <w:lang w:eastAsia="zh-CN"/>
              </w:rPr>
              <w:t>建议书的英文版本根据</w:t>
            </w:r>
            <w:r w:rsidRPr="00793097">
              <w:rPr>
                <w:rFonts w:eastAsia="STKaiti" w:hint="eastAsia"/>
                <w:sz w:val="20"/>
                <w:lang w:eastAsia="zh-CN"/>
              </w:rPr>
              <w:t>ITU-R</w:t>
            </w:r>
            <w:r w:rsidRPr="00793097">
              <w:rPr>
                <w:rFonts w:eastAsia="STKaiti" w:hint="eastAsia"/>
                <w:sz w:val="20"/>
                <w:lang w:eastAsia="zh-CN"/>
              </w:rPr>
              <w:t>第</w:t>
            </w:r>
            <w:r w:rsidRPr="00793097">
              <w:rPr>
                <w:rFonts w:eastAsia="STKaiti" w:hint="eastAsia"/>
                <w:sz w:val="20"/>
                <w:lang w:eastAsia="zh-CN"/>
              </w:rPr>
              <w:t>1</w:t>
            </w:r>
            <w:r w:rsidRPr="00793097">
              <w:rPr>
                <w:rFonts w:eastAsia="STKaiti" w:hint="eastAsia"/>
                <w:sz w:val="20"/>
                <w:lang w:eastAsia="zh-CN"/>
              </w:rPr>
              <w:t>号决议详述的程序予以批准。</w:t>
            </w:r>
          </w:p>
        </w:tc>
      </w:tr>
    </w:tbl>
    <w:p w:rsidR="00485E6C" w:rsidRPr="00355C93" w:rsidRDefault="00485E6C" w:rsidP="00485E6C">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Pr>
          <w:sz w:val="20"/>
          <w:lang w:eastAsia="zh-CN"/>
        </w:rPr>
        <w:t>5</w:t>
      </w:r>
      <w:r w:rsidRPr="00355C93">
        <w:rPr>
          <w:rFonts w:hint="eastAsia"/>
          <w:sz w:val="20"/>
          <w:lang w:eastAsia="zh-CN"/>
        </w:rPr>
        <w:t>年，日内瓦</w:t>
      </w:r>
    </w:p>
    <w:p w:rsidR="00485E6C" w:rsidRDefault="00485E6C">
      <w:pPr>
        <w:rPr>
          <w:szCs w:val="24"/>
          <w:lang w:eastAsia="zh-CN"/>
        </w:rPr>
      </w:pPr>
    </w:p>
    <w:p w:rsidR="00485E6C" w:rsidRDefault="00485E6C" w:rsidP="00485E6C">
      <w:pPr>
        <w:jc w:val="center"/>
        <w:rPr>
          <w:sz w:val="20"/>
          <w:lang w:val="en-US" w:eastAsia="zh-CN"/>
        </w:rPr>
      </w:pPr>
      <w:r w:rsidRPr="00A613D0">
        <w:rPr>
          <w:sz w:val="20"/>
          <w:lang w:val="en-US"/>
        </w:rPr>
        <w:sym w:font="Symbol" w:char="F0E3"/>
      </w:r>
      <w:r w:rsidRPr="00A613D0">
        <w:rPr>
          <w:sz w:val="20"/>
          <w:lang w:val="en-US" w:eastAsia="zh-CN"/>
        </w:rPr>
        <w:t xml:space="preserve"> </w:t>
      </w:r>
      <w:r>
        <w:rPr>
          <w:rFonts w:hint="eastAsia"/>
          <w:sz w:val="20"/>
          <w:lang w:val="en-US" w:eastAsia="zh-CN"/>
        </w:rPr>
        <w:t>国际</w:t>
      </w:r>
      <w:r>
        <w:rPr>
          <w:sz w:val="20"/>
          <w:lang w:val="en-US" w:eastAsia="zh-CN"/>
        </w:rPr>
        <w:t>电联</w:t>
      </w:r>
      <w:r w:rsidRPr="00A613D0">
        <w:rPr>
          <w:sz w:val="20"/>
          <w:lang w:val="en-US" w:eastAsia="zh-CN"/>
        </w:rPr>
        <w:t xml:space="preserve"> 20</w:t>
      </w:r>
      <w:r>
        <w:rPr>
          <w:rFonts w:hint="eastAsia"/>
          <w:sz w:val="20"/>
          <w:lang w:val="en-US" w:eastAsia="zh-CN"/>
        </w:rPr>
        <w:t>1</w:t>
      </w:r>
      <w:r>
        <w:rPr>
          <w:sz w:val="20"/>
          <w:lang w:val="en-US" w:eastAsia="zh-CN"/>
        </w:rPr>
        <w:t>5</w:t>
      </w:r>
    </w:p>
    <w:p w:rsidR="00A02437" w:rsidRDefault="00A02437" w:rsidP="00A02437">
      <w:pPr>
        <w:spacing w:before="160"/>
        <w:ind w:firstLine="426"/>
        <w:rPr>
          <w:rFonts w:ascii="SimSun" w:hAnsi="SimSun"/>
          <w:sz w:val="18"/>
          <w:szCs w:val="18"/>
          <w:lang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A02437" w:rsidRDefault="00A02437" w:rsidP="00A02437">
      <w:pPr>
        <w:spacing w:before="160"/>
        <w:ind w:firstLine="426"/>
        <w:rPr>
          <w:rFonts w:ascii="SimSun" w:hAnsi="SimSun"/>
          <w:sz w:val="18"/>
          <w:szCs w:val="18"/>
          <w:lang w:eastAsia="zh-CN"/>
        </w:rPr>
        <w:sectPr w:rsidR="00A02437" w:rsidSect="00245829">
          <w:headerReference w:type="even" r:id="rId12"/>
          <w:headerReference w:type="default" r:id="rId13"/>
          <w:pgSz w:w="11907" w:h="16834" w:code="9"/>
          <w:pgMar w:top="1418" w:right="1134" w:bottom="1134" w:left="1134" w:header="720" w:footer="482" w:gutter="0"/>
          <w:paperSrc w:first="15" w:other="15"/>
          <w:pgNumType w:fmt="lowerRoman" w:start="2"/>
          <w:cols w:space="720"/>
          <w:rtlGutter/>
        </w:sectPr>
      </w:pPr>
    </w:p>
    <w:p w:rsidR="00F63B18" w:rsidRPr="002F2E0C" w:rsidRDefault="00F63B18" w:rsidP="002F2E0C">
      <w:pPr>
        <w:pStyle w:val="RecNoBR"/>
        <w:spacing w:before="0"/>
        <w:rPr>
          <w:lang w:eastAsia="zh-CN"/>
        </w:rPr>
      </w:pPr>
      <w:bookmarkStart w:id="0" w:name="irecnoe"/>
      <w:bookmarkStart w:id="1" w:name="OLE_LINK7"/>
      <w:bookmarkStart w:id="2" w:name="OLE_LINK8"/>
      <w:bookmarkEnd w:id="0"/>
      <w:r w:rsidRPr="002F2E0C">
        <w:rPr>
          <w:lang w:eastAsia="zh-CN"/>
        </w:rPr>
        <w:lastRenderedPageBreak/>
        <w:t>ITU-R  SM.1051-3</w:t>
      </w:r>
      <w:r w:rsidR="002F2E0C" w:rsidRPr="002F2E0C">
        <w:rPr>
          <w:lang w:eastAsia="zh-CN"/>
        </w:rPr>
        <w:t xml:space="preserve"> </w:t>
      </w:r>
      <w:r w:rsidRPr="002F2E0C">
        <w:rPr>
          <w:rFonts w:hint="eastAsia"/>
          <w:lang w:eastAsia="zh-CN"/>
        </w:rPr>
        <w:t>建议书</w:t>
      </w:r>
      <w:bookmarkEnd w:id="1"/>
      <w:bookmarkEnd w:id="2"/>
    </w:p>
    <w:p w:rsidR="00F63B18" w:rsidRDefault="00F63B18" w:rsidP="002F2E0C">
      <w:pPr>
        <w:pStyle w:val="RectitleBR"/>
        <w:rPr>
          <w:lang w:val="en-US" w:eastAsia="zh-CN"/>
        </w:rPr>
      </w:pPr>
      <w:bookmarkStart w:id="3" w:name="OLE_LINK9"/>
      <w:bookmarkStart w:id="4" w:name="OLE_LINK10"/>
      <w:r>
        <w:rPr>
          <w:rFonts w:hint="eastAsia"/>
          <w:lang w:val="en-US" w:eastAsia="zh-CN"/>
        </w:rPr>
        <w:t>优先确定并消除</w:t>
      </w:r>
      <w:r>
        <w:rPr>
          <w:lang w:val="en-US" w:eastAsia="zh-CN"/>
        </w:rPr>
        <w:t>406-406.1 MHz</w:t>
      </w:r>
      <w:r>
        <w:rPr>
          <w:rFonts w:hint="eastAsia"/>
          <w:lang w:val="en-US" w:eastAsia="zh-CN"/>
        </w:rPr>
        <w:t>频段的有害干扰</w:t>
      </w:r>
      <w:bookmarkEnd w:id="3"/>
      <w:bookmarkEnd w:id="4"/>
    </w:p>
    <w:p w:rsidR="00F63B18" w:rsidRDefault="00F63B18" w:rsidP="00F63B18">
      <w:pPr>
        <w:pStyle w:val="Recdate"/>
        <w:rPr>
          <w:lang w:val="en-US" w:eastAsia="zh-CN"/>
        </w:rPr>
      </w:pPr>
      <w:r>
        <w:rPr>
          <w:lang w:val="en-US" w:eastAsia="zh-CN"/>
        </w:rPr>
        <w:t>(1994-1995-1997-2014)</w:t>
      </w:r>
    </w:p>
    <w:p w:rsidR="00F63B18" w:rsidRPr="002F2E0C" w:rsidRDefault="00F63B18" w:rsidP="002F2E0C">
      <w:pPr>
        <w:pStyle w:val="Heading1"/>
        <w:rPr>
          <w:sz w:val="22"/>
          <w:szCs w:val="22"/>
          <w:lang w:val="en-US" w:eastAsia="zh-CN"/>
        </w:rPr>
      </w:pPr>
      <w:r w:rsidRPr="002F2E0C">
        <w:rPr>
          <w:rFonts w:hint="eastAsia"/>
          <w:sz w:val="22"/>
          <w:szCs w:val="22"/>
          <w:lang w:val="en-US" w:eastAsia="zh-CN"/>
        </w:rPr>
        <w:t>范围</w:t>
      </w:r>
    </w:p>
    <w:p w:rsidR="00F63B18" w:rsidRDefault="00F63B18" w:rsidP="002F2E0C">
      <w:pPr>
        <w:pStyle w:val="Summary"/>
        <w:ind w:firstLineChars="200" w:firstLine="440"/>
        <w:rPr>
          <w:lang w:eastAsia="zh-CN"/>
        </w:rPr>
      </w:pPr>
      <w:r>
        <w:rPr>
          <w:rFonts w:hint="eastAsia"/>
          <w:lang w:eastAsia="zh-CN"/>
        </w:rPr>
        <w:t>建议书描述了管理部门和监测部门对</w:t>
      </w:r>
      <w:r>
        <w:rPr>
          <w:lang w:eastAsia="zh-CN"/>
        </w:rPr>
        <w:t>406-406.1 MHz</w:t>
      </w:r>
      <w:r>
        <w:rPr>
          <w:rFonts w:hint="eastAsia"/>
          <w:lang w:eastAsia="zh-CN"/>
        </w:rPr>
        <w:t>频段检测到干扰的优先权，由于该干扰损害了真实失事信标的监测和定位。</w:t>
      </w:r>
      <w:r>
        <w:rPr>
          <w:lang w:eastAsia="zh-CN"/>
        </w:rPr>
        <w:t>Cospas-Sarsat</w:t>
      </w:r>
      <w:r>
        <w:rPr>
          <w:rFonts w:hint="eastAsia"/>
          <w:lang w:eastAsia="zh-CN"/>
        </w:rPr>
        <w:t>是一个基于国际卫星的搜救</w:t>
      </w:r>
      <w:r>
        <w:rPr>
          <w:lang w:eastAsia="zh-CN"/>
        </w:rPr>
        <w:t>(SAR)</w:t>
      </w:r>
      <w:r>
        <w:rPr>
          <w:rFonts w:hint="eastAsia"/>
          <w:lang w:eastAsia="zh-CN"/>
        </w:rPr>
        <w:t>遇险报警系统，它在全世界范围内对由遇险中的飞机、船舶和荒野旅行者所启动的应急示位标进行检测和定位。该建议书为</w:t>
      </w:r>
      <w:r>
        <w:rPr>
          <w:lang w:eastAsia="zh-CN"/>
        </w:rPr>
        <w:t>406 MHz ITU</w:t>
      </w:r>
      <w:r>
        <w:rPr>
          <w:rFonts w:hint="eastAsia"/>
          <w:lang w:eastAsia="zh-CN"/>
        </w:rPr>
        <w:t>监控计划及</w:t>
      </w:r>
      <w:r>
        <w:rPr>
          <w:lang w:eastAsia="zh-CN"/>
        </w:rPr>
        <w:t>IUT-R SM.2258</w:t>
      </w:r>
      <w:r>
        <w:rPr>
          <w:rFonts w:hint="eastAsia"/>
          <w:lang w:eastAsia="zh-CN"/>
        </w:rPr>
        <w:t>报告提供了附加的参考文献。</w:t>
      </w:r>
    </w:p>
    <w:p w:rsidR="00F63B18" w:rsidRPr="002F2E0C" w:rsidRDefault="00F63B18" w:rsidP="002F2E0C">
      <w:pPr>
        <w:rPr>
          <w:b/>
          <w:bCs/>
          <w:lang w:val="en-US" w:eastAsia="zh-CN"/>
        </w:rPr>
      </w:pPr>
      <w:r w:rsidRPr="002F2E0C">
        <w:rPr>
          <w:rFonts w:hint="eastAsia"/>
          <w:b/>
          <w:bCs/>
          <w:lang w:val="en-US" w:eastAsia="zh-CN"/>
        </w:rPr>
        <w:t>关键词</w:t>
      </w:r>
    </w:p>
    <w:p w:rsidR="00F63B18" w:rsidRDefault="00F63B18" w:rsidP="00F63B18">
      <w:pPr>
        <w:ind w:firstLineChars="200" w:firstLine="480"/>
        <w:rPr>
          <w:lang w:val="en-US" w:eastAsia="zh-CN"/>
        </w:rPr>
      </w:pPr>
      <w:r>
        <w:rPr>
          <w:lang w:val="en-US" w:eastAsia="zh-CN"/>
        </w:rPr>
        <w:t>EPIRB</w:t>
      </w:r>
      <w:r>
        <w:rPr>
          <w:rFonts w:hint="eastAsia"/>
          <w:lang w:val="en-US" w:eastAsia="zh-CN"/>
        </w:rPr>
        <w:t>；安全；国际卫星辅助搜救组织；失事；信标；干扰。</w:t>
      </w:r>
    </w:p>
    <w:p w:rsidR="00F63B18" w:rsidRPr="002F2E0C" w:rsidRDefault="00F63B18" w:rsidP="002F2E0C">
      <w:pPr>
        <w:rPr>
          <w:b/>
          <w:bCs/>
          <w:lang w:val="en-US" w:eastAsia="zh-CN"/>
        </w:rPr>
      </w:pPr>
      <w:r w:rsidRPr="002F2E0C">
        <w:rPr>
          <w:rFonts w:hint="eastAsia"/>
          <w:b/>
          <w:bCs/>
          <w:lang w:val="en-US" w:eastAsia="zh-CN"/>
        </w:rPr>
        <w:t>缩略语</w:t>
      </w:r>
      <w:r w:rsidRPr="002F2E0C">
        <w:rPr>
          <w:b/>
          <w:bCs/>
          <w:lang w:val="en-US" w:eastAsia="zh-CN"/>
        </w:rPr>
        <w:t>/</w:t>
      </w:r>
      <w:r w:rsidRPr="002F2E0C">
        <w:rPr>
          <w:rFonts w:hint="eastAsia"/>
          <w:b/>
          <w:bCs/>
          <w:lang w:val="en-US" w:eastAsia="zh-CN"/>
        </w:rPr>
        <w:t>术语</w:t>
      </w:r>
      <w:r w:rsidRPr="002F2E0C">
        <w:rPr>
          <w:rFonts w:hint="eastAsia"/>
          <w:b/>
          <w:bCs/>
          <w:lang w:val="en-US" w:eastAsia="zh-CN"/>
        </w:rPr>
        <w:t xml:space="preserve"> </w:t>
      </w:r>
    </w:p>
    <w:p w:rsidR="00F63B18" w:rsidRDefault="00F63B18" w:rsidP="00F63B18">
      <w:pPr>
        <w:pStyle w:val="enumlev1"/>
        <w:rPr>
          <w:lang w:val="en-US" w:eastAsia="zh-CN"/>
        </w:rPr>
      </w:pPr>
      <w:r>
        <w:rPr>
          <w:lang w:val="en-US" w:eastAsia="zh-CN"/>
        </w:rPr>
        <w:t xml:space="preserve">BR – </w:t>
      </w:r>
      <w:r>
        <w:rPr>
          <w:rFonts w:hint="eastAsia"/>
          <w:lang w:val="en-US" w:eastAsia="zh-CN"/>
        </w:rPr>
        <w:t>无线电通讯局；</w:t>
      </w:r>
    </w:p>
    <w:p w:rsidR="00F63B18" w:rsidRDefault="00F63B18" w:rsidP="00F63B18">
      <w:pPr>
        <w:pStyle w:val="enumlev1"/>
        <w:rPr>
          <w:lang w:val="en-US" w:eastAsia="zh-CN"/>
        </w:rPr>
      </w:pPr>
      <w:r>
        <w:rPr>
          <w:lang w:val="en-US" w:eastAsia="zh-CN"/>
        </w:rPr>
        <w:t xml:space="preserve">EPIRB – </w:t>
      </w:r>
      <w:r>
        <w:rPr>
          <w:rFonts w:hint="eastAsia"/>
          <w:lang w:val="en-US" w:eastAsia="zh-CN"/>
        </w:rPr>
        <w:t>紧急方位指示无线电信标；</w:t>
      </w:r>
    </w:p>
    <w:p w:rsidR="00F63B18" w:rsidRDefault="00F63B18" w:rsidP="00F63B18">
      <w:pPr>
        <w:pStyle w:val="enumlev1"/>
        <w:rPr>
          <w:lang w:val="en-US" w:eastAsia="zh-CN"/>
        </w:rPr>
      </w:pPr>
      <w:r>
        <w:rPr>
          <w:lang w:val="en-US" w:eastAsia="zh-CN"/>
        </w:rPr>
        <w:t xml:space="preserve">GNSS – </w:t>
      </w:r>
      <w:r>
        <w:rPr>
          <w:rFonts w:hint="eastAsia"/>
          <w:lang w:val="en-US" w:eastAsia="zh-CN"/>
        </w:rPr>
        <w:t>全球导航卫星系统；</w:t>
      </w:r>
    </w:p>
    <w:p w:rsidR="00F63B18" w:rsidRDefault="00F63B18" w:rsidP="00F63B18">
      <w:pPr>
        <w:pStyle w:val="enumlev1"/>
        <w:rPr>
          <w:lang w:val="en-US" w:eastAsia="zh-CN"/>
        </w:rPr>
      </w:pPr>
      <w:r>
        <w:rPr>
          <w:lang w:val="en-US" w:eastAsia="zh-CN"/>
        </w:rPr>
        <w:t xml:space="preserve">LEO – </w:t>
      </w:r>
      <w:r>
        <w:rPr>
          <w:rFonts w:hint="eastAsia"/>
          <w:lang w:val="en-US" w:eastAsia="zh-CN"/>
        </w:rPr>
        <w:t>近地轨道；</w:t>
      </w:r>
    </w:p>
    <w:p w:rsidR="00F63B18" w:rsidRDefault="00F63B18" w:rsidP="00F63B18">
      <w:pPr>
        <w:pStyle w:val="enumlev1"/>
        <w:rPr>
          <w:lang w:val="en-US" w:eastAsia="zh-CN"/>
        </w:rPr>
      </w:pPr>
      <w:r>
        <w:rPr>
          <w:lang w:val="en-US" w:eastAsia="zh-CN"/>
        </w:rPr>
        <w:t>LUT –</w:t>
      </w:r>
      <w:r>
        <w:rPr>
          <w:rFonts w:hint="eastAsia"/>
          <w:lang w:val="en-US" w:eastAsia="zh-CN"/>
        </w:rPr>
        <w:t>本地用户终端；</w:t>
      </w:r>
    </w:p>
    <w:p w:rsidR="00F63B18" w:rsidRDefault="00F63B18" w:rsidP="00F63B18">
      <w:pPr>
        <w:pStyle w:val="enumlev1"/>
        <w:rPr>
          <w:lang w:val="en-US" w:eastAsia="zh-CN"/>
        </w:rPr>
      </w:pPr>
      <w:r>
        <w:rPr>
          <w:lang w:val="en-US" w:eastAsia="zh-CN"/>
        </w:rPr>
        <w:t xml:space="preserve">WARC – </w:t>
      </w:r>
      <w:r>
        <w:rPr>
          <w:rFonts w:hint="eastAsia"/>
          <w:lang w:val="en-US" w:eastAsia="zh-CN"/>
        </w:rPr>
        <w:t>世界无线电管理会议。</w:t>
      </w:r>
    </w:p>
    <w:p w:rsidR="00F63B18" w:rsidRPr="002F2E0C" w:rsidRDefault="00F63B18" w:rsidP="002F2E0C">
      <w:pPr>
        <w:rPr>
          <w:b/>
          <w:bCs/>
          <w:lang w:val="en-US" w:eastAsia="zh-CN"/>
        </w:rPr>
      </w:pPr>
      <w:r w:rsidRPr="002F2E0C">
        <w:rPr>
          <w:rFonts w:hint="eastAsia"/>
          <w:b/>
          <w:bCs/>
          <w:lang w:val="en-US" w:eastAsia="zh-CN"/>
        </w:rPr>
        <w:t>相关</w:t>
      </w:r>
      <w:r w:rsidRPr="002F2E0C">
        <w:rPr>
          <w:rFonts w:eastAsia="Times New Roman"/>
          <w:b/>
          <w:bCs/>
          <w:lang w:val="en-US" w:eastAsia="zh-CN"/>
        </w:rPr>
        <w:t xml:space="preserve"> ITU </w:t>
      </w:r>
      <w:r w:rsidRPr="002F2E0C">
        <w:rPr>
          <w:rFonts w:hint="eastAsia"/>
          <w:b/>
          <w:bCs/>
          <w:lang w:val="en-US" w:eastAsia="zh-CN"/>
        </w:rPr>
        <w:t>建议书，报告</w:t>
      </w:r>
    </w:p>
    <w:p w:rsidR="00F63B18" w:rsidRDefault="00F63B18" w:rsidP="002F2E0C">
      <w:pPr>
        <w:ind w:firstLineChars="200" w:firstLine="480"/>
        <w:rPr>
          <w:szCs w:val="24"/>
          <w:lang w:val="en-US" w:eastAsia="zh-CN"/>
        </w:rPr>
      </w:pPr>
      <w:r>
        <w:rPr>
          <w:lang w:val="en-US" w:eastAsia="zh-CN"/>
        </w:rPr>
        <w:t>ITU-R M.1478-2</w:t>
      </w:r>
      <w:r>
        <w:rPr>
          <w:rFonts w:hint="eastAsia"/>
          <w:lang w:val="en-US" w:eastAsia="zh-CN"/>
        </w:rPr>
        <w:t>建议书；</w:t>
      </w:r>
      <w:r>
        <w:rPr>
          <w:lang w:val="en-US" w:eastAsia="zh-CN"/>
        </w:rPr>
        <w:t>ITU-R SM.2258</w:t>
      </w:r>
      <w:r>
        <w:rPr>
          <w:rFonts w:hint="eastAsia"/>
          <w:lang w:val="en-US" w:eastAsia="zh-CN"/>
        </w:rPr>
        <w:t>报告；</w:t>
      </w:r>
      <w:r>
        <w:rPr>
          <w:lang w:val="en-US" w:eastAsia="zh-CN"/>
        </w:rPr>
        <w:t>ITU-R M.1042</w:t>
      </w:r>
      <w:r>
        <w:rPr>
          <w:rFonts w:hint="eastAsia"/>
          <w:lang w:val="en-US" w:eastAsia="zh-CN"/>
        </w:rPr>
        <w:t>报告。</w:t>
      </w:r>
    </w:p>
    <w:p w:rsidR="00F63B18" w:rsidRDefault="00F63B18" w:rsidP="00F63B18">
      <w:pPr>
        <w:pStyle w:val="Note"/>
        <w:rPr>
          <w:lang w:val="en-US" w:eastAsia="zh-CN"/>
        </w:rPr>
      </w:pPr>
      <w:r>
        <w:rPr>
          <w:rFonts w:hint="eastAsia"/>
          <w:lang w:val="en-US" w:eastAsia="zh-CN"/>
        </w:rPr>
        <w:t>注</w:t>
      </w:r>
      <w:r>
        <w:rPr>
          <w:rFonts w:hint="eastAsia"/>
          <w:lang w:val="en-US" w:eastAsia="zh-CN"/>
        </w:rPr>
        <w:t xml:space="preserve"> </w:t>
      </w:r>
      <w:r>
        <w:rPr>
          <w:rFonts w:hint="eastAsia"/>
          <w:lang w:val="en-US" w:eastAsia="zh-CN"/>
        </w:rPr>
        <w:t>—</w:t>
      </w:r>
      <w:r>
        <w:rPr>
          <w:rFonts w:hint="eastAsia"/>
          <w:lang w:val="en-US" w:eastAsia="zh-CN"/>
        </w:rPr>
        <w:t xml:space="preserve"> </w:t>
      </w:r>
      <w:r>
        <w:rPr>
          <w:rFonts w:hint="eastAsia"/>
          <w:lang w:val="en-US" w:eastAsia="zh-CN"/>
        </w:rPr>
        <w:t>任何情况下都需有效使用最新版本的建议书</w:t>
      </w:r>
      <w:r>
        <w:rPr>
          <w:lang w:val="en-US" w:eastAsia="zh-CN"/>
        </w:rPr>
        <w:t>/</w:t>
      </w:r>
      <w:r>
        <w:rPr>
          <w:rFonts w:hint="eastAsia"/>
          <w:lang w:val="en-US" w:eastAsia="zh-CN"/>
        </w:rPr>
        <w:t>报告。</w:t>
      </w:r>
    </w:p>
    <w:p w:rsidR="00F63B18" w:rsidRDefault="002F2E0C" w:rsidP="00F63B18">
      <w:pPr>
        <w:pStyle w:val="Normalaftertitle"/>
        <w:rPr>
          <w:lang w:val="en-US" w:eastAsia="zh-CN"/>
        </w:rPr>
      </w:pPr>
      <w:r>
        <w:rPr>
          <w:rFonts w:hint="eastAsia"/>
          <w:lang w:val="en-US" w:eastAsia="zh-CN"/>
        </w:rPr>
        <w:t>国际</w:t>
      </w:r>
      <w:r>
        <w:rPr>
          <w:lang w:val="en-US" w:eastAsia="zh-CN"/>
        </w:rPr>
        <w:t>电联</w:t>
      </w:r>
      <w:r w:rsidR="00F63B18">
        <w:rPr>
          <w:rFonts w:hint="eastAsia"/>
          <w:lang w:val="en-US" w:eastAsia="zh-CN"/>
        </w:rPr>
        <w:t>无线电通信大会，</w:t>
      </w:r>
    </w:p>
    <w:p w:rsidR="00F63B18" w:rsidRDefault="00F63B18" w:rsidP="00F63B18">
      <w:pPr>
        <w:pStyle w:val="Call"/>
        <w:rPr>
          <w:rFonts w:ascii="STKaiti" w:eastAsia="STKaiti" w:hAnsi="STKaiti"/>
          <w:i w:val="0"/>
          <w:lang w:val="en-US" w:eastAsia="zh-CN"/>
        </w:rPr>
      </w:pPr>
      <w:r>
        <w:rPr>
          <w:rFonts w:ascii="STKaiti" w:eastAsia="STKaiti" w:hAnsi="STKaiti" w:hint="eastAsia"/>
          <w:i w:val="0"/>
          <w:lang w:val="en-US" w:eastAsia="zh-CN"/>
        </w:rPr>
        <w:t>考虑到</w:t>
      </w:r>
    </w:p>
    <w:p w:rsidR="00F63B18" w:rsidRDefault="00F63B18" w:rsidP="00F63B18">
      <w:pPr>
        <w:rPr>
          <w:lang w:val="en-US" w:eastAsia="zh-CN"/>
        </w:rPr>
      </w:pPr>
      <w:r>
        <w:rPr>
          <w:i/>
          <w:iCs/>
          <w:lang w:val="en-US" w:eastAsia="zh-CN"/>
        </w:rPr>
        <w:t>a)</w:t>
      </w:r>
      <w:r>
        <w:rPr>
          <w:lang w:val="en-US" w:eastAsia="zh-CN"/>
        </w:rPr>
        <w:tab/>
      </w:r>
      <w:r>
        <w:rPr>
          <w:rFonts w:hint="eastAsia"/>
          <w:lang w:val="en-US" w:eastAsia="zh-CN"/>
        </w:rPr>
        <w:t>在无线电管理条例（</w:t>
      </w:r>
      <w:r>
        <w:rPr>
          <w:lang w:val="en-US" w:eastAsia="zh-CN"/>
        </w:rPr>
        <w:t>RR</w:t>
      </w:r>
      <w:r>
        <w:rPr>
          <w:rFonts w:hint="eastAsia"/>
          <w:lang w:val="en-US" w:eastAsia="zh-CN"/>
        </w:rPr>
        <w:t>）中，</w:t>
      </w:r>
      <w:r>
        <w:rPr>
          <w:lang w:val="en-US" w:eastAsia="zh-CN"/>
        </w:rPr>
        <w:t>406-406.1 MHz</w:t>
      </w:r>
      <w:r>
        <w:rPr>
          <w:rFonts w:hint="eastAsia"/>
          <w:lang w:val="en-US" w:eastAsia="zh-CN"/>
        </w:rPr>
        <w:t>频段被分配给移动卫星（地</w:t>
      </w:r>
      <w:r>
        <w:rPr>
          <w:lang w:val="en-US" w:eastAsia="zh-CN"/>
        </w:rPr>
        <w:t>-</w:t>
      </w:r>
      <w:r>
        <w:rPr>
          <w:rFonts w:hint="eastAsia"/>
          <w:lang w:val="en-US" w:eastAsia="zh-CN"/>
        </w:rPr>
        <w:t>空）服务，用于失事及突发事件的紧急方位指示无线电信标（</w:t>
      </w:r>
      <w:r>
        <w:rPr>
          <w:lang w:val="en-US" w:eastAsia="zh-CN"/>
        </w:rPr>
        <w:t>EPIRBs</w:t>
      </w:r>
      <w:r>
        <w:rPr>
          <w:rFonts w:hint="eastAsia"/>
          <w:lang w:val="en-US" w:eastAsia="zh-CN"/>
        </w:rPr>
        <w:t>）；</w:t>
      </w:r>
    </w:p>
    <w:p w:rsidR="00F63B18" w:rsidRDefault="00F63B18" w:rsidP="00F63B18">
      <w:pPr>
        <w:rPr>
          <w:lang w:val="en-US" w:eastAsia="zh-CN"/>
        </w:rPr>
      </w:pPr>
      <w:r>
        <w:rPr>
          <w:i/>
          <w:iCs/>
          <w:lang w:val="en-US" w:eastAsia="zh-CN"/>
        </w:rPr>
        <w:t>b)</w:t>
      </w:r>
      <w:r>
        <w:rPr>
          <w:lang w:val="en-US" w:eastAsia="zh-CN"/>
        </w:rPr>
        <w:tab/>
      </w:r>
      <w:r>
        <w:rPr>
          <w:rFonts w:hint="eastAsia"/>
          <w:lang w:val="en-US" w:eastAsia="zh-CN"/>
        </w:rPr>
        <w:t>机构也可以授权个人定位器信标、紧急定位信号传送器或等效系统的使用，在国家基础上使用和</w:t>
      </w:r>
      <w:r>
        <w:rPr>
          <w:lang w:val="en-US" w:eastAsia="zh-CN"/>
        </w:rPr>
        <w:t>EPIRB</w:t>
      </w:r>
      <w:r>
        <w:rPr>
          <w:rFonts w:hint="eastAsia"/>
          <w:lang w:val="en-US" w:eastAsia="zh-CN"/>
        </w:rPr>
        <w:t>相似的传送器辐射参数和特性；</w:t>
      </w:r>
    </w:p>
    <w:p w:rsidR="00F63B18" w:rsidRDefault="00F63B18" w:rsidP="00F63B18">
      <w:pPr>
        <w:rPr>
          <w:lang w:val="en-US" w:eastAsia="zh-CN"/>
        </w:rPr>
      </w:pPr>
      <w:r>
        <w:rPr>
          <w:i/>
          <w:iCs/>
          <w:lang w:val="en-US" w:eastAsia="zh-CN"/>
        </w:rPr>
        <w:t>c)</w:t>
      </w:r>
      <w:r>
        <w:rPr>
          <w:lang w:val="en-US" w:eastAsia="zh-CN"/>
        </w:rPr>
        <w:tab/>
      </w:r>
      <w:r>
        <w:rPr>
          <w:rFonts w:hint="eastAsia"/>
          <w:lang w:val="en-US" w:eastAsia="zh-CN"/>
        </w:rPr>
        <w:t>作为全球海事灾害和安全系统的一部分，根据海洋公约中的生命安全条款，国际海事组织要求船只携带</w:t>
      </w:r>
      <w:r>
        <w:rPr>
          <w:lang w:val="en-US" w:eastAsia="zh-CN"/>
        </w:rPr>
        <w:t>EPIRB</w:t>
      </w:r>
      <w:r>
        <w:rPr>
          <w:rFonts w:hint="eastAsia"/>
          <w:lang w:val="en-US" w:eastAsia="zh-CN"/>
        </w:rPr>
        <w:t>；</w:t>
      </w:r>
    </w:p>
    <w:p w:rsidR="00F63B18" w:rsidRDefault="00F63B18" w:rsidP="00F63B18">
      <w:pPr>
        <w:rPr>
          <w:lang w:val="en-US" w:eastAsia="zh-CN"/>
        </w:rPr>
      </w:pPr>
      <w:r>
        <w:rPr>
          <w:i/>
          <w:iCs/>
          <w:lang w:val="en-US" w:eastAsia="zh-CN"/>
        </w:rPr>
        <w:t>d)</w:t>
      </w:r>
      <w:r>
        <w:rPr>
          <w:lang w:val="en-US" w:eastAsia="zh-CN"/>
        </w:rPr>
        <w:tab/>
        <w:t>EPIRB</w:t>
      </w:r>
      <w:r>
        <w:rPr>
          <w:rFonts w:hint="eastAsia"/>
          <w:lang w:val="en-US" w:eastAsia="zh-CN"/>
        </w:rPr>
        <w:t>及其等效系统的目的是依靠卫星定位技术帮助搜救行动；</w:t>
      </w:r>
    </w:p>
    <w:p w:rsidR="00F63B18" w:rsidRDefault="00F63B18" w:rsidP="00F63B18">
      <w:pPr>
        <w:rPr>
          <w:lang w:val="en-US" w:eastAsia="zh-CN"/>
        </w:rPr>
      </w:pPr>
      <w:r>
        <w:rPr>
          <w:i/>
          <w:iCs/>
          <w:lang w:val="en-US" w:eastAsia="zh-CN"/>
        </w:rPr>
        <w:t>e)</w:t>
      </w:r>
      <w:r>
        <w:rPr>
          <w:lang w:val="en-US" w:eastAsia="zh-CN"/>
        </w:rPr>
        <w:tab/>
      </w:r>
      <w:r>
        <w:rPr>
          <w:rFonts w:hint="eastAsia"/>
          <w:lang w:val="en-US" w:eastAsia="zh-CN"/>
        </w:rPr>
        <w:t>使用</w:t>
      </w:r>
      <w:r>
        <w:rPr>
          <w:lang w:val="en-US" w:eastAsia="zh-CN"/>
        </w:rPr>
        <w:t>EPIRB</w:t>
      </w:r>
      <w:r>
        <w:rPr>
          <w:rFonts w:hint="eastAsia"/>
          <w:lang w:val="en-US" w:eastAsia="zh-CN"/>
        </w:rPr>
        <w:t>和相关卫星系统的目的是在失事中快速直接地提供救援服务，拯救生命；</w:t>
      </w:r>
    </w:p>
    <w:p w:rsidR="00F63B18" w:rsidRDefault="00F63B18" w:rsidP="00F63B18">
      <w:pPr>
        <w:pageBreakBefore/>
        <w:rPr>
          <w:lang w:val="en-US" w:eastAsia="zh-CN"/>
        </w:rPr>
      </w:pPr>
      <w:r>
        <w:rPr>
          <w:i/>
          <w:iCs/>
          <w:lang w:val="en-US" w:eastAsia="zh-CN"/>
        </w:rPr>
        <w:t>f)</w:t>
      </w:r>
      <w:r>
        <w:rPr>
          <w:lang w:val="en-US" w:eastAsia="zh-CN"/>
        </w:rPr>
        <w:tab/>
      </w:r>
      <w:r>
        <w:rPr>
          <w:rFonts w:hint="eastAsia"/>
          <w:lang w:val="en-US" w:eastAsia="zh-CN"/>
        </w:rPr>
        <w:t>在近地轨道、中地轨道和地球静止轨道运转的卫星接收器显示，存在许多信号可能对</w:t>
      </w:r>
      <w:r>
        <w:rPr>
          <w:lang w:val="en-US" w:eastAsia="zh-CN"/>
        </w:rPr>
        <w:t>406-406.1 MHz</w:t>
      </w:r>
      <w:r>
        <w:rPr>
          <w:rFonts w:hint="eastAsia"/>
          <w:lang w:val="en-US" w:eastAsia="zh-CN"/>
        </w:rPr>
        <w:t>频段产生有害干扰；</w:t>
      </w:r>
    </w:p>
    <w:p w:rsidR="00F63B18" w:rsidRDefault="00F63B18" w:rsidP="00F63B18">
      <w:pPr>
        <w:rPr>
          <w:lang w:val="en-US" w:eastAsia="zh-CN"/>
        </w:rPr>
      </w:pPr>
      <w:r>
        <w:rPr>
          <w:i/>
          <w:iCs/>
          <w:lang w:val="en-US" w:eastAsia="zh-CN"/>
        </w:rPr>
        <w:t>g)</w:t>
      </w:r>
      <w:r>
        <w:rPr>
          <w:lang w:val="en-US" w:eastAsia="zh-CN"/>
        </w:rPr>
        <w:tab/>
      </w:r>
      <w:r>
        <w:rPr>
          <w:rFonts w:hint="eastAsia"/>
          <w:lang w:val="en-US" w:eastAsia="zh-CN"/>
        </w:rPr>
        <w:t>任何干扰的存在会导致搜救卫星系统的恶化，干扰需要被立即消除，卫星系统的工作基于低功率信号的统计处理，这类干扰会威胁生命和财产安全；</w:t>
      </w:r>
    </w:p>
    <w:p w:rsidR="00F63B18" w:rsidRDefault="00F63B18" w:rsidP="00F63B18">
      <w:pPr>
        <w:rPr>
          <w:lang w:val="en-US" w:eastAsia="zh-CN"/>
        </w:rPr>
      </w:pPr>
      <w:r>
        <w:rPr>
          <w:i/>
          <w:iCs/>
          <w:lang w:val="en-US" w:eastAsia="zh-CN"/>
        </w:rPr>
        <w:t>h)</w:t>
      </w:r>
      <w:r>
        <w:rPr>
          <w:lang w:val="en-US" w:eastAsia="zh-CN"/>
        </w:rPr>
        <w:tab/>
        <w:t>406-406.1 MHz</w:t>
      </w:r>
      <w:r>
        <w:rPr>
          <w:rFonts w:hint="eastAsia"/>
          <w:lang w:val="en-US" w:eastAsia="zh-CN"/>
        </w:rPr>
        <w:t>频段中剧烈的干扰会完全遮蔽数千平方公里范围内的</w:t>
      </w:r>
      <w:r>
        <w:rPr>
          <w:lang w:val="en-US" w:eastAsia="zh-CN"/>
        </w:rPr>
        <w:t>EPIRB</w:t>
      </w:r>
      <w:r>
        <w:rPr>
          <w:rFonts w:hint="eastAsia"/>
          <w:lang w:val="en-US" w:eastAsia="zh-CN"/>
        </w:rPr>
        <w:t>传输；</w:t>
      </w:r>
    </w:p>
    <w:p w:rsidR="00F63B18" w:rsidRDefault="00F63B18" w:rsidP="00F63B18">
      <w:pPr>
        <w:rPr>
          <w:lang w:val="en-US" w:eastAsia="zh-CN"/>
        </w:rPr>
      </w:pPr>
      <w:r>
        <w:rPr>
          <w:i/>
          <w:iCs/>
          <w:lang w:val="en-US" w:eastAsia="zh-CN"/>
        </w:rPr>
        <w:t>i)</w:t>
      </w:r>
      <w:r>
        <w:rPr>
          <w:i/>
          <w:iCs/>
          <w:lang w:val="en-US" w:eastAsia="zh-CN"/>
        </w:rPr>
        <w:tab/>
      </w:r>
      <w:r>
        <w:rPr>
          <w:rFonts w:hint="eastAsia"/>
          <w:lang w:val="en-US" w:eastAsia="zh-CN"/>
        </w:rPr>
        <w:t>为解决干扰问题，无线电管理条例中的第</w:t>
      </w:r>
      <w:r>
        <w:rPr>
          <w:b/>
          <w:lang w:val="en-US" w:eastAsia="zh-CN"/>
        </w:rPr>
        <w:t>15</w:t>
      </w:r>
      <w:r>
        <w:rPr>
          <w:rFonts w:hint="eastAsia"/>
          <w:lang w:val="en-US" w:eastAsia="zh-CN"/>
        </w:rPr>
        <w:t>号文章为管理机构建立了直接沟通的程序；</w:t>
      </w:r>
    </w:p>
    <w:p w:rsidR="00F63B18" w:rsidRDefault="00F63B18" w:rsidP="00F63B18">
      <w:pPr>
        <w:rPr>
          <w:lang w:val="en-US" w:eastAsia="zh-CN"/>
        </w:rPr>
      </w:pPr>
      <w:r>
        <w:rPr>
          <w:i/>
          <w:iCs/>
          <w:lang w:val="en-US" w:eastAsia="zh-CN"/>
        </w:rPr>
        <w:t>j)</w:t>
      </w:r>
      <w:r>
        <w:rPr>
          <w:lang w:val="en-US" w:eastAsia="zh-CN"/>
        </w:rPr>
        <w:tab/>
      </w:r>
      <w:r>
        <w:rPr>
          <w:rFonts w:hint="eastAsia"/>
          <w:lang w:val="en-US" w:eastAsia="zh-CN"/>
        </w:rPr>
        <w:t>无线电通讯局有一项计划来协调全世界范围内的</w:t>
      </w:r>
      <w:r>
        <w:rPr>
          <w:lang w:val="en-US" w:eastAsia="zh-CN"/>
        </w:rPr>
        <w:t>406-406.1 MHz</w:t>
      </w:r>
      <w:r>
        <w:rPr>
          <w:rFonts w:hint="eastAsia"/>
          <w:lang w:val="en-US" w:eastAsia="zh-CN"/>
        </w:rPr>
        <w:t>频段的干扰报告，当</w:t>
      </w:r>
      <w:r>
        <w:rPr>
          <w:lang w:val="en-US" w:eastAsia="zh-CN"/>
        </w:rPr>
        <w:t>i)</w:t>
      </w:r>
      <w:r>
        <w:rPr>
          <w:rFonts w:hint="eastAsia"/>
          <w:lang w:val="en-US" w:eastAsia="zh-CN"/>
        </w:rPr>
        <w:t>内程序不可行时，需要它们帮助消灭这类干扰；</w:t>
      </w:r>
    </w:p>
    <w:p w:rsidR="00F63B18" w:rsidRDefault="00F63B18" w:rsidP="00F63B18">
      <w:pPr>
        <w:rPr>
          <w:lang w:val="en-US" w:eastAsia="zh-CN"/>
        </w:rPr>
      </w:pPr>
      <w:r>
        <w:rPr>
          <w:i/>
          <w:iCs/>
          <w:lang w:val="en-US" w:eastAsia="zh-CN"/>
        </w:rPr>
        <w:t>k)</w:t>
      </w:r>
      <w:r>
        <w:rPr>
          <w:lang w:val="en-US" w:eastAsia="zh-CN"/>
        </w:rPr>
        <w:tab/>
      </w:r>
      <w:r>
        <w:rPr>
          <w:rFonts w:hint="eastAsia"/>
          <w:lang w:val="en-US" w:eastAsia="zh-CN"/>
        </w:rPr>
        <w:t>国家无线电监控服务可以很好地辅助检测、本地化及识别该频段内的干扰源，并为保护生命及财产做出贡献；</w:t>
      </w:r>
    </w:p>
    <w:p w:rsidR="00F63B18" w:rsidRDefault="00F63B18" w:rsidP="00F63B18">
      <w:pPr>
        <w:rPr>
          <w:lang w:val="en-US" w:eastAsia="zh-CN"/>
        </w:rPr>
      </w:pPr>
      <w:r>
        <w:rPr>
          <w:i/>
          <w:iCs/>
          <w:lang w:val="en-US" w:eastAsia="zh-CN"/>
        </w:rPr>
        <w:t>l)</w:t>
      </w:r>
      <w:r>
        <w:rPr>
          <w:lang w:val="en-US" w:eastAsia="zh-CN"/>
        </w:rPr>
        <w:tab/>
      </w:r>
      <w:r>
        <w:rPr>
          <w:rFonts w:hint="eastAsia"/>
          <w:lang w:val="en-US" w:eastAsia="zh-CN"/>
        </w:rPr>
        <w:t>干扰定位源的反馈提供了有用的信息，有助于消除和防止未来的干扰问题。</w:t>
      </w:r>
    </w:p>
    <w:p w:rsidR="00F63B18" w:rsidRDefault="00F63B18" w:rsidP="00F63B18">
      <w:pPr>
        <w:pStyle w:val="Call"/>
        <w:rPr>
          <w:rFonts w:ascii="STKaiti" w:eastAsia="STKaiti" w:hAnsi="STKaiti"/>
          <w:i w:val="0"/>
          <w:lang w:val="en-US" w:eastAsia="zh-CN"/>
        </w:rPr>
      </w:pPr>
      <w:r>
        <w:rPr>
          <w:rFonts w:ascii="STKaiti" w:eastAsia="STKaiti" w:hAnsi="STKaiti" w:hint="eastAsia"/>
          <w:i w:val="0"/>
          <w:lang w:val="en-US" w:eastAsia="zh-CN"/>
        </w:rPr>
        <w:t>建议</w:t>
      </w:r>
    </w:p>
    <w:p w:rsidR="00F63B18" w:rsidRDefault="00F63B18" w:rsidP="00F63B18">
      <w:pPr>
        <w:rPr>
          <w:kern w:val="24"/>
          <w:lang w:val="en-US" w:eastAsia="zh-CN"/>
        </w:rPr>
      </w:pPr>
      <w:r>
        <w:rPr>
          <w:b/>
          <w:kern w:val="24"/>
          <w:lang w:val="en-US" w:eastAsia="zh-CN"/>
        </w:rPr>
        <w:t>1</w:t>
      </w:r>
      <w:r>
        <w:rPr>
          <w:kern w:val="24"/>
          <w:lang w:val="en-US" w:eastAsia="zh-CN"/>
        </w:rPr>
        <w:tab/>
      </w:r>
      <w:r>
        <w:rPr>
          <w:rFonts w:hint="eastAsia"/>
          <w:kern w:val="24"/>
          <w:lang w:val="en-US" w:eastAsia="zh-CN"/>
        </w:rPr>
        <w:t>接收到干扰通知后，管理机构需要立即定位和消除</w:t>
      </w:r>
      <w:r>
        <w:rPr>
          <w:kern w:val="24"/>
          <w:lang w:val="en-US" w:eastAsia="zh-CN"/>
        </w:rPr>
        <w:t>406-406.1 MHz</w:t>
      </w:r>
      <w:r>
        <w:rPr>
          <w:rFonts w:hint="eastAsia"/>
          <w:lang w:val="en-US" w:eastAsia="zh-CN"/>
        </w:rPr>
        <w:t>频段</w:t>
      </w:r>
      <w:r>
        <w:rPr>
          <w:rFonts w:hint="eastAsia"/>
          <w:kern w:val="24"/>
          <w:lang w:val="en-US" w:eastAsia="zh-CN"/>
        </w:rPr>
        <w:t>内的干扰；</w:t>
      </w:r>
    </w:p>
    <w:p w:rsidR="00F63B18" w:rsidRDefault="00F63B18" w:rsidP="00F63B18">
      <w:pPr>
        <w:tabs>
          <w:tab w:val="clear" w:pos="1191"/>
          <w:tab w:val="clear" w:pos="1588"/>
        </w:tabs>
        <w:rPr>
          <w:kern w:val="24"/>
          <w:lang w:val="en-US" w:eastAsia="zh-CN"/>
        </w:rPr>
      </w:pPr>
      <w:r>
        <w:rPr>
          <w:b/>
          <w:kern w:val="24"/>
          <w:lang w:val="en-US" w:eastAsia="zh-CN"/>
        </w:rPr>
        <w:t>2</w:t>
      </w:r>
      <w:r>
        <w:rPr>
          <w:kern w:val="24"/>
          <w:lang w:val="en-US" w:eastAsia="zh-CN"/>
        </w:rPr>
        <w:tab/>
      </w:r>
      <w:r>
        <w:rPr>
          <w:rFonts w:hint="eastAsia"/>
          <w:kern w:val="24"/>
          <w:lang w:val="en-US" w:eastAsia="zh-CN"/>
        </w:rPr>
        <w:t>充分利用有效的监控、测向能力，优先检测、本地化、确定并消除</w:t>
      </w:r>
      <w:r>
        <w:rPr>
          <w:kern w:val="24"/>
          <w:lang w:val="en-US" w:eastAsia="zh-CN"/>
        </w:rPr>
        <w:t>406-406.1 MHz</w:t>
      </w:r>
      <w:r>
        <w:rPr>
          <w:rFonts w:hint="eastAsia"/>
          <w:lang w:val="en-US" w:eastAsia="zh-CN"/>
        </w:rPr>
        <w:t>频段</w:t>
      </w:r>
      <w:r>
        <w:rPr>
          <w:rFonts w:hint="eastAsia"/>
          <w:kern w:val="24"/>
          <w:lang w:val="en-US" w:eastAsia="zh-CN"/>
        </w:rPr>
        <w:t>内的干扰；</w:t>
      </w:r>
    </w:p>
    <w:p w:rsidR="00F63B18" w:rsidRDefault="00F63B18" w:rsidP="00F63B18">
      <w:pPr>
        <w:rPr>
          <w:kern w:val="24"/>
          <w:lang w:val="en-US" w:eastAsia="zh-CN"/>
        </w:rPr>
      </w:pPr>
      <w:r>
        <w:rPr>
          <w:b/>
          <w:kern w:val="24"/>
          <w:lang w:val="en-US" w:eastAsia="zh-CN"/>
        </w:rPr>
        <w:t>3</w:t>
      </w:r>
      <w:r>
        <w:rPr>
          <w:kern w:val="24"/>
          <w:lang w:val="en-US" w:eastAsia="zh-CN"/>
        </w:rPr>
        <w:tab/>
      </w:r>
      <w:r>
        <w:rPr>
          <w:rFonts w:hint="eastAsia"/>
          <w:kern w:val="24"/>
          <w:lang w:val="en-US" w:eastAsia="zh-CN"/>
        </w:rPr>
        <w:t>管理部门有能力监控并识别</w:t>
      </w:r>
      <w:r>
        <w:rPr>
          <w:kern w:val="24"/>
          <w:lang w:val="en-US" w:eastAsia="zh-CN"/>
        </w:rPr>
        <w:t>406-406.1 MHz</w:t>
      </w:r>
      <w:r>
        <w:rPr>
          <w:rFonts w:hint="eastAsia"/>
          <w:lang w:val="en-US" w:eastAsia="zh-CN"/>
        </w:rPr>
        <w:t>频段</w:t>
      </w:r>
      <w:r>
        <w:rPr>
          <w:rFonts w:hint="eastAsia"/>
          <w:kern w:val="24"/>
          <w:lang w:val="en-US" w:eastAsia="zh-CN"/>
        </w:rPr>
        <w:t>内的干扰，并定期向无线电通讯局汇报；</w:t>
      </w:r>
    </w:p>
    <w:p w:rsidR="00F63B18" w:rsidRDefault="00F63B18" w:rsidP="00F63B18">
      <w:pPr>
        <w:rPr>
          <w:kern w:val="24"/>
          <w:lang w:val="en-US" w:eastAsia="zh-CN"/>
        </w:rPr>
      </w:pPr>
      <w:r>
        <w:rPr>
          <w:b/>
          <w:kern w:val="24"/>
          <w:lang w:val="en-US" w:eastAsia="zh-CN"/>
        </w:rPr>
        <w:t>4</w:t>
      </w:r>
      <w:r>
        <w:rPr>
          <w:kern w:val="24"/>
          <w:lang w:val="en-US" w:eastAsia="zh-CN"/>
        </w:rPr>
        <w:tab/>
      </w:r>
      <w:r>
        <w:rPr>
          <w:rFonts w:hint="eastAsia"/>
          <w:kern w:val="24"/>
          <w:lang w:val="en-US" w:eastAsia="zh-CN"/>
        </w:rPr>
        <w:t>管理机构需要考虑安装并运营本地用户终端（</w:t>
      </w:r>
      <w:r>
        <w:rPr>
          <w:kern w:val="24"/>
          <w:lang w:val="en-US" w:eastAsia="zh-CN"/>
        </w:rPr>
        <w:t>LUT</w:t>
      </w:r>
      <w:r>
        <w:rPr>
          <w:rFonts w:hint="eastAsia"/>
          <w:kern w:val="24"/>
          <w:lang w:val="en-US" w:eastAsia="zh-CN"/>
        </w:rPr>
        <w:t>），以检测紧急失事信号和干扰。这有助于更快地检测和定位信号，缩短响应时间；</w:t>
      </w:r>
    </w:p>
    <w:p w:rsidR="00F63B18" w:rsidRDefault="00F63B18" w:rsidP="00F63B18">
      <w:pPr>
        <w:rPr>
          <w:kern w:val="24"/>
          <w:lang w:val="en-US" w:eastAsia="zh-CN"/>
        </w:rPr>
      </w:pPr>
      <w:r>
        <w:rPr>
          <w:b/>
          <w:kern w:val="24"/>
          <w:lang w:val="en-US" w:eastAsia="zh-CN"/>
        </w:rPr>
        <w:t>5</w:t>
      </w:r>
      <w:r>
        <w:rPr>
          <w:kern w:val="24"/>
          <w:lang w:val="en-US" w:eastAsia="zh-CN"/>
        </w:rPr>
        <w:tab/>
      </w:r>
      <w:r>
        <w:rPr>
          <w:rFonts w:hint="eastAsia"/>
          <w:kern w:val="24"/>
          <w:lang w:val="en-US" w:eastAsia="zh-CN"/>
        </w:rPr>
        <w:t>附录</w:t>
      </w:r>
      <w:r>
        <w:rPr>
          <w:kern w:val="24"/>
          <w:lang w:val="en-US" w:eastAsia="zh-CN"/>
        </w:rPr>
        <w:t>1</w:t>
      </w:r>
      <w:r>
        <w:rPr>
          <w:rFonts w:hint="eastAsia"/>
          <w:kern w:val="24"/>
          <w:lang w:val="en-US" w:eastAsia="zh-CN"/>
        </w:rPr>
        <w:t>中提供的关于</w:t>
      </w:r>
      <w:r>
        <w:rPr>
          <w:kern w:val="24"/>
          <w:lang w:val="en-US" w:eastAsia="zh-CN"/>
        </w:rPr>
        <w:t>EPIRB</w:t>
      </w:r>
      <w:r>
        <w:rPr>
          <w:rFonts w:hint="eastAsia"/>
          <w:kern w:val="24"/>
          <w:lang w:val="en-US" w:eastAsia="zh-CN"/>
        </w:rPr>
        <w:t>操作及相关卫星处理系统的信息用于帮助消除该频段的干扰；</w:t>
      </w:r>
    </w:p>
    <w:p w:rsidR="00F63B18" w:rsidRDefault="00F63B18" w:rsidP="00F63B18">
      <w:pPr>
        <w:rPr>
          <w:kern w:val="24"/>
          <w:lang w:val="en-US" w:eastAsia="zh-CN"/>
        </w:rPr>
      </w:pPr>
      <w:r>
        <w:rPr>
          <w:b/>
          <w:kern w:val="24"/>
          <w:lang w:val="en-US" w:eastAsia="zh-CN"/>
        </w:rPr>
        <w:t>6</w:t>
      </w:r>
      <w:r>
        <w:rPr>
          <w:kern w:val="24"/>
          <w:lang w:val="en-US" w:eastAsia="zh-CN"/>
        </w:rPr>
        <w:tab/>
      </w:r>
      <w:r>
        <w:rPr>
          <w:rFonts w:hint="eastAsia"/>
          <w:kern w:val="24"/>
          <w:lang w:val="en-US" w:eastAsia="zh-CN"/>
        </w:rPr>
        <w:t>优先报告管理机构，包含附录</w:t>
      </w:r>
      <w:r>
        <w:rPr>
          <w:kern w:val="24"/>
          <w:lang w:val="en-US" w:eastAsia="zh-CN"/>
        </w:rPr>
        <w:t>2</w:t>
      </w:r>
      <w:r>
        <w:rPr>
          <w:rFonts w:hint="eastAsia"/>
          <w:kern w:val="24"/>
          <w:lang w:val="en-US" w:eastAsia="zh-CN"/>
        </w:rPr>
        <w:t>中所述信息；</w:t>
      </w:r>
    </w:p>
    <w:p w:rsidR="00F63B18" w:rsidRDefault="00F63B18" w:rsidP="00F63B18">
      <w:pPr>
        <w:rPr>
          <w:kern w:val="24"/>
          <w:lang w:val="en-US" w:eastAsia="zh-CN"/>
        </w:rPr>
      </w:pPr>
      <w:r>
        <w:rPr>
          <w:b/>
          <w:kern w:val="24"/>
          <w:lang w:val="en-US" w:eastAsia="zh-CN"/>
        </w:rPr>
        <w:t>7</w:t>
      </w:r>
      <w:r>
        <w:rPr>
          <w:kern w:val="24"/>
          <w:lang w:val="en-US" w:eastAsia="zh-CN"/>
        </w:rPr>
        <w:tab/>
      </w:r>
      <w:r>
        <w:rPr>
          <w:rFonts w:hint="eastAsia"/>
          <w:kern w:val="24"/>
          <w:lang w:val="en-US" w:eastAsia="zh-CN"/>
        </w:rPr>
        <w:t>管理机构提供报告向管理机构和</w:t>
      </w:r>
      <w:r>
        <w:rPr>
          <w:kern w:val="24"/>
          <w:lang w:val="en-US" w:eastAsia="zh-CN"/>
        </w:rPr>
        <w:t>/</w:t>
      </w:r>
      <w:r>
        <w:rPr>
          <w:rFonts w:hint="eastAsia"/>
          <w:kern w:val="24"/>
          <w:lang w:val="en-US" w:eastAsia="zh-CN"/>
        </w:rPr>
        <w:t>或无线电通讯局的反馈信息，如附录</w:t>
      </w:r>
      <w:r>
        <w:rPr>
          <w:kern w:val="24"/>
          <w:lang w:val="en-US" w:eastAsia="zh-CN"/>
        </w:rPr>
        <w:t>3</w:t>
      </w:r>
      <w:r>
        <w:rPr>
          <w:rFonts w:hint="eastAsia"/>
          <w:kern w:val="24"/>
          <w:lang w:val="en-US" w:eastAsia="zh-CN"/>
        </w:rPr>
        <w:t>所示。</w:t>
      </w:r>
    </w:p>
    <w:p w:rsidR="00F63B18" w:rsidRDefault="00F63B18" w:rsidP="00F63B18">
      <w:pPr>
        <w:rPr>
          <w:lang w:val="en-US" w:eastAsia="zh-CN"/>
        </w:rPr>
      </w:pPr>
    </w:p>
    <w:p w:rsidR="00F63B18" w:rsidRDefault="00F63B18" w:rsidP="00F63B18">
      <w:pPr>
        <w:pStyle w:val="AnnexNoTitle"/>
        <w:pageBreakBefore/>
        <w:rPr>
          <w:lang w:val="en-US" w:eastAsia="zh-CN"/>
        </w:rPr>
      </w:pPr>
      <w:r>
        <w:rPr>
          <w:rFonts w:hint="eastAsia"/>
          <w:lang w:val="en-US" w:eastAsia="zh-CN"/>
        </w:rPr>
        <w:t>附件</w:t>
      </w:r>
      <w:r>
        <w:rPr>
          <w:lang w:val="en-US"/>
        </w:rPr>
        <w:t xml:space="preserve"> 1</w:t>
      </w:r>
      <w:r>
        <w:rPr>
          <w:lang w:val="en-US"/>
        </w:rPr>
        <w:br/>
      </w:r>
      <w:r>
        <w:rPr>
          <w:lang w:val="en-US"/>
        </w:rPr>
        <w:br/>
        <w:t xml:space="preserve">Cospas-Sarsat 406 MHz </w:t>
      </w:r>
      <w:r>
        <w:rPr>
          <w:rFonts w:hint="eastAsia"/>
          <w:lang w:val="en-US" w:eastAsia="zh-CN"/>
        </w:rPr>
        <w:t>系统操作</w:t>
      </w:r>
    </w:p>
    <w:p w:rsidR="00F63B18" w:rsidRDefault="00F63B18" w:rsidP="002F2E0C">
      <w:pPr>
        <w:pStyle w:val="Heading1"/>
        <w:spacing w:line="360" w:lineRule="atLeast"/>
        <w:rPr>
          <w:lang w:val="en-US" w:eastAsia="zh-CN"/>
        </w:rPr>
      </w:pPr>
      <w:r>
        <w:rPr>
          <w:lang w:val="en-US"/>
        </w:rPr>
        <w:t>1</w:t>
      </w:r>
      <w:r>
        <w:rPr>
          <w:lang w:val="en-US"/>
        </w:rPr>
        <w:tab/>
        <w:t xml:space="preserve">406 MHz EPIRB </w:t>
      </w:r>
      <w:r>
        <w:rPr>
          <w:rFonts w:hint="eastAsia"/>
          <w:lang w:val="en-US" w:eastAsia="zh-CN"/>
        </w:rPr>
        <w:t>检测及定位原则</w:t>
      </w:r>
    </w:p>
    <w:p w:rsidR="00F63B18" w:rsidRDefault="00F63B18" w:rsidP="00E80400">
      <w:pPr>
        <w:spacing w:line="400" w:lineRule="atLeast"/>
        <w:ind w:firstLineChars="200" w:firstLine="480"/>
        <w:rPr>
          <w:lang w:val="en-US" w:eastAsia="zh-CN"/>
        </w:rPr>
      </w:pPr>
      <w:r>
        <w:rPr>
          <w:rFonts w:hint="eastAsia"/>
          <w:lang w:val="en-US" w:eastAsia="zh-CN"/>
        </w:rPr>
        <w:t>一旦被激活，</w:t>
      </w:r>
      <w:r>
        <w:rPr>
          <w:lang w:val="en-US" w:eastAsia="zh-CN"/>
        </w:rPr>
        <w:t>406 MHz EPIRB</w:t>
      </w:r>
      <w:r>
        <w:rPr>
          <w:rFonts w:hint="eastAsia"/>
          <w:lang w:val="en-US" w:eastAsia="zh-CN"/>
        </w:rPr>
        <w:t>将每隔</w:t>
      </w:r>
      <w:r>
        <w:rPr>
          <w:lang w:val="en-US" w:eastAsia="zh-CN"/>
        </w:rPr>
        <w:t>50s</w:t>
      </w:r>
      <w:r>
        <w:rPr>
          <w:rFonts w:hint="eastAsia"/>
          <w:lang w:val="en-US" w:eastAsia="zh-CN"/>
        </w:rPr>
        <w:t>传输</w:t>
      </w:r>
      <w:r>
        <w:rPr>
          <w:lang w:val="en-US" w:eastAsia="zh-CN"/>
        </w:rPr>
        <w:t>0.5s</w:t>
      </w:r>
      <w:r>
        <w:rPr>
          <w:rFonts w:hint="eastAsia"/>
          <w:lang w:val="en-US" w:eastAsia="zh-CN"/>
        </w:rPr>
        <w:t>（见</w:t>
      </w:r>
      <w:r>
        <w:rPr>
          <w:lang w:val="en-US" w:eastAsia="zh-CN"/>
        </w:rPr>
        <w:t>ITU-R M.633</w:t>
      </w:r>
      <w:r>
        <w:rPr>
          <w:rFonts w:hint="eastAsia"/>
          <w:lang w:val="en-US" w:eastAsia="zh-CN"/>
        </w:rPr>
        <w:t>建议书）。在传输阶段调制包含识别数据的数字信息。</w:t>
      </w:r>
      <w:r>
        <w:rPr>
          <w:lang w:val="en-US" w:eastAsia="zh-CN"/>
        </w:rPr>
        <w:t>EPIRB</w:t>
      </w:r>
      <w:r>
        <w:rPr>
          <w:rFonts w:hint="eastAsia"/>
          <w:lang w:val="en-US" w:eastAsia="zh-CN"/>
        </w:rPr>
        <w:t>独立传输，导致与其他</w:t>
      </w:r>
      <w:r>
        <w:rPr>
          <w:lang w:val="en-US" w:eastAsia="zh-CN"/>
        </w:rPr>
        <w:t>EPIRB</w:t>
      </w:r>
      <w:r>
        <w:rPr>
          <w:rFonts w:hint="eastAsia"/>
          <w:lang w:val="en-US" w:eastAsia="zh-CN"/>
        </w:rPr>
        <w:t>脉冲时间随机。</w:t>
      </w:r>
    </w:p>
    <w:p w:rsidR="00F63B18" w:rsidRDefault="00F63B18" w:rsidP="00E80400">
      <w:pPr>
        <w:spacing w:line="400" w:lineRule="atLeast"/>
        <w:ind w:firstLineChars="200" w:firstLine="480"/>
        <w:rPr>
          <w:lang w:val="en-US" w:eastAsia="zh-CN"/>
        </w:rPr>
      </w:pPr>
      <w:bookmarkStart w:id="5" w:name="OLE_LINK13"/>
      <w:bookmarkStart w:id="6" w:name="OLE_LINK14"/>
      <w:r>
        <w:rPr>
          <w:rFonts w:hint="eastAsia"/>
          <w:lang w:val="en-US" w:eastAsia="zh-CN"/>
        </w:rPr>
        <w:t>每个接收到的脉冲频率由</w:t>
      </w:r>
      <w:r>
        <w:rPr>
          <w:lang w:val="en-US" w:eastAsia="zh-CN"/>
        </w:rPr>
        <w:t>Cospas-Sarsat</w:t>
      </w:r>
      <w:r>
        <w:rPr>
          <w:rFonts w:hint="eastAsia"/>
          <w:lang w:val="en-US" w:eastAsia="zh-CN"/>
        </w:rPr>
        <w:t>卫星上的接收处理器测量。频率、接收时间及任何信标识别数据存储在板上内存，并在卫星轨道的连续回路上实时转播。该信息转播至全世界的</w:t>
      </w:r>
      <w:r>
        <w:rPr>
          <w:lang w:val="en-US" w:eastAsia="zh-CN"/>
        </w:rPr>
        <w:t>Cospas-Sarsat</w:t>
      </w:r>
      <w:r>
        <w:rPr>
          <w:rFonts w:hint="eastAsia"/>
          <w:lang w:val="en-US" w:eastAsia="zh-CN"/>
        </w:rPr>
        <w:t>地面站，当卫星在地面站的范围之内。</w:t>
      </w:r>
    </w:p>
    <w:p w:rsidR="00F63B18" w:rsidRDefault="00F63B18" w:rsidP="00E80400">
      <w:pPr>
        <w:spacing w:line="400" w:lineRule="atLeast"/>
        <w:ind w:firstLineChars="200" w:firstLine="480"/>
        <w:rPr>
          <w:lang w:val="en-US" w:eastAsia="zh-CN"/>
        </w:rPr>
      </w:pPr>
      <w:r>
        <w:rPr>
          <w:rFonts w:hint="eastAsia"/>
          <w:lang w:val="en-US" w:eastAsia="zh-CN"/>
        </w:rPr>
        <w:t>地面站使用频率和从卫星得到的时间及每个脉冲时间的卫星位置计算每个</w:t>
      </w:r>
      <w:r>
        <w:rPr>
          <w:lang w:val="en-US" w:eastAsia="zh-CN"/>
        </w:rPr>
        <w:t>EPIRB</w:t>
      </w:r>
      <w:r>
        <w:rPr>
          <w:rFonts w:hint="eastAsia"/>
          <w:lang w:val="en-US" w:eastAsia="zh-CN"/>
        </w:rPr>
        <w:t>的位置。该计算基于著名的多普勒相应，用于描述卫星相对速度的接收脉冲频率。</w:t>
      </w:r>
    </w:p>
    <w:p w:rsidR="00F63B18" w:rsidRDefault="00F63B18" w:rsidP="00E80400">
      <w:pPr>
        <w:spacing w:line="400" w:lineRule="atLeast"/>
        <w:ind w:firstLineChars="200" w:firstLine="480"/>
        <w:rPr>
          <w:lang w:val="en-US" w:eastAsia="zh-CN"/>
        </w:rPr>
      </w:pPr>
      <w:r>
        <w:rPr>
          <w:rFonts w:hint="eastAsia"/>
          <w:lang w:val="en-US" w:eastAsia="zh-CN"/>
        </w:rPr>
        <w:t>当前卫星接收处理器输入带宽为</w:t>
      </w:r>
      <w:r>
        <w:rPr>
          <w:lang w:val="en-US" w:eastAsia="zh-CN"/>
        </w:rPr>
        <w:t>100 kHz</w:t>
      </w:r>
      <w:r>
        <w:rPr>
          <w:rFonts w:hint="eastAsia"/>
          <w:lang w:val="en-US" w:eastAsia="zh-CN"/>
        </w:rPr>
        <w:t>，中频</w:t>
      </w:r>
      <w:r>
        <w:rPr>
          <w:lang w:val="en-US" w:eastAsia="zh-CN"/>
        </w:rPr>
        <w:t>406.05 MHz</w:t>
      </w:r>
      <w:r>
        <w:rPr>
          <w:rFonts w:hint="eastAsia"/>
          <w:lang w:val="en-US" w:eastAsia="zh-CN"/>
        </w:rPr>
        <w:t>。</w:t>
      </w:r>
    </w:p>
    <w:p w:rsidR="00F63B18" w:rsidRDefault="00F63B18" w:rsidP="00E80400">
      <w:pPr>
        <w:spacing w:line="400" w:lineRule="atLeast"/>
        <w:ind w:firstLineChars="200" w:firstLine="480"/>
        <w:rPr>
          <w:lang w:val="en-US" w:eastAsia="zh-CN"/>
        </w:rPr>
      </w:pPr>
      <w:r>
        <w:rPr>
          <w:rFonts w:hint="eastAsia"/>
          <w:lang w:val="en-US" w:eastAsia="zh-CN"/>
        </w:rPr>
        <w:t>除了有接收处理器，也装备了带有中继器的极轨道卫星，直接向地面站转播</w:t>
      </w:r>
      <w:r>
        <w:rPr>
          <w:lang w:val="en-US" w:eastAsia="zh-CN"/>
        </w:rPr>
        <w:t>406-406.1 MHz</w:t>
      </w:r>
      <w:r>
        <w:rPr>
          <w:rFonts w:hint="eastAsia"/>
          <w:lang w:val="en-US" w:eastAsia="zh-CN"/>
        </w:rPr>
        <w:t>信号，作为深度处理。然后地面站测量时间和频率，确定类似于上述描述的位置。一些静止卫星也装备了这种中继器，可以检测</w:t>
      </w:r>
      <w:r>
        <w:rPr>
          <w:lang w:val="en-US" w:eastAsia="zh-CN"/>
        </w:rPr>
        <w:t>406 MHz</w:t>
      </w:r>
      <w:r>
        <w:rPr>
          <w:rFonts w:hint="eastAsia"/>
          <w:lang w:val="en-US" w:eastAsia="zh-CN"/>
        </w:rPr>
        <w:t>信号，但由于缺乏重要的多普勒频移，不能定位。然而，现在许多新报包含全球导航卫星系统接收器，这些信标的传输包含信标的特定识别信息，也就是其位置。这允许地面站通过从数据流中解调坐标，确定信标的位置，也可以通过或极轨道的中继传输获得。</w:t>
      </w:r>
    </w:p>
    <w:p w:rsidR="00F63B18" w:rsidRDefault="00F63B18" w:rsidP="00E80400">
      <w:pPr>
        <w:spacing w:line="400" w:lineRule="atLeast"/>
        <w:ind w:firstLineChars="200" w:firstLine="480"/>
        <w:rPr>
          <w:lang w:val="en-US" w:eastAsia="zh-CN"/>
        </w:rPr>
      </w:pPr>
      <w:r>
        <w:rPr>
          <w:rFonts w:hint="eastAsia"/>
          <w:lang w:val="en-US" w:eastAsia="zh-CN"/>
        </w:rPr>
        <w:t>最后，伽利略卫星、</w:t>
      </w:r>
      <w:r>
        <w:rPr>
          <w:lang w:val="en-US" w:eastAsia="zh-CN"/>
        </w:rPr>
        <w:t>GPS</w:t>
      </w:r>
      <w:r>
        <w:rPr>
          <w:rFonts w:hint="eastAsia"/>
          <w:lang w:val="en-US" w:eastAsia="zh-CN"/>
        </w:rPr>
        <w:t>和</w:t>
      </w:r>
      <w:r>
        <w:rPr>
          <w:lang w:val="en-US" w:eastAsia="zh-CN"/>
        </w:rPr>
        <w:t>GLONASS</w:t>
      </w:r>
      <w:r>
        <w:rPr>
          <w:rFonts w:hint="eastAsia"/>
          <w:lang w:val="en-US" w:eastAsia="zh-CN"/>
        </w:rPr>
        <w:t>卫星全部装载中继器，提高失事信标的检测率。</w:t>
      </w:r>
    </w:p>
    <w:p w:rsidR="00F63B18" w:rsidRDefault="00F63B18" w:rsidP="00E80400">
      <w:pPr>
        <w:pStyle w:val="Heading1"/>
        <w:tabs>
          <w:tab w:val="clear" w:pos="794"/>
          <w:tab w:val="left" w:pos="555"/>
        </w:tabs>
        <w:spacing w:line="400" w:lineRule="atLeast"/>
        <w:rPr>
          <w:lang w:val="en-US" w:eastAsia="zh-CN"/>
        </w:rPr>
      </w:pPr>
      <w:r>
        <w:rPr>
          <w:lang w:val="en-US" w:eastAsia="zh-CN"/>
        </w:rPr>
        <w:t>2</w:t>
      </w:r>
      <w:r>
        <w:rPr>
          <w:lang w:val="en-US" w:eastAsia="zh-CN"/>
        </w:rPr>
        <w:tab/>
        <w:t xml:space="preserve">406 MHz </w:t>
      </w:r>
      <w:r>
        <w:rPr>
          <w:rFonts w:hint="eastAsia"/>
          <w:lang w:val="en-US" w:eastAsia="zh-CN"/>
        </w:rPr>
        <w:t>干扰信号处理</w:t>
      </w:r>
    </w:p>
    <w:p w:rsidR="00F63B18" w:rsidRDefault="00F63B18" w:rsidP="00E80400">
      <w:pPr>
        <w:spacing w:line="400" w:lineRule="atLeast"/>
        <w:ind w:firstLineChars="200" w:firstLine="480"/>
        <w:rPr>
          <w:lang w:val="en-US" w:eastAsia="zh-CN"/>
        </w:rPr>
      </w:pPr>
      <w:r>
        <w:rPr>
          <w:rFonts w:hint="eastAsia"/>
          <w:lang w:val="en-US" w:eastAsia="zh-CN"/>
        </w:rPr>
        <w:t>任何</w:t>
      </w:r>
      <w:r>
        <w:rPr>
          <w:lang w:val="en-US" w:eastAsia="zh-CN"/>
        </w:rPr>
        <w:t>406-406.1 MHz</w:t>
      </w:r>
      <w:r>
        <w:rPr>
          <w:rFonts w:hint="eastAsia"/>
          <w:lang w:val="en-US" w:eastAsia="zh-CN"/>
        </w:rPr>
        <w:t>频段中没有被</w:t>
      </w:r>
      <w:r>
        <w:rPr>
          <w:lang w:val="en-US" w:eastAsia="zh-CN"/>
        </w:rPr>
        <w:t>EPIRB</w:t>
      </w:r>
      <w:r>
        <w:rPr>
          <w:rFonts w:hint="eastAsia"/>
          <w:lang w:val="en-US" w:eastAsia="zh-CN"/>
        </w:rPr>
        <w:t>传输的信号都会干扰真实</w:t>
      </w:r>
      <w:r>
        <w:rPr>
          <w:lang w:val="en-US" w:eastAsia="zh-CN"/>
        </w:rPr>
        <w:t>EPIRB</w:t>
      </w:r>
      <w:r>
        <w:rPr>
          <w:rFonts w:hint="eastAsia"/>
          <w:lang w:val="en-US" w:eastAsia="zh-CN"/>
        </w:rPr>
        <w:t>信号的检测。这些干扰信号不一定由在</w:t>
      </w:r>
      <w:r>
        <w:rPr>
          <w:lang w:val="en-US" w:eastAsia="zh-CN"/>
        </w:rPr>
        <w:t>406-406.1 MHz</w:t>
      </w:r>
      <w:r>
        <w:rPr>
          <w:rFonts w:hint="eastAsia"/>
          <w:lang w:val="en-US" w:eastAsia="zh-CN"/>
        </w:rPr>
        <w:t>频段工作的信号传送器产生，但是可以由工作在其他频率的信号传送器的带外辐射、边带、杂散辐射或</w:t>
      </w:r>
      <w:r>
        <w:rPr>
          <w:lang w:val="en-US" w:eastAsia="zh-CN"/>
        </w:rPr>
        <w:t>406-</w:t>
      </w:r>
      <w:bookmarkEnd w:id="5"/>
      <w:bookmarkEnd w:id="6"/>
      <w:r>
        <w:rPr>
          <w:lang w:val="en-US" w:eastAsia="zh-CN"/>
        </w:rPr>
        <w:t>406.1 MHz</w:t>
      </w:r>
      <w:r>
        <w:rPr>
          <w:rFonts w:hint="eastAsia"/>
          <w:lang w:val="en-US" w:eastAsia="zh-CN"/>
        </w:rPr>
        <w:t>频段的谐波滚降引起</w:t>
      </w:r>
      <w:r>
        <w:rPr>
          <w:rStyle w:val="FootnoteReference"/>
          <w:vertAlign w:val="superscript"/>
          <w:lang w:val="en-US" w:eastAsia="zh-CN"/>
        </w:rPr>
        <w:footnoteReference w:id="1"/>
      </w:r>
      <w:r>
        <w:rPr>
          <w:rFonts w:hint="eastAsia"/>
          <w:lang w:val="en-US" w:eastAsia="zh-CN"/>
        </w:rPr>
        <w:t>。</w:t>
      </w:r>
    </w:p>
    <w:p w:rsidR="00F63B18" w:rsidRDefault="00F63B18" w:rsidP="002F2E0C">
      <w:pPr>
        <w:pageBreakBefore/>
        <w:spacing w:line="360" w:lineRule="atLeast"/>
        <w:ind w:firstLineChars="200" w:firstLine="480"/>
        <w:rPr>
          <w:lang w:val="en-US" w:eastAsia="zh-CN"/>
        </w:rPr>
      </w:pPr>
      <w:r>
        <w:rPr>
          <w:rFonts w:hint="eastAsia"/>
          <w:lang w:val="en-US" w:eastAsia="zh-CN"/>
        </w:rPr>
        <w:t>与决议</w:t>
      </w:r>
      <w:r>
        <w:rPr>
          <w:lang w:val="en-US" w:eastAsia="zh-CN"/>
        </w:rPr>
        <w:t>205</w:t>
      </w:r>
      <w:r>
        <w:rPr>
          <w:rFonts w:hint="eastAsia"/>
          <w:lang w:val="en-US" w:eastAsia="zh-CN"/>
        </w:rPr>
        <w:t>一致（移动服务世界无线电管理会议，日内瓦</w:t>
      </w:r>
      <w:r>
        <w:rPr>
          <w:rFonts w:hint="eastAsia"/>
          <w:kern w:val="24"/>
          <w:lang w:val="en-US" w:eastAsia="zh-CN"/>
        </w:rPr>
        <w:t>，</w:t>
      </w:r>
      <w:r>
        <w:rPr>
          <w:kern w:val="24"/>
          <w:lang w:val="en-US" w:eastAsia="zh-CN"/>
        </w:rPr>
        <w:t>1983-WARC MOB-83</w:t>
      </w:r>
      <w:r>
        <w:rPr>
          <w:rFonts w:hint="eastAsia"/>
          <w:kern w:val="24"/>
          <w:lang w:val="en-US" w:eastAsia="zh-CN"/>
        </w:rPr>
        <w:t>），</w:t>
      </w:r>
      <w:r>
        <w:rPr>
          <w:lang w:val="en-US" w:eastAsia="zh-CN"/>
        </w:rPr>
        <w:t>WRC-12</w:t>
      </w:r>
      <w:r>
        <w:rPr>
          <w:rFonts w:hint="eastAsia"/>
          <w:lang w:val="en-US" w:eastAsia="zh-CN"/>
        </w:rPr>
        <w:t>校订版，管理机构可监控和报告这种干扰，并采取适当措施消除失事和安全系统的有害干扰。</w:t>
      </w:r>
      <w:r>
        <w:rPr>
          <w:rStyle w:val="FootnoteReference"/>
          <w:lang w:val="en-US" w:eastAsia="zh-CN"/>
        </w:rPr>
        <w:footnoteReference w:id="2"/>
      </w:r>
    </w:p>
    <w:p w:rsidR="00F63B18" w:rsidRDefault="00F63B18" w:rsidP="00E80400">
      <w:pPr>
        <w:spacing w:line="360" w:lineRule="atLeast"/>
        <w:ind w:firstLineChars="200" w:firstLine="480"/>
        <w:rPr>
          <w:lang w:val="en-US" w:eastAsia="zh-CN"/>
        </w:rPr>
      </w:pPr>
      <w:r>
        <w:rPr>
          <w:rFonts w:hint="eastAsia"/>
          <w:lang w:val="en-US" w:eastAsia="zh-CN"/>
        </w:rPr>
        <w:t>这要求安装有监控从空间站接收的信号的能力的</w:t>
      </w:r>
      <w:r>
        <w:rPr>
          <w:lang w:val="en-US" w:eastAsia="zh-CN"/>
        </w:rPr>
        <w:t>LUT</w:t>
      </w:r>
      <w:r w:rsidR="00E80400">
        <w:rPr>
          <w:rStyle w:val="FootnoteReference"/>
        </w:rPr>
        <w:footnoteReference w:id="3"/>
      </w:r>
      <w:r>
        <w:rPr>
          <w:rFonts w:hint="eastAsia"/>
          <w:lang w:val="en-US" w:eastAsia="zh-CN"/>
        </w:rPr>
        <w:t>。</w:t>
      </w:r>
      <w:r>
        <w:rPr>
          <w:lang w:val="en-US" w:eastAsia="zh-CN"/>
        </w:rPr>
        <w:t>LUT</w:t>
      </w:r>
      <w:r>
        <w:rPr>
          <w:rFonts w:hint="eastAsia"/>
          <w:lang w:val="en-US" w:eastAsia="zh-CN"/>
        </w:rPr>
        <w:t>接收到的有害干扰源只能使用极轨道卫星上的卫星中继器定位。相对于半秒</w:t>
      </w:r>
      <w:r>
        <w:rPr>
          <w:lang w:val="en-US" w:eastAsia="zh-CN"/>
        </w:rPr>
        <w:t>EPIRB</w:t>
      </w:r>
      <w:r>
        <w:rPr>
          <w:rFonts w:hint="eastAsia"/>
          <w:lang w:val="en-US" w:eastAsia="zh-CN"/>
        </w:rPr>
        <w:t>脉冲，典型的</w:t>
      </w:r>
      <w:r>
        <w:rPr>
          <w:lang w:val="en-US" w:eastAsia="zh-CN"/>
        </w:rPr>
        <w:t>406 MHz</w:t>
      </w:r>
      <w:r>
        <w:rPr>
          <w:rFonts w:hint="eastAsia"/>
          <w:lang w:val="en-US" w:eastAsia="zh-CN"/>
        </w:rPr>
        <w:t>干扰长时间传送连续信号。与</w:t>
      </w:r>
      <w:r>
        <w:rPr>
          <w:lang w:val="en-US" w:eastAsia="zh-CN"/>
        </w:rPr>
        <w:t>EPIRB</w:t>
      </w:r>
      <w:r>
        <w:rPr>
          <w:rFonts w:hint="eastAsia"/>
          <w:lang w:val="en-US" w:eastAsia="zh-CN"/>
        </w:rPr>
        <w:t>信号相似，这些近似连续的信号被轨道卫星观测并处理，并表现出多普勒频移，可用于计算干扰位置。不同于</w:t>
      </w:r>
      <w:r>
        <w:rPr>
          <w:lang w:val="en-US" w:eastAsia="zh-CN"/>
        </w:rPr>
        <w:t>EPIRB</w:t>
      </w:r>
      <w:r>
        <w:rPr>
          <w:rFonts w:hint="eastAsia"/>
          <w:lang w:val="en-US" w:eastAsia="zh-CN"/>
        </w:rPr>
        <w:t>辐射的过程，从干扰信号中不能提取出标识码或坐标，由于其调制不包含这些信息。在检测到这些干扰或收到相应管理机构（直接或间接通过无线电通讯局）的通知后，地面监控设备可以更精确地定位引起使用陆基资源的干扰的站点或其他</w:t>
      </w:r>
      <w:r>
        <w:rPr>
          <w:lang w:val="en-US" w:eastAsia="zh-CN"/>
        </w:rPr>
        <w:t>RF</w:t>
      </w:r>
      <w:r>
        <w:rPr>
          <w:rFonts w:hint="eastAsia"/>
          <w:lang w:val="en-US" w:eastAsia="zh-CN"/>
        </w:rPr>
        <w:t>源。</w:t>
      </w:r>
    </w:p>
    <w:p w:rsidR="00F63B18" w:rsidRDefault="00F63B18" w:rsidP="002F2E0C">
      <w:pPr>
        <w:spacing w:line="360" w:lineRule="atLeast"/>
        <w:ind w:firstLineChars="200" w:firstLine="480"/>
        <w:rPr>
          <w:lang w:val="en-US" w:eastAsia="zh-CN"/>
        </w:rPr>
      </w:pPr>
      <w:bookmarkStart w:id="7" w:name="asunto"/>
      <w:bookmarkEnd w:id="7"/>
      <w:r>
        <w:rPr>
          <w:rFonts w:hint="eastAsia"/>
          <w:lang w:val="en-US" w:eastAsia="zh-CN"/>
        </w:rPr>
        <w:t>根据第</w:t>
      </w:r>
      <w:r>
        <w:rPr>
          <w:b/>
          <w:lang w:val="en-US" w:eastAsia="zh-CN"/>
        </w:rPr>
        <w:t>205</w:t>
      </w:r>
      <w:r>
        <w:rPr>
          <w:rFonts w:hint="eastAsia"/>
          <w:lang w:val="en-US" w:eastAsia="zh-CN"/>
        </w:rPr>
        <w:t>号决议</w:t>
      </w:r>
      <w:r>
        <w:rPr>
          <w:rFonts w:hint="eastAsia"/>
          <w:b/>
          <w:lang w:val="en-US" w:eastAsia="zh-CN"/>
        </w:rPr>
        <w:t>（</w:t>
      </w:r>
      <w:r>
        <w:rPr>
          <w:b/>
          <w:lang w:val="en-US" w:eastAsia="zh-CN"/>
        </w:rPr>
        <w:t>Rev.WRC-12</w:t>
      </w:r>
      <w:r>
        <w:rPr>
          <w:rFonts w:hint="eastAsia"/>
          <w:b/>
          <w:lang w:val="en-US" w:eastAsia="zh-CN"/>
        </w:rPr>
        <w:t>）</w:t>
      </w:r>
      <w:r>
        <w:rPr>
          <w:rFonts w:hint="eastAsia"/>
          <w:lang w:val="en-US" w:eastAsia="zh-CN"/>
        </w:rPr>
        <w:t>，</w:t>
      </w:r>
      <w:r>
        <w:rPr>
          <w:lang w:val="en-US" w:eastAsia="zh-CN"/>
        </w:rPr>
        <w:t>406-406.1 MHz</w:t>
      </w:r>
      <w:r>
        <w:rPr>
          <w:rFonts w:hint="eastAsia"/>
          <w:lang w:val="en-US" w:eastAsia="zh-CN"/>
        </w:rPr>
        <w:t>要持续被监控。要注意新一代的仪器已经应用于各种近地轨道（</w:t>
      </w:r>
      <w:r>
        <w:rPr>
          <w:lang w:val="en-US" w:eastAsia="zh-CN"/>
        </w:rPr>
        <w:t>LEO</w:t>
      </w:r>
      <w:r>
        <w:rPr>
          <w:rFonts w:hint="eastAsia"/>
          <w:lang w:val="en-US" w:eastAsia="zh-CN"/>
        </w:rPr>
        <w:t>）卫星，用于噪声测量：每次</w:t>
      </w:r>
      <w:r>
        <w:rPr>
          <w:lang w:val="en-US" w:eastAsia="zh-CN"/>
        </w:rPr>
        <w:t>LEO</w:t>
      </w:r>
      <w:r>
        <w:rPr>
          <w:rFonts w:hint="eastAsia"/>
          <w:lang w:val="en-US" w:eastAsia="zh-CN"/>
        </w:rPr>
        <w:t>接收器解调</w:t>
      </w:r>
      <w:r>
        <w:rPr>
          <w:lang w:val="en-US" w:eastAsia="zh-CN"/>
        </w:rPr>
        <w:t>406-406.1 MHz</w:t>
      </w:r>
      <w:r>
        <w:rPr>
          <w:rFonts w:hint="eastAsia"/>
          <w:lang w:val="en-US" w:eastAsia="zh-CN"/>
        </w:rPr>
        <w:t>频段中的信号，接收器提供对信号功率强度以及相应噪声密度的预测。这些数据（信号和噪声密度）用于监控和统计。</w:t>
      </w:r>
    </w:p>
    <w:p w:rsidR="00F63B18" w:rsidRDefault="00F63B18" w:rsidP="002F2E0C">
      <w:pPr>
        <w:spacing w:line="360" w:lineRule="atLeast"/>
        <w:ind w:firstLineChars="200" w:firstLine="480"/>
        <w:rPr>
          <w:lang w:val="en-US" w:eastAsia="zh-CN"/>
        </w:rPr>
      </w:pPr>
      <w:r>
        <w:rPr>
          <w:lang w:val="en-US" w:eastAsia="zh-CN"/>
        </w:rPr>
        <w:t>Sarsat</w:t>
      </w:r>
      <w:r>
        <w:rPr>
          <w:rFonts w:hint="eastAsia"/>
          <w:lang w:val="en-US" w:eastAsia="zh-CN"/>
        </w:rPr>
        <w:t>卫星上的</w:t>
      </w:r>
      <w:r>
        <w:rPr>
          <w:lang w:val="en-US" w:eastAsia="zh-CN"/>
        </w:rPr>
        <w:t>406 MHz</w:t>
      </w:r>
      <w:r>
        <w:rPr>
          <w:rFonts w:hint="eastAsia"/>
          <w:lang w:val="en-US" w:eastAsia="zh-CN"/>
        </w:rPr>
        <w:t>中继器转播</w:t>
      </w:r>
      <w:r>
        <w:rPr>
          <w:lang w:val="en-US" w:eastAsia="zh-CN"/>
        </w:rPr>
        <w:t>406-406.1 MHz</w:t>
      </w:r>
      <w:r>
        <w:rPr>
          <w:rFonts w:hint="eastAsia"/>
          <w:lang w:val="en-US" w:eastAsia="zh-CN"/>
        </w:rPr>
        <w:t>频段内特殊装备的地面站接收到的所有信号，</w:t>
      </w:r>
      <w:r>
        <w:rPr>
          <w:lang w:val="en-US" w:eastAsia="zh-CN"/>
        </w:rPr>
        <w:t>EPIRB</w:t>
      </w:r>
      <w:r>
        <w:rPr>
          <w:rFonts w:hint="eastAsia"/>
          <w:lang w:val="en-US" w:eastAsia="zh-CN"/>
        </w:rPr>
        <w:t>信号和一些干扰信号可以检测并定位。这种干扰定位的方法只适合于</w:t>
      </w:r>
      <w:r>
        <w:rPr>
          <w:lang w:val="en-US" w:eastAsia="zh-CN"/>
        </w:rPr>
        <w:t>4000 km</w:t>
      </w:r>
      <w:r>
        <w:rPr>
          <w:rFonts w:hint="eastAsia"/>
          <w:lang w:val="en-US" w:eastAsia="zh-CN"/>
        </w:rPr>
        <w:t>的</w:t>
      </w:r>
      <w:r>
        <w:rPr>
          <w:lang w:val="en-US" w:eastAsia="zh-CN"/>
        </w:rPr>
        <w:t>Cospas-Sarsat</w:t>
      </w:r>
      <w:r>
        <w:rPr>
          <w:rFonts w:hint="eastAsia"/>
          <w:lang w:val="en-US" w:eastAsia="zh-CN"/>
        </w:rPr>
        <w:t>地面站，因为这取决于卫星的同步能见度，干扰和地面站接收时间至少为</w:t>
      </w:r>
      <w:r>
        <w:rPr>
          <w:lang w:val="en-US" w:eastAsia="zh-CN"/>
        </w:rPr>
        <w:t>4</w:t>
      </w:r>
      <w:r>
        <w:rPr>
          <w:rFonts w:hint="eastAsia"/>
          <w:lang w:val="en-US" w:eastAsia="zh-CN"/>
        </w:rPr>
        <w:t>分钟。很大一部分南部的海洋不能马上监测到，当键入到地面站范围内，实时的干扰和信标必须依赖于卫星转播的存储的信息。由于南半球建立了附加的地面站，这该区域监测和快速应答的能力将提升。</w:t>
      </w:r>
    </w:p>
    <w:p w:rsidR="00F63B18" w:rsidRDefault="00F63B18" w:rsidP="002F2E0C">
      <w:pPr>
        <w:tabs>
          <w:tab w:val="left" w:pos="720"/>
        </w:tabs>
        <w:spacing w:before="136" w:line="360" w:lineRule="atLeast"/>
        <w:ind w:firstLineChars="200" w:firstLine="480"/>
        <w:rPr>
          <w:lang w:val="en-US" w:eastAsia="zh-CN"/>
        </w:rPr>
      </w:pPr>
      <w:r>
        <w:rPr>
          <w:rFonts w:hint="eastAsia"/>
          <w:lang w:val="en-US" w:eastAsia="zh-CN"/>
        </w:rPr>
        <w:t>当卫星测量值充分提炼了干扰信号的地面定位，频率、观测时间、位置坐标和建议搜索半径等信息需传递给责任管理机构（直接或间接通过无线电通讯局），以便深度调查，精确定位并消除干扰。最小建议的信息如附录</w:t>
      </w:r>
      <w:r>
        <w:rPr>
          <w:lang w:val="en-US" w:eastAsia="zh-CN"/>
        </w:rPr>
        <w:t>2</w:t>
      </w:r>
      <w:r>
        <w:rPr>
          <w:rFonts w:hint="eastAsia"/>
          <w:lang w:val="en-US" w:eastAsia="zh-CN"/>
        </w:rPr>
        <w:t>描述。</w:t>
      </w:r>
    </w:p>
    <w:p w:rsidR="00F63B18" w:rsidRDefault="00F63B18" w:rsidP="00A17578">
      <w:pPr>
        <w:spacing w:line="360" w:lineRule="atLeast"/>
        <w:ind w:firstLineChars="200" w:firstLine="480"/>
        <w:rPr>
          <w:lang w:val="en-US" w:eastAsia="zh-CN"/>
        </w:rPr>
      </w:pPr>
      <w:r>
        <w:rPr>
          <w:rFonts w:hint="eastAsia"/>
          <w:lang w:val="en-US" w:eastAsia="zh-CN"/>
        </w:rPr>
        <w:t>当管理机构定位、确定并消除了干扰源，希望向报告实体（通常是管理机构或无线电通讯局）反馈带有如附录</w:t>
      </w:r>
      <w:r>
        <w:rPr>
          <w:lang w:val="en-US" w:eastAsia="zh-CN"/>
        </w:rPr>
        <w:t>3</w:t>
      </w:r>
      <w:r>
        <w:rPr>
          <w:rFonts w:hint="eastAsia"/>
          <w:lang w:val="en-US" w:eastAsia="zh-CN"/>
        </w:rPr>
        <w:t>所示的信息的报告，向</w:t>
      </w:r>
      <w:r>
        <w:rPr>
          <w:lang w:val="en-US" w:eastAsia="zh-CN"/>
        </w:rPr>
        <w:t>Cospas-Sarsat</w:t>
      </w:r>
      <w:r>
        <w:rPr>
          <w:rFonts w:hint="eastAsia"/>
          <w:lang w:val="en-US" w:eastAsia="zh-CN"/>
        </w:rPr>
        <w:t>分析团队提供反馈，提高他们分析、预测源类型、搜索半径及其他因素的能力，以提高频段内检测、定位和消除干扰的有效性。同时，一些管理机构加入了无线电通讯局组织的</w:t>
      </w:r>
      <w:r>
        <w:rPr>
          <w:lang w:val="en-US" w:eastAsia="zh-CN"/>
        </w:rPr>
        <w:t>406-406.1 MHz</w:t>
      </w:r>
      <w:r>
        <w:rPr>
          <w:rFonts w:hint="eastAsia"/>
          <w:lang w:val="en-US" w:eastAsia="zh-CN"/>
        </w:rPr>
        <w:t>频段监控计划，以支持第</w:t>
      </w:r>
      <w:r>
        <w:rPr>
          <w:b/>
          <w:lang w:val="en-US" w:eastAsia="zh-CN"/>
        </w:rPr>
        <w:t>205</w:t>
      </w:r>
      <w:r>
        <w:rPr>
          <w:rFonts w:hint="eastAsia"/>
          <w:lang w:val="en-US" w:eastAsia="zh-CN"/>
        </w:rPr>
        <w:t>号决议（</w:t>
      </w:r>
      <w:r>
        <w:rPr>
          <w:lang w:val="en-US" w:eastAsia="zh-CN"/>
        </w:rPr>
        <w:t>Rev.WRC-12</w:t>
      </w:r>
      <w:r>
        <w:rPr>
          <w:rFonts w:hint="eastAsia"/>
          <w:lang w:val="en-US" w:eastAsia="zh-CN"/>
        </w:rPr>
        <w:t>）</w:t>
      </w:r>
      <w:r w:rsidR="00A17578">
        <w:rPr>
          <w:rFonts w:hint="eastAsia"/>
          <w:lang w:val="en-US" w:eastAsia="zh-CN"/>
        </w:rPr>
        <w:t>。</w:t>
      </w:r>
      <w:bookmarkStart w:id="8" w:name="_GoBack"/>
      <w:bookmarkEnd w:id="8"/>
      <w:r>
        <w:rPr>
          <w:rFonts w:hint="eastAsia"/>
          <w:lang w:val="en-US" w:eastAsia="zh-CN"/>
        </w:rPr>
        <w:t>这些管理机构定期向无线电通讯局提交细节报告。这些报告可以从以下链接查看并搜索：</w:t>
      </w:r>
    </w:p>
    <w:p w:rsidR="00A17578" w:rsidRDefault="00A17578">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F63B18" w:rsidRDefault="00A17578" w:rsidP="00F63B18">
      <w:pPr>
        <w:ind w:firstLineChars="200" w:firstLine="480"/>
        <w:rPr>
          <w:spacing w:val="-4"/>
          <w:lang w:val="en-US" w:eastAsia="zh-CN"/>
        </w:rPr>
      </w:pPr>
      <w:hyperlink r:id="rId14" w:history="1">
        <w:r w:rsidR="00F63B18">
          <w:rPr>
            <w:rStyle w:val="Hyperlink"/>
            <w:spacing w:val="-4"/>
            <w:lang w:val="en-US" w:eastAsia="zh-CN"/>
          </w:rPr>
          <w:t>http://www.itu.int/ITU-R/index.asp?category=terrestrial&amp;rlink=terrestrial-monitoring&amp;lang=en</w:t>
        </w:r>
      </w:hyperlink>
    </w:p>
    <w:p w:rsidR="00F63B18" w:rsidRDefault="00F63B18" w:rsidP="00F63B18">
      <w:pPr>
        <w:rPr>
          <w:lang w:val="en-US"/>
        </w:rPr>
      </w:pPr>
      <w:r>
        <w:rPr>
          <w:rFonts w:hint="eastAsia"/>
          <w:spacing w:val="10"/>
          <w:lang w:val="en-US" w:eastAsia="zh-CN"/>
        </w:rPr>
        <w:t>提交给无线电通讯局的信息支持该计划，需服从</w:t>
      </w:r>
      <w:r>
        <w:rPr>
          <w:spacing w:val="10"/>
          <w:lang w:val="en-US" w:eastAsia="zh-CN"/>
        </w:rPr>
        <w:t>Cospas-Sarsat</w:t>
      </w:r>
      <w:r>
        <w:rPr>
          <w:rFonts w:hint="eastAsia"/>
          <w:spacing w:val="10"/>
          <w:lang w:val="en-US" w:eastAsia="zh-CN"/>
        </w:rPr>
        <w:t>文件</w:t>
      </w:r>
      <w:r>
        <w:rPr>
          <w:spacing w:val="10"/>
          <w:lang w:val="en-US" w:eastAsia="zh-CN"/>
        </w:rPr>
        <w:t>C/S A.003</w:t>
      </w:r>
      <w:r>
        <w:rPr>
          <w:rFonts w:hint="eastAsia"/>
          <w:spacing w:val="10"/>
          <w:lang w:val="en-US" w:eastAsia="zh-CN"/>
        </w:rPr>
        <w:t>中表</w:t>
      </w:r>
      <w:r>
        <w:rPr>
          <w:spacing w:val="10"/>
          <w:lang w:val="en-US" w:eastAsia="zh-CN"/>
        </w:rPr>
        <w:t>C.1</w:t>
      </w:r>
      <w:r>
        <w:rPr>
          <w:rFonts w:hint="eastAsia"/>
          <w:spacing w:val="10"/>
          <w:lang w:val="en-US" w:eastAsia="zh-CN"/>
        </w:rPr>
        <w:t>的格</w:t>
      </w:r>
      <w:r>
        <w:rPr>
          <w:rFonts w:hint="eastAsia"/>
          <w:lang w:val="en-US" w:eastAsia="zh-CN"/>
        </w:rPr>
        <w:t>式，文件请见：</w:t>
      </w:r>
      <w:hyperlink r:id="rId15" w:history="1">
        <w:r>
          <w:rPr>
            <w:rStyle w:val="Hyperlink"/>
            <w:lang w:val="en-US"/>
          </w:rPr>
          <w:t>http://www.cospas-sarsat.int/images/stories/SystemDocs/Current/</w:t>
        </w:r>
        <w:r>
          <w:rPr>
            <w:rStyle w:val="Hyperlink"/>
            <w:lang w:val="en-US" w:eastAsia="zh-CN"/>
          </w:rPr>
          <w:t xml:space="preserve"> </w:t>
        </w:r>
        <w:r>
          <w:rPr>
            <w:rStyle w:val="Hyperlink"/>
            <w:lang w:val="en-US"/>
          </w:rPr>
          <w:t>cs_a003_oct_2013.pdf</w:t>
        </w:r>
      </w:hyperlink>
    </w:p>
    <w:p w:rsidR="00F63B18" w:rsidRDefault="00F63B18" w:rsidP="002F2E0C">
      <w:pPr>
        <w:spacing w:line="360" w:lineRule="atLeast"/>
        <w:ind w:firstLineChars="200" w:firstLine="480"/>
        <w:rPr>
          <w:lang w:val="en-US" w:eastAsia="zh-CN"/>
        </w:rPr>
      </w:pPr>
      <w:r>
        <w:rPr>
          <w:rFonts w:hint="eastAsia"/>
          <w:lang w:val="en-US" w:eastAsia="zh-CN"/>
        </w:rPr>
        <w:t>一旦收到报告，无线电通讯局请求检测到非法信号传输器的负责区域的管理部门采取行动，停止信号传输。</w:t>
      </w:r>
    </w:p>
    <w:p w:rsidR="00F63B18" w:rsidRDefault="00F63B18" w:rsidP="002F2E0C">
      <w:pPr>
        <w:spacing w:line="360" w:lineRule="atLeast"/>
        <w:ind w:firstLineChars="200" w:firstLine="480"/>
        <w:rPr>
          <w:i/>
          <w:lang w:val="en-US" w:eastAsia="zh-CN"/>
        </w:rPr>
      </w:pPr>
      <w:r>
        <w:rPr>
          <w:rFonts w:hint="eastAsia"/>
          <w:iCs/>
          <w:lang w:val="en-US" w:eastAsia="zh-CN"/>
        </w:rPr>
        <w:t>对</w:t>
      </w:r>
      <w:r>
        <w:rPr>
          <w:iCs/>
          <w:lang w:val="en-US" w:eastAsia="zh-CN"/>
        </w:rPr>
        <w:t>Cospas-Sarsat</w:t>
      </w:r>
      <w:r>
        <w:rPr>
          <w:rFonts w:hint="eastAsia"/>
          <w:iCs/>
          <w:lang w:val="en-US" w:eastAsia="zh-CN"/>
        </w:rPr>
        <w:t>系统的更细节的描述，信标定位流程，干扰报告和定位干扰可以在</w:t>
      </w:r>
      <w:r>
        <w:rPr>
          <w:iCs/>
          <w:lang w:val="en-US" w:eastAsia="zh-CN"/>
        </w:rPr>
        <w:t>ITU-R SM.2258</w:t>
      </w:r>
      <w:r>
        <w:rPr>
          <w:rFonts w:hint="eastAsia"/>
          <w:iCs/>
          <w:lang w:val="en-US" w:eastAsia="zh-CN"/>
        </w:rPr>
        <w:t>报告</w:t>
      </w:r>
      <w:r>
        <w:rPr>
          <w:rFonts w:hint="eastAsia"/>
          <w:iCs/>
          <w:lang w:val="en-US" w:eastAsia="zh-CN"/>
        </w:rPr>
        <w:t xml:space="preserve"> </w:t>
      </w:r>
      <w:r>
        <w:rPr>
          <w:rFonts w:hint="eastAsia"/>
          <w:iCs/>
          <w:lang w:val="en-US" w:eastAsia="zh-CN"/>
        </w:rPr>
        <w:t>—</w:t>
      </w:r>
      <w:r>
        <w:rPr>
          <w:rFonts w:hint="eastAsia"/>
          <w:iCs/>
          <w:lang w:val="en-US" w:eastAsia="zh-CN"/>
        </w:rPr>
        <w:t xml:space="preserve"> </w:t>
      </w:r>
      <w:r>
        <w:rPr>
          <w:rFonts w:hint="eastAsia"/>
          <w:iCs/>
          <w:lang w:val="en-US" w:eastAsia="zh-CN"/>
        </w:rPr>
        <w:t>使用紧急信标的</w:t>
      </w:r>
      <w:r>
        <w:rPr>
          <w:iCs/>
          <w:lang w:val="en-US" w:eastAsia="zh-CN"/>
        </w:rPr>
        <w:t>406.0-406.1MHz</w:t>
      </w:r>
      <w:r>
        <w:rPr>
          <w:rFonts w:hint="eastAsia"/>
          <w:lang w:val="en-US" w:eastAsia="zh-CN"/>
        </w:rPr>
        <w:t>频段</w:t>
      </w:r>
      <w:r>
        <w:rPr>
          <w:rFonts w:hint="eastAsia"/>
          <w:iCs/>
          <w:lang w:val="en-US" w:eastAsia="zh-CN"/>
        </w:rPr>
        <w:t>干扰源检测节定位综述中找到。</w:t>
      </w:r>
    </w:p>
    <w:p w:rsidR="00F63B18" w:rsidRDefault="00F63B18" w:rsidP="00F63B18">
      <w:pPr>
        <w:pStyle w:val="Heading1"/>
        <w:rPr>
          <w:lang w:val="en-US" w:eastAsia="zh-CN"/>
        </w:rPr>
      </w:pPr>
      <w:r>
        <w:rPr>
          <w:lang w:val="en-US" w:eastAsia="zh-CN"/>
        </w:rPr>
        <w:t>3</w:t>
      </w:r>
      <w:r>
        <w:rPr>
          <w:lang w:val="en-US" w:eastAsia="zh-CN"/>
        </w:rPr>
        <w:tab/>
      </w:r>
      <w:r>
        <w:rPr>
          <w:rFonts w:hint="eastAsia"/>
          <w:lang w:val="en-US" w:eastAsia="zh-CN"/>
        </w:rPr>
        <w:t>有害干扰等级</w:t>
      </w:r>
    </w:p>
    <w:p w:rsidR="00F63B18" w:rsidRDefault="00F63B18" w:rsidP="002F2E0C">
      <w:pPr>
        <w:spacing w:line="360" w:lineRule="atLeast"/>
        <w:ind w:firstLineChars="200" w:firstLine="480"/>
        <w:rPr>
          <w:lang w:val="en-US" w:eastAsia="zh-CN"/>
        </w:rPr>
      </w:pPr>
      <w:r>
        <w:rPr>
          <w:lang w:val="en-US" w:eastAsia="zh-CN"/>
        </w:rPr>
        <w:t>ITU-R M.1478-2</w:t>
      </w:r>
      <w:r>
        <w:rPr>
          <w:rFonts w:hint="eastAsia"/>
          <w:lang w:val="en-US" w:eastAsia="zh-CN"/>
        </w:rPr>
        <w:t>建议书为近地、中地和静止轨道卫星上安装的各种仪器提供了详细的保护要求。</w:t>
      </w:r>
      <w:r>
        <w:rPr>
          <w:lang w:val="en-US" w:eastAsia="zh-CN"/>
        </w:rPr>
        <w:t xml:space="preserve"> ITU-R M.1478-2 </w:t>
      </w:r>
      <w:r>
        <w:rPr>
          <w:rFonts w:hint="eastAsia"/>
          <w:lang w:val="en-US" w:eastAsia="zh-CN"/>
        </w:rPr>
        <w:t>建议书是有关保护</w:t>
      </w:r>
      <w:r>
        <w:rPr>
          <w:lang w:val="en-US" w:eastAsia="zh-CN"/>
        </w:rPr>
        <w:t>406-406.1 MHz</w:t>
      </w:r>
      <w:r>
        <w:rPr>
          <w:rFonts w:hint="eastAsia"/>
          <w:lang w:val="en-US" w:eastAsia="zh-CN"/>
        </w:rPr>
        <w:t>频段运算的技术基础。</w:t>
      </w:r>
    </w:p>
    <w:p w:rsidR="00F63B18" w:rsidRDefault="00F63B18" w:rsidP="002F2E0C">
      <w:pPr>
        <w:spacing w:line="360" w:lineRule="atLeast"/>
        <w:ind w:firstLineChars="200" w:firstLine="480"/>
        <w:rPr>
          <w:lang w:val="en-US" w:eastAsia="zh-CN"/>
        </w:rPr>
      </w:pPr>
      <w:r>
        <w:rPr>
          <w:rFonts w:hint="eastAsia"/>
          <w:lang w:val="en-US" w:eastAsia="zh-CN"/>
        </w:rPr>
        <w:t>作为管理机构搜索干扰源的一般准则，当</w:t>
      </w:r>
      <w:r>
        <w:rPr>
          <w:lang w:val="en-US" w:eastAsia="zh-CN"/>
        </w:rPr>
        <w:t>406-406.1 MHz</w:t>
      </w:r>
      <w:r>
        <w:rPr>
          <w:rFonts w:hint="eastAsia"/>
          <w:lang w:val="en-US" w:eastAsia="zh-CN"/>
        </w:rPr>
        <w:t>频段干扰信号在卫星天线（</w:t>
      </w:r>
      <w:r>
        <w:rPr>
          <w:lang w:val="en-US" w:eastAsia="zh-CN"/>
        </w:rPr>
        <w:t>850 km</w:t>
      </w:r>
      <w:r>
        <w:rPr>
          <w:rFonts w:hint="eastAsia"/>
          <w:lang w:val="en-US" w:eastAsia="zh-CN"/>
        </w:rPr>
        <w:t>近地卫星）超过</w:t>
      </w:r>
      <w:r>
        <w:rPr>
          <w:lang w:val="en-US" w:eastAsia="zh-CN"/>
        </w:rPr>
        <w:t>-190 dB(W(m</w:t>
      </w:r>
      <w:r>
        <w:rPr>
          <w:vertAlign w:val="superscript"/>
          <w:lang w:val="en-US" w:eastAsia="zh-CN"/>
        </w:rPr>
        <w:t>2</w:t>
      </w:r>
      <w:r>
        <w:rPr>
          <w:lang w:val="en-US" w:eastAsia="zh-CN"/>
        </w:rPr>
        <w:t>/Hz))</w:t>
      </w:r>
      <w:r>
        <w:rPr>
          <w:rFonts w:hint="eastAsia"/>
          <w:lang w:val="en-US" w:eastAsia="zh-CN"/>
        </w:rPr>
        <w:t>时，</w:t>
      </w:r>
      <w:r>
        <w:rPr>
          <w:lang w:val="en-US" w:eastAsia="zh-CN"/>
        </w:rPr>
        <w:t xml:space="preserve">Cospas-Sarsat 406 MHz </w:t>
      </w:r>
      <w:r>
        <w:rPr>
          <w:rFonts w:hint="eastAsia"/>
          <w:lang w:val="en-US" w:eastAsia="zh-CN"/>
        </w:rPr>
        <w:t>系统会发生有害干扰，背景噪声级增加</w:t>
      </w:r>
      <w:r>
        <w:rPr>
          <w:lang w:val="en-US" w:eastAsia="zh-CN"/>
        </w:rPr>
        <w:t>0.3 dB</w:t>
      </w:r>
      <w:r>
        <w:rPr>
          <w:rFonts w:hint="eastAsia"/>
          <w:lang w:val="en-US" w:eastAsia="zh-CN"/>
        </w:rPr>
        <w:t>。这相当于对于连续信号，地球上发射器有效发射功率为</w:t>
      </w:r>
      <w:r>
        <w:rPr>
          <w:lang w:val="en-US" w:eastAsia="zh-CN"/>
        </w:rPr>
        <w:t>-60 dB(W/Hz)</w:t>
      </w:r>
      <w:r>
        <w:rPr>
          <w:rFonts w:hint="eastAsia"/>
          <w:lang w:val="en-US" w:eastAsia="zh-CN"/>
        </w:rPr>
        <w:t>背景噪声为</w:t>
      </w:r>
      <w:r>
        <w:rPr>
          <w:lang w:val="en-US" w:eastAsia="zh-CN"/>
        </w:rPr>
        <w:t>-40 dBW</w:t>
      </w:r>
      <w:r>
        <w:rPr>
          <w:rFonts w:hint="eastAsia"/>
          <w:lang w:val="en-US" w:eastAsia="zh-CN"/>
        </w:rPr>
        <w:t>。脉冲信号的有害干扰在</w:t>
      </w:r>
      <w:r>
        <w:rPr>
          <w:lang w:val="en-US" w:eastAsia="zh-CN"/>
        </w:rPr>
        <w:t>ITU-R M.1042</w:t>
      </w:r>
      <w:r>
        <w:rPr>
          <w:rFonts w:hint="eastAsia"/>
          <w:lang w:val="en-US" w:eastAsia="zh-CN"/>
        </w:rPr>
        <w:t>报告中描述。</w:t>
      </w:r>
    </w:p>
    <w:p w:rsidR="00F63B18" w:rsidRDefault="00F63B18" w:rsidP="00F63B18">
      <w:pPr>
        <w:rPr>
          <w:lang w:val="en-US" w:eastAsia="zh-CN"/>
        </w:rPr>
      </w:pPr>
    </w:p>
    <w:p w:rsidR="00F63B18" w:rsidRDefault="00F63B18" w:rsidP="00F63B18">
      <w:pPr>
        <w:pStyle w:val="AnnexNoTitle"/>
        <w:rPr>
          <w:szCs w:val="28"/>
          <w:lang w:val="en-US" w:eastAsia="zh-CN"/>
        </w:rPr>
      </w:pPr>
      <w:r>
        <w:rPr>
          <w:rFonts w:hint="eastAsia"/>
          <w:lang w:val="en-US" w:eastAsia="zh-CN"/>
        </w:rPr>
        <w:t>附件</w:t>
      </w:r>
      <w:r>
        <w:rPr>
          <w:lang w:val="en-US" w:eastAsia="zh-CN"/>
        </w:rPr>
        <w:t xml:space="preserve"> 2</w:t>
      </w:r>
      <w:r>
        <w:rPr>
          <w:lang w:val="en-US" w:eastAsia="zh-CN"/>
        </w:rPr>
        <w:br/>
      </w:r>
      <w:r>
        <w:rPr>
          <w:lang w:val="en-US" w:eastAsia="zh-CN"/>
        </w:rPr>
        <w:br/>
      </w:r>
      <w:r>
        <w:rPr>
          <w:rFonts w:hint="eastAsia"/>
          <w:szCs w:val="28"/>
          <w:lang w:val="en-US" w:eastAsia="zh-CN"/>
        </w:rPr>
        <w:t>报告影响</w:t>
      </w:r>
      <w:r>
        <w:rPr>
          <w:rFonts w:hint="eastAsia"/>
          <w:szCs w:val="28"/>
          <w:lang w:val="en-US" w:eastAsia="zh-CN"/>
        </w:rPr>
        <w:t xml:space="preserve"> </w:t>
      </w:r>
      <w:r>
        <w:rPr>
          <w:bCs/>
          <w:szCs w:val="28"/>
          <w:lang w:val="en-US" w:eastAsia="zh-CN"/>
        </w:rPr>
        <w:t>406</w:t>
      </w:r>
      <w:r>
        <w:rPr>
          <w:szCs w:val="28"/>
          <w:lang w:val="en-US" w:eastAsia="zh-CN"/>
        </w:rPr>
        <w:t>–406.1</w:t>
      </w:r>
      <w:r>
        <w:rPr>
          <w:bCs/>
          <w:szCs w:val="28"/>
          <w:lang w:val="en-US" w:eastAsia="zh-CN"/>
        </w:rPr>
        <w:t xml:space="preserve"> MHz</w:t>
      </w:r>
      <w:r>
        <w:rPr>
          <w:szCs w:val="28"/>
          <w:lang w:val="en-US" w:eastAsia="zh-CN"/>
        </w:rPr>
        <w:t xml:space="preserve"> </w:t>
      </w:r>
      <w:r>
        <w:rPr>
          <w:rFonts w:hint="eastAsia"/>
          <w:szCs w:val="28"/>
          <w:lang w:val="en-US" w:eastAsia="zh-CN"/>
        </w:rPr>
        <w:t>频谱的有害干扰所需信息</w:t>
      </w:r>
    </w:p>
    <w:p w:rsidR="00F63B18" w:rsidRDefault="00F63B18" w:rsidP="00F63B18">
      <w:pPr>
        <w:pStyle w:val="Normalaftertitle"/>
        <w:rPr>
          <w:lang w:val="en-US" w:eastAsia="zh-CN"/>
        </w:rPr>
      </w:pPr>
    </w:p>
    <w:p w:rsidR="00F63B18" w:rsidRDefault="00F63B18" w:rsidP="00A17578">
      <w:pPr>
        <w:pStyle w:val="enumlev1"/>
        <w:rPr>
          <w:lang w:val="en-US" w:eastAsia="zh-CN"/>
        </w:rPr>
      </w:pPr>
      <w:r>
        <w:rPr>
          <w:lang w:val="en-US" w:eastAsia="zh-CN"/>
        </w:rPr>
        <w:t>a)</w:t>
      </w:r>
      <w:r>
        <w:rPr>
          <w:lang w:val="en-US" w:eastAsia="zh-CN"/>
        </w:rPr>
        <w:tab/>
      </w:r>
      <w:r>
        <w:rPr>
          <w:rFonts w:hint="eastAsia"/>
          <w:lang w:val="en-US" w:eastAsia="zh-CN"/>
        </w:rPr>
        <w:t>平均经纬度</w:t>
      </w:r>
      <w:r w:rsidR="00A17578">
        <w:rPr>
          <w:rFonts w:hint="eastAsia"/>
          <w:lang w:val="en-US" w:eastAsia="zh-CN"/>
        </w:rPr>
        <w:t>（</w:t>
      </w:r>
      <w:r>
        <w:rPr>
          <w:rFonts w:hint="eastAsia"/>
          <w:lang w:val="en-US" w:eastAsia="zh-CN"/>
        </w:rPr>
        <w:t>预测</w:t>
      </w:r>
      <w:r w:rsidR="00A17578">
        <w:rPr>
          <w:rFonts w:hint="eastAsia"/>
          <w:lang w:val="en-US" w:eastAsia="zh-CN"/>
        </w:rPr>
        <w:t>）</w:t>
      </w:r>
      <w:r>
        <w:rPr>
          <w:rFonts w:hint="eastAsia"/>
          <w:lang w:val="en-US" w:eastAsia="zh-CN"/>
        </w:rPr>
        <w:t>；</w:t>
      </w:r>
    </w:p>
    <w:p w:rsidR="00F63B18" w:rsidRDefault="00F63B18" w:rsidP="00A17578">
      <w:pPr>
        <w:pStyle w:val="enumlev1"/>
        <w:rPr>
          <w:lang w:val="en-US" w:eastAsia="zh-CN"/>
        </w:rPr>
      </w:pPr>
      <w:r>
        <w:rPr>
          <w:lang w:val="en-US" w:eastAsia="zh-CN"/>
        </w:rPr>
        <w:t>b)</w:t>
      </w:r>
      <w:r>
        <w:rPr>
          <w:lang w:val="en-US" w:eastAsia="zh-CN"/>
        </w:rPr>
        <w:tab/>
      </w:r>
      <w:r>
        <w:rPr>
          <w:rFonts w:hint="eastAsia"/>
          <w:lang w:val="en-US" w:eastAsia="zh-CN"/>
        </w:rPr>
        <w:t>平均位置可能搜索半径</w:t>
      </w:r>
      <w:r w:rsidR="00A17578">
        <w:rPr>
          <w:rFonts w:hint="eastAsia"/>
          <w:lang w:val="en-US" w:eastAsia="zh-CN"/>
        </w:rPr>
        <w:t>（</w:t>
      </w:r>
      <w:r>
        <w:rPr>
          <w:rFonts w:hint="eastAsia"/>
          <w:lang w:val="en-US" w:eastAsia="zh-CN"/>
        </w:rPr>
        <w:t>包括国家、最近的城市</w:t>
      </w:r>
      <w:r w:rsidR="00A17578">
        <w:rPr>
          <w:rFonts w:hint="eastAsia"/>
          <w:lang w:val="en-US" w:eastAsia="zh-CN"/>
        </w:rPr>
        <w:t>）</w:t>
      </w:r>
      <w:r>
        <w:rPr>
          <w:rFonts w:hint="eastAsia"/>
          <w:lang w:val="en-US" w:eastAsia="zh-CN"/>
        </w:rPr>
        <w:t>；</w:t>
      </w:r>
    </w:p>
    <w:p w:rsidR="00F63B18" w:rsidRDefault="00F63B18" w:rsidP="00F63B18">
      <w:pPr>
        <w:pStyle w:val="enumlev1"/>
        <w:rPr>
          <w:lang w:val="en-US" w:eastAsia="zh-CN"/>
        </w:rPr>
      </w:pPr>
      <w:r>
        <w:rPr>
          <w:lang w:val="en-US" w:eastAsia="zh-CN"/>
        </w:rPr>
        <w:t>c)</w:t>
      </w:r>
      <w:r>
        <w:rPr>
          <w:lang w:val="en-US" w:eastAsia="zh-CN"/>
        </w:rPr>
        <w:tab/>
      </w:r>
      <w:r>
        <w:rPr>
          <w:rFonts w:hint="eastAsia"/>
          <w:lang w:val="en-US" w:eastAsia="zh-CN"/>
        </w:rPr>
        <w:t>频率；</w:t>
      </w:r>
    </w:p>
    <w:p w:rsidR="00F63B18" w:rsidRDefault="00F63B18" w:rsidP="00A17578">
      <w:pPr>
        <w:pStyle w:val="enumlev1"/>
        <w:rPr>
          <w:lang w:val="en-US" w:eastAsia="zh-CN"/>
        </w:rPr>
      </w:pPr>
      <w:r>
        <w:rPr>
          <w:lang w:val="en-US" w:eastAsia="zh-CN"/>
        </w:rPr>
        <w:t>d)</w:t>
      </w:r>
      <w:r>
        <w:rPr>
          <w:lang w:val="en-US" w:eastAsia="zh-CN"/>
        </w:rPr>
        <w:tab/>
      </w:r>
      <w:r>
        <w:rPr>
          <w:rFonts w:hint="eastAsia"/>
          <w:lang w:val="en-US" w:eastAsia="zh-CN"/>
        </w:rPr>
        <w:t>观测次数</w:t>
      </w:r>
      <w:r w:rsidR="00A17578">
        <w:rPr>
          <w:rFonts w:hint="eastAsia"/>
          <w:lang w:val="en-US" w:eastAsia="zh-CN"/>
        </w:rPr>
        <w:t>（</w:t>
      </w:r>
      <w:r>
        <w:rPr>
          <w:rFonts w:hint="eastAsia"/>
          <w:lang w:val="en-US" w:eastAsia="zh-CN"/>
        </w:rPr>
        <w:t>总数及自上一次报告的次数</w:t>
      </w:r>
      <w:r w:rsidR="00A17578">
        <w:rPr>
          <w:rFonts w:hint="eastAsia"/>
          <w:lang w:val="en-US" w:eastAsia="zh-CN"/>
        </w:rPr>
        <w:t>）</w:t>
      </w:r>
      <w:r>
        <w:rPr>
          <w:rFonts w:hint="eastAsia"/>
          <w:lang w:val="en-US" w:eastAsia="zh-CN"/>
        </w:rPr>
        <w:t>；</w:t>
      </w:r>
    </w:p>
    <w:p w:rsidR="00F63B18" w:rsidRDefault="00F63B18" w:rsidP="00F63B18">
      <w:pPr>
        <w:pStyle w:val="enumlev1"/>
        <w:rPr>
          <w:lang w:val="en-US" w:eastAsia="zh-CN"/>
        </w:rPr>
      </w:pPr>
      <w:r>
        <w:rPr>
          <w:lang w:val="en-US" w:eastAsia="zh-CN"/>
        </w:rPr>
        <w:t>e)</w:t>
      </w:r>
      <w:r>
        <w:rPr>
          <w:lang w:val="en-US" w:eastAsia="zh-CN"/>
        </w:rPr>
        <w:tab/>
      </w:r>
      <w:r>
        <w:rPr>
          <w:rFonts w:hint="eastAsia"/>
          <w:lang w:val="en-US" w:eastAsia="zh-CN"/>
        </w:rPr>
        <w:t>发生的起止时间；</w:t>
      </w:r>
    </w:p>
    <w:p w:rsidR="00F63B18" w:rsidRDefault="00F63B18" w:rsidP="00F63B18">
      <w:pPr>
        <w:pStyle w:val="enumlev1"/>
        <w:rPr>
          <w:lang w:val="en-US" w:eastAsia="zh-CN"/>
        </w:rPr>
      </w:pPr>
      <w:r>
        <w:rPr>
          <w:lang w:val="en-US" w:eastAsia="zh-CN"/>
        </w:rPr>
        <w:t>f)</w:t>
      </w:r>
      <w:r>
        <w:rPr>
          <w:lang w:val="en-US" w:eastAsia="zh-CN"/>
        </w:rPr>
        <w:tab/>
      </w:r>
      <w:r>
        <w:rPr>
          <w:rFonts w:hint="eastAsia"/>
          <w:lang w:val="en-US" w:eastAsia="zh-CN"/>
        </w:rPr>
        <w:t>调制特性；</w:t>
      </w:r>
    </w:p>
    <w:p w:rsidR="00F63B18" w:rsidRDefault="00F63B18" w:rsidP="00F63B18">
      <w:pPr>
        <w:pStyle w:val="enumlev1"/>
        <w:rPr>
          <w:lang w:val="en-US" w:eastAsia="zh-CN"/>
        </w:rPr>
      </w:pPr>
      <w:r>
        <w:rPr>
          <w:lang w:val="en-US" w:eastAsia="zh-CN"/>
        </w:rPr>
        <w:t>g)</w:t>
      </w:r>
      <w:r>
        <w:rPr>
          <w:lang w:val="en-US" w:eastAsia="zh-CN"/>
        </w:rPr>
        <w:tab/>
      </w:r>
      <w:r>
        <w:rPr>
          <w:rFonts w:hint="eastAsia"/>
          <w:lang w:val="en-US" w:eastAsia="zh-CN"/>
        </w:rPr>
        <w:t>每周出现的次数和天数；</w:t>
      </w:r>
    </w:p>
    <w:p w:rsidR="00F63B18" w:rsidRDefault="00F63B18" w:rsidP="00F63B18">
      <w:pPr>
        <w:pStyle w:val="enumlev1"/>
        <w:rPr>
          <w:lang w:val="en-US" w:eastAsia="zh-CN"/>
        </w:rPr>
      </w:pPr>
      <w:r>
        <w:rPr>
          <w:lang w:val="en-US" w:eastAsia="zh-CN"/>
        </w:rPr>
        <w:t>h)</w:t>
      </w:r>
      <w:r>
        <w:rPr>
          <w:lang w:val="en-US" w:eastAsia="zh-CN"/>
        </w:rPr>
        <w:tab/>
      </w:r>
      <w:r>
        <w:rPr>
          <w:rFonts w:hint="eastAsia"/>
          <w:lang w:val="en-US" w:eastAsia="zh-CN"/>
        </w:rPr>
        <w:t>其他细节。</w:t>
      </w:r>
    </w:p>
    <w:p w:rsidR="00F63B18" w:rsidRDefault="00F63B18" w:rsidP="00F63B18">
      <w:pPr>
        <w:pStyle w:val="enumlev1"/>
        <w:rPr>
          <w:lang w:val="en-US" w:eastAsia="zh-CN"/>
        </w:rPr>
      </w:pPr>
    </w:p>
    <w:p w:rsidR="00F63B18" w:rsidRDefault="00F63B18" w:rsidP="00F63B18">
      <w:pPr>
        <w:pStyle w:val="AnnexNoTitle"/>
        <w:rPr>
          <w:lang w:val="en-US" w:eastAsia="zh-CN"/>
        </w:rPr>
      </w:pPr>
      <w:r>
        <w:rPr>
          <w:rFonts w:hint="eastAsia"/>
          <w:lang w:val="en-US" w:eastAsia="zh-CN"/>
        </w:rPr>
        <w:t>附件</w:t>
      </w:r>
      <w:r>
        <w:rPr>
          <w:lang w:val="en-US" w:eastAsia="zh-CN"/>
        </w:rPr>
        <w:t xml:space="preserve"> 3</w:t>
      </w:r>
      <w:r>
        <w:rPr>
          <w:lang w:val="en-US" w:eastAsia="zh-CN"/>
        </w:rPr>
        <w:br/>
      </w:r>
      <w:r>
        <w:rPr>
          <w:lang w:val="en-US" w:eastAsia="zh-CN"/>
        </w:rPr>
        <w:br/>
      </w:r>
      <w:r>
        <w:rPr>
          <w:rFonts w:hint="eastAsia"/>
          <w:lang w:val="en-US" w:eastAsia="zh-CN"/>
        </w:rPr>
        <w:t>干扰源反馈报告所需信息</w:t>
      </w:r>
    </w:p>
    <w:p w:rsidR="00F63B18" w:rsidRDefault="00F63B18" w:rsidP="00F63B18">
      <w:pPr>
        <w:pStyle w:val="Normalaftertitle"/>
        <w:rPr>
          <w:lang w:val="en-US" w:eastAsia="zh-CN"/>
        </w:rPr>
      </w:pPr>
    </w:p>
    <w:p w:rsidR="00F63B18" w:rsidRDefault="00F63B18" w:rsidP="00F63B18">
      <w:pPr>
        <w:pStyle w:val="enumlev1"/>
        <w:rPr>
          <w:lang w:val="en-US" w:eastAsia="zh-CN"/>
        </w:rPr>
      </w:pPr>
      <w:r>
        <w:rPr>
          <w:lang w:val="en-US" w:eastAsia="zh-CN"/>
        </w:rPr>
        <w:t>a)</w:t>
      </w:r>
      <w:r>
        <w:rPr>
          <w:lang w:val="en-US" w:eastAsia="zh-CN"/>
        </w:rPr>
        <w:tab/>
      </w:r>
      <w:r>
        <w:rPr>
          <w:rFonts w:hint="eastAsia"/>
          <w:lang w:val="en-US" w:eastAsia="zh-CN"/>
        </w:rPr>
        <w:t>经纬度（实际的）；</w:t>
      </w:r>
    </w:p>
    <w:p w:rsidR="00F63B18" w:rsidRDefault="00F63B18" w:rsidP="00F63B18">
      <w:pPr>
        <w:pStyle w:val="enumlev1"/>
        <w:rPr>
          <w:lang w:val="en-US" w:eastAsia="zh-CN"/>
        </w:rPr>
      </w:pPr>
      <w:r>
        <w:rPr>
          <w:lang w:val="en-US" w:eastAsia="zh-CN"/>
        </w:rPr>
        <w:t>b)</w:t>
      </w:r>
      <w:r>
        <w:rPr>
          <w:lang w:val="en-US" w:eastAsia="zh-CN"/>
        </w:rPr>
        <w:tab/>
      </w:r>
      <w:r>
        <w:rPr>
          <w:rFonts w:hint="eastAsia"/>
          <w:lang w:val="en-US" w:eastAsia="zh-CN"/>
        </w:rPr>
        <w:t>攻击源的基频（可能在频段外）；</w:t>
      </w:r>
    </w:p>
    <w:p w:rsidR="00F63B18" w:rsidRDefault="00F63B18" w:rsidP="00F63B18">
      <w:pPr>
        <w:pStyle w:val="enumlev1"/>
        <w:rPr>
          <w:lang w:val="en-US" w:eastAsia="zh-CN"/>
        </w:rPr>
      </w:pPr>
      <w:r>
        <w:rPr>
          <w:lang w:val="en-US" w:eastAsia="zh-CN"/>
        </w:rPr>
        <w:t>c)</w:t>
      </w:r>
      <w:r>
        <w:rPr>
          <w:lang w:val="en-US" w:eastAsia="zh-CN"/>
        </w:rPr>
        <w:tab/>
      </w:r>
      <w:r>
        <w:rPr>
          <w:rFonts w:hint="eastAsia"/>
          <w:lang w:val="en-US" w:eastAsia="zh-CN"/>
        </w:rPr>
        <w:t>设备类型；</w:t>
      </w:r>
    </w:p>
    <w:p w:rsidR="00F63B18" w:rsidRDefault="00F63B18" w:rsidP="00F63B18">
      <w:pPr>
        <w:pStyle w:val="enumlev1"/>
        <w:rPr>
          <w:lang w:val="en-US" w:eastAsia="zh-CN"/>
        </w:rPr>
      </w:pPr>
      <w:r>
        <w:rPr>
          <w:lang w:val="en-US" w:eastAsia="zh-CN"/>
        </w:rPr>
        <w:t>d)</w:t>
      </w:r>
      <w:r>
        <w:rPr>
          <w:lang w:val="en-US" w:eastAsia="zh-CN"/>
        </w:rPr>
        <w:tab/>
      </w:r>
      <w:r>
        <w:rPr>
          <w:rFonts w:hint="eastAsia"/>
          <w:lang w:val="en-US" w:eastAsia="zh-CN"/>
        </w:rPr>
        <w:t>干扰原因；</w:t>
      </w:r>
    </w:p>
    <w:p w:rsidR="00F63B18" w:rsidRDefault="00F63B18" w:rsidP="00F63B18">
      <w:pPr>
        <w:pStyle w:val="enumlev1"/>
        <w:rPr>
          <w:lang w:eastAsia="zh-CN"/>
        </w:rPr>
      </w:pPr>
      <w:r>
        <w:t>e)</w:t>
      </w:r>
      <w:r>
        <w:tab/>
      </w:r>
      <w:r>
        <w:rPr>
          <w:rFonts w:hint="eastAsia"/>
          <w:lang w:eastAsia="zh-CN"/>
        </w:rPr>
        <w:t>采取的行动。</w:t>
      </w:r>
    </w:p>
    <w:p w:rsidR="00F63B18" w:rsidRDefault="00F63B18" w:rsidP="00F63B18">
      <w:pPr>
        <w:rPr>
          <w:lang w:val="en-US"/>
        </w:rPr>
      </w:pPr>
    </w:p>
    <w:p w:rsidR="00F63B18" w:rsidRDefault="00F63B18" w:rsidP="00F63B18">
      <w:pPr>
        <w:pStyle w:val="Line"/>
      </w:pPr>
    </w:p>
    <w:sectPr w:rsidR="00F63B18" w:rsidSect="00F45904">
      <w:headerReference w:type="even" r:id="rId16"/>
      <w:headerReference w:type="default" r:id="rId17"/>
      <w:pgSz w:w="11907" w:h="16834" w:code="9"/>
      <w:pgMar w:top="1418" w:right="1134" w:bottom="1134" w:left="1134" w:header="720" w:footer="482" w:gutter="0"/>
      <w:paperSrc w:first="15" w:other="15"/>
      <w:pgNumType w:start="1"/>
      <w:cols w:space="720"/>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0743" w:rsidRDefault="00410743">
      <w:r>
        <w:separator/>
      </w:r>
    </w:p>
  </w:endnote>
  <w:endnote w:type="continuationSeparator" w:id="0">
    <w:p w:rsidR="00410743" w:rsidRDefault="004107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STKaiti">
    <w:altName w:val="华文楷体"/>
    <w:panose1 w:val="02010600040101010101"/>
    <w:charset w:val="86"/>
    <w:family w:val="auto"/>
    <w:pitch w:val="variable"/>
    <w:sig w:usb0="00000287" w:usb1="080F0000" w:usb2="00000010" w:usb3="00000000" w:csb0="0004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0743" w:rsidRDefault="00410743">
      <w:r>
        <w:separator/>
      </w:r>
    </w:p>
  </w:footnote>
  <w:footnote w:type="continuationSeparator" w:id="0">
    <w:p w:rsidR="00410743" w:rsidRDefault="00410743">
      <w:r>
        <w:continuationSeparator/>
      </w:r>
    </w:p>
  </w:footnote>
  <w:footnote w:id="1">
    <w:p w:rsidR="00F63B18" w:rsidRDefault="00F63B18" w:rsidP="00E80400">
      <w:pPr>
        <w:pStyle w:val="FootnoteText"/>
        <w:tabs>
          <w:tab w:val="clear" w:pos="255"/>
          <w:tab w:val="left" w:pos="142"/>
        </w:tabs>
        <w:ind w:left="283" w:hangingChars="157" w:hanging="283"/>
        <w:rPr>
          <w:lang w:eastAsia="zh-CN"/>
        </w:rPr>
      </w:pPr>
      <w:r>
        <w:rPr>
          <w:rStyle w:val="FootnoteReference"/>
        </w:rPr>
        <w:footnoteRef/>
      </w:r>
      <w:r>
        <w:rPr>
          <w:lang w:eastAsia="zh-CN"/>
        </w:rPr>
        <w:t xml:space="preserve"> </w:t>
      </w:r>
      <w:r>
        <w:rPr>
          <w:lang w:eastAsia="zh-CN"/>
        </w:rPr>
        <w:tab/>
      </w:r>
      <w:r>
        <w:rPr>
          <w:rFonts w:hint="eastAsia"/>
          <w:szCs w:val="22"/>
          <w:lang w:val="en-US" w:eastAsia="zh-CN"/>
        </w:rPr>
        <w:t>就大量作用于相邻频段</w:t>
      </w:r>
      <w:r>
        <w:rPr>
          <w:szCs w:val="22"/>
          <w:lang w:val="en-US" w:eastAsia="zh-CN"/>
        </w:rPr>
        <w:t xml:space="preserve"> (390-406 MHz </w:t>
      </w:r>
      <w:r>
        <w:rPr>
          <w:rFonts w:hint="eastAsia"/>
          <w:szCs w:val="22"/>
          <w:lang w:val="en-US" w:eastAsia="zh-CN"/>
        </w:rPr>
        <w:t>和</w:t>
      </w:r>
      <w:r>
        <w:rPr>
          <w:rFonts w:hint="eastAsia"/>
          <w:szCs w:val="22"/>
          <w:lang w:val="en-US" w:eastAsia="zh-CN"/>
        </w:rPr>
        <w:t xml:space="preserve"> </w:t>
      </w:r>
      <w:r>
        <w:rPr>
          <w:szCs w:val="22"/>
          <w:lang w:val="en-US" w:eastAsia="zh-CN"/>
        </w:rPr>
        <w:t xml:space="preserve">406.1-420 MHz) </w:t>
      </w:r>
      <w:r>
        <w:rPr>
          <w:rFonts w:hint="eastAsia"/>
          <w:szCs w:val="22"/>
          <w:lang w:val="en-US" w:eastAsia="zh-CN"/>
        </w:rPr>
        <w:t>的信号传送器和因空间接收器用以检测低功耗遇险信标传送而随之而来的风险两方面充分解决总体辐射的影响，对此正在考虑作进一步的技术研究。</w:t>
      </w:r>
    </w:p>
  </w:footnote>
  <w:footnote w:id="2">
    <w:p w:rsidR="00F63B18" w:rsidRPr="00E80400" w:rsidRDefault="00F63B18" w:rsidP="00E80400">
      <w:pPr>
        <w:pStyle w:val="FootnoteText"/>
        <w:tabs>
          <w:tab w:val="clear" w:pos="255"/>
          <w:tab w:val="clear" w:pos="794"/>
          <w:tab w:val="left" w:pos="142"/>
        </w:tabs>
        <w:ind w:left="283" w:hangingChars="157" w:hanging="283"/>
        <w:rPr>
          <w:szCs w:val="22"/>
          <w:lang w:val="en-US" w:eastAsia="zh-CN"/>
        </w:rPr>
      </w:pPr>
      <w:r>
        <w:rPr>
          <w:rStyle w:val="FootnoteReference"/>
        </w:rPr>
        <w:footnoteRef/>
      </w:r>
      <w:r>
        <w:rPr>
          <w:lang w:eastAsia="zh-CN"/>
        </w:rPr>
        <w:t xml:space="preserve"> </w:t>
      </w:r>
      <w:r>
        <w:rPr>
          <w:szCs w:val="22"/>
          <w:lang w:eastAsia="zh-CN"/>
        </w:rPr>
        <w:tab/>
      </w:r>
      <w:r>
        <w:rPr>
          <w:rFonts w:hint="eastAsia"/>
          <w:szCs w:val="22"/>
          <w:lang w:eastAsia="zh-CN"/>
        </w:rPr>
        <w:t>另外</w:t>
      </w:r>
      <w:r>
        <w:rPr>
          <w:szCs w:val="22"/>
          <w:lang w:eastAsia="zh-CN"/>
        </w:rPr>
        <w:t>WRC-12</w:t>
      </w:r>
      <w:r>
        <w:rPr>
          <w:rFonts w:hint="eastAsia"/>
          <w:szCs w:val="22"/>
          <w:lang w:eastAsia="zh-CN"/>
        </w:rPr>
        <w:t>还敦请</w:t>
      </w:r>
      <w:r>
        <w:rPr>
          <w:szCs w:val="22"/>
          <w:lang w:eastAsia="zh-CN"/>
        </w:rPr>
        <w:t>ITU-R</w:t>
      </w:r>
      <w:r>
        <w:rPr>
          <w:rFonts w:hint="eastAsia"/>
          <w:szCs w:val="22"/>
          <w:lang w:eastAsia="zh-CN"/>
        </w:rPr>
        <w:t>指导实施，并在</w:t>
      </w:r>
      <w:r>
        <w:rPr>
          <w:szCs w:val="22"/>
          <w:lang w:eastAsia="zh-CN"/>
        </w:rPr>
        <w:t>WRC-15</w:t>
      </w:r>
      <w:r>
        <w:rPr>
          <w:rFonts w:hint="eastAsia"/>
          <w:szCs w:val="22"/>
          <w:lang w:eastAsia="zh-CN"/>
        </w:rPr>
        <w:t>前及时完成对在</w:t>
      </w:r>
      <w:r>
        <w:rPr>
          <w:szCs w:val="22"/>
          <w:lang w:eastAsia="zh-CN"/>
        </w:rPr>
        <w:t xml:space="preserve">406-406.1 </w:t>
      </w:r>
      <w:r>
        <w:rPr>
          <w:szCs w:val="22"/>
          <w:lang w:val="en-US" w:eastAsia="zh-CN"/>
        </w:rPr>
        <w:t>MHz</w:t>
      </w:r>
      <w:r>
        <w:rPr>
          <w:rFonts w:hint="eastAsia"/>
          <w:szCs w:val="22"/>
          <w:lang w:val="en-US" w:eastAsia="zh-CN"/>
        </w:rPr>
        <w:t>频段的</w:t>
      </w:r>
      <w:r>
        <w:rPr>
          <w:szCs w:val="22"/>
          <w:lang w:val="en-US" w:eastAsia="zh-CN"/>
        </w:rPr>
        <w:t>MSS</w:t>
      </w:r>
      <w:r>
        <w:rPr>
          <w:rFonts w:hint="eastAsia"/>
          <w:szCs w:val="22"/>
          <w:lang w:val="en-US" w:eastAsia="zh-CN"/>
        </w:rPr>
        <w:t>系统进行适当的管理、技术和操作研究，充分保护其免于任何可能导致有害干扰的辐射影响，并重视当前和未来对相邻频段的服务的部署。</w:t>
      </w:r>
    </w:p>
  </w:footnote>
  <w:footnote w:id="3">
    <w:p w:rsidR="00E80400" w:rsidRPr="00725046" w:rsidRDefault="00E80400" w:rsidP="00E80400">
      <w:pPr>
        <w:tabs>
          <w:tab w:val="left" w:pos="284"/>
        </w:tabs>
        <w:ind w:left="284" w:hanging="284"/>
        <w:rPr>
          <w:lang w:val="en-US"/>
        </w:rPr>
      </w:pPr>
      <w:r>
        <w:rPr>
          <w:rStyle w:val="FootnoteReference"/>
        </w:rPr>
        <w:footnoteRef/>
      </w:r>
      <w:r w:rsidRPr="00E80400">
        <w:rPr>
          <w:rStyle w:val="FootnoteReference"/>
          <w:sz w:val="22"/>
          <w:szCs w:val="22"/>
          <w:lang w:val="en-US"/>
        </w:rPr>
        <w:tab/>
      </w:r>
      <w:r>
        <w:rPr>
          <w:rStyle w:val="FootnoteReference"/>
          <w:rFonts w:hint="eastAsia"/>
          <w:sz w:val="22"/>
          <w:szCs w:val="22"/>
          <w:lang w:val="en-US" w:eastAsia="zh-CN"/>
        </w:rPr>
        <w:t>“</w:t>
      </w:r>
      <w:r>
        <w:rPr>
          <w:rStyle w:val="FootnoteReference"/>
          <w:rFonts w:hint="eastAsia"/>
          <w:sz w:val="22"/>
          <w:szCs w:val="22"/>
          <w:lang w:eastAsia="zh-CN"/>
        </w:rPr>
        <w:t>本地用户终端</w:t>
      </w:r>
      <w:r>
        <w:rPr>
          <w:rStyle w:val="FootnoteReference"/>
          <w:rFonts w:hint="eastAsia"/>
          <w:sz w:val="22"/>
          <w:szCs w:val="22"/>
          <w:lang w:val="en-US" w:eastAsia="zh-CN"/>
        </w:rPr>
        <w:t>”（</w:t>
      </w:r>
      <w:r>
        <w:rPr>
          <w:rStyle w:val="FootnoteReference"/>
          <w:sz w:val="22"/>
          <w:szCs w:val="22"/>
          <w:lang w:val="en-US" w:eastAsia="zh-CN"/>
        </w:rPr>
        <w:t>LUT</w:t>
      </w:r>
      <w:r>
        <w:rPr>
          <w:rStyle w:val="FootnoteReference"/>
          <w:rFonts w:hint="eastAsia"/>
          <w:sz w:val="22"/>
          <w:szCs w:val="22"/>
          <w:lang w:val="en-US" w:eastAsia="zh-CN"/>
        </w:rPr>
        <w:t>）</w:t>
      </w:r>
      <w:r>
        <w:rPr>
          <w:rStyle w:val="FootnoteReference"/>
          <w:rFonts w:hint="eastAsia"/>
          <w:sz w:val="22"/>
          <w:szCs w:val="22"/>
          <w:lang w:eastAsia="zh-CN"/>
        </w:rPr>
        <w:t>是全球卫星搜救系统</w:t>
      </w:r>
      <w:r>
        <w:rPr>
          <w:rStyle w:val="FootnoteReference"/>
          <w:rFonts w:hint="eastAsia"/>
          <w:sz w:val="22"/>
          <w:szCs w:val="22"/>
        </w:rPr>
        <w:t>地面站</w:t>
      </w:r>
      <w:r>
        <w:rPr>
          <w:rFonts w:hint="eastAsia"/>
          <w:sz w:val="22"/>
          <w:szCs w:val="22"/>
          <w:lang w:eastAsia="zh-CN"/>
        </w:rPr>
        <w:t>。</w:t>
      </w:r>
      <w:r>
        <w:rPr>
          <w:rStyle w:val="FootnoteReference"/>
          <w:rFonts w:hint="eastAsia"/>
          <w:sz w:val="22"/>
          <w:szCs w:val="22"/>
          <w:lang w:val="en-US" w:eastAsia="zh-CN"/>
        </w:rPr>
        <w:t xml:space="preserve"> </w:t>
      </w:r>
      <w:r>
        <w:rPr>
          <w:rStyle w:val="FootnoteReference"/>
          <w:rFonts w:hint="eastAsia"/>
          <w:sz w:val="22"/>
          <w:szCs w:val="22"/>
          <w:lang w:eastAsia="zh-CN"/>
        </w:rPr>
        <w:t>这些卫星接收单位就是接收应急信标遇险警报</w:t>
      </w:r>
      <w:r>
        <w:rPr>
          <w:rStyle w:val="FootnoteReference"/>
          <w:rFonts w:hint="eastAsia"/>
          <w:sz w:val="22"/>
          <w:szCs w:val="22"/>
        </w:rPr>
        <w:t>的地面站。</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2D4" w:rsidRDefault="00C332D4" w:rsidP="00E82171">
    <w:pPr>
      <w:pStyle w:val="Header"/>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Pr>
        <w:rStyle w:val="PageNumber"/>
        <w:b/>
        <w:bCs/>
        <w:noProof/>
        <w:lang w:val="en-US"/>
      </w:rPr>
      <w:t>3</w:t>
    </w:r>
    <w:r>
      <w:rPr>
        <w:rStyle w:val="PageNumber"/>
        <w:b/>
        <w:bCs/>
        <w:lang w:val="en-US"/>
      </w:rPr>
      <w:fldChar w:fldCharType="end"/>
    </w:r>
    <w:r>
      <w:rPr>
        <w:lang w:val="en-US"/>
      </w:rPr>
      <w:tab/>
    </w:r>
    <w:r w:rsidRPr="008429A7">
      <w:rPr>
        <w:b/>
        <w:bCs/>
      </w:rPr>
      <w:t>ITU-R  S.1844</w:t>
    </w:r>
    <w:r>
      <w:rPr>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2D4" w:rsidRDefault="00485E6C" w:rsidP="00E82171">
    <w:pPr>
      <w:pStyle w:val="Header"/>
      <w:jc w:val="left"/>
      <w:rPr>
        <w:lang w:val="en-US" w:eastAsia="zh-CN"/>
      </w:rPr>
    </w:pPr>
    <w:r w:rsidRPr="00485E6C">
      <w:rPr>
        <w:b/>
        <w:bCs/>
        <w:noProof/>
        <w:lang w:val="en-US" w:eastAsia="zh-CN"/>
      </w:rPr>
      <w:drawing>
        <wp:anchor distT="0" distB="0" distL="114300" distR="114300" simplePos="0" relativeHeight="251659776" behindDoc="1" locked="0" layoutInCell="1" allowOverlap="1" wp14:anchorId="7884D5B9" wp14:editId="1B080DAD">
          <wp:simplePos x="0" y="0"/>
          <wp:positionH relativeFrom="column">
            <wp:posOffset>-691515</wp:posOffset>
          </wp:positionH>
          <wp:positionV relativeFrom="paragraph">
            <wp:posOffset>-360045</wp:posOffset>
          </wp:positionV>
          <wp:extent cx="7559040" cy="10690860"/>
          <wp:effectExtent l="0" t="0" r="3810" b="0"/>
          <wp:wrapNone/>
          <wp:docPr id="426" name="Picture 42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5E6C">
      <w:rPr>
        <w:b/>
        <w:bCs/>
        <w:noProof/>
        <w:lang w:val="en-US" w:eastAsia="zh-CN"/>
      </w:rPr>
      <w:drawing>
        <wp:anchor distT="0" distB="0" distL="114300" distR="114300" simplePos="0" relativeHeight="251660800" behindDoc="1" locked="0" layoutInCell="1" allowOverlap="1" wp14:anchorId="1F0155E1" wp14:editId="11485CC7">
          <wp:simplePos x="0" y="0"/>
          <wp:positionH relativeFrom="column">
            <wp:posOffset>-144780</wp:posOffset>
          </wp:positionH>
          <wp:positionV relativeFrom="paragraph">
            <wp:posOffset>9054465</wp:posOffset>
          </wp:positionV>
          <wp:extent cx="1247775" cy="935355"/>
          <wp:effectExtent l="0" t="0" r="0" b="0"/>
          <wp:wrapSquare wrapText="bothSides"/>
          <wp:docPr id="427" name="Picture 42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47775" cy="935355"/>
                  </a:xfrm>
                  <a:prstGeom prst="rect">
                    <a:avLst/>
                  </a:prstGeom>
                </pic:spPr>
              </pic:pic>
            </a:graphicData>
          </a:graphic>
        </wp:anchor>
      </w:drawing>
    </w:r>
    <w:r w:rsidR="00C332D4">
      <w:rPr>
        <w:noProof/>
        <w:lang w:val="en-US" w:eastAsia="zh-CN"/>
      </w:rPr>
      <w:drawing>
        <wp:anchor distT="0" distB="0" distL="114300" distR="114300" simplePos="0" relativeHeight="251650560" behindDoc="1" locked="0" layoutInCell="1" allowOverlap="0" wp14:anchorId="1B3C1AC2" wp14:editId="6BDB4A9B">
          <wp:simplePos x="0" y="0"/>
          <wp:positionH relativeFrom="column">
            <wp:posOffset>-748665</wp:posOffset>
          </wp:positionH>
          <wp:positionV relativeFrom="paragraph">
            <wp:posOffset>-445770</wp:posOffset>
          </wp:positionV>
          <wp:extent cx="7696200" cy="10772775"/>
          <wp:effectExtent l="0" t="0" r="0" b="9525"/>
          <wp:wrapNone/>
          <wp:docPr id="1" name="Picture 11"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696200" cy="10772775"/>
                  </a:xfrm>
                  <a:prstGeom prst="rect">
                    <a:avLst/>
                  </a:prstGeom>
                  <a:noFill/>
                </pic:spPr>
              </pic:pic>
            </a:graphicData>
          </a:graphic>
        </wp:anchor>
      </w:drawing>
    </w:r>
    <w:r w:rsidR="00C332D4">
      <w:rPr>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2437" w:rsidRDefault="00A02437" w:rsidP="00E80400">
    <w:pPr>
      <w:pStyle w:val="Header"/>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sidR="00A17578">
      <w:rPr>
        <w:rStyle w:val="PageNumber"/>
        <w:b/>
        <w:bCs/>
        <w:noProof/>
        <w:lang w:val="en-US"/>
      </w:rPr>
      <w:t>ii</w:t>
    </w:r>
    <w:r>
      <w:rPr>
        <w:rStyle w:val="PageNumber"/>
        <w:b/>
        <w:bCs/>
        <w:lang w:val="en-US"/>
      </w:rPr>
      <w:fldChar w:fldCharType="end"/>
    </w:r>
    <w:r>
      <w:rPr>
        <w:lang w:val="en-US"/>
      </w:rPr>
      <w:tab/>
    </w:r>
    <w:r w:rsidR="00E80400">
      <w:rPr>
        <w:b/>
        <w:bCs/>
      </w:rPr>
      <w:t>ITU-R  SM.</w:t>
    </w:r>
    <w:r w:rsidR="00E80400">
      <w:rPr>
        <w:b/>
        <w:bCs/>
        <w:lang w:eastAsia="zh-CN"/>
      </w:rPr>
      <w:t xml:space="preserve">1051-3 </w:t>
    </w:r>
    <w:r w:rsidR="00E80400">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2437" w:rsidRPr="00651379" w:rsidRDefault="00A02437" w:rsidP="00505194">
    <w:pPr>
      <w:pStyle w:val="Header"/>
      <w:rPr>
        <w:lang w:val="en-US"/>
      </w:rPr>
    </w:pPr>
    <w:r>
      <w:tab/>
    </w:r>
    <w:r>
      <w:rPr>
        <w:b/>
        <w:bCs/>
      </w:rPr>
      <w:t>ITU-R  SM.</w:t>
    </w:r>
    <w:r>
      <w:rPr>
        <w:rFonts w:hint="eastAsia"/>
        <w:b/>
        <w:bCs/>
        <w:lang w:eastAsia="zh-CN"/>
      </w:rPr>
      <w:t>2060-0</w:t>
    </w:r>
    <w:r w:rsidRPr="00DF7BE9">
      <w:rPr>
        <w:b/>
        <w:bCs/>
      </w:rPr>
      <w:t xml:space="preserve"> </w:t>
    </w:r>
    <w:r w:rsidRPr="00DF7BE9">
      <w:rPr>
        <w:rFonts w:hint="eastAsia"/>
        <w:b/>
        <w:bCs/>
      </w:rPr>
      <w:t>建议书</w:t>
    </w:r>
    <w:r w:rsidRPr="00C72176">
      <w:rPr>
        <w:lang w:val="en-GB"/>
      </w:rPr>
      <w:tab/>
    </w:r>
    <w:r w:rsidRPr="00C72176">
      <w:rPr>
        <w:rStyle w:val="PageNumber"/>
        <w:b/>
        <w:bCs/>
        <w:lang w:val="en-GB"/>
      </w:rPr>
      <w:fldChar w:fldCharType="begin"/>
    </w:r>
    <w:r w:rsidRPr="00C72176">
      <w:rPr>
        <w:rStyle w:val="PageNumber"/>
        <w:b/>
        <w:bCs/>
        <w:lang w:val="en-GB"/>
      </w:rPr>
      <w:instrText xml:space="preserve"> PAGE </w:instrText>
    </w:r>
    <w:r w:rsidRPr="00C72176">
      <w:rPr>
        <w:rStyle w:val="PageNumber"/>
        <w:b/>
        <w:bCs/>
        <w:lang w:val="en-GB"/>
      </w:rPr>
      <w:fldChar w:fldCharType="separate"/>
    </w:r>
    <w:r>
      <w:rPr>
        <w:rStyle w:val="PageNumber"/>
        <w:b/>
        <w:bCs/>
        <w:noProof/>
        <w:lang w:val="en-GB"/>
      </w:rPr>
      <w:t>1</w:t>
    </w:r>
    <w:r w:rsidRPr="00C72176">
      <w:rPr>
        <w:rStyle w:val="PageNumber"/>
        <w:b/>
        <w:bCs/>
        <w:lang w:val="en-GB"/>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2D4" w:rsidRDefault="00C332D4" w:rsidP="00E80400">
    <w:pPr>
      <w:pStyle w:val="Header"/>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sidR="00A17578">
      <w:rPr>
        <w:rStyle w:val="PageNumber"/>
        <w:b/>
        <w:bCs/>
        <w:noProof/>
        <w:lang w:val="en-US"/>
      </w:rPr>
      <w:t>6</w:t>
    </w:r>
    <w:r>
      <w:rPr>
        <w:rStyle w:val="PageNumber"/>
        <w:b/>
        <w:bCs/>
        <w:lang w:val="en-US"/>
      </w:rPr>
      <w:fldChar w:fldCharType="end"/>
    </w:r>
    <w:r>
      <w:rPr>
        <w:lang w:val="en-US"/>
      </w:rPr>
      <w:tab/>
    </w:r>
    <w:r w:rsidR="00E80400">
      <w:rPr>
        <w:b/>
        <w:bCs/>
      </w:rPr>
      <w:t>ITU-R  SM.</w:t>
    </w:r>
    <w:r w:rsidR="00E80400">
      <w:rPr>
        <w:b/>
        <w:bCs/>
        <w:lang w:eastAsia="zh-CN"/>
      </w:rPr>
      <w:t xml:space="preserve">1051-3 </w:t>
    </w:r>
    <w:r w:rsidR="00E80400">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2D4" w:rsidRDefault="00C332D4" w:rsidP="00E80400">
    <w:pPr>
      <w:pStyle w:val="Header"/>
    </w:pPr>
    <w:r>
      <w:tab/>
    </w:r>
    <w:bookmarkStart w:id="9" w:name="OLE_LINK11"/>
    <w:bookmarkStart w:id="10" w:name="OLE_LINK12"/>
    <w:r>
      <w:rPr>
        <w:b/>
        <w:bCs/>
      </w:rPr>
      <w:t>ITU-R  SM.</w:t>
    </w:r>
    <w:r w:rsidR="00E80400">
      <w:rPr>
        <w:b/>
        <w:bCs/>
        <w:lang w:eastAsia="zh-CN"/>
      </w:rPr>
      <w:t>1051</w:t>
    </w:r>
    <w:r w:rsidR="00731B76">
      <w:rPr>
        <w:rFonts w:hint="eastAsia"/>
        <w:b/>
        <w:bCs/>
        <w:lang w:eastAsia="zh-CN"/>
      </w:rPr>
      <w:t>-</w:t>
    </w:r>
    <w:r w:rsidR="00E80400">
      <w:rPr>
        <w:b/>
        <w:bCs/>
        <w:lang w:eastAsia="zh-CN"/>
      </w:rPr>
      <w:t>3</w:t>
    </w:r>
    <w:r w:rsidR="00A02437">
      <w:rPr>
        <w:b/>
        <w:bCs/>
        <w:lang w:eastAsia="zh-CN"/>
      </w:rPr>
      <w:t xml:space="preserve"> </w:t>
    </w:r>
    <w:r w:rsidRPr="00DF7BE9">
      <w:rPr>
        <w:rFonts w:hint="eastAsia"/>
        <w:b/>
        <w:bCs/>
      </w:rPr>
      <w:t>建议书</w:t>
    </w:r>
    <w:bookmarkEnd w:id="9"/>
    <w:bookmarkEnd w:id="10"/>
    <w:r>
      <w:tab/>
    </w:r>
    <w:r>
      <w:rPr>
        <w:rStyle w:val="PageNumber"/>
        <w:b/>
        <w:bCs/>
      </w:rPr>
      <w:fldChar w:fldCharType="begin"/>
    </w:r>
    <w:r>
      <w:rPr>
        <w:rStyle w:val="PageNumber"/>
        <w:b/>
        <w:bCs/>
      </w:rPr>
      <w:instrText xml:space="preserve"> PAGE </w:instrText>
    </w:r>
    <w:r>
      <w:rPr>
        <w:rStyle w:val="PageNumber"/>
        <w:b/>
        <w:bCs/>
      </w:rPr>
      <w:fldChar w:fldCharType="separate"/>
    </w:r>
    <w:r w:rsidR="00A17578">
      <w:rPr>
        <w:rStyle w:val="PageNumber"/>
        <w:b/>
        <w:bCs/>
        <w:noProof/>
      </w:rPr>
      <w:t>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23E718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340276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D10263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226AB6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C24A55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7FAF9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07E4E9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4D826B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53AA18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9BEDDE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8867BB2"/>
    <w:multiLevelType w:val="hybridMultilevel"/>
    <w:tmpl w:val="AB542F64"/>
    <w:lvl w:ilvl="0" w:tplc="56765A3A">
      <w:start w:val="1"/>
      <w:numFmt w:val="lowerLetter"/>
      <w:lvlText w:val="%1)"/>
      <w:lvlJc w:val="left"/>
      <w:pPr>
        <w:ind w:left="795" w:hanging="795"/>
      </w:pPr>
      <w:rPr>
        <w:rFonts w:hint="default"/>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53937606"/>
    <w:multiLevelType w:val="multilevel"/>
    <w:tmpl w:val="08169820"/>
    <w:lvl w:ilvl="0">
      <w:start w:val="3"/>
      <w:numFmt w:val="decimal"/>
      <w:lvlText w:val="%1"/>
      <w:lvlJc w:val="left"/>
      <w:pPr>
        <w:tabs>
          <w:tab w:val="num" w:pos="795"/>
        </w:tabs>
        <w:ind w:left="795" w:hanging="795"/>
      </w:pPr>
      <w:rPr>
        <w:rFonts w:cs="Times New Roman" w:hint="default"/>
      </w:rPr>
    </w:lvl>
    <w:lvl w:ilvl="1">
      <w:start w:val="3"/>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15:restartNumberingAfterBreak="0">
    <w:nsid w:val="68420C5A"/>
    <w:multiLevelType w:val="hybridMultilevel"/>
    <w:tmpl w:val="90FA667A"/>
    <w:lvl w:ilvl="0" w:tplc="C97627BA">
      <w:start w:val="1"/>
      <w:numFmt w:val="decimal"/>
      <w:lvlText w:val="%1"/>
      <w:lvlJc w:val="left"/>
      <w:pPr>
        <w:ind w:left="1140" w:hanging="11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73C23606"/>
    <w:multiLevelType w:val="hybridMultilevel"/>
    <w:tmpl w:val="73B41ED0"/>
    <w:lvl w:ilvl="0" w:tplc="EF6A74FC">
      <w:start w:val="1"/>
      <w:numFmt w:val="lowerLetter"/>
      <w:lvlText w:val="%1)"/>
      <w:lvlJc w:val="left"/>
      <w:pPr>
        <w:ind w:left="1540" w:hanging="114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4" w15:restartNumberingAfterBreak="0">
    <w:nsid w:val="7AB71716"/>
    <w:multiLevelType w:val="hybridMultilevel"/>
    <w:tmpl w:val="07E8A1D4"/>
    <w:lvl w:ilvl="0" w:tplc="AEC0818A">
      <w:start w:val="1"/>
      <w:numFmt w:val="lowerLetter"/>
      <w:lvlText w:val="%1)"/>
      <w:lvlJc w:val="left"/>
      <w:pPr>
        <w:ind w:left="1140" w:hanging="1140"/>
      </w:pPr>
      <w:rPr>
        <w:rFonts w:hint="default"/>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1"/>
  </w:num>
  <w:num w:numId="2">
    <w:abstractNumId w:val="13"/>
  </w:num>
  <w:num w:numId="3">
    <w:abstractNumId w:val="10"/>
  </w:num>
  <w:num w:numId="4">
    <w:abstractNumId w:val="14"/>
  </w:num>
  <w:num w:numId="5">
    <w:abstractNumId w:val="12"/>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bordersDoNotSurroundHeader/>
  <w:bordersDoNotSurroundFooter/>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noPunctuationKerning/>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0F99"/>
    <w:rsid w:val="0000312E"/>
    <w:rsid w:val="00003415"/>
    <w:rsid w:val="00006DBE"/>
    <w:rsid w:val="00012B3F"/>
    <w:rsid w:val="00020148"/>
    <w:rsid w:val="00021976"/>
    <w:rsid w:val="00022014"/>
    <w:rsid w:val="0002742B"/>
    <w:rsid w:val="00045DF3"/>
    <w:rsid w:val="00047152"/>
    <w:rsid w:val="00047CDD"/>
    <w:rsid w:val="00052E3F"/>
    <w:rsid w:val="00071F4A"/>
    <w:rsid w:val="000779DE"/>
    <w:rsid w:val="00093E1A"/>
    <w:rsid w:val="000A14A8"/>
    <w:rsid w:val="000A522D"/>
    <w:rsid w:val="000B6613"/>
    <w:rsid w:val="000B73AA"/>
    <w:rsid w:val="000B771E"/>
    <w:rsid w:val="000C0A77"/>
    <w:rsid w:val="000C0F99"/>
    <w:rsid w:val="000D203F"/>
    <w:rsid w:val="000D22FF"/>
    <w:rsid w:val="000D2B2B"/>
    <w:rsid w:val="000E3B09"/>
    <w:rsid w:val="000E3DBC"/>
    <w:rsid w:val="000E58A0"/>
    <w:rsid w:val="000F0042"/>
    <w:rsid w:val="000F720A"/>
    <w:rsid w:val="001016B2"/>
    <w:rsid w:val="00102017"/>
    <w:rsid w:val="001029FB"/>
    <w:rsid w:val="00105A0A"/>
    <w:rsid w:val="0010756E"/>
    <w:rsid w:val="00112484"/>
    <w:rsid w:val="001175CF"/>
    <w:rsid w:val="0011774D"/>
    <w:rsid w:val="00120F97"/>
    <w:rsid w:val="00130CBE"/>
    <w:rsid w:val="00131FE3"/>
    <w:rsid w:val="0014058F"/>
    <w:rsid w:val="001468E1"/>
    <w:rsid w:val="0015299D"/>
    <w:rsid w:val="00155526"/>
    <w:rsid w:val="00157342"/>
    <w:rsid w:val="00157C3C"/>
    <w:rsid w:val="00165701"/>
    <w:rsid w:val="00166ED7"/>
    <w:rsid w:val="001675DF"/>
    <w:rsid w:val="001740CD"/>
    <w:rsid w:val="0019333B"/>
    <w:rsid w:val="001948E8"/>
    <w:rsid w:val="001961C4"/>
    <w:rsid w:val="00197434"/>
    <w:rsid w:val="001A30B2"/>
    <w:rsid w:val="001A4877"/>
    <w:rsid w:val="001B1613"/>
    <w:rsid w:val="001B1BDE"/>
    <w:rsid w:val="001B2D43"/>
    <w:rsid w:val="001B4D0B"/>
    <w:rsid w:val="001B6E8B"/>
    <w:rsid w:val="001C31F6"/>
    <w:rsid w:val="001C3D2E"/>
    <w:rsid w:val="001C40CD"/>
    <w:rsid w:val="001C5DD5"/>
    <w:rsid w:val="001C5E27"/>
    <w:rsid w:val="001C64F7"/>
    <w:rsid w:val="001C6A9D"/>
    <w:rsid w:val="001E0A38"/>
    <w:rsid w:val="001E0BDB"/>
    <w:rsid w:val="00201FD1"/>
    <w:rsid w:val="00205518"/>
    <w:rsid w:val="002064EF"/>
    <w:rsid w:val="0021636A"/>
    <w:rsid w:val="00217EBF"/>
    <w:rsid w:val="0022668F"/>
    <w:rsid w:val="00226D07"/>
    <w:rsid w:val="0023309C"/>
    <w:rsid w:val="002334D5"/>
    <w:rsid w:val="00234075"/>
    <w:rsid w:val="0023621A"/>
    <w:rsid w:val="002365C9"/>
    <w:rsid w:val="00241BD2"/>
    <w:rsid w:val="00246F27"/>
    <w:rsid w:val="00256CD4"/>
    <w:rsid w:val="002570F8"/>
    <w:rsid w:val="002704FF"/>
    <w:rsid w:val="002759A3"/>
    <w:rsid w:val="00276566"/>
    <w:rsid w:val="002777C3"/>
    <w:rsid w:val="0029264B"/>
    <w:rsid w:val="00292C00"/>
    <w:rsid w:val="002C3833"/>
    <w:rsid w:val="002C4088"/>
    <w:rsid w:val="002D14C3"/>
    <w:rsid w:val="002D76C4"/>
    <w:rsid w:val="002F2E0C"/>
    <w:rsid w:val="00300D98"/>
    <w:rsid w:val="003075E7"/>
    <w:rsid w:val="00315699"/>
    <w:rsid w:val="00315AB8"/>
    <w:rsid w:val="00320FAF"/>
    <w:rsid w:val="00326E93"/>
    <w:rsid w:val="00340B49"/>
    <w:rsid w:val="00343101"/>
    <w:rsid w:val="0034562D"/>
    <w:rsid w:val="00346AFC"/>
    <w:rsid w:val="00353B20"/>
    <w:rsid w:val="00357CCC"/>
    <w:rsid w:val="0036034A"/>
    <w:rsid w:val="00367748"/>
    <w:rsid w:val="00372057"/>
    <w:rsid w:val="0037415D"/>
    <w:rsid w:val="00377D3C"/>
    <w:rsid w:val="00380EAC"/>
    <w:rsid w:val="00386622"/>
    <w:rsid w:val="0038795D"/>
    <w:rsid w:val="0039549B"/>
    <w:rsid w:val="003961E0"/>
    <w:rsid w:val="003A1935"/>
    <w:rsid w:val="003A2842"/>
    <w:rsid w:val="003A3A7C"/>
    <w:rsid w:val="003A4CD0"/>
    <w:rsid w:val="003B28A2"/>
    <w:rsid w:val="003B5B33"/>
    <w:rsid w:val="003B5E5C"/>
    <w:rsid w:val="003B6063"/>
    <w:rsid w:val="003B65E8"/>
    <w:rsid w:val="003C454C"/>
    <w:rsid w:val="003D0B85"/>
    <w:rsid w:val="003D2769"/>
    <w:rsid w:val="003D3036"/>
    <w:rsid w:val="003E17B1"/>
    <w:rsid w:val="003E7296"/>
    <w:rsid w:val="00410743"/>
    <w:rsid w:val="0041464B"/>
    <w:rsid w:val="004201A2"/>
    <w:rsid w:val="004212D1"/>
    <w:rsid w:val="00427B5D"/>
    <w:rsid w:val="00432CB1"/>
    <w:rsid w:val="00434A86"/>
    <w:rsid w:val="00440F2B"/>
    <w:rsid w:val="00442E61"/>
    <w:rsid w:val="00443556"/>
    <w:rsid w:val="00445032"/>
    <w:rsid w:val="0045164A"/>
    <w:rsid w:val="00462288"/>
    <w:rsid w:val="00462611"/>
    <w:rsid w:val="004701FF"/>
    <w:rsid w:val="00470E28"/>
    <w:rsid w:val="00472CE7"/>
    <w:rsid w:val="004744C5"/>
    <w:rsid w:val="004758CE"/>
    <w:rsid w:val="0048453A"/>
    <w:rsid w:val="00485E6C"/>
    <w:rsid w:val="0049269E"/>
    <w:rsid w:val="004959D3"/>
    <w:rsid w:val="00495D53"/>
    <w:rsid w:val="004A0FE3"/>
    <w:rsid w:val="004A6C75"/>
    <w:rsid w:val="004B2F0F"/>
    <w:rsid w:val="004B4A7E"/>
    <w:rsid w:val="004B68E9"/>
    <w:rsid w:val="004E1711"/>
    <w:rsid w:val="004F441E"/>
    <w:rsid w:val="0050010B"/>
    <w:rsid w:val="00503560"/>
    <w:rsid w:val="00521DA7"/>
    <w:rsid w:val="00525A9B"/>
    <w:rsid w:val="00530FD2"/>
    <w:rsid w:val="00531F40"/>
    <w:rsid w:val="00540509"/>
    <w:rsid w:val="00542EED"/>
    <w:rsid w:val="005463D7"/>
    <w:rsid w:val="00546742"/>
    <w:rsid w:val="00550736"/>
    <w:rsid w:val="005519B6"/>
    <w:rsid w:val="00561329"/>
    <w:rsid w:val="00567C33"/>
    <w:rsid w:val="00571DE3"/>
    <w:rsid w:val="005722F1"/>
    <w:rsid w:val="00580E96"/>
    <w:rsid w:val="005A0643"/>
    <w:rsid w:val="005A59C1"/>
    <w:rsid w:val="005A7D7F"/>
    <w:rsid w:val="005B6C3F"/>
    <w:rsid w:val="005C571F"/>
    <w:rsid w:val="005D4238"/>
    <w:rsid w:val="005E0DE1"/>
    <w:rsid w:val="005E4F20"/>
    <w:rsid w:val="005F40F4"/>
    <w:rsid w:val="005F5A65"/>
    <w:rsid w:val="005F6A68"/>
    <w:rsid w:val="00600068"/>
    <w:rsid w:val="00605C45"/>
    <w:rsid w:val="00607D68"/>
    <w:rsid w:val="006103A7"/>
    <w:rsid w:val="0061391E"/>
    <w:rsid w:val="006145AB"/>
    <w:rsid w:val="00617DEE"/>
    <w:rsid w:val="0062656C"/>
    <w:rsid w:val="00627781"/>
    <w:rsid w:val="00632BBC"/>
    <w:rsid w:val="0063517F"/>
    <w:rsid w:val="00635B5E"/>
    <w:rsid w:val="00636AE2"/>
    <w:rsid w:val="00642EDC"/>
    <w:rsid w:val="00651379"/>
    <w:rsid w:val="0065588B"/>
    <w:rsid w:val="00657EDF"/>
    <w:rsid w:val="00672955"/>
    <w:rsid w:val="00672FD8"/>
    <w:rsid w:val="006809C3"/>
    <w:rsid w:val="006827F2"/>
    <w:rsid w:val="00682F09"/>
    <w:rsid w:val="006846E8"/>
    <w:rsid w:val="006938D8"/>
    <w:rsid w:val="00696922"/>
    <w:rsid w:val="006B17F9"/>
    <w:rsid w:val="006B182F"/>
    <w:rsid w:val="006B379B"/>
    <w:rsid w:val="006B670B"/>
    <w:rsid w:val="006C4475"/>
    <w:rsid w:val="006C4D6D"/>
    <w:rsid w:val="006D6D9E"/>
    <w:rsid w:val="006E2BB5"/>
    <w:rsid w:val="006E44EA"/>
    <w:rsid w:val="006E6D2D"/>
    <w:rsid w:val="006E7947"/>
    <w:rsid w:val="00705239"/>
    <w:rsid w:val="00705B33"/>
    <w:rsid w:val="00706794"/>
    <w:rsid w:val="0072744F"/>
    <w:rsid w:val="007309E7"/>
    <w:rsid w:val="00731B76"/>
    <w:rsid w:val="00733DB6"/>
    <w:rsid w:val="007468DA"/>
    <w:rsid w:val="0075373C"/>
    <w:rsid w:val="00765392"/>
    <w:rsid w:val="00782842"/>
    <w:rsid w:val="0078379E"/>
    <w:rsid w:val="007843E7"/>
    <w:rsid w:val="00786C7E"/>
    <w:rsid w:val="00787B99"/>
    <w:rsid w:val="00792DE4"/>
    <w:rsid w:val="00793E3D"/>
    <w:rsid w:val="007A27F8"/>
    <w:rsid w:val="007A5052"/>
    <w:rsid w:val="007A5702"/>
    <w:rsid w:val="007C5981"/>
    <w:rsid w:val="007D2E62"/>
    <w:rsid w:val="007D67B3"/>
    <w:rsid w:val="007E2689"/>
    <w:rsid w:val="007E5ED4"/>
    <w:rsid w:val="007F7FBC"/>
    <w:rsid w:val="00807622"/>
    <w:rsid w:val="00807B73"/>
    <w:rsid w:val="00821433"/>
    <w:rsid w:val="00826173"/>
    <w:rsid w:val="008333FF"/>
    <w:rsid w:val="008429A7"/>
    <w:rsid w:val="00845BB2"/>
    <w:rsid w:val="00846E9A"/>
    <w:rsid w:val="008470D7"/>
    <w:rsid w:val="00851799"/>
    <w:rsid w:val="00853DB4"/>
    <w:rsid w:val="00856BAE"/>
    <w:rsid w:val="00870249"/>
    <w:rsid w:val="008840DB"/>
    <w:rsid w:val="008A1800"/>
    <w:rsid w:val="008A1CA0"/>
    <w:rsid w:val="008A264D"/>
    <w:rsid w:val="008A3878"/>
    <w:rsid w:val="008A59F2"/>
    <w:rsid w:val="008A5B3C"/>
    <w:rsid w:val="008A5E99"/>
    <w:rsid w:val="008A64A8"/>
    <w:rsid w:val="008B08BB"/>
    <w:rsid w:val="008B1139"/>
    <w:rsid w:val="008B34E7"/>
    <w:rsid w:val="008B575D"/>
    <w:rsid w:val="008C0201"/>
    <w:rsid w:val="008C2948"/>
    <w:rsid w:val="008C4729"/>
    <w:rsid w:val="008C538E"/>
    <w:rsid w:val="008C563D"/>
    <w:rsid w:val="008D5329"/>
    <w:rsid w:val="008E3710"/>
    <w:rsid w:val="008F66F8"/>
    <w:rsid w:val="00907E5F"/>
    <w:rsid w:val="00921B80"/>
    <w:rsid w:val="00923BAF"/>
    <w:rsid w:val="0092550A"/>
    <w:rsid w:val="00927403"/>
    <w:rsid w:val="009276E9"/>
    <w:rsid w:val="00931F79"/>
    <w:rsid w:val="0093456E"/>
    <w:rsid w:val="009510B2"/>
    <w:rsid w:val="00951E59"/>
    <w:rsid w:val="009544E8"/>
    <w:rsid w:val="0095628E"/>
    <w:rsid w:val="00956E65"/>
    <w:rsid w:val="00962283"/>
    <w:rsid w:val="00970AB5"/>
    <w:rsid w:val="00975889"/>
    <w:rsid w:val="00976431"/>
    <w:rsid w:val="00983B34"/>
    <w:rsid w:val="00986598"/>
    <w:rsid w:val="00993695"/>
    <w:rsid w:val="009A75A7"/>
    <w:rsid w:val="009B0580"/>
    <w:rsid w:val="009B2789"/>
    <w:rsid w:val="009B2BA6"/>
    <w:rsid w:val="009B2E3E"/>
    <w:rsid w:val="009C1CDC"/>
    <w:rsid w:val="009C37A4"/>
    <w:rsid w:val="009D6783"/>
    <w:rsid w:val="009E11DA"/>
    <w:rsid w:val="009E20CD"/>
    <w:rsid w:val="009E7604"/>
    <w:rsid w:val="009F0BE7"/>
    <w:rsid w:val="009F1F11"/>
    <w:rsid w:val="009F261F"/>
    <w:rsid w:val="009F2A3B"/>
    <w:rsid w:val="00A023A2"/>
    <w:rsid w:val="00A02437"/>
    <w:rsid w:val="00A07BE9"/>
    <w:rsid w:val="00A111AD"/>
    <w:rsid w:val="00A12936"/>
    <w:rsid w:val="00A12E45"/>
    <w:rsid w:val="00A14333"/>
    <w:rsid w:val="00A17578"/>
    <w:rsid w:val="00A20F03"/>
    <w:rsid w:val="00A21B73"/>
    <w:rsid w:val="00A22242"/>
    <w:rsid w:val="00A2337F"/>
    <w:rsid w:val="00A250C5"/>
    <w:rsid w:val="00A34A19"/>
    <w:rsid w:val="00A6617B"/>
    <w:rsid w:val="00A832D6"/>
    <w:rsid w:val="00A927F3"/>
    <w:rsid w:val="00A94DD3"/>
    <w:rsid w:val="00A97B26"/>
    <w:rsid w:val="00AA3E89"/>
    <w:rsid w:val="00AB0DC8"/>
    <w:rsid w:val="00AB458B"/>
    <w:rsid w:val="00AB6B09"/>
    <w:rsid w:val="00AC2084"/>
    <w:rsid w:val="00AC5C2D"/>
    <w:rsid w:val="00AC6EF3"/>
    <w:rsid w:val="00AD0B89"/>
    <w:rsid w:val="00AD48B1"/>
    <w:rsid w:val="00AD6D9C"/>
    <w:rsid w:val="00AE11AE"/>
    <w:rsid w:val="00AE3CA5"/>
    <w:rsid w:val="00AF45BB"/>
    <w:rsid w:val="00B02029"/>
    <w:rsid w:val="00B066E0"/>
    <w:rsid w:val="00B0730A"/>
    <w:rsid w:val="00B10272"/>
    <w:rsid w:val="00B17181"/>
    <w:rsid w:val="00B25C57"/>
    <w:rsid w:val="00B3467F"/>
    <w:rsid w:val="00B34C2C"/>
    <w:rsid w:val="00B44E24"/>
    <w:rsid w:val="00B4503C"/>
    <w:rsid w:val="00B61C21"/>
    <w:rsid w:val="00B71BAF"/>
    <w:rsid w:val="00B75E65"/>
    <w:rsid w:val="00B80628"/>
    <w:rsid w:val="00B80D49"/>
    <w:rsid w:val="00B8484F"/>
    <w:rsid w:val="00B95DF2"/>
    <w:rsid w:val="00B97C6B"/>
    <w:rsid w:val="00BA2575"/>
    <w:rsid w:val="00BA4CF3"/>
    <w:rsid w:val="00BB40E8"/>
    <w:rsid w:val="00BB5791"/>
    <w:rsid w:val="00BC7B3E"/>
    <w:rsid w:val="00BD1F3E"/>
    <w:rsid w:val="00BD5586"/>
    <w:rsid w:val="00BD673D"/>
    <w:rsid w:val="00BE12CB"/>
    <w:rsid w:val="00BE1D6C"/>
    <w:rsid w:val="00BE2F29"/>
    <w:rsid w:val="00BE6DB2"/>
    <w:rsid w:val="00C132D7"/>
    <w:rsid w:val="00C23013"/>
    <w:rsid w:val="00C231B8"/>
    <w:rsid w:val="00C25E70"/>
    <w:rsid w:val="00C332D4"/>
    <w:rsid w:val="00C36D83"/>
    <w:rsid w:val="00C53854"/>
    <w:rsid w:val="00C61A71"/>
    <w:rsid w:val="00C6322A"/>
    <w:rsid w:val="00C66B59"/>
    <w:rsid w:val="00C717E9"/>
    <w:rsid w:val="00C72176"/>
    <w:rsid w:val="00C72AA5"/>
    <w:rsid w:val="00C93E1A"/>
    <w:rsid w:val="00C94EC9"/>
    <w:rsid w:val="00C961F0"/>
    <w:rsid w:val="00C96A45"/>
    <w:rsid w:val="00CA2ACC"/>
    <w:rsid w:val="00CA2C5B"/>
    <w:rsid w:val="00CB163F"/>
    <w:rsid w:val="00CB77D9"/>
    <w:rsid w:val="00CC27BA"/>
    <w:rsid w:val="00CC3047"/>
    <w:rsid w:val="00CC395A"/>
    <w:rsid w:val="00CD366A"/>
    <w:rsid w:val="00CD4E94"/>
    <w:rsid w:val="00CD5810"/>
    <w:rsid w:val="00CE25C1"/>
    <w:rsid w:val="00CE2F9E"/>
    <w:rsid w:val="00CF767A"/>
    <w:rsid w:val="00D11759"/>
    <w:rsid w:val="00D1286E"/>
    <w:rsid w:val="00D24C93"/>
    <w:rsid w:val="00D41DA1"/>
    <w:rsid w:val="00D73581"/>
    <w:rsid w:val="00D76C37"/>
    <w:rsid w:val="00D8650D"/>
    <w:rsid w:val="00D92D82"/>
    <w:rsid w:val="00D937C6"/>
    <w:rsid w:val="00D97009"/>
    <w:rsid w:val="00DA1C8C"/>
    <w:rsid w:val="00DA302F"/>
    <w:rsid w:val="00DA3243"/>
    <w:rsid w:val="00DA4FC5"/>
    <w:rsid w:val="00DA5061"/>
    <w:rsid w:val="00DA6F5F"/>
    <w:rsid w:val="00DA7AA0"/>
    <w:rsid w:val="00DB107C"/>
    <w:rsid w:val="00DB10B5"/>
    <w:rsid w:val="00DB3193"/>
    <w:rsid w:val="00DB5BE6"/>
    <w:rsid w:val="00DC27C0"/>
    <w:rsid w:val="00DE1BE0"/>
    <w:rsid w:val="00DE575A"/>
    <w:rsid w:val="00DF07DA"/>
    <w:rsid w:val="00DF081B"/>
    <w:rsid w:val="00DF3CF3"/>
    <w:rsid w:val="00DF4176"/>
    <w:rsid w:val="00DF5F3B"/>
    <w:rsid w:val="00DF6F8B"/>
    <w:rsid w:val="00DF7BE9"/>
    <w:rsid w:val="00E0107D"/>
    <w:rsid w:val="00E1275F"/>
    <w:rsid w:val="00E134ED"/>
    <w:rsid w:val="00E146C7"/>
    <w:rsid w:val="00E21FDB"/>
    <w:rsid w:val="00E26084"/>
    <w:rsid w:val="00E323F5"/>
    <w:rsid w:val="00E33D65"/>
    <w:rsid w:val="00E3430E"/>
    <w:rsid w:val="00E35ECE"/>
    <w:rsid w:val="00E4111D"/>
    <w:rsid w:val="00E43558"/>
    <w:rsid w:val="00E46FFF"/>
    <w:rsid w:val="00E54E2B"/>
    <w:rsid w:val="00E600CF"/>
    <w:rsid w:val="00E62031"/>
    <w:rsid w:val="00E71B79"/>
    <w:rsid w:val="00E72466"/>
    <w:rsid w:val="00E73F53"/>
    <w:rsid w:val="00E80400"/>
    <w:rsid w:val="00E80C48"/>
    <w:rsid w:val="00E82171"/>
    <w:rsid w:val="00E97A84"/>
    <w:rsid w:val="00E97DC4"/>
    <w:rsid w:val="00EA1DCC"/>
    <w:rsid w:val="00EB0BBA"/>
    <w:rsid w:val="00EB36AC"/>
    <w:rsid w:val="00EC2FBA"/>
    <w:rsid w:val="00EC4485"/>
    <w:rsid w:val="00EC6640"/>
    <w:rsid w:val="00ED1658"/>
    <w:rsid w:val="00ED321E"/>
    <w:rsid w:val="00ED4959"/>
    <w:rsid w:val="00ED74D7"/>
    <w:rsid w:val="00ED79DA"/>
    <w:rsid w:val="00EE5DF0"/>
    <w:rsid w:val="00EF0290"/>
    <w:rsid w:val="00EF419D"/>
    <w:rsid w:val="00F02C4D"/>
    <w:rsid w:val="00F1436E"/>
    <w:rsid w:val="00F228E4"/>
    <w:rsid w:val="00F4085A"/>
    <w:rsid w:val="00F41310"/>
    <w:rsid w:val="00F4417F"/>
    <w:rsid w:val="00F45904"/>
    <w:rsid w:val="00F55FDD"/>
    <w:rsid w:val="00F635D4"/>
    <w:rsid w:val="00F63B18"/>
    <w:rsid w:val="00F77262"/>
    <w:rsid w:val="00F80C45"/>
    <w:rsid w:val="00F82EAC"/>
    <w:rsid w:val="00F87865"/>
    <w:rsid w:val="00FA2826"/>
    <w:rsid w:val="00FA3AB9"/>
    <w:rsid w:val="00FB0CB6"/>
    <w:rsid w:val="00FC2733"/>
    <w:rsid w:val="00FD1351"/>
    <w:rsid w:val="00FD4145"/>
    <w:rsid w:val="00FE2B34"/>
    <w:rsid w:val="00FE5A8B"/>
    <w:rsid w:val="00FE7BEA"/>
    <w:rsid w:val="00FF4DC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15:docId w15:val="{5B437FB8-5903-495F-8D19-3843AD74C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sz w:val="22"/>
        <w:szCs w:val="22"/>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2437"/>
    <w:pPr>
      <w:tabs>
        <w:tab w:val="left" w:pos="794"/>
        <w:tab w:val="left" w:pos="1191"/>
        <w:tab w:val="left" w:pos="1588"/>
        <w:tab w:val="left" w:pos="1985"/>
      </w:tabs>
      <w:overflowPunct w:val="0"/>
      <w:autoSpaceDE w:val="0"/>
      <w:autoSpaceDN w:val="0"/>
      <w:adjustRightInd w:val="0"/>
      <w:spacing w:before="120"/>
      <w:jc w:val="both"/>
      <w:textAlignment w:val="baseline"/>
    </w:pPr>
    <w:rPr>
      <w:sz w:val="24"/>
      <w:szCs w:val="20"/>
      <w:lang w:val="fr-FR" w:eastAsia="en-US"/>
    </w:rPr>
  </w:style>
  <w:style w:type="paragraph" w:styleId="Heading1">
    <w:name w:val="heading 1"/>
    <w:basedOn w:val="Normal"/>
    <w:next w:val="Normal"/>
    <w:link w:val="Heading1Char"/>
    <w:qFormat/>
    <w:rsid w:val="00CE2F9E"/>
    <w:pPr>
      <w:keepNext/>
      <w:keepLines/>
      <w:spacing w:before="480"/>
      <w:ind w:left="794" w:hanging="794"/>
      <w:outlineLvl w:val="0"/>
    </w:pPr>
    <w:rPr>
      <w:b/>
    </w:rPr>
  </w:style>
  <w:style w:type="paragraph" w:styleId="Heading2">
    <w:name w:val="heading 2"/>
    <w:basedOn w:val="Heading1"/>
    <w:next w:val="Normal"/>
    <w:link w:val="Heading2Char"/>
    <w:qFormat/>
    <w:rsid w:val="00CE2F9E"/>
    <w:pPr>
      <w:spacing w:before="320"/>
      <w:outlineLvl w:val="1"/>
    </w:pPr>
  </w:style>
  <w:style w:type="paragraph" w:styleId="Heading3">
    <w:name w:val="heading 3"/>
    <w:basedOn w:val="Heading1"/>
    <w:next w:val="Normal"/>
    <w:link w:val="Heading3Char"/>
    <w:qFormat/>
    <w:rsid w:val="00CE2F9E"/>
    <w:pPr>
      <w:spacing w:before="200"/>
      <w:outlineLvl w:val="2"/>
    </w:pPr>
  </w:style>
  <w:style w:type="paragraph" w:styleId="Heading4">
    <w:name w:val="heading 4"/>
    <w:basedOn w:val="Heading3"/>
    <w:next w:val="Normal"/>
    <w:link w:val="Heading4Char"/>
    <w:qFormat/>
    <w:rsid w:val="00CE2F9E"/>
    <w:pPr>
      <w:tabs>
        <w:tab w:val="clear" w:pos="794"/>
        <w:tab w:val="left" w:pos="992"/>
      </w:tabs>
      <w:ind w:left="992" w:hanging="992"/>
      <w:outlineLvl w:val="3"/>
    </w:pPr>
  </w:style>
  <w:style w:type="paragraph" w:styleId="Heading5">
    <w:name w:val="heading 5"/>
    <w:basedOn w:val="Heading4"/>
    <w:next w:val="Normal"/>
    <w:link w:val="Heading5Char"/>
    <w:qFormat/>
    <w:rsid w:val="00CE2F9E"/>
    <w:pPr>
      <w:outlineLvl w:val="4"/>
    </w:pPr>
  </w:style>
  <w:style w:type="paragraph" w:styleId="Heading6">
    <w:name w:val="heading 6"/>
    <w:basedOn w:val="Heading4"/>
    <w:next w:val="Normal"/>
    <w:link w:val="Heading6Char"/>
    <w:qFormat/>
    <w:rsid w:val="00CE2F9E"/>
    <w:pPr>
      <w:tabs>
        <w:tab w:val="clear" w:pos="992"/>
        <w:tab w:val="clear" w:pos="1191"/>
      </w:tabs>
      <w:ind w:left="1588" w:hanging="1588"/>
      <w:outlineLvl w:val="5"/>
    </w:pPr>
  </w:style>
  <w:style w:type="paragraph" w:styleId="Heading7">
    <w:name w:val="heading 7"/>
    <w:basedOn w:val="Heading6"/>
    <w:next w:val="Normal"/>
    <w:link w:val="Heading7Char"/>
    <w:qFormat/>
    <w:rsid w:val="00CE2F9E"/>
    <w:pPr>
      <w:outlineLvl w:val="6"/>
    </w:pPr>
  </w:style>
  <w:style w:type="paragraph" w:styleId="Heading8">
    <w:name w:val="heading 8"/>
    <w:basedOn w:val="Heading6"/>
    <w:next w:val="Normal"/>
    <w:link w:val="Heading8Char"/>
    <w:qFormat/>
    <w:rsid w:val="00CE2F9E"/>
    <w:pPr>
      <w:outlineLvl w:val="7"/>
    </w:pPr>
  </w:style>
  <w:style w:type="paragraph" w:styleId="Heading9">
    <w:name w:val="heading 9"/>
    <w:basedOn w:val="Heading6"/>
    <w:next w:val="Normal"/>
    <w:link w:val="Heading9Char"/>
    <w:qFormat/>
    <w:rsid w:val="00CE2F9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200FC"/>
    <w:rPr>
      <w:rFonts w:asciiTheme="majorHAnsi" w:eastAsiaTheme="majorEastAsia" w:hAnsiTheme="majorHAnsi" w:cstheme="majorBidi"/>
      <w:b/>
      <w:bCs/>
      <w:kern w:val="32"/>
      <w:sz w:val="32"/>
      <w:szCs w:val="32"/>
      <w:lang w:val="fr-FR" w:eastAsia="en-US"/>
    </w:rPr>
  </w:style>
  <w:style w:type="character" w:customStyle="1" w:styleId="Heading2Char">
    <w:name w:val="Heading 2 Char"/>
    <w:basedOn w:val="DefaultParagraphFont"/>
    <w:link w:val="Heading2"/>
    <w:rsid w:val="007200FC"/>
    <w:rPr>
      <w:rFonts w:asciiTheme="majorHAnsi" w:eastAsiaTheme="majorEastAsia" w:hAnsiTheme="majorHAnsi" w:cstheme="majorBidi"/>
      <w:b/>
      <w:bCs/>
      <w:i/>
      <w:iCs/>
      <w:sz w:val="28"/>
      <w:szCs w:val="28"/>
      <w:lang w:val="fr-FR" w:eastAsia="en-US"/>
    </w:rPr>
  </w:style>
  <w:style w:type="character" w:customStyle="1" w:styleId="Heading3Char">
    <w:name w:val="Heading 3 Char"/>
    <w:basedOn w:val="DefaultParagraphFont"/>
    <w:link w:val="Heading3"/>
    <w:rsid w:val="007200FC"/>
    <w:rPr>
      <w:rFonts w:asciiTheme="majorHAnsi" w:eastAsiaTheme="majorEastAsia" w:hAnsiTheme="majorHAnsi" w:cstheme="majorBidi"/>
      <w:b/>
      <w:bCs/>
      <w:sz w:val="26"/>
      <w:szCs w:val="26"/>
      <w:lang w:val="fr-FR" w:eastAsia="en-US"/>
    </w:rPr>
  </w:style>
  <w:style w:type="character" w:customStyle="1" w:styleId="Heading4Char">
    <w:name w:val="Heading 4 Char"/>
    <w:basedOn w:val="DefaultParagraphFont"/>
    <w:link w:val="Heading4"/>
    <w:rsid w:val="007200FC"/>
    <w:rPr>
      <w:rFonts w:asciiTheme="minorHAnsi" w:eastAsiaTheme="minorEastAsia" w:hAnsiTheme="minorHAnsi" w:cstheme="minorBidi"/>
      <w:b/>
      <w:bCs/>
      <w:sz w:val="28"/>
      <w:szCs w:val="28"/>
      <w:lang w:val="fr-FR" w:eastAsia="en-US"/>
    </w:rPr>
  </w:style>
  <w:style w:type="character" w:customStyle="1" w:styleId="Heading5Char">
    <w:name w:val="Heading 5 Char"/>
    <w:basedOn w:val="DefaultParagraphFont"/>
    <w:link w:val="Heading5"/>
    <w:rsid w:val="007200FC"/>
    <w:rPr>
      <w:rFonts w:asciiTheme="minorHAnsi" w:eastAsiaTheme="minorEastAsia" w:hAnsiTheme="minorHAnsi" w:cstheme="minorBidi"/>
      <w:b/>
      <w:bCs/>
      <w:i/>
      <w:iCs/>
      <w:sz w:val="26"/>
      <w:szCs w:val="26"/>
      <w:lang w:val="fr-FR" w:eastAsia="en-US"/>
    </w:rPr>
  </w:style>
  <w:style w:type="character" w:customStyle="1" w:styleId="Heading6Char">
    <w:name w:val="Heading 6 Char"/>
    <w:basedOn w:val="DefaultParagraphFont"/>
    <w:link w:val="Heading6"/>
    <w:rsid w:val="007200FC"/>
    <w:rPr>
      <w:rFonts w:asciiTheme="minorHAnsi" w:eastAsiaTheme="minorEastAsia" w:hAnsiTheme="minorHAnsi" w:cstheme="minorBidi"/>
      <w:b/>
      <w:bCs/>
      <w:lang w:val="fr-FR" w:eastAsia="en-US"/>
    </w:rPr>
  </w:style>
  <w:style w:type="character" w:customStyle="1" w:styleId="Heading7Char">
    <w:name w:val="Heading 7 Char"/>
    <w:basedOn w:val="DefaultParagraphFont"/>
    <w:link w:val="Heading7"/>
    <w:rsid w:val="007200FC"/>
    <w:rPr>
      <w:rFonts w:asciiTheme="minorHAnsi" w:eastAsiaTheme="minorEastAsia" w:hAnsiTheme="minorHAnsi" w:cstheme="minorBidi"/>
      <w:sz w:val="24"/>
      <w:szCs w:val="24"/>
      <w:lang w:val="fr-FR" w:eastAsia="en-US"/>
    </w:rPr>
  </w:style>
  <w:style w:type="character" w:customStyle="1" w:styleId="Heading8Char">
    <w:name w:val="Heading 8 Char"/>
    <w:basedOn w:val="DefaultParagraphFont"/>
    <w:link w:val="Heading8"/>
    <w:rsid w:val="007200FC"/>
    <w:rPr>
      <w:rFonts w:asciiTheme="minorHAnsi" w:eastAsiaTheme="minorEastAsia" w:hAnsiTheme="minorHAnsi" w:cstheme="minorBidi"/>
      <w:i/>
      <w:iCs/>
      <w:sz w:val="24"/>
      <w:szCs w:val="24"/>
      <w:lang w:val="fr-FR" w:eastAsia="en-US"/>
    </w:rPr>
  </w:style>
  <w:style w:type="character" w:customStyle="1" w:styleId="Heading9Char">
    <w:name w:val="Heading 9 Char"/>
    <w:basedOn w:val="DefaultParagraphFont"/>
    <w:link w:val="Heading9"/>
    <w:rsid w:val="007200FC"/>
    <w:rPr>
      <w:rFonts w:asciiTheme="majorHAnsi" w:eastAsiaTheme="majorEastAsia" w:hAnsiTheme="majorHAnsi" w:cstheme="majorBidi"/>
      <w:lang w:val="fr-FR" w:eastAsia="en-US"/>
    </w:rPr>
  </w:style>
  <w:style w:type="paragraph" w:styleId="Header">
    <w:name w:val="header"/>
    <w:basedOn w:val="Normal"/>
    <w:link w:val="HeaderChar"/>
    <w:rsid w:val="00CE2F9E"/>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7200FC"/>
    <w:rPr>
      <w:sz w:val="24"/>
      <w:szCs w:val="20"/>
      <w:lang w:val="fr-FR" w:eastAsia="en-US"/>
    </w:rPr>
  </w:style>
  <w:style w:type="paragraph" w:styleId="Footer">
    <w:name w:val="footer"/>
    <w:basedOn w:val="Normal"/>
    <w:link w:val="FooterChar"/>
    <w:rsid w:val="00CE2F9E"/>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7200FC"/>
    <w:rPr>
      <w:sz w:val="24"/>
      <w:szCs w:val="20"/>
      <w:lang w:val="fr-FR" w:eastAsia="en-US"/>
    </w:rPr>
  </w:style>
  <w:style w:type="character" w:styleId="PageNumber">
    <w:name w:val="page number"/>
    <w:basedOn w:val="DefaultParagraphFont"/>
    <w:rsid w:val="00CE2F9E"/>
    <w:rPr>
      <w:rFonts w:cs="Times New Roman"/>
    </w:rPr>
  </w:style>
  <w:style w:type="paragraph" w:customStyle="1" w:styleId="Headingb">
    <w:name w:val="Heading_b"/>
    <w:basedOn w:val="Heading3"/>
    <w:next w:val="Normal"/>
    <w:link w:val="HeadingbChar"/>
    <w:uiPriority w:val="99"/>
    <w:qFormat/>
    <w:rsid w:val="00CE2F9E"/>
    <w:pPr>
      <w:spacing w:before="160"/>
      <w:ind w:left="0" w:firstLine="0"/>
      <w:outlineLvl w:val="9"/>
    </w:pPr>
  </w:style>
  <w:style w:type="paragraph" w:customStyle="1" w:styleId="Headingi">
    <w:name w:val="Heading_i"/>
    <w:basedOn w:val="Heading3"/>
    <w:next w:val="Normal"/>
    <w:rsid w:val="00CE2F9E"/>
    <w:pPr>
      <w:spacing w:before="160"/>
      <w:ind w:left="0" w:firstLine="0"/>
    </w:pPr>
    <w:rPr>
      <w:b w:val="0"/>
      <w:i/>
    </w:rPr>
  </w:style>
  <w:style w:type="character" w:customStyle="1" w:styleId="href">
    <w:name w:val="href"/>
    <w:basedOn w:val="DefaultParagraphFont"/>
    <w:uiPriority w:val="99"/>
    <w:rsid w:val="00CE2F9E"/>
    <w:rPr>
      <w:rFonts w:cs="Times New Roman"/>
    </w:rPr>
  </w:style>
  <w:style w:type="paragraph" w:customStyle="1" w:styleId="enumlev1">
    <w:name w:val="enumlev1"/>
    <w:basedOn w:val="Normal"/>
    <w:link w:val="enumlev1Char"/>
    <w:uiPriority w:val="99"/>
    <w:rsid w:val="00CE2F9E"/>
    <w:pPr>
      <w:spacing w:before="80"/>
      <w:ind w:left="794" w:hanging="794"/>
    </w:pPr>
  </w:style>
  <w:style w:type="paragraph" w:customStyle="1" w:styleId="enumlev2">
    <w:name w:val="enumlev2"/>
    <w:basedOn w:val="enumlev1"/>
    <w:rsid w:val="00CE2F9E"/>
    <w:pPr>
      <w:ind w:left="1191" w:hanging="397"/>
    </w:pPr>
  </w:style>
  <w:style w:type="paragraph" w:customStyle="1" w:styleId="enumlev3">
    <w:name w:val="enumlev3"/>
    <w:basedOn w:val="enumlev2"/>
    <w:rsid w:val="00CE2F9E"/>
    <w:pPr>
      <w:ind w:left="1588"/>
    </w:pPr>
  </w:style>
  <w:style w:type="paragraph" w:customStyle="1" w:styleId="Normalaftertitle">
    <w:name w:val="Normal_after_title"/>
    <w:basedOn w:val="Normal"/>
    <w:next w:val="Normal"/>
    <w:link w:val="NormalaftertitleChar"/>
    <w:uiPriority w:val="99"/>
    <w:rsid w:val="00CE2F9E"/>
    <w:pPr>
      <w:spacing w:before="320"/>
    </w:pPr>
  </w:style>
  <w:style w:type="paragraph" w:customStyle="1" w:styleId="Note">
    <w:name w:val="Note"/>
    <w:basedOn w:val="Normal"/>
    <w:link w:val="NoteChar"/>
    <w:uiPriority w:val="99"/>
    <w:rsid w:val="00CE2F9E"/>
    <w:pPr>
      <w:tabs>
        <w:tab w:val="clear" w:pos="794"/>
        <w:tab w:val="clear" w:pos="1191"/>
        <w:tab w:val="clear" w:pos="1588"/>
        <w:tab w:val="clear" w:pos="1985"/>
      </w:tabs>
      <w:spacing w:before="80"/>
    </w:pPr>
    <w:rPr>
      <w:sz w:val="22"/>
    </w:rPr>
  </w:style>
  <w:style w:type="paragraph" w:customStyle="1" w:styleId="RecNoBR">
    <w:name w:val="Rec_No_BR"/>
    <w:basedOn w:val="Normal"/>
    <w:next w:val="RectitleBR"/>
    <w:uiPriority w:val="99"/>
    <w:rsid w:val="00CE2F9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uiPriority w:val="99"/>
    <w:rsid w:val="00CE2F9E"/>
    <w:pPr>
      <w:spacing w:before="240"/>
    </w:pPr>
    <w:rPr>
      <w:sz w:val="22"/>
      <w:lang w:val="es-ES_tradnl"/>
    </w:rPr>
  </w:style>
  <w:style w:type="paragraph" w:customStyle="1" w:styleId="Recref">
    <w:name w:val="Rec_ref"/>
    <w:basedOn w:val="Normal"/>
    <w:next w:val="Recdate"/>
    <w:rsid w:val="00CE2F9E"/>
    <w:pPr>
      <w:jc w:val="center"/>
    </w:pPr>
  </w:style>
  <w:style w:type="paragraph" w:customStyle="1" w:styleId="Recdate">
    <w:name w:val="Rec_date"/>
    <w:basedOn w:val="Recref"/>
    <w:next w:val="Normalaftertitle"/>
    <w:uiPriority w:val="99"/>
    <w:rsid w:val="00CE2F9E"/>
    <w:pPr>
      <w:jc w:val="right"/>
    </w:pPr>
  </w:style>
  <w:style w:type="paragraph" w:customStyle="1" w:styleId="AnnexNoTitle">
    <w:name w:val="Annex_NoTitle"/>
    <w:basedOn w:val="Normal"/>
    <w:next w:val="Normalaftertitle"/>
    <w:link w:val="AnnexNoTitleChar"/>
    <w:uiPriority w:val="99"/>
    <w:rsid w:val="00CE2F9E"/>
    <w:pPr>
      <w:keepNext/>
      <w:keepLines/>
      <w:spacing w:before="480" w:after="80"/>
      <w:jc w:val="center"/>
    </w:pPr>
    <w:rPr>
      <w:b/>
      <w:sz w:val="28"/>
    </w:rPr>
  </w:style>
  <w:style w:type="paragraph" w:customStyle="1" w:styleId="AppendixNoTitle">
    <w:name w:val="Appendix_NoTitle"/>
    <w:basedOn w:val="AnnexNoTitle"/>
    <w:next w:val="Normal"/>
    <w:rsid w:val="00CE2F9E"/>
  </w:style>
  <w:style w:type="paragraph" w:customStyle="1" w:styleId="Tablefin">
    <w:name w:val="Table_fin"/>
    <w:basedOn w:val="Normal"/>
    <w:next w:val="Normal"/>
    <w:rsid w:val="00CE2F9E"/>
    <w:pPr>
      <w:spacing w:before="0"/>
    </w:pPr>
    <w:rPr>
      <w:sz w:val="20"/>
      <w:lang w:val="en-GB"/>
    </w:rPr>
  </w:style>
  <w:style w:type="paragraph" w:customStyle="1" w:styleId="Tablehead">
    <w:name w:val="Table_head"/>
    <w:basedOn w:val="Normal"/>
    <w:next w:val="Normal"/>
    <w:link w:val="TableheadChar"/>
    <w:rsid w:val="00CE2F9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CE2F9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uiPriority w:val="99"/>
    <w:rsid w:val="00CE2F9E"/>
    <w:pPr>
      <w:keepNext/>
      <w:spacing w:before="360" w:after="120"/>
      <w:jc w:val="center"/>
    </w:pPr>
  </w:style>
  <w:style w:type="paragraph" w:customStyle="1" w:styleId="Tabletext">
    <w:name w:val="Table_text"/>
    <w:basedOn w:val="Normal"/>
    <w:link w:val="TabletextChar"/>
    <w:rsid w:val="00CE2F9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uiPriority w:val="99"/>
    <w:rsid w:val="00CE2F9E"/>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uiPriority w:val="99"/>
    <w:rsid w:val="00CE2F9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E2F9E"/>
    <w:pPr>
      <w:ind w:left="794"/>
    </w:pPr>
  </w:style>
  <w:style w:type="paragraph" w:customStyle="1" w:styleId="Figurelegend">
    <w:name w:val="Figure_legend"/>
    <w:basedOn w:val="Normal"/>
    <w:rsid w:val="00CE2F9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uiPriority w:val="99"/>
    <w:rsid w:val="00DF4176"/>
    <w:pPr>
      <w:keepNext/>
      <w:keepLines/>
      <w:spacing w:before="480" w:after="80"/>
      <w:jc w:val="center"/>
    </w:pPr>
    <w:rPr>
      <w:caps/>
      <w:sz w:val="18"/>
    </w:rPr>
  </w:style>
  <w:style w:type="paragraph" w:customStyle="1" w:styleId="tocpart">
    <w:name w:val="tocpart"/>
    <w:basedOn w:val="Normal"/>
    <w:rsid w:val="00CE2F9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CE2F9E"/>
    <w:pPr>
      <w:keepNext/>
      <w:keepLines/>
      <w:spacing w:before="480"/>
      <w:jc w:val="center"/>
    </w:pPr>
    <w:rPr>
      <w:sz w:val="28"/>
    </w:rPr>
  </w:style>
  <w:style w:type="paragraph" w:customStyle="1" w:styleId="Arttitle">
    <w:name w:val="Art_title"/>
    <w:basedOn w:val="Normal"/>
    <w:next w:val="Normalaftertitle"/>
    <w:link w:val="ArttitleCar"/>
    <w:rsid w:val="00CE2F9E"/>
    <w:pPr>
      <w:keepNext/>
      <w:keepLines/>
      <w:spacing w:before="240"/>
      <w:jc w:val="center"/>
    </w:pPr>
    <w:rPr>
      <w:b/>
      <w:sz w:val="28"/>
    </w:rPr>
  </w:style>
  <w:style w:type="paragraph" w:customStyle="1" w:styleId="Blanc">
    <w:name w:val="Blanc"/>
    <w:basedOn w:val="Normal"/>
    <w:next w:val="Tabletext"/>
    <w:rsid w:val="00CE2F9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E2F9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rsid w:val="00CE2F9E"/>
    <w:pPr>
      <w:keepNext/>
      <w:keepLines/>
      <w:spacing w:before="160"/>
      <w:ind w:left="794"/>
    </w:pPr>
    <w:rPr>
      <w:i/>
    </w:rPr>
  </w:style>
  <w:style w:type="paragraph" w:customStyle="1" w:styleId="ChapNo">
    <w:name w:val="Chap_No"/>
    <w:basedOn w:val="ArtNo"/>
    <w:next w:val="Chaptitle"/>
    <w:rsid w:val="00CE2F9E"/>
    <w:rPr>
      <w:b/>
    </w:rPr>
  </w:style>
  <w:style w:type="paragraph" w:customStyle="1" w:styleId="Chaptitle">
    <w:name w:val="Chap_title"/>
    <w:basedOn w:val="Arttitle"/>
    <w:next w:val="Normalaftertitle"/>
    <w:link w:val="ChaptitleChar"/>
    <w:rsid w:val="00CE2F9E"/>
  </w:style>
  <w:style w:type="character" w:styleId="FootnoteReference">
    <w:name w:val="footnote reference"/>
    <w:aliases w:val="Appel note de bas de p,Footnote Reference/,Style 12,(NECG) Footnote Reference,Style 124"/>
    <w:basedOn w:val="DefaultParagraphFont"/>
    <w:rsid w:val="00CE2F9E"/>
    <w:rPr>
      <w:rFonts w:cs="Times New Roman"/>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
    <w:basedOn w:val="Normal"/>
    <w:link w:val="FootnoteTextChar"/>
    <w:uiPriority w:val="99"/>
    <w:rsid w:val="00CE2F9E"/>
    <w:pPr>
      <w:keepLines/>
      <w:tabs>
        <w:tab w:val="left" w:pos="255"/>
      </w:tabs>
      <w:ind w:left="255" w:hanging="255"/>
    </w:pPr>
    <w:rPr>
      <w:sz w:val="22"/>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
    <w:basedOn w:val="DefaultParagraphFont"/>
    <w:link w:val="FootnoteText"/>
    <w:uiPriority w:val="99"/>
    <w:locked/>
    <w:rsid w:val="008B1139"/>
    <w:rPr>
      <w:rFonts w:cs="Times New Roman"/>
      <w:sz w:val="22"/>
      <w:lang w:val="fr-FR" w:eastAsia="en-US"/>
    </w:rPr>
  </w:style>
  <w:style w:type="paragraph" w:styleId="Index1">
    <w:name w:val="index 1"/>
    <w:basedOn w:val="Normal"/>
    <w:next w:val="Normal"/>
    <w:semiHidden/>
    <w:rsid w:val="00CE2F9E"/>
  </w:style>
  <w:style w:type="paragraph" w:styleId="Index2">
    <w:name w:val="index 2"/>
    <w:basedOn w:val="Normal"/>
    <w:next w:val="Normal"/>
    <w:semiHidden/>
    <w:rsid w:val="00CE2F9E"/>
    <w:pPr>
      <w:ind w:left="283"/>
    </w:pPr>
  </w:style>
  <w:style w:type="paragraph" w:styleId="Index3">
    <w:name w:val="index 3"/>
    <w:basedOn w:val="Normal"/>
    <w:next w:val="Normal"/>
    <w:semiHidden/>
    <w:rsid w:val="00CE2F9E"/>
    <w:pPr>
      <w:ind w:left="566"/>
    </w:pPr>
  </w:style>
  <w:style w:type="paragraph" w:styleId="IndexHeading">
    <w:name w:val="index heading"/>
    <w:basedOn w:val="Normal"/>
    <w:next w:val="Index1"/>
    <w:rsid w:val="00CE2F9E"/>
  </w:style>
  <w:style w:type="paragraph" w:customStyle="1" w:styleId="Line">
    <w:name w:val="Line"/>
    <w:basedOn w:val="Normal"/>
    <w:next w:val="Normal"/>
    <w:uiPriority w:val="99"/>
    <w:rsid w:val="00CE2F9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E2F9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E2F9E"/>
  </w:style>
  <w:style w:type="paragraph" w:customStyle="1" w:styleId="Partref">
    <w:name w:val="Part_ref"/>
    <w:basedOn w:val="Normal"/>
    <w:next w:val="Normal"/>
    <w:rsid w:val="00CE2F9E"/>
    <w:pPr>
      <w:keepNext/>
      <w:keepLines/>
      <w:spacing w:after="280"/>
      <w:jc w:val="center"/>
    </w:pPr>
  </w:style>
  <w:style w:type="paragraph" w:customStyle="1" w:styleId="Parttitle">
    <w:name w:val="Part_title"/>
    <w:basedOn w:val="Normal"/>
    <w:next w:val="Normalaftertitle"/>
    <w:rsid w:val="00CE2F9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E2F9E"/>
  </w:style>
  <w:style w:type="paragraph" w:customStyle="1" w:styleId="QuestionNo">
    <w:name w:val="Question_No"/>
    <w:basedOn w:val="RecNoBR"/>
    <w:next w:val="Normal"/>
    <w:rsid w:val="00CE2F9E"/>
  </w:style>
  <w:style w:type="paragraph" w:customStyle="1" w:styleId="Questionref">
    <w:name w:val="Question_ref"/>
    <w:basedOn w:val="Recref"/>
    <w:next w:val="Questiondate"/>
    <w:rsid w:val="00CE2F9E"/>
  </w:style>
  <w:style w:type="paragraph" w:customStyle="1" w:styleId="Questiontitle">
    <w:name w:val="Question_title"/>
    <w:basedOn w:val="Normal"/>
    <w:next w:val="Questionref"/>
    <w:rsid w:val="00CE2F9E"/>
  </w:style>
  <w:style w:type="paragraph" w:customStyle="1" w:styleId="Reftext">
    <w:name w:val="Ref_text"/>
    <w:basedOn w:val="Normal"/>
    <w:rsid w:val="00CE2F9E"/>
    <w:pPr>
      <w:ind w:left="794" w:hanging="794"/>
    </w:pPr>
    <w:rPr>
      <w:sz w:val="22"/>
    </w:rPr>
  </w:style>
  <w:style w:type="paragraph" w:customStyle="1" w:styleId="Reftitle">
    <w:name w:val="Ref_title"/>
    <w:basedOn w:val="Normal"/>
    <w:next w:val="Reftext"/>
    <w:rsid w:val="00CE2F9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E2F9E"/>
  </w:style>
  <w:style w:type="paragraph" w:customStyle="1" w:styleId="RepNo">
    <w:name w:val="Rep_No"/>
    <w:basedOn w:val="RecNoBR"/>
    <w:next w:val="Reptitle"/>
    <w:rsid w:val="00CE2F9E"/>
  </w:style>
  <w:style w:type="paragraph" w:customStyle="1" w:styleId="Repref">
    <w:name w:val="Rep_ref"/>
    <w:basedOn w:val="Recref"/>
    <w:next w:val="Repdate"/>
    <w:rsid w:val="00CE2F9E"/>
  </w:style>
  <w:style w:type="paragraph" w:customStyle="1" w:styleId="Reptitle">
    <w:name w:val="Rep_title"/>
    <w:basedOn w:val="RectitleBR"/>
    <w:next w:val="Repref"/>
    <w:rsid w:val="00CE2F9E"/>
  </w:style>
  <w:style w:type="paragraph" w:customStyle="1" w:styleId="Resdate">
    <w:name w:val="Res_date"/>
    <w:basedOn w:val="Recdate"/>
    <w:next w:val="Normalaftertitle"/>
    <w:rsid w:val="00CE2F9E"/>
  </w:style>
  <w:style w:type="paragraph" w:customStyle="1" w:styleId="ResNo">
    <w:name w:val="Res_No"/>
    <w:basedOn w:val="RecNoBR"/>
    <w:next w:val="Restitle"/>
    <w:link w:val="ResNoChar"/>
    <w:rsid w:val="00CE2F9E"/>
  </w:style>
  <w:style w:type="paragraph" w:customStyle="1" w:styleId="Resref">
    <w:name w:val="Res_ref"/>
    <w:basedOn w:val="Recref"/>
    <w:next w:val="Resdate"/>
    <w:rsid w:val="00CE2F9E"/>
  </w:style>
  <w:style w:type="paragraph" w:customStyle="1" w:styleId="Restitle">
    <w:name w:val="Res_title"/>
    <w:basedOn w:val="Normal"/>
    <w:next w:val="Resref"/>
    <w:link w:val="RestitleChar"/>
    <w:rsid w:val="00AB0DC8"/>
    <w:pPr>
      <w:spacing w:before="240"/>
      <w:jc w:val="center"/>
    </w:pPr>
    <w:rPr>
      <w:b/>
      <w:sz w:val="28"/>
    </w:rPr>
  </w:style>
  <w:style w:type="paragraph" w:customStyle="1" w:styleId="SectionNo">
    <w:name w:val="Section_No"/>
    <w:basedOn w:val="Normal"/>
    <w:next w:val="Normal"/>
    <w:rsid w:val="00CE2F9E"/>
  </w:style>
  <w:style w:type="paragraph" w:customStyle="1" w:styleId="Sectiontitle">
    <w:name w:val="Section_title"/>
    <w:basedOn w:val="Normal"/>
    <w:next w:val="Normalaftertitle"/>
    <w:rsid w:val="00CE2F9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E2F9E"/>
    <w:pPr>
      <w:tabs>
        <w:tab w:val="clear" w:pos="794"/>
        <w:tab w:val="clear" w:pos="1191"/>
        <w:tab w:val="clear" w:pos="1588"/>
        <w:tab w:val="clear" w:pos="1985"/>
        <w:tab w:val="right" w:pos="9611"/>
      </w:tabs>
    </w:pPr>
    <w:rPr>
      <w:i/>
    </w:rPr>
  </w:style>
  <w:style w:type="paragraph" w:styleId="TOC1">
    <w:name w:val="toc 1"/>
    <w:basedOn w:val="Normal"/>
    <w:rsid w:val="00CE2F9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CE2F9E"/>
    <w:pPr>
      <w:tabs>
        <w:tab w:val="clear" w:pos="567"/>
        <w:tab w:val="left" w:pos="1276"/>
      </w:tabs>
      <w:spacing w:before="160"/>
      <w:ind w:left="1276" w:hanging="709"/>
    </w:pPr>
  </w:style>
  <w:style w:type="paragraph" w:styleId="TOC3">
    <w:name w:val="toc 3"/>
    <w:basedOn w:val="TOC2"/>
    <w:rsid w:val="00CE2F9E"/>
    <w:pPr>
      <w:tabs>
        <w:tab w:val="clear" w:pos="1276"/>
        <w:tab w:val="left" w:pos="2155"/>
      </w:tabs>
      <w:ind w:left="2155" w:hanging="879"/>
    </w:pPr>
  </w:style>
  <w:style w:type="paragraph" w:styleId="TOC4">
    <w:name w:val="toc 4"/>
    <w:basedOn w:val="TOC3"/>
    <w:rsid w:val="00CE2F9E"/>
    <w:pPr>
      <w:tabs>
        <w:tab w:val="left" w:pos="3261"/>
      </w:tabs>
      <w:spacing w:before="80"/>
      <w:ind w:left="3261" w:hanging="993"/>
    </w:pPr>
  </w:style>
  <w:style w:type="paragraph" w:styleId="TOC5">
    <w:name w:val="toc 5"/>
    <w:basedOn w:val="TOC4"/>
    <w:rsid w:val="00CE2F9E"/>
  </w:style>
  <w:style w:type="paragraph" w:styleId="TOC6">
    <w:name w:val="toc 6"/>
    <w:basedOn w:val="TOC4"/>
    <w:semiHidden/>
    <w:rsid w:val="00CE2F9E"/>
  </w:style>
  <w:style w:type="paragraph" w:styleId="TOC7">
    <w:name w:val="toc 7"/>
    <w:basedOn w:val="TOC4"/>
    <w:semiHidden/>
    <w:rsid w:val="00CE2F9E"/>
  </w:style>
  <w:style w:type="paragraph" w:styleId="TOC8">
    <w:name w:val="toc 8"/>
    <w:basedOn w:val="TOC4"/>
    <w:semiHidden/>
    <w:rsid w:val="00CE2F9E"/>
  </w:style>
  <w:style w:type="paragraph" w:customStyle="1" w:styleId="RectitleBR">
    <w:name w:val="Rec_title_BR"/>
    <w:basedOn w:val="Normal"/>
    <w:next w:val="Recref"/>
    <w:uiPriority w:val="99"/>
    <w:rsid w:val="00CE2F9E"/>
    <w:pPr>
      <w:keepNext/>
      <w:keepLines/>
      <w:spacing w:before="240"/>
      <w:jc w:val="center"/>
    </w:pPr>
    <w:rPr>
      <w:b/>
      <w:sz w:val="28"/>
    </w:rPr>
  </w:style>
  <w:style w:type="paragraph" w:customStyle="1" w:styleId="Annexref">
    <w:name w:val="Annex_ref"/>
    <w:basedOn w:val="Normal"/>
    <w:next w:val="Normalaftertitle"/>
    <w:rsid w:val="00CE2F9E"/>
    <w:pPr>
      <w:keepNext/>
      <w:keepLines/>
      <w:spacing w:after="280"/>
      <w:jc w:val="center"/>
    </w:pPr>
  </w:style>
  <w:style w:type="paragraph" w:customStyle="1" w:styleId="Appendixref">
    <w:name w:val="Appendix_ref"/>
    <w:basedOn w:val="Annexref"/>
    <w:next w:val="Normalaftertitle"/>
    <w:rsid w:val="00CE2F9E"/>
  </w:style>
  <w:style w:type="paragraph" w:customStyle="1" w:styleId="Figuretitle">
    <w:name w:val="Figure_title"/>
    <w:basedOn w:val="Normal"/>
    <w:next w:val="Figure"/>
    <w:link w:val="FiguretitleChar"/>
    <w:uiPriority w:val="99"/>
    <w:rsid w:val="00CE2F9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uiPriority w:val="99"/>
    <w:rsid w:val="00CE2F9E"/>
    <w:pPr>
      <w:keepNext/>
      <w:spacing w:before="0" w:after="120"/>
      <w:jc w:val="center"/>
    </w:pPr>
    <w:rPr>
      <w:b/>
    </w:rPr>
  </w:style>
  <w:style w:type="paragraph" w:customStyle="1" w:styleId="Summary">
    <w:name w:val="Summary"/>
    <w:basedOn w:val="Normal"/>
    <w:next w:val="Normalaftertitle"/>
    <w:uiPriority w:val="99"/>
    <w:rsid w:val="00CE2F9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uiPriority w:val="99"/>
    <w:rsid w:val="00A6617B"/>
    <w:pPr>
      <w:keepNext w:val="0"/>
      <w:spacing w:before="0" w:after="240"/>
    </w:pPr>
  </w:style>
  <w:style w:type="character" w:styleId="Hyperlink">
    <w:name w:val="Hyperlink"/>
    <w:basedOn w:val="DefaultParagraphFont"/>
    <w:uiPriority w:val="99"/>
    <w:rsid w:val="00DA3243"/>
    <w:rPr>
      <w:rFonts w:cs="Times New Roman"/>
      <w:color w:val="0000FF"/>
      <w:u w:val="single"/>
    </w:rPr>
  </w:style>
  <w:style w:type="paragraph" w:styleId="BodyTextIndent">
    <w:name w:val="Body Text Indent"/>
    <w:aliases w:val="Основной текст 1,Основной текст 11,Основной текст 12,Основной текст 12 Знак Знак,Основной текст 1 Знак Знак Знак Знак,Основной текст 1 Знак Знак Знак,Основной текст 12 Знак Знак Знак,Основной текст 12 Знак"/>
    <w:basedOn w:val="Normal"/>
    <w:link w:val="BodyTextIndentChar"/>
    <w:uiPriority w:val="99"/>
    <w:rsid w:val="00AD0B89"/>
    <w:pPr>
      <w:tabs>
        <w:tab w:val="clear" w:pos="794"/>
        <w:tab w:val="clear" w:pos="1191"/>
        <w:tab w:val="clear" w:pos="1588"/>
        <w:tab w:val="clear" w:pos="1985"/>
      </w:tabs>
      <w:overflowPunct/>
      <w:autoSpaceDE/>
      <w:autoSpaceDN/>
      <w:adjustRightInd/>
      <w:spacing w:before="60" w:after="60"/>
      <w:ind w:firstLine="709"/>
      <w:jc w:val="left"/>
      <w:textAlignment w:val="auto"/>
    </w:pPr>
    <w:rPr>
      <w:szCs w:val="24"/>
      <w:lang w:val="ru-RU" w:eastAsia="ru-RU"/>
    </w:rPr>
  </w:style>
  <w:style w:type="character" w:customStyle="1" w:styleId="BodyTextIndentChar">
    <w:name w:val="Body Text Indent Char"/>
    <w:aliases w:val="Основной текст 1 Char,Основной текст 11 Char,Основной текст 12 Char,Основной текст 12 Знак Знак Char,Основной текст 1 Знак Знак Знак Знак Char,Основной текст 1 Знак Знак Знак Char,Основной текст 12 Знак Знак Знак Char"/>
    <w:basedOn w:val="DefaultParagraphFont"/>
    <w:link w:val="BodyTextIndent"/>
    <w:uiPriority w:val="99"/>
    <w:locked/>
    <w:rsid w:val="00AD0B89"/>
    <w:rPr>
      <w:rFonts w:cs="Times New Roman"/>
      <w:sz w:val="24"/>
      <w:szCs w:val="24"/>
      <w:lang w:val="ru-RU" w:eastAsia="ru-RU"/>
    </w:rPr>
  </w:style>
  <w:style w:type="paragraph" w:customStyle="1" w:styleId="TableText0">
    <w:name w:val="Table_Text"/>
    <w:basedOn w:val="Normal"/>
    <w:uiPriority w:val="99"/>
    <w:rsid w:val="00AD0B8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sz w:val="22"/>
    </w:rPr>
  </w:style>
  <w:style w:type="table" w:styleId="TableGrid">
    <w:name w:val="Table Grid"/>
    <w:basedOn w:val="TableNormal"/>
    <w:uiPriority w:val="99"/>
    <w:rsid w:val="000D2B2B"/>
    <w:pPr>
      <w:tabs>
        <w:tab w:val="left" w:pos="794"/>
        <w:tab w:val="left" w:pos="1191"/>
        <w:tab w:val="left" w:pos="1588"/>
        <w:tab w:val="left" w:pos="1985"/>
      </w:tabs>
      <w:overflowPunct w:val="0"/>
      <w:autoSpaceDE w:val="0"/>
      <w:autoSpaceDN w:val="0"/>
      <w:adjustRightInd w:val="0"/>
      <w:spacing w:before="120"/>
      <w:jc w:val="both"/>
      <w:textAlignment w:val="baseline"/>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970AB5"/>
    <w:pPr>
      <w:spacing w:before="0"/>
    </w:pPr>
    <w:rPr>
      <w:rFonts w:ascii="SimSun"/>
      <w:sz w:val="18"/>
      <w:szCs w:val="18"/>
    </w:rPr>
  </w:style>
  <w:style w:type="character" w:customStyle="1" w:styleId="BalloonTextChar">
    <w:name w:val="Balloon Text Char"/>
    <w:basedOn w:val="DefaultParagraphFont"/>
    <w:link w:val="BalloonText"/>
    <w:uiPriority w:val="99"/>
    <w:locked/>
    <w:rsid w:val="00970AB5"/>
    <w:rPr>
      <w:rFonts w:ascii="SimSun" w:eastAsia="SimSun" w:cs="Times New Roman"/>
      <w:sz w:val="18"/>
      <w:szCs w:val="18"/>
      <w:lang w:val="fr-FR" w:eastAsia="en-US"/>
    </w:rPr>
  </w:style>
  <w:style w:type="character" w:customStyle="1" w:styleId="shorttext">
    <w:name w:val="short_text"/>
    <w:basedOn w:val="DefaultParagraphFont"/>
    <w:uiPriority w:val="99"/>
    <w:rsid w:val="00571DE3"/>
    <w:rPr>
      <w:rFonts w:cs="Times New Roman"/>
    </w:rPr>
  </w:style>
  <w:style w:type="character" w:customStyle="1" w:styleId="hps">
    <w:name w:val="hps"/>
    <w:basedOn w:val="DefaultParagraphFont"/>
    <w:uiPriority w:val="99"/>
    <w:rsid w:val="00571DE3"/>
    <w:rPr>
      <w:rFonts w:cs="Times New Roman"/>
    </w:rPr>
  </w:style>
  <w:style w:type="character" w:customStyle="1" w:styleId="gt-icon-text1">
    <w:name w:val="gt-icon-text1"/>
    <w:basedOn w:val="DefaultParagraphFont"/>
    <w:uiPriority w:val="99"/>
    <w:rsid w:val="00550736"/>
    <w:rPr>
      <w:rFonts w:cs="Times New Roman"/>
    </w:rPr>
  </w:style>
  <w:style w:type="paragraph" w:styleId="NormalWeb">
    <w:name w:val="Normal (Web)"/>
    <w:basedOn w:val="Normal"/>
    <w:uiPriority w:val="99"/>
    <w:unhideWhenUsed/>
    <w:rsid w:val="00D1286E"/>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en-US" w:eastAsia="zh-CN"/>
    </w:rPr>
  </w:style>
  <w:style w:type="paragraph" w:customStyle="1" w:styleId="Normalaftertitle0">
    <w:name w:val="Normal after title"/>
    <w:basedOn w:val="Normal"/>
    <w:next w:val="Normal"/>
    <w:uiPriority w:val="99"/>
    <w:rsid w:val="009B2E3E"/>
    <w:pPr>
      <w:tabs>
        <w:tab w:val="clear" w:pos="794"/>
        <w:tab w:val="clear" w:pos="1191"/>
        <w:tab w:val="clear" w:pos="1588"/>
        <w:tab w:val="clear" w:pos="1985"/>
        <w:tab w:val="left" w:pos="1134"/>
        <w:tab w:val="left" w:pos="1871"/>
        <w:tab w:val="left" w:pos="2268"/>
      </w:tabs>
      <w:spacing w:before="280"/>
      <w:jc w:val="left"/>
    </w:pPr>
    <w:rPr>
      <w:rFonts w:eastAsia="Times New Roman"/>
      <w:lang w:val="en-GB"/>
    </w:rPr>
  </w:style>
  <w:style w:type="character" w:customStyle="1" w:styleId="enumlev1Char">
    <w:name w:val="enumlev1 Char"/>
    <w:basedOn w:val="DefaultParagraphFont"/>
    <w:link w:val="enumlev1"/>
    <w:locked/>
    <w:rsid w:val="009B2E3E"/>
    <w:rPr>
      <w:sz w:val="24"/>
      <w:szCs w:val="20"/>
      <w:lang w:val="fr-FR" w:eastAsia="en-US"/>
    </w:rPr>
  </w:style>
  <w:style w:type="character" w:customStyle="1" w:styleId="NormalaftertitleChar">
    <w:name w:val="Normal_after_title Char"/>
    <w:link w:val="Normalaftertitle"/>
    <w:locked/>
    <w:rsid w:val="009B2E3E"/>
    <w:rPr>
      <w:sz w:val="24"/>
      <w:szCs w:val="20"/>
      <w:lang w:val="fr-FR" w:eastAsia="en-US"/>
    </w:rPr>
  </w:style>
  <w:style w:type="character" w:customStyle="1" w:styleId="CallChar">
    <w:name w:val="Call Char"/>
    <w:link w:val="Call"/>
    <w:locked/>
    <w:rsid w:val="009B2E3E"/>
    <w:rPr>
      <w:i/>
      <w:sz w:val="24"/>
      <w:szCs w:val="20"/>
      <w:lang w:val="fr-FR" w:eastAsia="en-US"/>
    </w:rPr>
  </w:style>
  <w:style w:type="character" w:customStyle="1" w:styleId="TabletextChar">
    <w:name w:val="Table_text Char"/>
    <w:link w:val="Tabletext"/>
    <w:locked/>
    <w:rsid w:val="009B2E3E"/>
    <w:rPr>
      <w:szCs w:val="20"/>
      <w:lang w:val="fr-FR" w:eastAsia="en-US"/>
    </w:rPr>
  </w:style>
  <w:style w:type="character" w:customStyle="1" w:styleId="HeadingbChar">
    <w:name w:val="Heading_b Char"/>
    <w:link w:val="Headingb"/>
    <w:locked/>
    <w:rsid w:val="009B2E3E"/>
    <w:rPr>
      <w:b/>
      <w:sz w:val="24"/>
      <w:szCs w:val="20"/>
      <w:lang w:val="fr-FR" w:eastAsia="en-US"/>
    </w:rPr>
  </w:style>
  <w:style w:type="paragraph" w:customStyle="1" w:styleId="Char1CharChar1Char">
    <w:name w:val="Char1 Char Char1 Char"/>
    <w:basedOn w:val="Normal"/>
    <w:rsid w:val="00E134E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Times New Roman" w:hAnsi="Verdana"/>
      <w:lang w:val="en-US"/>
    </w:rPr>
  </w:style>
  <w:style w:type="paragraph" w:customStyle="1" w:styleId="Reasons">
    <w:name w:val="Reasons"/>
    <w:basedOn w:val="Normal"/>
    <w:qFormat/>
    <w:rsid w:val="006145AB"/>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paragraph" w:customStyle="1" w:styleId="RecNo">
    <w:name w:val="Rec_No"/>
    <w:basedOn w:val="Normal"/>
    <w:next w:val="Rectitle"/>
    <w:uiPriority w:val="99"/>
    <w:rsid w:val="00FD1351"/>
    <w:pPr>
      <w:keepNext/>
      <w:keepLines/>
      <w:tabs>
        <w:tab w:val="clear" w:pos="794"/>
        <w:tab w:val="clear" w:pos="1191"/>
        <w:tab w:val="clear" w:pos="1588"/>
        <w:tab w:val="clear" w:pos="1985"/>
      </w:tabs>
      <w:spacing w:before="480"/>
      <w:jc w:val="center"/>
    </w:pPr>
    <w:rPr>
      <w:rFonts w:eastAsia="Times New Roman"/>
      <w:sz w:val="28"/>
    </w:rPr>
  </w:style>
  <w:style w:type="paragraph" w:customStyle="1" w:styleId="Rectitle">
    <w:name w:val="Rec_title"/>
    <w:basedOn w:val="Normal"/>
    <w:next w:val="Recref"/>
    <w:link w:val="RectitleChar"/>
    <w:rsid w:val="00FD1351"/>
    <w:pPr>
      <w:keepNext/>
      <w:keepLines/>
      <w:spacing w:before="240"/>
      <w:jc w:val="center"/>
    </w:pPr>
    <w:rPr>
      <w:rFonts w:eastAsia="Times New Roman"/>
      <w:b/>
      <w:sz w:val="28"/>
    </w:rPr>
  </w:style>
  <w:style w:type="character" w:customStyle="1" w:styleId="RectitleChar">
    <w:name w:val="Rec_title Char"/>
    <w:basedOn w:val="DefaultParagraphFont"/>
    <w:link w:val="Rectitle"/>
    <w:locked/>
    <w:rsid w:val="00FD1351"/>
    <w:rPr>
      <w:rFonts w:eastAsia="Times New Roman"/>
      <w:b/>
      <w:sz w:val="28"/>
      <w:szCs w:val="20"/>
      <w:lang w:val="fr-FR" w:eastAsia="en-US"/>
    </w:rPr>
  </w:style>
  <w:style w:type="character" w:customStyle="1" w:styleId="TabletitleChar">
    <w:name w:val="Table_title Char"/>
    <w:basedOn w:val="DefaultParagraphFont"/>
    <w:link w:val="Tabletitle"/>
    <w:rsid w:val="00FD1351"/>
    <w:rPr>
      <w:b/>
      <w:sz w:val="24"/>
      <w:szCs w:val="20"/>
      <w:lang w:val="fr-FR" w:eastAsia="en-US"/>
    </w:rPr>
  </w:style>
  <w:style w:type="character" w:customStyle="1" w:styleId="FiguretitleChar">
    <w:name w:val="Figure_title Char"/>
    <w:basedOn w:val="TabletitleChar"/>
    <w:link w:val="Figuretitle"/>
    <w:rsid w:val="00FD1351"/>
    <w:rPr>
      <w:rFonts w:ascii="Times New Roman Bold" w:hAnsi="Times New Roman Bold"/>
      <w:b/>
      <w:sz w:val="18"/>
      <w:szCs w:val="20"/>
      <w:lang w:val="fr-FR" w:eastAsia="en-US"/>
    </w:rPr>
  </w:style>
  <w:style w:type="character" w:customStyle="1" w:styleId="FigureNo0">
    <w:name w:val="Figure_No (文字)"/>
    <w:basedOn w:val="DefaultParagraphFont"/>
    <w:link w:val="FigureNo"/>
    <w:rsid w:val="00FD1351"/>
    <w:rPr>
      <w:caps/>
      <w:sz w:val="18"/>
      <w:szCs w:val="20"/>
      <w:lang w:val="fr-FR" w:eastAsia="en-US"/>
    </w:rPr>
  </w:style>
  <w:style w:type="character" w:customStyle="1" w:styleId="TableNoChar">
    <w:name w:val="Table_No Char"/>
    <w:basedOn w:val="DefaultParagraphFont"/>
    <w:link w:val="TableNo"/>
    <w:rsid w:val="00FD1351"/>
    <w:rPr>
      <w:sz w:val="24"/>
      <w:szCs w:val="20"/>
      <w:lang w:val="fr-FR" w:eastAsia="en-US"/>
    </w:rPr>
  </w:style>
  <w:style w:type="character" w:customStyle="1" w:styleId="TablelegendChar">
    <w:name w:val="Table_legend Char"/>
    <w:basedOn w:val="DefaultParagraphFont"/>
    <w:link w:val="Tablelegend"/>
    <w:rsid w:val="00FD1351"/>
    <w:rPr>
      <w:szCs w:val="20"/>
      <w:lang w:val="fr-FR" w:eastAsia="en-US"/>
    </w:rPr>
  </w:style>
  <w:style w:type="character" w:customStyle="1" w:styleId="TableheadChar">
    <w:name w:val="Table_head Char"/>
    <w:link w:val="Tablehead"/>
    <w:locked/>
    <w:rsid w:val="00FD1351"/>
    <w:rPr>
      <w:b/>
      <w:szCs w:val="20"/>
      <w:lang w:val="fr-FR" w:eastAsia="en-US"/>
    </w:rPr>
  </w:style>
  <w:style w:type="character" w:customStyle="1" w:styleId="ArttitleCar">
    <w:name w:val="Art_title Car"/>
    <w:basedOn w:val="DefaultParagraphFont"/>
    <w:link w:val="Arttitle"/>
    <w:locked/>
    <w:rsid w:val="00FD1351"/>
    <w:rPr>
      <w:b/>
      <w:sz w:val="28"/>
      <w:szCs w:val="20"/>
      <w:lang w:val="fr-FR" w:eastAsia="en-US"/>
    </w:rPr>
  </w:style>
  <w:style w:type="character" w:customStyle="1" w:styleId="ArtNoChar">
    <w:name w:val="Art_No Char"/>
    <w:basedOn w:val="DefaultParagraphFont"/>
    <w:link w:val="ArtNo"/>
    <w:locked/>
    <w:rsid w:val="00FD1351"/>
    <w:rPr>
      <w:sz w:val="28"/>
      <w:szCs w:val="20"/>
      <w:lang w:val="fr-FR" w:eastAsia="en-US"/>
    </w:rPr>
  </w:style>
  <w:style w:type="character" w:customStyle="1" w:styleId="ChaptitleChar">
    <w:name w:val="Chap_title Char"/>
    <w:basedOn w:val="DefaultParagraphFont"/>
    <w:link w:val="Chaptitle"/>
    <w:locked/>
    <w:rsid w:val="00FD1351"/>
    <w:rPr>
      <w:b/>
      <w:sz w:val="28"/>
      <w:szCs w:val="20"/>
      <w:lang w:val="fr-FR" w:eastAsia="en-US"/>
    </w:rPr>
  </w:style>
  <w:style w:type="character" w:customStyle="1" w:styleId="EquationlegendChar">
    <w:name w:val="Equation_legend Char"/>
    <w:basedOn w:val="DefaultParagraphFont"/>
    <w:link w:val="Equationlegend"/>
    <w:locked/>
    <w:rsid w:val="00FD1351"/>
    <w:rPr>
      <w:sz w:val="24"/>
      <w:szCs w:val="20"/>
      <w:lang w:eastAsia="en-US"/>
    </w:rPr>
  </w:style>
  <w:style w:type="character" w:customStyle="1" w:styleId="NoteChar">
    <w:name w:val="Note Char"/>
    <w:basedOn w:val="DefaultParagraphFont"/>
    <w:link w:val="Note"/>
    <w:locked/>
    <w:rsid w:val="00FD1351"/>
    <w:rPr>
      <w:szCs w:val="20"/>
      <w:lang w:val="fr-FR" w:eastAsia="en-US"/>
    </w:rPr>
  </w:style>
  <w:style w:type="character" w:customStyle="1" w:styleId="RestitleChar">
    <w:name w:val="Res_title Char"/>
    <w:basedOn w:val="DefaultParagraphFont"/>
    <w:link w:val="Restitle"/>
    <w:locked/>
    <w:rsid w:val="00FD1351"/>
    <w:rPr>
      <w:b/>
      <w:sz w:val="28"/>
      <w:szCs w:val="20"/>
      <w:lang w:val="fr-FR" w:eastAsia="en-US"/>
    </w:rPr>
  </w:style>
  <w:style w:type="character" w:customStyle="1" w:styleId="ResNoChar">
    <w:name w:val="Res_No Char"/>
    <w:basedOn w:val="DefaultParagraphFont"/>
    <w:link w:val="ResNo"/>
    <w:locked/>
    <w:rsid w:val="00FD1351"/>
    <w:rPr>
      <w:sz w:val="28"/>
      <w:szCs w:val="20"/>
      <w:lang w:val="fr-FR" w:eastAsia="en-US"/>
    </w:rPr>
  </w:style>
  <w:style w:type="character" w:customStyle="1" w:styleId="AnnexNoTitleChar">
    <w:name w:val="Annex_NoTitle Char"/>
    <w:link w:val="AnnexNoTitle"/>
    <w:locked/>
    <w:rsid w:val="00FD1351"/>
    <w:rPr>
      <w:b/>
      <w:sz w:val="28"/>
      <w:szCs w:val="20"/>
      <w:lang w:val="fr-FR" w:eastAsia="en-US"/>
    </w:rPr>
  </w:style>
  <w:style w:type="paragraph" w:styleId="Revision">
    <w:name w:val="Revision"/>
    <w:hidden/>
    <w:uiPriority w:val="99"/>
    <w:semiHidden/>
    <w:rsid w:val="00FD1351"/>
    <w:rPr>
      <w:rFonts w:eastAsia="Times New Roman"/>
      <w:sz w:val="24"/>
      <w:szCs w:val="20"/>
      <w:lang w:val="en-GB" w:eastAsia="en-US"/>
    </w:rPr>
  </w:style>
  <w:style w:type="character" w:styleId="FollowedHyperlink">
    <w:name w:val="FollowedHyperlink"/>
    <w:basedOn w:val="DefaultParagraphFont"/>
    <w:uiPriority w:val="99"/>
    <w:semiHidden/>
    <w:unhideWhenUsed/>
    <w:rsid w:val="00FD1351"/>
    <w:rPr>
      <w:color w:val="800080" w:themeColor="followedHyperlink"/>
      <w:u w:val="single"/>
    </w:rPr>
  </w:style>
  <w:style w:type="paragraph" w:styleId="ListParagraph">
    <w:name w:val="List Paragraph"/>
    <w:basedOn w:val="Normal"/>
    <w:uiPriority w:val="34"/>
    <w:qFormat/>
    <w:rsid w:val="00DA1C8C"/>
    <w:pPr>
      <w:ind w:firstLineChars="200" w:firstLine="420"/>
    </w:pPr>
  </w:style>
  <w:style w:type="paragraph" w:customStyle="1" w:styleId="AnnexNo">
    <w:name w:val="Annex_No"/>
    <w:basedOn w:val="Normal"/>
    <w:next w:val="Normal"/>
    <w:uiPriority w:val="99"/>
    <w:rsid w:val="00C332D4"/>
    <w:pPr>
      <w:keepNext/>
      <w:keepLines/>
      <w:tabs>
        <w:tab w:val="clear" w:pos="794"/>
        <w:tab w:val="clear" w:pos="1191"/>
        <w:tab w:val="clear" w:pos="1588"/>
        <w:tab w:val="clear" w:pos="1985"/>
        <w:tab w:val="left" w:pos="1134"/>
        <w:tab w:val="left" w:pos="1871"/>
        <w:tab w:val="left" w:pos="2268"/>
      </w:tabs>
      <w:spacing w:before="480" w:after="80"/>
      <w:jc w:val="center"/>
    </w:pPr>
    <w:rPr>
      <w:rFonts w:eastAsiaTheme="minorEastAsia"/>
      <w:caps/>
      <w:sz w:val="28"/>
      <w:lang w:val="en-GB"/>
    </w:rPr>
  </w:style>
  <w:style w:type="paragraph" w:customStyle="1" w:styleId="Annextitle">
    <w:name w:val="Annex_title"/>
    <w:basedOn w:val="Normal"/>
    <w:next w:val="Normal"/>
    <w:uiPriority w:val="99"/>
    <w:rsid w:val="00C332D4"/>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Theme="minorEastAsia" w:hAnsi="Times New Roman Bold"/>
      <w:b/>
      <w:sz w:val="2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893247">
      <w:bodyDiv w:val="1"/>
      <w:marLeft w:val="0"/>
      <w:marRight w:val="0"/>
      <w:marTop w:val="0"/>
      <w:marBottom w:val="0"/>
      <w:divBdr>
        <w:top w:val="none" w:sz="0" w:space="0" w:color="auto"/>
        <w:left w:val="none" w:sz="0" w:space="0" w:color="auto"/>
        <w:bottom w:val="none" w:sz="0" w:space="0" w:color="auto"/>
        <w:right w:val="none" w:sz="0" w:space="0" w:color="auto"/>
      </w:divBdr>
    </w:div>
    <w:div w:id="273636020">
      <w:bodyDiv w:val="1"/>
      <w:marLeft w:val="0"/>
      <w:marRight w:val="0"/>
      <w:marTop w:val="0"/>
      <w:marBottom w:val="0"/>
      <w:divBdr>
        <w:top w:val="none" w:sz="0" w:space="0" w:color="auto"/>
        <w:left w:val="none" w:sz="0" w:space="0" w:color="auto"/>
        <w:bottom w:val="none" w:sz="0" w:space="0" w:color="auto"/>
        <w:right w:val="none" w:sz="0" w:space="0" w:color="auto"/>
      </w:divBdr>
    </w:div>
    <w:div w:id="699666094">
      <w:bodyDiv w:val="1"/>
      <w:marLeft w:val="0"/>
      <w:marRight w:val="0"/>
      <w:marTop w:val="0"/>
      <w:marBottom w:val="0"/>
      <w:divBdr>
        <w:top w:val="none" w:sz="0" w:space="0" w:color="auto"/>
        <w:left w:val="none" w:sz="0" w:space="0" w:color="auto"/>
        <w:bottom w:val="none" w:sz="0" w:space="0" w:color="auto"/>
        <w:right w:val="none" w:sz="0" w:space="0" w:color="auto"/>
      </w:divBdr>
    </w:div>
    <w:div w:id="1447384270">
      <w:bodyDiv w:val="1"/>
      <w:marLeft w:val="0"/>
      <w:marRight w:val="0"/>
      <w:marTop w:val="0"/>
      <w:marBottom w:val="0"/>
      <w:divBdr>
        <w:top w:val="none" w:sz="0" w:space="0" w:color="auto"/>
        <w:left w:val="none" w:sz="0" w:space="0" w:color="auto"/>
        <w:bottom w:val="none" w:sz="0" w:space="0" w:color="auto"/>
        <w:right w:val="none" w:sz="0" w:space="0" w:color="auto"/>
      </w:divBdr>
    </w:div>
    <w:div w:id="1913462976">
      <w:marLeft w:val="0"/>
      <w:marRight w:val="0"/>
      <w:marTop w:val="0"/>
      <w:marBottom w:val="0"/>
      <w:divBdr>
        <w:top w:val="none" w:sz="0" w:space="0" w:color="auto"/>
        <w:left w:val="none" w:sz="0" w:space="0" w:color="auto"/>
        <w:bottom w:val="none" w:sz="0" w:space="0" w:color="auto"/>
        <w:right w:val="none" w:sz="0" w:space="0" w:color="auto"/>
      </w:divBdr>
      <w:divsChild>
        <w:div w:id="1913463000">
          <w:marLeft w:val="0"/>
          <w:marRight w:val="0"/>
          <w:marTop w:val="0"/>
          <w:marBottom w:val="0"/>
          <w:divBdr>
            <w:top w:val="none" w:sz="0" w:space="0" w:color="auto"/>
            <w:left w:val="none" w:sz="0" w:space="0" w:color="auto"/>
            <w:bottom w:val="none" w:sz="0" w:space="0" w:color="auto"/>
            <w:right w:val="none" w:sz="0" w:space="0" w:color="auto"/>
          </w:divBdr>
          <w:divsChild>
            <w:div w:id="1913462979">
              <w:marLeft w:val="0"/>
              <w:marRight w:val="0"/>
              <w:marTop w:val="0"/>
              <w:marBottom w:val="0"/>
              <w:divBdr>
                <w:top w:val="none" w:sz="0" w:space="0" w:color="auto"/>
                <w:left w:val="none" w:sz="0" w:space="0" w:color="auto"/>
                <w:bottom w:val="none" w:sz="0" w:space="0" w:color="auto"/>
                <w:right w:val="none" w:sz="0" w:space="0" w:color="auto"/>
              </w:divBdr>
              <w:divsChild>
                <w:div w:id="1913462991">
                  <w:marLeft w:val="0"/>
                  <w:marRight w:val="0"/>
                  <w:marTop w:val="0"/>
                  <w:marBottom w:val="0"/>
                  <w:divBdr>
                    <w:top w:val="none" w:sz="0" w:space="0" w:color="auto"/>
                    <w:left w:val="none" w:sz="0" w:space="0" w:color="auto"/>
                    <w:bottom w:val="none" w:sz="0" w:space="0" w:color="auto"/>
                    <w:right w:val="none" w:sz="0" w:space="0" w:color="auto"/>
                  </w:divBdr>
                  <w:divsChild>
                    <w:div w:id="1913462982">
                      <w:marLeft w:val="0"/>
                      <w:marRight w:val="0"/>
                      <w:marTop w:val="0"/>
                      <w:marBottom w:val="0"/>
                      <w:divBdr>
                        <w:top w:val="none" w:sz="0" w:space="0" w:color="auto"/>
                        <w:left w:val="none" w:sz="0" w:space="0" w:color="auto"/>
                        <w:bottom w:val="none" w:sz="0" w:space="0" w:color="auto"/>
                        <w:right w:val="none" w:sz="0" w:space="0" w:color="auto"/>
                      </w:divBdr>
                      <w:divsChild>
                        <w:div w:id="1913462993">
                          <w:marLeft w:val="0"/>
                          <w:marRight w:val="0"/>
                          <w:marTop w:val="0"/>
                          <w:marBottom w:val="0"/>
                          <w:divBdr>
                            <w:top w:val="none" w:sz="0" w:space="0" w:color="auto"/>
                            <w:left w:val="none" w:sz="0" w:space="0" w:color="auto"/>
                            <w:bottom w:val="none" w:sz="0" w:space="0" w:color="auto"/>
                            <w:right w:val="none" w:sz="0" w:space="0" w:color="auto"/>
                          </w:divBdr>
                          <w:divsChild>
                            <w:div w:id="1913462997">
                              <w:marLeft w:val="0"/>
                              <w:marRight w:val="0"/>
                              <w:marTop w:val="0"/>
                              <w:marBottom w:val="0"/>
                              <w:divBdr>
                                <w:top w:val="none" w:sz="0" w:space="0" w:color="auto"/>
                                <w:left w:val="none" w:sz="0" w:space="0" w:color="auto"/>
                                <w:bottom w:val="none" w:sz="0" w:space="0" w:color="auto"/>
                                <w:right w:val="none" w:sz="0" w:space="0" w:color="auto"/>
                              </w:divBdr>
                              <w:divsChild>
                                <w:div w:id="191346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3462981">
      <w:marLeft w:val="0"/>
      <w:marRight w:val="0"/>
      <w:marTop w:val="0"/>
      <w:marBottom w:val="0"/>
      <w:divBdr>
        <w:top w:val="none" w:sz="0" w:space="0" w:color="auto"/>
        <w:left w:val="none" w:sz="0" w:space="0" w:color="auto"/>
        <w:bottom w:val="none" w:sz="0" w:space="0" w:color="auto"/>
        <w:right w:val="none" w:sz="0" w:space="0" w:color="auto"/>
      </w:divBdr>
      <w:divsChild>
        <w:div w:id="1913463004">
          <w:marLeft w:val="0"/>
          <w:marRight w:val="0"/>
          <w:marTop w:val="0"/>
          <w:marBottom w:val="0"/>
          <w:divBdr>
            <w:top w:val="none" w:sz="0" w:space="0" w:color="auto"/>
            <w:left w:val="none" w:sz="0" w:space="0" w:color="auto"/>
            <w:bottom w:val="none" w:sz="0" w:space="0" w:color="auto"/>
            <w:right w:val="none" w:sz="0" w:space="0" w:color="auto"/>
          </w:divBdr>
          <w:divsChild>
            <w:div w:id="1913462989">
              <w:marLeft w:val="0"/>
              <w:marRight w:val="0"/>
              <w:marTop w:val="0"/>
              <w:marBottom w:val="0"/>
              <w:divBdr>
                <w:top w:val="none" w:sz="0" w:space="0" w:color="auto"/>
                <w:left w:val="none" w:sz="0" w:space="0" w:color="auto"/>
                <w:bottom w:val="none" w:sz="0" w:space="0" w:color="auto"/>
                <w:right w:val="none" w:sz="0" w:space="0" w:color="auto"/>
              </w:divBdr>
              <w:divsChild>
                <w:div w:id="1913462977">
                  <w:marLeft w:val="0"/>
                  <w:marRight w:val="0"/>
                  <w:marTop w:val="0"/>
                  <w:marBottom w:val="0"/>
                  <w:divBdr>
                    <w:top w:val="none" w:sz="0" w:space="0" w:color="auto"/>
                    <w:left w:val="none" w:sz="0" w:space="0" w:color="auto"/>
                    <w:bottom w:val="none" w:sz="0" w:space="0" w:color="auto"/>
                    <w:right w:val="none" w:sz="0" w:space="0" w:color="auto"/>
                  </w:divBdr>
                  <w:divsChild>
                    <w:div w:id="1913462992">
                      <w:marLeft w:val="0"/>
                      <w:marRight w:val="0"/>
                      <w:marTop w:val="0"/>
                      <w:marBottom w:val="0"/>
                      <w:divBdr>
                        <w:top w:val="none" w:sz="0" w:space="0" w:color="auto"/>
                        <w:left w:val="none" w:sz="0" w:space="0" w:color="auto"/>
                        <w:bottom w:val="none" w:sz="0" w:space="0" w:color="auto"/>
                        <w:right w:val="none" w:sz="0" w:space="0" w:color="auto"/>
                      </w:divBdr>
                      <w:divsChild>
                        <w:div w:id="1913462974">
                          <w:marLeft w:val="0"/>
                          <w:marRight w:val="0"/>
                          <w:marTop w:val="0"/>
                          <w:marBottom w:val="0"/>
                          <w:divBdr>
                            <w:top w:val="none" w:sz="0" w:space="0" w:color="auto"/>
                            <w:left w:val="none" w:sz="0" w:space="0" w:color="auto"/>
                            <w:bottom w:val="none" w:sz="0" w:space="0" w:color="auto"/>
                            <w:right w:val="none" w:sz="0" w:space="0" w:color="auto"/>
                          </w:divBdr>
                          <w:divsChild>
                            <w:div w:id="1913462985">
                              <w:marLeft w:val="0"/>
                              <w:marRight w:val="0"/>
                              <w:marTop w:val="0"/>
                              <w:marBottom w:val="0"/>
                              <w:divBdr>
                                <w:top w:val="none" w:sz="0" w:space="0" w:color="auto"/>
                                <w:left w:val="none" w:sz="0" w:space="0" w:color="auto"/>
                                <w:bottom w:val="none" w:sz="0" w:space="0" w:color="auto"/>
                                <w:right w:val="none" w:sz="0" w:space="0" w:color="auto"/>
                              </w:divBdr>
                              <w:divsChild>
                                <w:div w:id="1913462978">
                                  <w:marLeft w:val="0"/>
                                  <w:marRight w:val="0"/>
                                  <w:marTop w:val="0"/>
                                  <w:marBottom w:val="0"/>
                                  <w:divBdr>
                                    <w:top w:val="none" w:sz="0" w:space="0" w:color="auto"/>
                                    <w:left w:val="none" w:sz="0" w:space="0" w:color="auto"/>
                                    <w:bottom w:val="none" w:sz="0" w:space="0" w:color="auto"/>
                                    <w:right w:val="none" w:sz="0" w:space="0" w:color="auto"/>
                                  </w:divBdr>
                                </w:div>
                              </w:divsChild>
                            </w:div>
                            <w:div w:id="1913462986">
                              <w:marLeft w:val="0"/>
                              <w:marRight w:val="0"/>
                              <w:marTop w:val="480"/>
                              <w:marBottom w:val="0"/>
                              <w:divBdr>
                                <w:top w:val="none" w:sz="0" w:space="0" w:color="auto"/>
                                <w:left w:val="none" w:sz="0" w:space="0" w:color="auto"/>
                                <w:bottom w:val="none" w:sz="0" w:space="0" w:color="auto"/>
                                <w:right w:val="none" w:sz="0" w:space="0" w:color="auto"/>
                              </w:divBdr>
                            </w:div>
                            <w:div w:id="1913462998">
                              <w:marLeft w:val="0"/>
                              <w:marRight w:val="0"/>
                              <w:marTop w:val="240"/>
                              <w:marBottom w:val="0"/>
                              <w:divBdr>
                                <w:top w:val="none" w:sz="0" w:space="0" w:color="auto"/>
                                <w:left w:val="none" w:sz="0" w:space="0" w:color="auto"/>
                                <w:bottom w:val="none" w:sz="0" w:space="0" w:color="auto"/>
                                <w:right w:val="none" w:sz="0" w:space="0" w:color="auto"/>
                              </w:divBdr>
                            </w:div>
                            <w:div w:id="1913462999">
                              <w:marLeft w:val="0"/>
                              <w:marRight w:val="0"/>
                              <w:marTop w:val="0"/>
                              <w:marBottom w:val="0"/>
                              <w:divBdr>
                                <w:top w:val="none" w:sz="0" w:space="0" w:color="auto"/>
                                <w:left w:val="none" w:sz="0" w:space="0" w:color="auto"/>
                                <w:bottom w:val="none" w:sz="0" w:space="0" w:color="auto"/>
                                <w:right w:val="none" w:sz="0" w:space="0" w:color="auto"/>
                              </w:divBdr>
                            </w:div>
                            <w:div w:id="1913463003">
                              <w:marLeft w:val="0"/>
                              <w:marRight w:val="0"/>
                              <w:marTop w:val="240"/>
                              <w:marBottom w:val="0"/>
                              <w:divBdr>
                                <w:top w:val="none" w:sz="0" w:space="0" w:color="auto"/>
                                <w:left w:val="none" w:sz="0" w:space="0" w:color="auto"/>
                                <w:bottom w:val="none" w:sz="0" w:space="0" w:color="auto"/>
                                <w:right w:val="none" w:sz="0" w:space="0" w:color="auto"/>
                              </w:divBdr>
                              <w:divsChild>
                                <w:div w:id="1913462980">
                                  <w:marLeft w:val="0"/>
                                  <w:marRight w:val="240"/>
                                  <w:marTop w:val="0"/>
                                  <w:marBottom w:val="0"/>
                                  <w:divBdr>
                                    <w:top w:val="none" w:sz="0" w:space="0" w:color="auto"/>
                                    <w:left w:val="none" w:sz="0" w:space="0" w:color="auto"/>
                                    <w:bottom w:val="none" w:sz="0" w:space="0" w:color="auto"/>
                                    <w:right w:val="none" w:sz="0" w:space="0" w:color="auto"/>
                                  </w:divBdr>
                                </w:div>
                                <w:div w:id="191346299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3462988">
      <w:marLeft w:val="0"/>
      <w:marRight w:val="0"/>
      <w:marTop w:val="0"/>
      <w:marBottom w:val="0"/>
      <w:divBdr>
        <w:top w:val="none" w:sz="0" w:space="0" w:color="auto"/>
        <w:left w:val="none" w:sz="0" w:space="0" w:color="auto"/>
        <w:bottom w:val="none" w:sz="0" w:space="0" w:color="auto"/>
        <w:right w:val="none" w:sz="0" w:space="0" w:color="auto"/>
      </w:divBdr>
      <w:divsChild>
        <w:div w:id="1913462973">
          <w:marLeft w:val="0"/>
          <w:marRight w:val="0"/>
          <w:marTop w:val="0"/>
          <w:marBottom w:val="0"/>
          <w:divBdr>
            <w:top w:val="none" w:sz="0" w:space="0" w:color="auto"/>
            <w:left w:val="none" w:sz="0" w:space="0" w:color="auto"/>
            <w:bottom w:val="none" w:sz="0" w:space="0" w:color="auto"/>
            <w:right w:val="none" w:sz="0" w:space="0" w:color="auto"/>
          </w:divBdr>
          <w:divsChild>
            <w:div w:id="1913462987">
              <w:marLeft w:val="0"/>
              <w:marRight w:val="0"/>
              <w:marTop w:val="0"/>
              <w:marBottom w:val="0"/>
              <w:divBdr>
                <w:top w:val="none" w:sz="0" w:space="0" w:color="auto"/>
                <w:left w:val="none" w:sz="0" w:space="0" w:color="auto"/>
                <w:bottom w:val="none" w:sz="0" w:space="0" w:color="auto"/>
                <w:right w:val="none" w:sz="0" w:space="0" w:color="auto"/>
              </w:divBdr>
              <w:divsChild>
                <w:div w:id="1913462994">
                  <w:marLeft w:val="0"/>
                  <w:marRight w:val="0"/>
                  <w:marTop w:val="0"/>
                  <w:marBottom w:val="0"/>
                  <w:divBdr>
                    <w:top w:val="none" w:sz="0" w:space="0" w:color="auto"/>
                    <w:left w:val="none" w:sz="0" w:space="0" w:color="auto"/>
                    <w:bottom w:val="none" w:sz="0" w:space="0" w:color="auto"/>
                    <w:right w:val="none" w:sz="0" w:space="0" w:color="auto"/>
                  </w:divBdr>
                  <w:divsChild>
                    <w:div w:id="1913462975">
                      <w:marLeft w:val="0"/>
                      <w:marRight w:val="0"/>
                      <w:marTop w:val="0"/>
                      <w:marBottom w:val="0"/>
                      <w:divBdr>
                        <w:top w:val="none" w:sz="0" w:space="0" w:color="auto"/>
                        <w:left w:val="none" w:sz="0" w:space="0" w:color="auto"/>
                        <w:bottom w:val="none" w:sz="0" w:space="0" w:color="auto"/>
                        <w:right w:val="none" w:sz="0" w:space="0" w:color="auto"/>
                      </w:divBdr>
                      <w:divsChild>
                        <w:div w:id="1913463005">
                          <w:marLeft w:val="0"/>
                          <w:marRight w:val="0"/>
                          <w:marTop w:val="0"/>
                          <w:marBottom w:val="0"/>
                          <w:divBdr>
                            <w:top w:val="none" w:sz="0" w:space="0" w:color="auto"/>
                            <w:left w:val="none" w:sz="0" w:space="0" w:color="auto"/>
                            <w:bottom w:val="none" w:sz="0" w:space="0" w:color="auto"/>
                            <w:right w:val="none" w:sz="0" w:space="0" w:color="auto"/>
                          </w:divBdr>
                          <w:divsChild>
                            <w:div w:id="1913463010">
                              <w:marLeft w:val="0"/>
                              <w:marRight w:val="0"/>
                              <w:marTop w:val="0"/>
                              <w:marBottom w:val="0"/>
                              <w:divBdr>
                                <w:top w:val="none" w:sz="0" w:space="0" w:color="auto"/>
                                <w:left w:val="none" w:sz="0" w:space="0" w:color="auto"/>
                                <w:bottom w:val="none" w:sz="0" w:space="0" w:color="auto"/>
                                <w:right w:val="none" w:sz="0" w:space="0" w:color="auto"/>
                              </w:divBdr>
                              <w:divsChild>
                                <w:div w:id="191346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3463007">
      <w:marLeft w:val="0"/>
      <w:marRight w:val="0"/>
      <w:marTop w:val="0"/>
      <w:marBottom w:val="0"/>
      <w:divBdr>
        <w:top w:val="none" w:sz="0" w:space="0" w:color="auto"/>
        <w:left w:val="none" w:sz="0" w:space="0" w:color="auto"/>
        <w:bottom w:val="none" w:sz="0" w:space="0" w:color="auto"/>
        <w:right w:val="none" w:sz="0" w:space="0" w:color="auto"/>
      </w:divBdr>
      <w:divsChild>
        <w:div w:id="1913462990">
          <w:marLeft w:val="0"/>
          <w:marRight w:val="0"/>
          <w:marTop w:val="0"/>
          <w:marBottom w:val="0"/>
          <w:divBdr>
            <w:top w:val="none" w:sz="0" w:space="0" w:color="auto"/>
            <w:left w:val="none" w:sz="0" w:space="0" w:color="auto"/>
            <w:bottom w:val="none" w:sz="0" w:space="0" w:color="auto"/>
            <w:right w:val="none" w:sz="0" w:space="0" w:color="auto"/>
          </w:divBdr>
          <w:divsChild>
            <w:div w:id="1913462983">
              <w:marLeft w:val="0"/>
              <w:marRight w:val="0"/>
              <w:marTop w:val="0"/>
              <w:marBottom w:val="0"/>
              <w:divBdr>
                <w:top w:val="none" w:sz="0" w:space="0" w:color="auto"/>
                <w:left w:val="none" w:sz="0" w:space="0" w:color="auto"/>
                <w:bottom w:val="none" w:sz="0" w:space="0" w:color="auto"/>
                <w:right w:val="none" w:sz="0" w:space="0" w:color="auto"/>
              </w:divBdr>
              <w:divsChild>
                <w:div w:id="1913462996">
                  <w:marLeft w:val="0"/>
                  <w:marRight w:val="0"/>
                  <w:marTop w:val="0"/>
                  <w:marBottom w:val="0"/>
                  <w:divBdr>
                    <w:top w:val="none" w:sz="0" w:space="0" w:color="auto"/>
                    <w:left w:val="none" w:sz="0" w:space="0" w:color="auto"/>
                    <w:bottom w:val="none" w:sz="0" w:space="0" w:color="auto"/>
                    <w:right w:val="none" w:sz="0" w:space="0" w:color="auto"/>
                  </w:divBdr>
                  <w:divsChild>
                    <w:div w:id="1913463001">
                      <w:marLeft w:val="0"/>
                      <w:marRight w:val="0"/>
                      <w:marTop w:val="0"/>
                      <w:marBottom w:val="0"/>
                      <w:divBdr>
                        <w:top w:val="none" w:sz="0" w:space="0" w:color="auto"/>
                        <w:left w:val="none" w:sz="0" w:space="0" w:color="auto"/>
                        <w:bottom w:val="none" w:sz="0" w:space="0" w:color="auto"/>
                        <w:right w:val="none" w:sz="0" w:space="0" w:color="auto"/>
                      </w:divBdr>
                      <w:divsChild>
                        <w:div w:id="1913463008">
                          <w:marLeft w:val="0"/>
                          <w:marRight w:val="0"/>
                          <w:marTop w:val="0"/>
                          <w:marBottom w:val="0"/>
                          <w:divBdr>
                            <w:top w:val="none" w:sz="0" w:space="0" w:color="auto"/>
                            <w:left w:val="none" w:sz="0" w:space="0" w:color="auto"/>
                            <w:bottom w:val="none" w:sz="0" w:space="0" w:color="auto"/>
                            <w:right w:val="none" w:sz="0" w:space="0" w:color="auto"/>
                          </w:divBdr>
                          <w:divsChild>
                            <w:div w:id="1913463009">
                              <w:marLeft w:val="0"/>
                              <w:marRight w:val="0"/>
                              <w:marTop w:val="0"/>
                              <w:marBottom w:val="0"/>
                              <w:divBdr>
                                <w:top w:val="none" w:sz="0" w:space="0" w:color="auto"/>
                                <w:left w:val="none" w:sz="0" w:space="0" w:color="auto"/>
                                <w:bottom w:val="none" w:sz="0" w:space="0" w:color="auto"/>
                                <w:right w:val="none" w:sz="0" w:space="0" w:color="auto"/>
                              </w:divBdr>
                              <w:divsChild>
                                <w:div w:id="191346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yperlink" Target="http://www.cospas-sarsat.int/images/stories/SystemDocs/Current/%20cs_a003_oct_2013.pdf" TargetMode="External"/><Relationship Id="rId10" Type="http://schemas.openxmlformats.org/officeDocument/2006/relationships/hyperlink" Target="http://www.itu.int/ITU-R/go/patents/en"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tu.int/ITU-R/index.asp?category=terrestrial&amp;rlink=terrestrial-monitoring&amp;lang=en"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ABD2F5-908C-4D80-9637-9FFEF7AC1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24</TotalTime>
  <Pages>8</Pages>
  <Words>3670</Words>
  <Characters>1739</Characters>
  <Application>Microsoft Office Word</Application>
  <DocSecurity>0</DocSecurity>
  <Lines>173</Lines>
  <Paragraphs>88</Paragraphs>
  <ScaleCrop>false</ScaleCrop>
  <HeadingPairs>
    <vt:vector size="2" baseType="variant">
      <vt:variant>
        <vt:lpstr>Title</vt:lpstr>
      </vt:variant>
      <vt:variant>
        <vt:i4>1</vt:i4>
      </vt:variant>
    </vt:vector>
  </HeadingPairs>
  <TitlesOfParts>
    <vt:vector size="1" baseType="lpstr">
      <vt:lpstr>ITU-R  SM.1051-3 建议书 (08/2014) - ITU-R  SM.1051-3 建议书</vt:lpstr>
    </vt:vector>
  </TitlesOfParts>
  <Company>ITU</Company>
  <LinksUpToDate>false</LinksUpToDate>
  <CharactersWithSpaces>5321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SM.1051-3 建议书 (08/2014) - 优先确定并消除406-406.1 MHz频段的有害干扰</dc:title>
  <dc:creator>wangjingtao</dc:creator>
  <cp:lastModifiedBy>Li, Jianying</cp:lastModifiedBy>
  <cp:revision>6</cp:revision>
  <cp:lastPrinted>2012-01-03T14:13:00Z</cp:lastPrinted>
  <dcterms:created xsi:type="dcterms:W3CDTF">2015-07-24T08:42:00Z</dcterms:created>
  <dcterms:modified xsi:type="dcterms:W3CDTF">2015-07-24T09:41:00Z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