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14FF">
      <w:pPr>
        <w:pStyle w:val="RecNo"/>
        <w:spacing w:before="0"/>
      </w:pPr>
      <w:r>
        <w:t xml:space="preserve">RECOMMENDATION  </w:t>
      </w:r>
      <w:r>
        <w:rPr>
          <w:rStyle w:val="href"/>
        </w:rPr>
        <w:t>ITU-R  SM.1050-2</w:t>
      </w:r>
      <w:r w:rsidR="008158B6">
        <w:rPr>
          <w:rStyle w:val="FootnoteReference"/>
          <w:lang w:val="en-US"/>
        </w:rPr>
        <w:footnoteReference w:customMarkFollows="1" w:id="1"/>
        <w:t>*</w:t>
      </w:r>
    </w:p>
    <w:p w:rsidR="00000000" w:rsidRDefault="00E014FF">
      <w:pPr>
        <w:pStyle w:val="Rectitle"/>
        <w:rPr>
          <w:lang w:val="en-US"/>
        </w:rPr>
      </w:pPr>
      <w:r>
        <w:rPr>
          <w:lang w:val="en-US"/>
        </w:rPr>
        <w:t>Tasks of a monitoring service</w:t>
      </w:r>
    </w:p>
    <w:p w:rsidR="00000000" w:rsidRDefault="00E014FF" w:rsidP="008158B6">
      <w:pPr>
        <w:pStyle w:val="Recdate"/>
        <w:spacing w:before="0"/>
        <w:rPr>
          <w:lang w:val="en-US"/>
        </w:rPr>
      </w:pPr>
      <w:r>
        <w:rPr>
          <w:lang w:val="en-US"/>
        </w:rPr>
        <w:t>(1994-2003-2004)</w:t>
      </w:r>
    </w:p>
    <w:p w:rsidR="008158B6" w:rsidRPr="008756D6" w:rsidRDefault="008158B6" w:rsidP="008158B6">
      <w:pPr>
        <w:pStyle w:val="HeadingSum"/>
      </w:pPr>
      <w:r w:rsidRPr="008756D6">
        <w:t>Scope</w:t>
      </w:r>
    </w:p>
    <w:p w:rsidR="008158B6" w:rsidRPr="008756D6" w:rsidRDefault="008158B6" w:rsidP="008158B6">
      <w:pPr>
        <w:pStyle w:val="Summary"/>
      </w:pPr>
      <w:r>
        <w:t>This Recommendation defines tasks of a monitoring service.</w:t>
      </w:r>
    </w:p>
    <w:p w:rsidR="008158B6" w:rsidRDefault="008158B6" w:rsidP="008158B6">
      <w:pPr>
        <w:pStyle w:val="Headingb"/>
        <w:rPr>
          <w:lang w:val="en-US"/>
        </w:rPr>
      </w:pPr>
      <w:r>
        <w:rPr>
          <w:lang w:val="en-US"/>
        </w:rPr>
        <w:t>Keywords</w:t>
      </w:r>
    </w:p>
    <w:p w:rsidR="008158B6" w:rsidRDefault="008158B6" w:rsidP="008158B6">
      <w:pPr>
        <w:rPr>
          <w:lang w:val="en-US"/>
        </w:rPr>
      </w:pPr>
      <w:r>
        <w:rPr>
          <w:rFonts w:eastAsia="Calibri"/>
          <w:lang w:val="en-US"/>
        </w:rPr>
        <w:t>Monitoring service, frequency assignments, spectrum utilization</w:t>
      </w:r>
    </w:p>
    <w:p w:rsidR="00000000" w:rsidRDefault="00E014FF">
      <w:pPr>
        <w:pStyle w:val="Normalaftertitle"/>
        <w:rPr>
          <w:lang w:val="en-US"/>
        </w:rPr>
      </w:pPr>
      <w:r>
        <w:rPr>
          <w:lang w:val="en-US"/>
        </w:rPr>
        <w:t>The ITU Radiocommunication Assembly,</w:t>
      </w:r>
    </w:p>
    <w:p w:rsidR="00000000" w:rsidRDefault="00E014FF">
      <w:pPr>
        <w:pStyle w:val="Call"/>
        <w:rPr>
          <w:lang w:val="en-US"/>
        </w:rPr>
      </w:pPr>
      <w:r>
        <w:rPr>
          <w:lang w:val="en-US"/>
        </w:rPr>
        <w:t>considering</w:t>
      </w:r>
    </w:p>
    <w:p w:rsidR="00000000" w:rsidRDefault="00E014FF">
      <w:pPr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  <w:t>Article 16 of the ITU Radio Regulations (RR) which encourages development and implementation of national and international</w:t>
      </w:r>
      <w:r>
        <w:rPr>
          <w:lang w:val="en-US"/>
        </w:rPr>
        <w:t xml:space="preserve"> monitoring facilities;</w:t>
      </w:r>
    </w:p>
    <w:p w:rsidR="00000000" w:rsidRDefault="00E014FF">
      <w:pPr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  <w:t>the importance of eliminating electromagnetic spectrum interference, whether on a local, regional or global scale, so that radio services and stations may exist compatibly, reducing and minimizing resources associated with instal</w:t>
      </w:r>
      <w:r>
        <w:rPr>
          <w:lang w:val="en-US"/>
        </w:rPr>
        <w:t>ling and operating these telecommunication services;</w:t>
      </w:r>
    </w:p>
    <w:p w:rsidR="00000000" w:rsidRDefault="00E014FF">
      <w:pPr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  <w:t>the economic benefit to a country’s infrastructure having access to interference free, accessible telecommunications services, including PCS, IMT</w:t>
      </w:r>
      <w:r>
        <w:rPr>
          <w:lang w:val="en-US"/>
        </w:rPr>
        <w:noBreakHyphen/>
        <w:t>2000, cellular, etc.;</w:t>
      </w:r>
    </w:p>
    <w:p w:rsidR="00000000" w:rsidRDefault="00E014FF">
      <w:pPr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  <w:t>the need to have an acceptabl</w:t>
      </w:r>
      <w:r>
        <w:rPr>
          <w:lang w:val="en-US"/>
        </w:rPr>
        <w:t>e interference level for radio services; in particular radio and television reception by the general public;</w:t>
      </w:r>
    </w:p>
    <w:p w:rsidR="00000000" w:rsidRDefault="00E014FF">
      <w:pPr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  <w:t>the need to check radio station and radio network coverage areas;</w:t>
      </w:r>
    </w:p>
    <w:p w:rsidR="00000000" w:rsidRDefault="00E014FF">
      <w:pPr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  <w:t>the overall value of monitoring data to an administration’s electromagnetic</w:t>
      </w:r>
      <w:r>
        <w:rPr>
          <w:lang w:val="en-US"/>
        </w:rPr>
        <w:t xml:space="preserve"> spectrum management process;</w:t>
      </w:r>
    </w:p>
    <w:p w:rsidR="00000000" w:rsidRDefault="00E014FF">
      <w:pPr>
        <w:rPr>
          <w:lang w:val="en-US"/>
        </w:rPr>
      </w:pPr>
      <w:r>
        <w:rPr>
          <w:lang w:val="en-US"/>
        </w:rPr>
        <w:t>g)</w:t>
      </w:r>
      <w:r>
        <w:rPr>
          <w:lang w:val="en-US"/>
        </w:rPr>
        <w:tab/>
        <w:t>the value of monitoring data in special monitoring programmes organized by the Radio</w:t>
      </w:r>
      <w:r>
        <w:rPr>
          <w:lang w:val="en-US"/>
        </w:rPr>
        <w:softHyphen/>
        <w:t>communication Bureau, for example in preparing reports to Radiocommunication Conferences or in seeking special assistance of administratio</w:t>
      </w:r>
      <w:r>
        <w:rPr>
          <w:lang w:val="en-US"/>
        </w:rPr>
        <w:t>ns in eliminating harmful interference,</w:t>
      </w:r>
    </w:p>
    <w:p w:rsidR="00000000" w:rsidRDefault="00E014FF">
      <w:pPr>
        <w:pStyle w:val="Call"/>
        <w:rPr>
          <w:lang w:val="en-US"/>
        </w:rPr>
      </w:pPr>
      <w:r>
        <w:rPr>
          <w:lang w:val="en-US"/>
        </w:rPr>
        <w:t>noting</w:t>
      </w:r>
    </w:p>
    <w:p w:rsidR="00000000" w:rsidRDefault="00E014FF">
      <w:pPr>
        <w:rPr>
          <w:lang w:val="en-US"/>
        </w:rPr>
      </w:pPr>
      <w:r>
        <w:rPr>
          <w:bCs/>
          <w:lang w:val="en-US"/>
        </w:rPr>
        <w:t>a)</w:t>
      </w:r>
      <w:r>
        <w:rPr>
          <w:lang w:val="en-US"/>
        </w:rPr>
        <w:tab/>
        <w:t>that the distribution of tasks within a national spectrum management organization may vary,</w:t>
      </w:r>
    </w:p>
    <w:p w:rsidR="00000000" w:rsidRDefault="00E014FF">
      <w:pPr>
        <w:pStyle w:val="Call"/>
        <w:rPr>
          <w:lang w:val="en-US"/>
        </w:rPr>
      </w:pPr>
      <w:r>
        <w:rPr>
          <w:lang w:val="en-US"/>
        </w:rPr>
        <w:t>recommends</w:t>
      </w:r>
    </w:p>
    <w:p w:rsidR="00000000" w:rsidRDefault="00E014FF">
      <w:pPr>
        <w:rPr>
          <w:lang w:val="en-US"/>
        </w:rPr>
      </w:pPr>
      <w:r>
        <w:rPr>
          <w:lang w:val="en-US"/>
        </w:rPr>
        <w:t>that monitoring data should be used in the development of decisions relating to the reallocation of fre</w:t>
      </w:r>
      <w:r>
        <w:rPr>
          <w:lang w:val="en-US"/>
        </w:rPr>
        <w:t>quency bands among radio services, the setting aside of operational frequency ranges for new applications, etc., and that tasks assigned to a monitoring service are to observe the use of the spectrum and include the following, as appropriate, for the spect</w:t>
      </w:r>
      <w:r>
        <w:rPr>
          <w:lang w:val="en-US"/>
        </w:rPr>
        <w:t>rum management activity of the administration:</w:t>
      </w:r>
    </w:p>
    <w:p w:rsidR="00000000" w:rsidRDefault="00E014FF">
      <w:pPr>
        <w:rPr>
          <w:b/>
          <w:lang w:val="en-US"/>
        </w:rPr>
      </w:pPr>
      <w:r>
        <w:rPr>
          <w:b/>
          <w:lang w:val="en-US"/>
        </w:rPr>
        <w:t>1</w:t>
      </w:r>
      <w:r>
        <w:rPr>
          <w:b/>
          <w:lang w:val="en-US"/>
        </w:rPr>
        <w:tab/>
      </w:r>
      <w:r>
        <w:rPr>
          <w:lang w:val="en-US"/>
        </w:rPr>
        <w:t>matters relating to verification of the correct use of frequency assignments issued and of station characteristics:</w:t>
      </w:r>
    </w:p>
    <w:p w:rsidR="00000000" w:rsidRDefault="00E014FF">
      <w:pPr>
        <w:rPr>
          <w:lang w:val="en-US"/>
        </w:rPr>
      </w:pPr>
      <w:r>
        <w:rPr>
          <w:b/>
          <w:lang w:val="en-US"/>
        </w:rPr>
        <w:t>1.1</w:t>
      </w:r>
      <w:r>
        <w:rPr>
          <w:b/>
          <w:lang w:val="en-US"/>
        </w:rPr>
        <w:tab/>
      </w:r>
      <w:r>
        <w:rPr>
          <w:lang w:val="en-US"/>
        </w:rPr>
        <w:t>monitoring and demodulation of transmissions to: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1.1.1</w:t>
      </w:r>
      <w:r>
        <w:rPr>
          <w:b/>
          <w:lang w:val="en-US"/>
        </w:rPr>
        <w:tab/>
      </w:r>
      <w:r>
        <w:rPr>
          <w:lang w:val="en-US"/>
        </w:rPr>
        <w:t>assist in identifying sources of</w:t>
      </w:r>
      <w:r>
        <w:rPr>
          <w:lang w:val="en-US"/>
        </w:rPr>
        <w:t xml:space="preserve"> harmful interference;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br w:type="page"/>
      </w:r>
      <w:r>
        <w:rPr>
          <w:b/>
          <w:iCs/>
          <w:lang w:val="en-US"/>
        </w:rPr>
        <w:lastRenderedPageBreak/>
        <w:t>1.1.2</w:t>
      </w:r>
      <w:r>
        <w:rPr>
          <w:b/>
          <w:lang w:val="en-US"/>
        </w:rPr>
        <w:tab/>
      </w:r>
      <w:r>
        <w:rPr>
          <w:lang w:val="en-US"/>
        </w:rPr>
        <w:t>confirm compliance with national and international signal identification regulations, e.g. call signs;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1.1.3</w:t>
      </w:r>
      <w:r>
        <w:rPr>
          <w:bCs/>
          <w:lang w:val="en-US"/>
        </w:rPr>
        <w:tab/>
      </w:r>
      <w:r>
        <w:rPr>
          <w:lang w:val="en-US"/>
        </w:rPr>
        <w:t>identify unauthorized transmitters;</w:t>
      </w:r>
    </w:p>
    <w:p w:rsidR="00000000" w:rsidRDefault="00E014FF">
      <w:pPr>
        <w:rPr>
          <w:lang w:val="en-US"/>
        </w:rPr>
      </w:pPr>
      <w:r>
        <w:rPr>
          <w:b/>
          <w:lang w:val="en-US"/>
        </w:rPr>
        <w:t>1.2</w:t>
      </w:r>
      <w:r>
        <w:rPr>
          <w:lang w:val="en-US"/>
        </w:rPr>
        <w:tab/>
        <w:t>measurement of signal parameters and characteristics that may infringe on nat</w:t>
      </w:r>
      <w:r>
        <w:rPr>
          <w:lang w:val="en-US"/>
        </w:rPr>
        <w:t>ional or international standards or regulations: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1.2.1</w:t>
      </w:r>
      <w:r>
        <w:rPr>
          <w:lang w:val="en-US"/>
        </w:rPr>
        <w:tab/>
        <w:t>direction finding, position fixing or homing in order to locate sources of harmful interference or transmitting stations operating in non-compliance with national or international standards or regulati</w:t>
      </w:r>
      <w:r>
        <w:rPr>
          <w:lang w:val="en-US"/>
        </w:rPr>
        <w:t>ons;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1.2.2</w:t>
      </w:r>
      <w:r>
        <w:rPr>
          <w:lang w:val="en-US"/>
        </w:rPr>
        <w:tab/>
        <w:t>frequency relative to frequency tolerance tables;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1.2.3</w:t>
      </w:r>
      <w:r>
        <w:rPr>
          <w:lang w:val="en-US"/>
        </w:rPr>
        <w:tab/>
        <w:t>occupied bandwidth relative to assigned bandwidth values;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1.2.4</w:t>
      </w:r>
      <w:r>
        <w:rPr>
          <w:lang w:val="en-US"/>
        </w:rPr>
        <w:tab/>
        <w:t>unwanted emission values relative to the limits in the spurious or out-of-band domain;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1.2.5</w:t>
      </w:r>
      <w:r>
        <w:rPr>
          <w:lang w:val="en-US"/>
        </w:rPr>
        <w:tab/>
        <w:t>frequency deviation of FM emissi</w:t>
      </w:r>
      <w:r>
        <w:rPr>
          <w:lang w:val="en-US"/>
        </w:rPr>
        <w:t>ons relative to assigned deviation values;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1.2.6</w:t>
      </w:r>
      <w:r>
        <w:rPr>
          <w:lang w:val="en-US"/>
        </w:rPr>
        <w:tab/>
        <w:t>sub-carrier levels relative to assigned levels;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1.2.7</w:t>
      </w:r>
      <w:r>
        <w:rPr>
          <w:lang w:val="en-US"/>
        </w:rPr>
        <w:tab/>
        <w:t>class of emission to verify the modulation characteristics;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1.2.8</w:t>
      </w:r>
      <w:r>
        <w:rPr>
          <w:lang w:val="en-US"/>
        </w:rPr>
        <w:tab/>
        <w:t>special technical characteristics for a particular type of service, e.g. television bro</w:t>
      </w:r>
      <w:r>
        <w:rPr>
          <w:lang w:val="en-US"/>
        </w:rPr>
        <w:t>adcasting, wideband satellite transmissions, etc.;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1.2.9</w:t>
      </w:r>
      <w:r>
        <w:rPr>
          <w:b/>
          <w:lang w:val="en-US"/>
        </w:rPr>
        <w:tab/>
      </w:r>
      <w:r>
        <w:rPr>
          <w:lang w:val="en-US"/>
        </w:rPr>
        <w:t>measurement of radiation levels to verify the continuing conformance with various technical standards such as those required for type approval of radiating equipment;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1.2.10</w:t>
      </w:r>
      <w:r>
        <w:rPr>
          <w:b/>
          <w:iCs/>
          <w:lang w:val="en-US"/>
        </w:rPr>
        <w:tab/>
      </w:r>
      <w:r>
        <w:rPr>
          <w:lang w:val="en-US"/>
        </w:rPr>
        <w:t>either in conjunction wit</w:t>
      </w:r>
      <w:r>
        <w:rPr>
          <w:lang w:val="en-US"/>
        </w:rPr>
        <w:t>h another national service or in its own right, conducting periodic inspection of radio installations to determine level of compliance with technical, operational and regulatory provisions established for spectrum management;</w:t>
      </w:r>
    </w:p>
    <w:p w:rsidR="00000000" w:rsidRDefault="00E014FF">
      <w:pPr>
        <w:rPr>
          <w:lang w:val="en-US"/>
        </w:rPr>
      </w:pPr>
      <w:r>
        <w:rPr>
          <w:b/>
          <w:bCs/>
          <w:lang w:val="en-US"/>
        </w:rPr>
        <w:t>2</w:t>
      </w:r>
      <w:r>
        <w:rPr>
          <w:b/>
          <w:lang w:val="en-US"/>
        </w:rPr>
        <w:tab/>
      </w:r>
      <w:r>
        <w:rPr>
          <w:lang w:val="en-US"/>
        </w:rPr>
        <w:t>matters relating to the prep</w:t>
      </w:r>
      <w:r>
        <w:rPr>
          <w:lang w:val="en-US"/>
        </w:rPr>
        <w:t>aration of data for use in the quantitative estimation of the spectrum utilization factor: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2.1</w:t>
      </w:r>
      <w:r>
        <w:rPr>
          <w:lang w:val="en-US"/>
        </w:rPr>
        <w:tab/>
        <w:t>field strength and power flux-density values to assist spectrum managers in verifying:</w:t>
      </w:r>
    </w:p>
    <w:p w:rsidR="00000000" w:rsidRDefault="00E014FF">
      <w:pPr>
        <w:pStyle w:val="enumlev1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propagation or frequency assignment studies,</w:t>
      </w:r>
    </w:p>
    <w:p w:rsidR="00000000" w:rsidRDefault="00E014FF">
      <w:pPr>
        <w:pStyle w:val="enumlev1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calculations of carrier-t</w:t>
      </w:r>
      <w:r>
        <w:rPr>
          <w:lang w:val="en-US"/>
        </w:rPr>
        <w:t>o-interference ratios,</w:t>
      </w:r>
    </w:p>
    <w:p w:rsidR="00000000" w:rsidRDefault="00E014FF">
      <w:pPr>
        <w:pStyle w:val="enumlev1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sharing criteria,</w:t>
      </w:r>
    </w:p>
    <w:p w:rsidR="00000000" w:rsidRDefault="00E014FF">
      <w:pPr>
        <w:pStyle w:val="enumlev1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interference prediction analyses, etc.;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2.2</w:t>
      </w:r>
      <w:r>
        <w:rPr>
          <w:lang w:val="en-US"/>
        </w:rPr>
        <w:tab/>
        <w:t>measurement of signal-to-interference protection ratios (including with their frequencies detuned and with different signal levels);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2.3</w:t>
      </w:r>
      <w:r>
        <w:rPr>
          <w:lang w:val="en-US"/>
        </w:rPr>
        <w:tab/>
        <w:t xml:space="preserve">determination of occupancy of </w:t>
      </w:r>
      <w:r>
        <w:rPr>
          <w:lang w:val="en-US"/>
        </w:rPr>
        <w:t>frequency bands, including that of satellite transponder usage, within certain defined parameters to verify allocation or assignment usage and to support reallocation or reassignment principles; that these measurements should be repeated regularly in order</w:t>
      </w:r>
      <w:r>
        <w:rPr>
          <w:lang w:val="en-US"/>
        </w:rPr>
        <w:t xml:space="preserve"> to determine trends;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br w:type="page"/>
      </w:r>
      <w:r>
        <w:rPr>
          <w:b/>
          <w:iCs/>
          <w:lang w:val="en-US"/>
        </w:rPr>
        <w:lastRenderedPageBreak/>
        <w:t>2.4</w:t>
      </w:r>
      <w:r>
        <w:rPr>
          <w:iCs/>
          <w:lang w:val="en-US"/>
        </w:rPr>
        <w:tab/>
      </w:r>
      <w:r>
        <w:rPr>
          <w:lang w:val="en-US"/>
        </w:rPr>
        <w:t>determination of the necessary frequency/geographical spacing between stations;</w:t>
      </w:r>
    </w:p>
    <w:p w:rsidR="00000000" w:rsidRDefault="00E014FF">
      <w:pPr>
        <w:rPr>
          <w:lang w:val="en-US"/>
        </w:rPr>
      </w:pPr>
      <w:r>
        <w:rPr>
          <w:b/>
          <w:bCs/>
          <w:lang w:val="en-US"/>
        </w:rPr>
        <w:t>2.5</w:t>
      </w:r>
      <w:r>
        <w:rPr>
          <w:lang w:val="en-US"/>
        </w:rPr>
        <w:tab/>
        <w:t>determination of the coverage area of a radio station and those radio stations comprised in a network;</w:t>
      </w:r>
    </w:p>
    <w:p w:rsidR="00000000" w:rsidRDefault="00E014FF">
      <w:pPr>
        <w:rPr>
          <w:u w:val="single"/>
          <w:lang w:val="en-US"/>
        </w:rPr>
      </w:pPr>
      <w:r>
        <w:rPr>
          <w:b/>
          <w:lang w:val="en-US"/>
        </w:rPr>
        <w:t>3</w:t>
      </w:r>
      <w:r>
        <w:rPr>
          <w:lang w:val="en-US"/>
        </w:rPr>
        <w:tab/>
        <w:t>matters relating to the preparation of s</w:t>
      </w:r>
      <w:r>
        <w:rPr>
          <w:lang w:val="en-US"/>
        </w:rPr>
        <w:t>pecial reports concerning the following main issues: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3.1</w:t>
      </w:r>
      <w:r>
        <w:rPr>
          <w:lang w:val="en-US"/>
        </w:rPr>
        <w:tab/>
        <w:t>measurement of ambient radio noise, usually on a long-term basis to assist in spectrum management decisions such as broadcasting frequency assignments, etc.;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3.2</w:t>
      </w:r>
      <w:r>
        <w:rPr>
          <w:lang w:val="en-US"/>
        </w:rPr>
        <w:tab/>
        <w:t>participation in the international mo</w:t>
      </w:r>
      <w:r>
        <w:rPr>
          <w:lang w:val="en-US"/>
        </w:rPr>
        <w:t>nitoring system as appropriate under conditions specified in RR Article 16 with a view to the elimination of interference in general and of interference in safety and distress bands in particular, and with a view to furnishing information in preparation fo</w:t>
      </w:r>
      <w:r>
        <w:rPr>
          <w:lang w:val="en-US"/>
        </w:rPr>
        <w:t>r Radiocommunication Conferences;</w:t>
      </w:r>
    </w:p>
    <w:p w:rsidR="00000000" w:rsidRDefault="00E014FF">
      <w:pPr>
        <w:rPr>
          <w:lang w:val="en-US"/>
        </w:rPr>
      </w:pPr>
      <w:r>
        <w:rPr>
          <w:b/>
          <w:bCs/>
          <w:lang w:val="en-US"/>
        </w:rPr>
        <w:t>3.3</w:t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providing summary monitoring reports with a view to assisting spectrum managers in standardizing various emission parameters on an optimum and effective basis;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3.4</w:t>
      </w:r>
      <w:r>
        <w:rPr>
          <w:lang w:val="en-US"/>
        </w:rPr>
        <w:tab/>
        <w:t>through formal, regularized, standard sampling techniq</w:t>
      </w:r>
      <w:r>
        <w:rPr>
          <w:lang w:val="en-US"/>
        </w:rPr>
        <w:t>ues, identification of special problem areas for additional or more intensive monitoring emphasis;</w:t>
      </w:r>
    </w:p>
    <w:p w:rsidR="00000000" w:rsidRDefault="00E014FF">
      <w:pPr>
        <w:rPr>
          <w:lang w:val="en-US"/>
        </w:rPr>
      </w:pPr>
      <w:r>
        <w:rPr>
          <w:b/>
          <w:iCs/>
          <w:lang w:val="en-US"/>
        </w:rPr>
        <w:t>3.5</w:t>
      </w:r>
      <w:r>
        <w:rPr>
          <w:lang w:val="en-US"/>
        </w:rPr>
        <w:tab/>
        <w:t>based on experience gained in the monitoring service, recommend or propose practical steps and procedures for eliminating actual radio interference.</w:t>
      </w:r>
    </w:p>
    <w:p w:rsidR="00000000" w:rsidRDefault="00E014FF">
      <w:pPr>
        <w:tabs>
          <w:tab w:val="clear" w:pos="794"/>
          <w:tab w:val="clear" w:pos="1191"/>
          <w:tab w:val="clear" w:pos="1588"/>
          <w:tab w:val="clear" w:pos="1985"/>
          <w:tab w:val="left" w:pos="-1530"/>
        </w:tabs>
        <w:rPr>
          <w:lang w:val="en-US"/>
        </w:rPr>
      </w:pPr>
    </w:p>
    <w:p w:rsidR="00000000" w:rsidRDefault="00E014FF">
      <w:pPr>
        <w:pStyle w:val="Line"/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</w:pPr>
    </w:p>
    <w:p w:rsidR="00000000" w:rsidRDefault="00E014FF">
      <w:pPr>
        <w:rPr>
          <w:lang w:val="en-GB"/>
        </w:rPr>
        <w:sectPr w:rsidR="00000000">
          <w:headerReference w:type="even" r:id="rId7"/>
          <w:headerReference w:type="default" r:id="rId8"/>
          <w:pgSz w:w="11907" w:h="16834" w:code="9"/>
          <w:pgMar w:top="1418" w:right="1134" w:bottom="1134" w:left="1134" w:header="720" w:footer="482" w:gutter="0"/>
          <w:paperSrc w:first="15" w:other="15"/>
          <w:cols w:space="720"/>
          <w:vAlign w:val="both"/>
        </w:sectPr>
      </w:pPr>
      <w:bookmarkStart w:id="0" w:name="_GoBack"/>
      <w:bookmarkEnd w:id="0"/>
    </w:p>
    <w:p w:rsidR="00000000" w:rsidRDefault="00E014FF">
      <w:pPr>
        <w:rPr>
          <w:lang w:val="en-GB"/>
        </w:rPr>
      </w:pPr>
    </w:p>
    <w:sectPr w:rsidR="00000000">
      <w:headerReference w:type="first" r:id="rId9"/>
      <w:pgSz w:w="11907" w:h="16834" w:code="9"/>
      <w:pgMar w:top="1418" w:right="1134" w:bottom="1134" w:left="1134" w:header="720" w:footer="482" w:gutter="0"/>
      <w:paperSrc w:first="15" w:other="15"/>
      <w:cols w:space="720"/>
      <w:vAlign w:val="both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14FF">
      <w:pPr>
        <w:spacing w:before="0"/>
      </w:pPr>
      <w:r>
        <w:separator/>
      </w:r>
    </w:p>
  </w:endnote>
  <w:endnote w:type="continuationSeparator" w:id="0">
    <w:p w:rsidR="00000000" w:rsidRDefault="00E014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14FF">
      <w:pPr>
        <w:spacing w:before="0"/>
      </w:pPr>
      <w:r>
        <w:separator/>
      </w:r>
    </w:p>
  </w:footnote>
  <w:footnote w:type="continuationSeparator" w:id="0">
    <w:p w:rsidR="00000000" w:rsidRDefault="00E014FF">
      <w:pPr>
        <w:spacing w:before="0"/>
      </w:pPr>
      <w:r>
        <w:continuationSeparator/>
      </w:r>
    </w:p>
  </w:footnote>
  <w:footnote w:id="1">
    <w:p w:rsidR="008158B6" w:rsidRPr="008158B6" w:rsidRDefault="008158B6" w:rsidP="008158B6">
      <w:pPr>
        <w:pStyle w:val="FootnoteText"/>
        <w:rPr>
          <w:lang w:val="en-GB"/>
        </w:rPr>
      </w:pPr>
      <w:r w:rsidRPr="004F0F0B">
        <w:rPr>
          <w:rStyle w:val="FootnoteReference"/>
          <w:lang w:val="en-US"/>
        </w:rPr>
        <w:t>*</w:t>
      </w:r>
      <w:r w:rsidRPr="004F0F0B">
        <w:rPr>
          <w:lang w:val="en-US"/>
        </w:rPr>
        <w:tab/>
      </w:r>
      <w:r w:rsidRPr="008266E4">
        <w:rPr>
          <w:lang w:val="en-US"/>
        </w:rPr>
        <w:t>Radiocommunication Study Group 1 made editorial amendments to this Recommendation</w:t>
      </w:r>
      <w:r w:rsidRPr="008266E4">
        <w:rPr>
          <w:lang w:val="en-US" w:eastAsia="ko-KR"/>
        </w:rPr>
        <w:t xml:space="preserve"> in </w:t>
      </w:r>
      <w:r>
        <w:rPr>
          <w:lang w:val="en-US" w:eastAsia="ko-KR"/>
        </w:rPr>
        <w:t xml:space="preserve">the year 2019 </w:t>
      </w:r>
      <w:r w:rsidRPr="008266E4">
        <w:rPr>
          <w:lang w:val="en-US"/>
        </w:rPr>
        <w:t>in accordance with Resolution ITU</w:t>
      </w:r>
      <w:r w:rsidRPr="008266E4">
        <w:rPr>
          <w:lang w:val="en-US"/>
        </w:rPr>
        <w:noBreakHyphen/>
        <w:t>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14FF">
    <w:pPr>
      <w:pStyle w:val="Header"/>
      <w:jc w:val="left"/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b/>
        <w:bCs/>
      </w:rPr>
      <w:fldChar w:fldCharType="begin"/>
    </w:r>
    <w:r>
      <w:rPr>
        <w:b/>
        <w:bCs/>
      </w:rPr>
      <w:instrText xml:space="preserve"> DOCPROPERTY "Header" \* MERGEFORMAT </w:instrText>
    </w:r>
    <w:r>
      <w:rPr>
        <w:b/>
        <w:bCs/>
      </w:rPr>
      <w:fldChar w:fldCharType="separate"/>
    </w:r>
    <w:r>
      <w:rPr>
        <w:b/>
        <w:bCs/>
      </w:rPr>
      <w:t xml:space="preserve">Rec. 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>
      <w:rPr>
        <w:b/>
        <w:bCs/>
        <w:noProof/>
      </w:rPr>
      <w:t>ITU-R  SM.1050-2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14FF">
    <w:pPr>
      <w:pStyle w:val="Header"/>
    </w:pPr>
    <w:r>
      <w:tab/>
    </w:r>
    <w:r>
      <w:rPr>
        <w:b/>
        <w:bCs/>
      </w:rPr>
      <w:fldChar w:fldCharType="begin"/>
    </w:r>
    <w:r>
      <w:rPr>
        <w:b/>
        <w:bCs/>
      </w:rPr>
      <w:instrText xml:space="preserve"> DOCPROPERTY "Header" \* MERGEFORMAT </w:instrText>
    </w:r>
    <w:r>
      <w:rPr>
        <w:b/>
        <w:bCs/>
      </w:rPr>
      <w:fldChar w:fldCharType="separate"/>
    </w:r>
    <w:r>
      <w:rPr>
        <w:b/>
        <w:bCs/>
      </w:rPr>
      <w:t xml:space="preserve">Rec. 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>
      <w:rPr>
        <w:b/>
        <w:bCs/>
        <w:noProof/>
      </w:rPr>
      <w:t>ITU-R  SM.1050-2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3</w:t>
    </w:r>
    <w:r>
      <w:rPr>
        <w:rStyle w:val="PageNumber"/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1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4B2"/>
    <w:multiLevelType w:val="multilevel"/>
    <w:tmpl w:val="CDC45D4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hideSpellingErrors/>
  <w:hideGrammaticalErrors/>
  <w:activeWritingStyle w:appName="MSWord" w:lang="en-US" w:vendorID="64" w:dllVersion="131077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revisionView w:comments="0"/>
  <w:doNotTrackMoves/>
  <w:defaultTabStop w:val="720"/>
  <w:consecutiveHyphenLimit w:val="3"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538"/>
    <w:rsid w:val="00091BE5"/>
    <w:rsid w:val="006F4538"/>
    <w:rsid w:val="008158B6"/>
    <w:rsid w:val="00E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65588-7EA7-4AE6-9859-45B61D2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jc w:val="left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semiHidden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Headingb">
    <w:name w:val="Heading_b"/>
    <w:basedOn w:val="Heading3"/>
    <w:next w:val="Normal"/>
    <w:link w:val="HeadingbChar"/>
    <w:qFormat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HeadingSum">
    <w:name w:val="Heading_Sum"/>
    <w:basedOn w:val="Headingb"/>
    <w:next w:val="Normal"/>
    <w:autoRedefine/>
    <w:rsid w:val="008158B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18"/>
      <w:lang w:val="en-US"/>
    </w:rPr>
  </w:style>
  <w:style w:type="paragraph" w:customStyle="1" w:styleId="Recref">
    <w:name w:val="Rec_ref"/>
    <w:basedOn w:val="Normal"/>
    <w:next w:val="Recdate"/>
    <w:pPr>
      <w:jc w:val="center"/>
    </w:pPr>
  </w:style>
  <w:style w:type="paragraph" w:customStyle="1" w:styleId="Recdate">
    <w:name w:val="Rec_date"/>
    <w:basedOn w:val="Recref"/>
    <w:next w:val="Normal"/>
    <w:pPr>
      <w:jc w:val="right"/>
    </w:p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</w:style>
  <w:style w:type="paragraph" w:customStyle="1" w:styleId="Tablefin">
    <w:name w:val="Table_fin"/>
    <w:basedOn w:val="Normal"/>
    <w:next w:val="Normal"/>
    <w:pPr>
      <w:spacing w:before="284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794"/>
        <w:tab w:val="clear" w:pos="1191"/>
        <w:tab w:val="clear" w:pos="1588"/>
        <w:tab w:val="right" w:pos="1701"/>
        <w:tab w:val="left" w:pos="1985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semiHidden/>
    <w:pPr>
      <w:ind w:left="794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pPr>
      <w:keepNext/>
      <w:keepLines/>
      <w:spacing w:before="480" w:after="240"/>
      <w:jc w:val="center"/>
    </w:pPr>
    <w:rPr>
      <w:caps/>
    </w:rPr>
  </w:style>
  <w:style w:type="paragraph" w:customStyle="1" w:styleId="tocpart">
    <w:name w:val="tocpart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,DNV"/>
    <w:basedOn w:val="Normal"/>
    <w:link w:val="FootnoteTextChar"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Heading">
    <w:name w:val="index heading"/>
    <w:basedOn w:val="Normal"/>
    <w:next w:val="Index1"/>
    <w:semiHidden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</w:style>
  <w:style w:type="paragraph" w:customStyle="1" w:styleId="Partref">
    <w:name w:val="Part_ref"/>
    <w:basedOn w:val="Normal"/>
    <w:next w:val="Normal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Normal"/>
    <w:next w:val="Questionref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Normal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Normal"/>
    <w:next w:val="Resref"/>
  </w:style>
  <w:style w:type="paragraph" w:customStyle="1" w:styleId="SectionNo">
    <w:name w:val="Section_No"/>
    <w:basedOn w:val="Normal"/>
    <w:next w:val="Normal"/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">
    <w:name w:val="Rec_title"/>
    <w:basedOn w:val="Normal"/>
    <w:next w:val="Recref"/>
    <w:pPr>
      <w:keepNext/>
      <w:keepLines/>
      <w:spacing w:before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</w:style>
  <w:style w:type="paragraph" w:customStyle="1" w:styleId="Figuretitle">
    <w:name w:val="Figure_title"/>
    <w:basedOn w:val="Normal"/>
    <w:next w:val="Normal"/>
    <w:pPr>
      <w:keepNext/>
      <w:spacing w:before="0" w:after="480"/>
      <w:jc w:val="center"/>
    </w:pPr>
    <w:rPr>
      <w:b/>
    </w:rPr>
  </w:style>
  <w:style w:type="paragraph" w:customStyle="1" w:styleId="Tabletitle">
    <w:name w:val="Table_title"/>
    <w:basedOn w:val="Normal"/>
    <w:next w:val="Tablehead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"/>
    <w:autoRedefine/>
    <w:rsid w:val="008158B6"/>
    <w:pPr>
      <w:tabs>
        <w:tab w:val="left" w:pos="794"/>
        <w:tab w:val="left" w:pos="1191"/>
        <w:tab w:val="left" w:pos="1588"/>
        <w:tab w:val="left" w:pos="1985"/>
      </w:tabs>
      <w:spacing w:after="120"/>
      <w:jc w:val="left"/>
    </w:pPr>
    <w:rPr>
      <w:sz w:val="22"/>
      <w:szCs w:val="18"/>
      <w:lang w:val="en-GB"/>
    </w:rPr>
  </w:style>
  <w:style w:type="character" w:customStyle="1" w:styleId="HeadingbChar">
    <w:name w:val="Heading_b Char"/>
    <w:link w:val="Headingb"/>
    <w:locked/>
    <w:rsid w:val="008158B6"/>
    <w:rPr>
      <w:b/>
      <w:sz w:val="24"/>
      <w:lang w:val="fr-FR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link w:val="FootnoteText"/>
    <w:rsid w:val="008158B6"/>
    <w:rPr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R_Rec_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BR_Rec_2002.dot</Template>
  <TotalTime>3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 ITU-R  SM.1050-2 - Tasks of a monitoring service</vt:lpstr>
    </vt:vector>
  </TitlesOfParts>
  <Manager>CP--3344/DD   Folios: 1 - 3</Manager>
  <Company>ITU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 ITU-R  SM.1050-2 - Tasks of a monitoring service</dc:title>
  <dc:subject>SM Series = Spectrum management</dc:subject>
  <dc:creator>ITU Radiocommunication Bureau (BR)</dc:creator>
  <cp:keywords>SM,1050-2</cp:keywords>
  <dc:description>Saisie + MEP:  10.05.2004/DD  (dict. ok)_x000d_
Corr. BAT:  03.09.04/LE_x000d_
Corr. 2e:    14.02.05/DD</dc:description>
  <cp:lastModifiedBy>Gachet, Christelle</cp:lastModifiedBy>
  <cp:revision>6</cp:revision>
  <cp:lastPrinted>2019-09-13T05:23:00Z</cp:lastPrinted>
  <dcterms:created xsi:type="dcterms:W3CDTF">2019-09-13T05:21:00Z</dcterms:created>
  <dcterms:modified xsi:type="dcterms:W3CDTF">2019-09-13T05:24:00Z</dcterms:modified>
  <cp:category>Template:  BR_Rec_2002.dot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</Properties>
</file>