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4F0" w:rsidRPr="00575CB8" w:rsidRDefault="00C374F0" w:rsidP="00241A0F">
      <w:pPr>
        <w:rPr>
          <w:lang w:val="en-US"/>
        </w:rPr>
      </w:pPr>
    </w:p>
    <w:p w:rsidR="00C374F0" w:rsidRDefault="00C374F0" w:rsidP="00241A0F"/>
    <w:p w:rsidR="00C374F0" w:rsidRDefault="00C374F0" w:rsidP="00241A0F"/>
    <w:p w:rsidR="00C374F0" w:rsidRDefault="00C374F0" w:rsidP="00241A0F"/>
    <w:p w:rsidR="00C374F0" w:rsidRDefault="00C374F0" w:rsidP="00241A0F"/>
    <w:p w:rsidR="00C374F0" w:rsidRDefault="00C374F0" w:rsidP="00241A0F"/>
    <w:p w:rsidR="00C374F0" w:rsidRDefault="00C374F0" w:rsidP="00241A0F"/>
    <w:p w:rsidR="00C374F0" w:rsidRDefault="00C374F0" w:rsidP="00241A0F"/>
    <w:p w:rsidR="00C374F0" w:rsidRDefault="00C374F0" w:rsidP="00241A0F"/>
    <w:p w:rsidR="00C374F0" w:rsidRDefault="00C374F0" w:rsidP="00241A0F"/>
    <w:p w:rsidR="00C374F0" w:rsidRDefault="00C374F0" w:rsidP="00241A0F"/>
    <w:p w:rsidR="00C374F0" w:rsidRDefault="00C374F0" w:rsidP="00241A0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C374F0" w:rsidRPr="00FD1FC3" w:rsidTr="00241A0F">
        <w:tc>
          <w:tcPr>
            <w:tcW w:w="10089" w:type="dxa"/>
          </w:tcPr>
          <w:p w:rsidR="00C374F0" w:rsidRPr="0010336F" w:rsidRDefault="00C374F0" w:rsidP="00241A0F">
            <w:pPr>
              <w:spacing w:before="380" w:line="280" w:lineRule="exact"/>
              <w:jc w:val="right"/>
              <w:rPr>
                <w:rFonts w:ascii="Tahoma" w:hAnsi="Tahoma" w:cs="Tahoma"/>
                <w:b/>
                <w:bCs/>
                <w:iCs/>
                <w:color w:val="243285"/>
                <w:sz w:val="32"/>
                <w:szCs w:val="32"/>
                <w:lang w:val="en-US"/>
              </w:rPr>
            </w:pPr>
          </w:p>
          <w:p w:rsidR="00C374F0" w:rsidRPr="0010336F" w:rsidRDefault="00C374F0" w:rsidP="00241A0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SF</w:t>
            </w:r>
            <w:r w:rsidRPr="0010336F">
              <w:rPr>
                <w:rFonts w:ascii="Tahoma" w:hAnsi="Tahoma" w:cs="Tahoma"/>
                <w:b/>
                <w:bCs/>
                <w:iCs/>
                <w:color w:val="243285"/>
                <w:sz w:val="36"/>
                <w:szCs w:val="36"/>
                <w:lang w:val="es-ES_tradnl"/>
              </w:rPr>
              <w:t>.</w:t>
            </w:r>
            <w:r w:rsidR="00315ED2">
              <w:rPr>
                <w:rFonts w:ascii="Tahoma" w:hAnsi="Tahoma" w:cs="Tahoma"/>
                <w:b/>
                <w:bCs/>
                <w:iCs/>
                <w:color w:val="243285"/>
                <w:sz w:val="36"/>
                <w:szCs w:val="36"/>
                <w:lang w:val="es-ES_tradnl"/>
              </w:rPr>
              <w:t>675-4</w:t>
            </w:r>
          </w:p>
          <w:p w:rsidR="00C374F0" w:rsidRPr="0010336F" w:rsidRDefault="00315ED2" w:rsidP="00241A0F">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w:t>
            </w:r>
            <w:r w:rsidR="00C374F0"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00C374F0" w:rsidRPr="0010336F">
              <w:rPr>
                <w:rFonts w:ascii="Tahoma" w:hAnsi="Tahoma" w:cs="Tahoma"/>
                <w:b/>
                <w:bCs/>
                <w:iCs/>
                <w:color w:val="243285"/>
                <w:szCs w:val="24"/>
                <w:lang w:val="es-ES_tradnl"/>
              </w:rPr>
              <w:t>)</w:t>
            </w:r>
          </w:p>
        </w:tc>
      </w:tr>
      <w:tr w:rsidR="00C374F0" w:rsidRPr="0010336F" w:rsidTr="00241A0F">
        <w:tc>
          <w:tcPr>
            <w:tcW w:w="10089" w:type="dxa"/>
          </w:tcPr>
          <w:p w:rsidR="00C374F0" w:rsidRPr="0010336F" w:rsidRDefault="00C374F0" w:rsidP="00241A0F">
            <w:pPr>
              <w:spacing w:before="80" w:line="500" w:lineRule="exact"/>
              <w:jc w:val="right"/>
              <w:rPr>
                <w:rFonts w:ascii="Tahoma" w:hAnsi="Tahoma" w:cs="Tahoma"/>
                <w:b/>
                <w:bCs/>
                <w:iCs/>
                <w:color w:val="243285"/>
                <w:sz w:val="44"/>
                <w:szCs w:val="44"/>
                <w:lang w:val="es-ES_tradnl"/>
              </w:rPr>
            </w:pPr>
          </w:p>
          <w:p w:rsidR="00C374F0" w:rsidRDefault="003979E8" w:rsidP="00EE2436">
            <w:pPr>
              <w:spacing w:before="80" w:line="500" w:lineRule="exact"/>
              <w:jc w:val="right"/>
              <w:rPr>
                <w:rFonts w:ascii="Tahoma" w:hAnsi="Tahoma" w:cs="Tahoma"/>
                <w:b/>
                <w:bCs/>
                <w:color w:val="243285"/>
                <w:sz w:val="44"/>
                <w:szCs w:val="44"/>
                <w:lang w:val="es-ES_tradnl"/>
              </w:rPr>
            </w:pPr>
            <w:r w:rsidRPr="003979E8">
              <w:rPr>
                <w:rFonts w:ascii="Tahoma" w:hAnsi="Tahoma" w:cs="Tahoma"/>
                <w:b/>
                <w:bCs/>
                <w:color w:val="243285"/>
                <w:sz w:val="44"/>
                <w:szCs w:val="44"/>
                <w:lang w:val="es-ES_tradnl"/>
              </w:rPr>
              <w:t>Cálculo de la densidad de potencia</w:t>
            </w:r>
            <w:r w:rsidR="00EE2436">
              <w:rPr>
                <w:rFonts w:ascii="Tahoma" w:hAnsi="Tahoma" w:cs="Tahoma"/>
                <w:b/>
                <w:bCs/>
                <w:color w:val="243285"/>
                <w:sz w:val="44"/>
                <w:szCs w:val="44"/>
                <w:lang w:val="es-ES_tradnl"/>
              </w:rPr>
              <w:br/>
            </w:r>
            <w:r w:rsidR="00EE2436" w:rsidRPr="003979E8">
              <w:rPr>
                <w:rFonts w:ascii="Tahoma" w:hAnsi="Tahoma" w:cs="Tahoma"/>
                <w:b/>
                <w:bCs/>
                <w:color w:val="243285"/>
                <w:sz w:val="44"/>
                <w:szCs w:val="44"/>
                <w:lang w:val="es-ES_tradnl"/>
              </w:rPr>
              <w:t>máxima</w:t>
            </w:r>
            <w:r w:rsidRPr="003979E8">
              <w:rPr>
                <w:rFonts w:ascii="Tahoma" w:hAnsi="Tahoma" w:cs="Tahoma"/>
                <w:b/>
                <w:bCs/>
                <w:color w:val="243285"/>
                <w:sz w:val="44"/>
                <w:szCs w:val="44"/>
                <w:lang w:val="es-ES_tradnl"/>
              </w:rPr>
              <w:t xml:space="preserve"> (valor medio en una banda</w:t>
            </w:r>
            <w:r w:rsidR="00EE2436">
              <w:rPr>
                <w:rFonts w:ascii="Tahoma" w:hAnsi="Tahoma" w:cs="Tahoma"/>
                <w:b/>
                <w:bCs/>
                <w:color w:val="243285"/>
                <w:sz w:val="44"/>
                <w:szCs w:val="44"/>
                <w:lang w:val="es-ES_tradnl"/>
              </w:rPr>
              <w:t xml:space="preserve"> </w:t>
            </w:r>
            <w:r w:rsidR="00EE2436">
              <w:rPr>
                <w:rFonts w:ascii="Tahoma" w:hAnsi="Tahoma" w:cs="Tahoma"/>
                <w:b/>
                <w:bCs/>
                <w:color w:val="243285"/>
                <w:sz w:val="44"/>
                <w:szCs w:val="44"/>
                <w:lang w:val="es-ES_tradnl"/>
              </w:rPr>
              <w:br/>
            </w:r>
            <w:r w:rsidR="00EE2436" w:rsidRPr="003979E8">
              <w:rPr>
                <w:rFonts w:ascii="Tahoma" w:hAnsi="Tahoma" w:cs="Tahoma"/>
                <w:b/>
                <w:bCs/>
                <w:color w:val="243285"/>
                <w:sz w:val="44"/>
                <w:szCs w:val="44"/>
                <w:lang w:val="es-ES_tradnl"/>
              </w:rPr>
              <w:t xml:space="preserve">de </w:t>
            </w:r>
            <w:r w:rsidRPr="003979E8">
              <w:rPr>
                <w:rFonts w:ascii="Tahoma" w:hAnsi="Tahoma" w:cs="Tahoma"/>
                <w:b/>
                <w:bCs/>
                <w:color w:val="243285"/>
                <w:sz w:val="44"/>
                <w:szCs w:val="44"/>
                <w:lang w:val="es-ES_tradnl"/>
              </w:rPr>
              <w:t xml:space="preserve">4 kHz o 1MHz) de portadoras </w:t>
            </w:r>
            <w:r w:rsidR="00EE2436">
              <w:rPr>
                <w:rFonts w:ascii="Tahoma" w:hAnsi="Tahoma" w:cs="Tahoma"/>
                <w:b/>
                <w:bCs/>
                <w:color w:val="243285"/>
                <w:sz w:val="44"/>
                <w:szCs w:val="44"/>
                <w:lang w:val="es-ES_tradnl"/>
              </w:rPr>
              <w:br/>
            </w:r>
            <w:r w:rsidRPr="003979E8">
              <w:rPr>
                <w:rFonts w:ascii="Tahoma" w:hAnsi="Tahoma" w:cs="Tahoma"/>
                <w:b/>
                <w:bCs/>
                <w:color w:val="243285"/>
                <w:sz w:val="44"/>
                <w:szCs w:val="44"/>
                <w:lang w:val="es-ES_tradnl"/>
              </w:rPr>
              <w:t>con modulación angular</w:t>
            </w:r>
            <w:r w:rsidR="00EE2436">
              <w:rPr>
                <w:rFonts w:ascii="Tahoma" w:hAnsi="Tahoma" w:cs="Tahoma"/>
                <w:b/>
                <w:bCs/>
                <w:color w:val="243285"/>
                <w:sz w:val="44"/>
                <w:szCs w:val="44"/>
                <w:lang w:val="es-ES_tradnl"/>
              </w:rPr>
              <w:t xml:space="preserve"> </w:t>
            </w:r>
            <w:r w:rsidRPr="003979E8">
              <w:rPr>
                <w:rFonts w:ascii="Tahoma" w:hAnsi="Tahoma" w:cs="Tahoma"/>
                <w:b/>
                <w:bCs/>
                <w:color w:val="243285"/>
                <w:sz w:val="44"/>
                <w:szCs w:val="44"/>
                <w:lang w:val="es-ES_tradnl"/>
              </w:rPr>
              <w:t xml:space="preserve">y digitales </w:t>
            </w:r>
          </w:p>
          <w:p w:rsidR="00C374F0" w:rsidRPr="0010336F" w:rsidRDefault="00C374F0" w:rsidP="00241A0F">
            <w:pPr>
              <w:spacing w:before="80" w:line="500" w:lineRule="exact"/>
              <w:jc w:val="right"/>
              <w:rPr>
                <w:rFonts w:ascii="Tahoma" w:hAnsi="Tahoma" w:cs="Tahoma"/>
                <w:b/>
                <w:bCs/>
                <w:iCs/>
                <w:color w:val="243285"/>
                <w:sz w:val="44"/>
                <w:szCs w:val="44"/>
                <w:lang w:val="es-ES_tradnl"/>
              </w:rPr>
            </w:pPr>
          </w:p>
        </w:tc>
      </w:tr>
      <w:tr w:rsidR="00C374F0" w:rsidRPr="00FD1FC3" w:rsidTr="00241A0F">
        <w:tc>
          <w:tcPr>
            <w:tcW w:w="10089" w:type="dxa"/>
          </w:tcPr>
          <w:p w:rsidR="00C374F0" w:rsidRPr="0010336F" w:rsidRDefault="00C374F0" w:rsidP="00241A0F">
            <w:pPr>
              <w:spacing w:before="80" w:line="280" w:lineRule="exact"/>
              <w:ind w:right="640"/>
              <w:rPr>
                <w:rFonts w:ascii="Tahoma" w:hAnsi="Tahoma" w:cs="Tahoma"/>
                <w:b/>
                <w:bCs/>
                <w:iCs/>
                <w:color w:val="243285"/>
                <w:sz w:val="32"/>
                <w:szCs w:val="32"/>
                <w:lang w:val="es-ES_tradnl"/>
              </w:rPr>
            </w:pPr>
          </w:p>
          <w:p w:rsidR="00C374F0" w:rsidRPr="0010336F" w:rsidRDefault="00C374F0" w:rsidP="00241A0F">
            <w:pPr>
              <w:spacing w:before="80" w:line="280" w:lineRule="exact"/>
              <w:ind w:right="640"/>
              <w:rPr>
                <w:rFonts w:ascii="Tahoma" w:hAnsi="Tahoma" w:cs="Tahoma"/>
                <w:b/>
                <w:bCs/>
                <w:iCs/>
                <w:color w:val="243285"/>
                <w:sz w:val="32"/>
                <w:szCs w:val="32"/>
                <w:lang w:val="es-ES_tradnl"/>
              </w:rPr>
            </w:pPr>
          </w:p>
          <w:p w:rsidR="00C374F0" w:rsidRPr="0010336F" w:rsidRDefault="00C374F0" w:rsidP="00241A0F">
            <w:pPr>
              <w:spacing w:before="80" w:after="180" w:line="360" w:lineRule="exact"/>
              <w:ind w:right="720"/>
              <w:rPr>
                <w:rFonts w:ascii="Tahoma" w:hAnsi="Tahoma" w:cs="Tahoma"/>
                <w:b/>
                <w:bCs/>
                <w:iCs/>
                <w:color w:val="243285"/>
                <w:sz w:val="36"/>
                <w:szCs w:val="36"/>
                <w:lang w:val="es-ES_tradnl"/>
              </w:rPr>
            </w:pPr>
          </w:p>
          <w:p w:rsidR="00C374F0" w:rsidRPr="0010336F" w:rsidRDefault="00C374F0" w:rsidP="00241A0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SF</w:t>
            </w:r>
          </w:p>
          <w:p w:rsidR="00C374F0" w:rsidRPr="0010336F" w:rsidRDefault="00C374F0" w:rsidP="00EE2436">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Compartición de frecuencias y coordinación</w:t>
            </w:r>
            <w:r w:rsidR="00EE2436">
              <w:rPr>
                <w:rFonts w:ascii="Tahoma" w:hAnsi="Tahoma" w:cs="Tahoma"/>
                <w:b/>
                <w:bCs/>
                <w:iCs/>
                <w:color w:val="243285"/>
                <w:sz w:val="36"/>
                <w:szCs w:val="36"/>
                <w:lang w:val="es-ES_tradnl"/>
              </w:rPr>
              <w:br/>
            </w:r>
            <w:r>
              <w:rPr>
                <w:rFonts w:ascii="Tahoma" w:hAnsi="Tahoma" w:cs="Tahoma"/>
                <w:b/>
                <w:bCs/>
                <w:iCs/>
                <w:color w:val="243285"/>
                <w:sz w:val="36"/>
                <w:szCs w:val="36"/>
                <w:lang w:val="es-ES_tradnl"/>
              </w:rPr>
              <w:t>entre los sistemas del servicio fijo</w:t>
            </w:r>
            <w:r w:rsidR="00EE2436">
              <w:rPr>
                <w:rFonts w:ascii="Tahoma" w:hAnsi="Tahoma" w:cs="Tahoma"/>
                <w:b/>
                <w:bCs/>
                <w:iCs/>
                <w:color w:val="243285"/>
                <w:sz w:val="36"/>
                <w:szCs w:val="36"/>
                <w:lang w:val="es-ES_tradnl"/>
              </w:rPr>
              <w:br/>
            </w:r>
            <w:r>
              <w:rPr>
                <w:rFonts w:ascii="Tahoma" w:hAnsi="Tahoma" w:cs="Tahoma"/>
                <w:b/>
                <w:bCs/>
                <w:iCs/>
                <w:color w:val="243285"/>
                <w:sz w:val="36"/>
                <w:szCs w:val="36"/>
                <w:lang w:val="es-ES_tradnl"/>
              </w:rPr>
              <w:t>por satélite y del servicio fijo</w:t>
            </w:r>
          </w:p>
        </w:tc>
      </w:tr>
    </w:tbl>
    <w:p w:rsidR="00C374F0" w:rsidRPr="0026666F" w:rsidRDefault="00C374F0" w:rsidP="00241A0F">
      <w:pPr>
        <w:spacing w:before="80"/>
        <w:rPr>
          <w:i/>
          <w:sz w:val="22"/>
          <w:lang w:val="es-ES_tradnl"/>
        </w:rPr>
      </w:pPr>
    </w:p>
    <w:p w:rsidR="00C374F0" w:rsidRPr="0026666F" w:rsidRDefault="00C374F0" w:rsidP="00241A0F">
      <w:pPr>
        <w:spacing w:before="80"/>
        <w:rPr>
          <w:i/>
          <w:sz w:val="22"/>
          <w:lang w:val="es-ES_tradnl"/>
        </w:rPr>
      </w:pPr>
    </w:p>
    <w:p w:rsidR="00C374F0" w:rsidRPr="0026666F" w:rsidRDefault="00C374F0" w:rsidP="00241A0F">
      <w:pPr>
        <w:spacing w:before="80"/>
        <w:rPr>
          <w:i/>
          <w:sz w:val="22"/>
          <w:lang w:val="es-ES_tradnl"/>
        </w:rPr>
      </w:pPr>
    </w:p>
    <w:p w:rsidR="00C374F0" w:rsidRPr="0026666F" w:rsidRDefault="00C374F0" w:rsidP="00241A0F">
      <w:pPr>
        <w:pStyle w:val="Equation"/>
        <w:tabs>
          <w:tab w:val="clear" w:pos="4820"/>
          <w:tab w:val="clear" w:pos="9639"/>
          <w:tab w:val="left" w:pos="1191"/>
          <w:tab w:val="left" w:pos="1588"/>
          <w:tab w:val="left" w:pos="1985"/>
        </w:tabs>
        <w:rPr>
          <w:rFonts w:ascii="Palatino Linotype" w:hAnsi="Palatino Linotype"/>
          <w:lang w:val="es-ES_tradnl"/>
        </w:rPr>
        <w:sectPr w:rsidR="00C374F0" w:rsidRPr="0026666F" w:rsidSect="00241A0F">
          <w:headerReference w:type="even" r:id="rId7"/>
          <w:headerReference w:type="default" r:id="rId8"/>
          <w:pgSz w:w="11907" w:h="16834" w:code="9"/>
          <w:pgMar w:top="1418" w:right="1134" w:bottom="1134" w:left="1134" w:header="720" w:footer="482" w:gutter="0"/>
          <w:paperSrc w:first="15" w:other="15"/>
          <w:cols w:space="720"/>
        </w:sectPr>
      </w:pPr>
    </w:p>
    <w:p w:rsidR="00C374F0" w:rsidRPr="006C718C" w:rsidRDefault="00C374F0" w:rsidP="00241A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C374F0" w:rsidRPr="006C718C" w:rsidRDefault="00C374F0" w:rsidP="00241A0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374F0" w:rsidRPr="006C718C" w:rsidRDefault="00C374F0" w:rsidP="00241A0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374F0" w:rsidRPr="00021E8A" w:rsidRDefault="00C374F0" w:rsidP="00241A0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374F0" w:rsidRPr="00021E8A" w:rsidRDefault="00C374F0" w:rsidP="00241A0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374F0" w:rsidRPr="007C36CA" w:rsidRDefault="00C374F0" w:rsidP="00241A0F">
      <w:pPr>
        <w:spacing w:before="0"/>
        <w:jc w:val="center"/>
        <w:rPr>
          <w:sz w:val="22"/>
          <w:lang w:val="es-ES_tradnl"/>
        </w:rPr>
      </w:pPr>
    </w:p>
    <w:p w:rsidR="00C374F0" w:rsidRPr="007C36CA" w:rsidRDefault="00C374F0" w:rsidP="00241A0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374F0" w:rsidRPr="00FD1FC3" w:rsidTr="00241A0F">
        <w:tc>
          <w:tcPr>
            <w:tcW w:w="9360" w:type="dxa"/>
            <w:gridSpan w:val="2"/>
          </w:tcPr>
          <w:p w:rsidR="00C374F0" w:rsidRPr="00021E8A" w:rsidRDefault="00C374F0" w:rsidP="00241A0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374F0" w:rsidRPr="00763D08" w:rsidRDefault="00C374F0" w:rsidP="00241A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C374F0" w:rsidRPr="00036EE3" w:rsidTr="00241A0F">
        <w:tc>
          <w:tcPr>
            <w:tcW w:w="1140" w:type="dxa"/>
            <w:tcBorders>
              <w:bottom w:val="nil"/>
            </w:tcBorders>
          </w:tcPr>
          <w:p w:rsidR="00C374F0" w:rsidRPr="00036EE3" w:rsidRDefault="00C374F0" w:rsidP="00241A0F">
            <w:pPr>
              <w:spacing w:before="180" w:after="100"/>
              <w:ind w:left="57"/>
              <w:rPr>
                <w:b/>
                <w:bCs/>
                <w:sz w:val="20"/>
                <w:lang w:val="en-US"/>
              </w:rPr>
            </w:pPr>
            <w:r w:rsidRPr="00036EE3">
              <w:rPr>
                <w:b/>
                <w:bCs/>
                <w:sz w:val="20"/>
                <w:lang w:val="en-US"/>
              </w:rPr>
              <w:t>Series</w:t>
            </w:r>
          </w:p>
        </w:tc>
        <w:tc>
          <w:tcPr>
            <w:tcW w:w="8220" w:type="dxa"/>
            <w:tcBorders>
              <w:bottom w:val="nil"/>
            </w:tcBorders>
          </w:tcPr>
          <w:p w:rsidR="00C374F0" w:rsidRPr="00036EE3" w:rsidRDefault="00C374F0" w:rsidP="00241A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374F0" w:rsidRPr="004532F7" w:rsidTr="00241A0F">
        <w:tc>
          <w:tcPr>
            <w:tcW w:w="1140" w:type="dxa"/>
            <w:tcBorders>
              <w:top w:val="nil"/>
              <w:bottom w:val="nil"/>
            </w:tcBorders>
            <w:shd w:val="clear" w:color="auto" w:fill="auto"/>
          </w:tcPr>
          <w:p w:rsidR="00C374F0" w:rsidRPr="004532F7" w:rsidRDefault="00C374F0" w:rsidP="00241A0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C374F0" w:rsidRPr="004532F7" w:rsidRDefault="00C374F0" w:rsidP="00241A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C374F0" w:rsidRPr="00FD1FC3" w:rsidTr="00241A0F">
        <w:tc>
          <w:tcPr>
            <w:tcW w:w="1140" w:type="dxa"/>
            <w:tcBorders>
              <w:top w:val="nil"/>
              <w:bottom w:val="nil"/>
            </w:tcBorders>
            <w:shd w:val="clear" w:color="auto" w:fill="auto"/>
          </w:tcPr>
          <w:p w:rsidR="00C374F0" w:rsidRPr="006B22C3" w:rsidRDefault="00C374F0" w:rsidP="00241A0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C374F0" w:rsidRPr="006B22C3" w:rsidRDefault="00C374F0" w:rsidP="00241A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374F0" w:rsidRPr="00847DD5" w:rsidTr="00241A0F">
        <w:tc>
          <w:tcPr>
            <w:tcW w:w="1140" w:type="dxa"/>
            <w:tcBorders>
              <w:top w:val="nil"/>
              <w:bottom w:val="nil"/>
            </w:tcBorders>
            <w:shd w:val="clear" w:color="auto" w:fill="auto"/>
          </w:tcPr>
          <w:p w:rsidR="00C374F0" w:rsidRPr="00847DD5" w:rsidRDefault="00C374F0" w:rsidP="00241A0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C374F0" w:rsidRPr="00847DD5" w:rsidRDefault="00C374F0" w:rsidP="00241A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C374F0" w:rsidRPr="00ED2695" w:rsidTr="00241A0F">
        <w:tc>
          <w:tcPr>
            <w:tcW w:w="1140" w:type="dxa"/>
            <w:tcBorders>
              <w:top w:val="nil"/>
              <w:bottom w:val="nil"/>
            </w:tcBorders>
            <w:shd w:val="clear" w:color="auto" w:fill="auto"/>
          </w:tcPr>
          <w:p w:rsidR="00C374F0" w:rsidRPr="00ED2695" w:rsidRDefault="00C374F0" w:rsidP="00241A0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374F0" w:rsidRPr="00021E8A" w:rsidRDefault="00C374F0" w:rsidP="00241A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374F0" w:rsidRPr="00366CEE" w:rsidTr="00241A0F">
        <w:tc>
          <w:tcPr>
            <w:tcW w:w="1140" w:type="dxa"/>
            <w:tcBorders>
              <w:top w:val="nil"/>
              <w:bottom w:val="nil"/>
            </w:tcBorders>
            <w:shd w:val="clear" w:color="auto" w:fill="auto"/>
          </w:tcPr>
          <w:p w:rsidR="00C374F0" w:rsidRPr="00366CEE" w:rsidRDefault="00C374F0" w:rsidP="00241A0F">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C374F0" w:rsidRPr="00366CEE" w:rsidRDefault="00C374F0" w:rsidP="00241A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C374F0" w:rsidRPr="00FD1FC3" w:rsidTr="00241A0F">
        <w:tc>
          <w:tcPr>
            <w:tcW w:w="1140" w:type="dxa"/>
            <w:tcBorders>
              <w:top w:val="nil"/>
              <w:bottom w:val="nil"/>
            </w:tcBorders>
            <w:shd w:val="clear" w:color="auto" w:fill="auto"/>
          </w:tcPr>
          <w:p w:rsidR="00C374F0" w:rsidRPr="0010336F" w:rsidRDefault="00C374F0" w:rsidP="00241A0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C374F0" w:rsidRPr="0010336F" w:rsidRDefault="00C374F0" w:rsidP="00241A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374F0" w:rsidRPr="00FD1FC3" w:rsidTr="00241A0F">
        <w:tc>
          <w:tcPr>
            <w:tcW w:w="1140" w:type="dxa"/>
            <w:tcBorders>
              <w:top w:val="nil"/>
              <w:bottom w:val="nil"/>
            </w:tcBorders>
            <w:shd w:val="clear" w:color="auto" w:fill="auto"/>
          </w:tcPr>
          <w:p w:rsidR="00C374F0" w:rsidRPr="00F95576" w:rsidRDefault="00C374F0" w:rsidP="00241A0F">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C374F0" w:rsidRPr="00F95576" w:rsidRDefault="00C374F0" w:rsidP="00241A0F">
            <w:pPr>
              <w:spacing w:before="30" w:after="30"/>
              <w:jc w:val="left"/>
              <w:rPr>
                <w:sz w:val="20"/>
                <w:lang w:val="es-ES_tradnl"/>
              </w:rPr>
            </w:pPr>
            <w:r w:rsidRPr="00F95576">
              <w:rPr>
                <w:sz w:val="20"/>
                <w:lang w:val="es-ES_tradnl"/>
              </w:rPr>
              <w:t>Propagación de las ondas radioeléctricas</w:t>
            </w:r>
          </w:p>
        </w:tc>
      </w:tr>
      <w:tr w:rsidR="00C374F0" w:rsidRPr="00DE71F7" w:rsidTr="00241A0F">
        <w:tc>
          <w:tcPr>
            <w:tcW w:w="1140" w:type="dxa"/>
            <w:tcBorders>
              <w:top w:val="nil"/>
              <w:bottom w:val="nil"/>
            </w:tcBorders>
            <w:shd w:val="clear" w:color="auto" w:fill="auto"/>
          </w:tcPr>
          <w:p w:rsidR="00C374F0" w:rsidRPr="00DE71F7" w:rsidRDefault="00C374F0" w:rsidP="00241A0F">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C374F0" w:rsidRPr="00DE71F7" w:rsidRDefault="00C374F0" w:rsidP="00241A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C374F0" w:rsidRPr="00FD1FC3" w:rsidTr="00241A0F">
        <w:tc>
          <w:tcPr>
            <w:tcW w:w="1140" w:type="dxa"/>
            <w:tcBorders>
              <w:top w:val="nil"/>
              <w:bottom w:val="nil"/>
            </w:tcBorders>
            <w:shd w:val="clear" w:color="auto" w:fill="auto"/>
          </w:tcPr>
          <w:p w:rsidR="00C374F0" w:rsidRPr="00D12388" w:rsidRDefault="00C374F0" w:rsidP="00241A0F">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C374F0" w:rsidRPr="00D12388" w:rsidRDefault="00C374F0" w:rsidP="00241A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C374F0" w:rsidRPr="00025336" w:rsidTr="00241A0F">
        <w:tc>
          <w:tcPr>
            <w:tcW w:w="1140" w:type="dxa"/>
            <w:tcBorders>
              <w:top w:val="nil"/>
              <w:bottom w:val="nil"/>
            </w:tcBorders>
            <w:shd w:val="clear" w:color="auto" w:fill="auto"/>
          </w:tcPr>
          <w:p w:rsidR="00C374F0" w:rsidRPr="00025336" w:rsidRDefault="00C374F0" w:rsidP="00241A0F">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C374F0" w:rsidRPr="00025336" w:rsidRDefault="00C374F0" w:rsidP="00241A0F">
            <w:pPr>
              <w:spacing w:before="30" w:after="30"/>
              <w:jc w:val="left"/>
              <w:rPr>
                <w:sz w:val="20"/>
                <w:lang w:val="en-US"/>
              </w:rPr>
            </w:pPr>
            <w:r w:rsidRPr="00025336">
              <w:rPr>
                <w:sz w:val="20"/>
              </w:rPr>
              <w:t>Servicio fijo por satélite</w:t>
            </w:r>
          </w:p>
        </w:tc>
      </w:tr>
      <w:tr w:rsidR="00C374F0" w:rsidRPr="00975AEB" w:rsidTr="00241A0F">
        <w:tc>
          <w:tcPr>
            <w:tcW w:w="1140" w:type="dxa"/>
            <w:tcBorders>
              <w:top w:val="nil"/>
              <w:bottom w:val="nil"/>
            </w:tcBorders>
            <w:shd w:val="clear" w:color="auto" w:fill="auto"/>
          </w:tcPr>
          <w:p w:rsidR="00C374F0" w:rsidRPr="00975AEB" w:rsidRDefault="00C374F0" w:rsidP="00241A0F">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C374F0" w:rsidRPr="00975AEB" w:rsidRDefault="00C374F0" w:rsidP="00241A0F">
            <w:pPr>
              <w:spacing w:before="30" w:after="30"/>
              <w:jc w:val="left"/>
              <w:rPr>
                <w:sz w:val="20"/>
                <w:lang w:val="en-US"/>
              </w:rPr>
            </w:pPr>
            <w:r w:rsidRPr="00975AEB">
              <w:rPr>
                <w:sz w:val="20"/>
              </w:rPr>
              <w:t>Aplicaciones espaciales y meteorología</w:t>
            </w:r>
          </w:p>
        </w:tc>
      </w:tr>
      <w:tr w:rsidR="00C374F0" w:rsidRPr="00FD1FC3" w:rsidTr="00241A0F">
        <w:tc>
          <w:tcPr>
            <w:tcW w:w="1140" w:type="dxa"/>
            <w:tcBorders>
              <w:top w:val="nil"/>
              <w:bottom w:val="nil"/>
            </w:tcBorders>
            <w:shd w:val="clear" w:color="auto" w:fill="F3F3F3"/>
          </w:tcPr>
          <w:p w:rsidR="00C374F0" w:rsidRPr="00975AEB" w:rsidRDefault="00C374F0" w:rsidP="00241A0F">
            <w:pPr>
              <w:spacing w:before="30" w:after="30"/>
              <w:ind w:left="57"/>
              <w:jc w:val="left"/>
              <w:rPr>
                <w:b/>
                <w:bCs/>
                <w:color w:val="000080"/>
                <w:sz w:val="20"/>
                <w:lang w:val="en-US"/>
              </w:rPr>
            </w:pPr>
            <w:r w:rsidRPr="00975AEB">
              <w:rPr>
                <w:b/>
                <w:bCs/>
                <w:color w:val="000080"/>
                <w:sz w:val="20"/>
                <w:lang w:val="en-US"/>
              </w:rPr>
              <w:t>SF</w:t>
            </w:r>
          </w:p>
        </w:tc>
        <w:tc>
          <w:tcPr>
            <w:tcW w:w="8220" w:type="dxa"/>
            <w:tcBorders>
              <w:top w:val="nil"/>
              <w:bottom w:val="nil"/>
            </w:tcBorders>
            <w:shd w:val="clear" w:color="auto" w:fill="F3F3F3"/>
          </w:tcPr>
          <w:p w:rsidR="00C374F0" w:rsidRPr="00975AEB" w:rsidRDefault="00C374F0" w:rsidP="00241A0F">
            <w:pPr>
              <w:spacing w:before="30" w:after="30"/>
              <w:jc w:val="left"/>
              <w:rPr>
                <w:b/>
                <w:bCs/>
                <w:color w:val="000080"/>
                <w:sz w:val="20"/>
                <w:lang w:val="es-ES_tradnl"/>
              </w:rPr>
            </w:pPr>
            <w:r w:rsidRPr="00975AEB">
              <w:rPr>
                <w:b/>
                <w:bCs/>
                <w:color w:val="000080"/>
                <w:sz w:val="20"/>
                <w:lang w:val="es-ES_tradnl"/>
              </w:rPr>
              <w:t>Compartición de frecuencias y coordinación entre los sistemas del servicio fijo por satélite y del servicio fijo</w:t>
            </w:r>
          </w:p>
        </w:tc>
      </w:tr>
      <w:tr w:rsidR="00C374F0" w:rsidRPr="00036EE3" w:rsidTr="00241A0F">
        <w:tc>
          <w:tcPr>
            <w:tcW w:w="1140" w:type="dxa"/>
            <w:tcBorders>
              <w:top w:val="nil"/>
            </w:tcBorders>
            <w:shd w:val="clear" w:color="auto" w:fill="auto"/>
          </w:tcPr>
          <w:p w:rsidR="00C374F0" w:rsidRPr="001240BC" w:rsidRDefault="00C374F0" w:rsidP="00241A0F">
            <w:pPr>
              <w:spacing w:before="30" w:after="30"/>
              <w:ind w:left="57"/>
              <w:jc w:val="left"/>
              <w:rPr>
                <w:b/>
                <w:bCs/>
                <w:sz w:val="20"/>
                <w:lang w:val="en-US"/>
              </w:rPr>
            </w:pPr>
            <w:r w:rsidRPr="001240BC">
              <w:rPr>
                <w:b/>
                <w:bCs/>
                <w:sz w:val="20"/>
                <w:lang w:val="en-US"/>
              </w:rPr>
              <w:t>SM</w:t>
            </w:r>
          </w:p>
        </w:tc>
        <w:tc>
          <w:tcPr>
            <w:tcW w:w="8220" w:type="dxa"/>
            <w:tcBorders>
              <w:top w:val="nil"/>
            </w:tcBorders>
            <w:shd w:val="clear" w:color="auto" w:fill="auto"/>
          </w:tcPr>
          <w:p w:rsidR="00C374F0" w:rsidRPr="001240BC" w:rsidRDefault="00C374F0" w:rsidP="00241A0F">
            <w:pPr>
              <w:spacing w:before="30" w:after="30"/>
              <w:jc w:val="left"/>
              <w:rPr>
                <w:sz w:val="20"/>
                <w:lang w:val="en-US"/>
              </w:rPr>
            </w:pPr>
            <w:r w:rsidRPr="001240BC">
              <w:rPr>
                <w:sz w:val="20"/>
              </w:rPr>
              <w:t>Gestión del espectro</w:t>
            </w:r>
          </w:p>
        </w:tc>
      </w:tr>
      <w:tr w:rsidR="00C374F0" w:rsidRPr="00036EE3" w:rsidTr="00241A0F">
        <w:tc>
          <w:tcPr>
            <w:tcW w:w="1140" w:type="dxa"/>
          </w:tcPr>
          <w:p w:rsidR="00C374F0" w:rsidRPr="00036EE3" w:rsidRDefault="00C374F0" w:rsidP="00241A0F">
            <w:pPr>
              <w:spacing w:before="30" w:after="30"/>
              <w:ind w:left="57"/>
              <w:jc w:val="left"/>
              <w:rPr>
                <w:b/>
                <w:bCs/>
                <w:sz w:val="20"/>
                <w:lang w:val="en-US"/>
              </w:rPr>
            </w:pPr>
            <w:r w:rsidRPr="00036EE3">
              <w:rPr>
                <w:b/>
                <w:bCs/>
                <w:sz w:val="20"/>
                <w:lang w:val="en-US"/>
              </w:rPr>
              <w:t>SNG</w:t>
            </w:r>
          </w:p>
        </w:tc>
        <w:tc>
          <w:tcPr>
            <w:tcW w:w="8220" w:type="dxa"/>
          </w:tcPr>
          <w:p w:rsidR="00C374F0" w:rsidRPr="00021E8A" w:rsidRDefault="00C374F0" w:rsidP="00241A0F">
            <w:pPr>
              <w:spacing w:before="30" w:after="30"/>
              <w:jc w:val="left"/>
              <w:rPr>
                <w:bCs/>
                <w:sz w:val="20"/>
                <w:lang w:val="en-US"/>
              </w:rPr>
            </w:pPr>
            <w:r w:rsidRPr="00021E8A">
              <w:rPr>
                <w:bCs/>
                <w:sz w:val="20"/>
              </w:rPr>
              <w:t>Periodismo electrónico por satélite</w:t>
            </w:r>
          </w:p>
        </w:tc>
      </w:tr>
      <w:tr w:rsidR="00C374F0" w:rsidRPr="00FD1FC3" w:rsidTr="00241A0F">
        <w:tc>
          <w:tcPr>
            <w:tcW w:w="1140" w:type="dxa"/>
          </w:tcPr>
          <w:p w:rsidR="00C374F0" w:rsidRPr="00036EE3" w:rsidRDefault="00C374F0" w:rsidP="00241A0F">
            <w:pPr>
              <w:spacing w:before="30" w:after="30"/>
              <w:ind w:left="57"/>
              <w:jc w:val="left"/>
              <w:rPr>
                <w:b/>
                <w:bCs/>
                <w:sz w:val="20"/>
                <w:lang w:val="en-US"/>
              </w:rPr>
            </w:pPr>
            <w:r w:rsidRPr="00036EE3">
              <w:rPr>
                <w:b/>
                <w:bCs/>
                <w:sz w:val="20"/>
                <w:lang w:val="en-US"/>
              </w:rPr>
              <w:t>TF</w:t>
            </w:r>
          </w:p>
        </w:tc>
        <w:tc>
          <w:tcPr>
            <w:tcW w:w="8220" w:type="dxa"/>
          </w:tcPr>
          <w:p w:rsidR="00C374F0" w:rsidRPr="00021E8A" w:rsidRDefault="00C374F0" w:rsidP="00241A0F">
            <w:pPr>
              <w:spacing w:before="30" w:after="30"/>
              <w:jc w:val="left"/>
              <w:rPr>
                <w:bCs/>
                <w:sz w:val="20"/>
                <w:lang w:val="es-ES_tradnl"/>
              </w:rPr>
            </w:pPr>
            <w:r w:rsidRPr="00021E8A">
              <w:rPr>
                <w:bCs/>
                <w:sz w:val="20"/>
                <w:lang w:val="es-ES_tradnl"/>
              </w:rPr>
              <w:t>Emisiones de frecuencias patrón y señales horarias</w:t>
            </w:r>
          </w:p>
        </w:tc>
      </w:tr>
      <w:tr w:rsidR="00C374F0" w:rsidRPr="00036EE3" w:rsidTr="00241A0F">
        <w:tc>
          <w:tcPr>
            <w:tcW w:w="1140" w:type="dxa"/>
          </w:tcPr>
          <w:p w:rsidR="00C374F0" w:rsidRPr="00036EE3" w:rsidRDefault="00C374F0" w:rsidP="00241A0F">
            <w:pPr>
              <w:spacing w:before="30" w:after="30"/>
              <w:ind w:left="57"/>
              <w:jc w:val="left"/>
              <w:rPr>
                <w:b/>
                <w:bCs/>
                <w:sz w:val="20"/>
                <w:lang w:val="en-US"/>
              </w:rPr>
            </w:pPr>
            <w:r w:rsidRPr="00036EE3">
              <w:rPr>
                <w:b/>
                <w:bCs/>
                <w:sz w:val="20"/>
                <w:lang w:val="en-US"/>
              </w:rPr>
              <w:t>V</w:t>
            </w:r>
          </w:p>
        </w:tc>
        <w:tc>
          <w:tcPr>
            <w:tcW w:w="8220" w:type="dxa"/>
          </w:tcPr>
          <w:p w:rsidR="00C374F0" w:rsidRPr="00021E8A" w:rsidRDefault="00C374F0" w:rsidP="00241A0F">
            <w:pPr>
              <w:spacing w:before="30" w:after="140"/>
              <w:jc w:val="left"/>
              <w:rPr>
                <w:bCs/>
                <w:sz w:val="20"/>
                <w:lang w:val="en-US"/>
              </w:rPr>
            </w:pPr>
            <w:r w:rsidRPr="00021E8A">
              <w:rPr>
                <w:bCs/>
                <w:sz w:val="20"/>
              </w:rPr>
              <w:t>Vocabulario y cuestiones afines</w:t>
            </w:r>
          </w:p>
        </w:tc>
      </w:tr>
    </w:tbl>
    <w:p w:rsidR="00C374F0" w:rsidRPr="00036EE3" w:rsidRDefault="00C374F0" w:rsidP="00241A0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374F0" w:rsidTr="00241A0F">
        <w:tc>
          <w:tcPr>
            <w:tcW w:w="720" w:type="dxa"/>
          </w:tcPr>
          <w:p w:rsidR="00C374F0" w:rsidRDefault="00C374F0" w:rsidP="00241A0F">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C374F0" w:rsidRPr="00FD1FC3" w:rsidTr="00241A0F">
        <w:tc>
          <w:tcPr>
            <w:tcW w:w="9360" w:type="dxa"/>
          </w:tcPr>
          <w:p w:rsidR="00C374F0" w:rsidRPr="00763D08" w:rsidRDefault="00C374F0" w:rsidP="00241A0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C374F0" w:rsidRPr="00763D08" w:rsidRDefault="00C374F0" w:rsidP="00241A0F">
      <w:pPr>
        <w:spacing w:before="0"/>
        <w:jc w:val="center"/>
        <w:rPr>
          <w:sz w:val="22"/>
          <w:lang w:val="es-ES_tradnl"/>
        </w:rPr>
      </w:pPr>
    </w:p>
    <w:p w:rsidR="00C374F0" w:rsidRPr="00763D08" w:rsidRDefault="00C374F0" w:rsidP="00241A0F">
      <w:pPr>
        <w:spacing w:before="60"/>
        <w:jc w:val="right"/>
        <w:rPr>
          <w:i/>
          <w:iCs/>
          <w:sz w:val="20"/>
          <w:lang w:val="es-ES_tradnl"/>
        </w:rPr>
      </w:pPr>
      <w:r w:rsidRPr="00763D08">
        <w:rPr>
          <w:i/>
          <w:iCs/>
          <w:sz w:val="20"/>
          <w:lang w:val="es-ES_tradnl"/>
        </w:rPr>
        <w:t>Publicación electrónica</w:t>
      </w:r>
    </w:p>
    <w:p w:rsidR="00C374F0" w:rsidRPr="00763D08" w:rsidRDefault="00C374F0" w:rsidP="00241A0F">
      <w:pPr>
        <w:spacing w:before="0" w:after="40"/>
        <w:jc w:val="right"/>
        <w:rPr>
          <w:sz w:val="20"/>
          <w:lang w:val="es-ES_tradnl"/>
        </w:rPr>
      </w:pPr>
      <w:r w:rsidRPr="00763D08">
        <w:rPr>
          <w:sz w:val="20"/>
          <w:lang w:val="es-ES_tradnl"/>
        </w:rPr>
        <w:t>Ginebra, 20</w:t>
      </w:r>
      <w:r>
        <w:rPr>
          <w:sz w:val="20"/>
          <w:lang w:val="es-ES_tradnl"/>
        </w:rPr>
        <w:t>12</w:t>
      </w:r>
    </w:p>
    <w:p w:rsidR="00C374F0" w:rsidRPr="00763D08" w:rsidRDefault="00C374F0" w:rsidP="00241A0F">
      <w:pPr>
        <w:spacing w:before="0"/>
        <w:jc w:val="center"/>
        <w:rPr>
          <w:sz w:val="22"/>
          <w:lang w:val="es-ES_tradnl"/>
        </w:rPr>
      </w:pPr>
    </w:p>
    <w:p w:rsidR="00C374F0" w:rsidRPr="00763D08" w:rsidRDefault="00C374F0" w:rsidP="00241A0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12</w:t>
      </w:r>
    </w:p>
    <w:p w:rsidR="00C374F0" w:rsidRPr="006C718C" w:rsidRDefault="00C374F0" w:rsidP="00241A0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374F0" w:rsidRPr="006C718C" w:rsidRDefault="00C374F0" w:rsidP="00241A0F">
      <w:pPr>
        <w:spacing w:before="160"/>
        <w:rPr>
          <w:i/>
          <w:sz w:val="20"/>
          <w:highlight w:val="yellow"/>
          <w:lang w:val="es-ES_tradnl"/>
        </w:rPr>
        <w:sectPr w:rsidR="00C374F0" w:rsidRPr="006C718C" w:rsidSect="00241A0F">
          <w:headerReference w:type="even" r:id="rId11"/>
          <w:headerReference w:type="default" r:id="rId12"/>
          <w:pgSz w:w="11907" w:h="16834" w:code="9"/>
          <w:pgMar w:top="1418" w:right="1134" w:bottom="1134" w:left="1134" w:header="720" w:footer="482" w:gutter="0"/>
          <w:pgNumType w:fmt="lowerRoman" w:start="2"/>
          <w:cols w:space="720"/>
        </w:sectPr>
      </w:pPr>
    </w:p>
    <w:p w:rsidR="00C374F0" w:rsidRPr="0010336F" w:rsidRDefault="00C374F0" w:rsidP="00241A0F">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SF</w:t>
      </w:r>
      <w:r w:rsidRPr="0010336F">
        <w:rPr>
          <w:rStyle w:val="href"/>
          <w:lang w:val="es-ES_tradnl"/>
        </w:rPr>
        <w:t>.</w:t>
      </w:r>
      <w:r w:rsidR="00B173A5">
        <w:rPr>
          <w:rStyle w:val="href"/>
          <w:lang w:val="es-ES_tradnl"/>
        </w:rPr>
        <w:t>675-4</w:t>
      </w:r>
    </w:p>
    <w:p w:rsidR="00A6617B" w:rsidRDefault="002A1B75" w:rsidP="00BF3FB3">
      <w:pPr>
        <w:pStyle w:val="Rectitle"/>
      </w:pPr>
      <w:r w:rsidRPr="002A1B75">
        <w:t>Cálculo de la densidad de potencia máxima</w:t>
      </w:r>
      <w:r w:rsidR="00BF3FB3">
        <w:br/>
      </w:r>
      <w:r w:rsidRPr="002A1B75">
        <w:t>(valor medio en una banda</w:t>
      </w:r>
      <w:r w:rsidR="00BF3FB3">
        <w:t xml:space="preserve"> </w:t>
      </w:r>
      <w:r w:rsidRPr="002A1B75">
        <w:t>de 4 kHz o 1 MHz)</w:t>
      </w:r>
      <w:r w:rsidR="00BF3FB3">
        <w:br/>
      </w:r>
      <w:r w:rsidRPr="002A1B75">
        <w:t>de portadoras con modulación angular y digitales</w:t>
      </w:r>
    </w:p>
    <w:p w:rsidR="00BF3FB3" w:rsidRPr="00BF3FB3" w:rsidRDefault="00BF3FB3" w:rsidP="00BF3FB3">
      <w:pPr>
        <w:pStyle w:val="Blanc"/>
      </w:pPr>
    </w:p>
    <w:p w:rsidR="00A55E2D" w:rsidRPr="00487A65" w:rsidRDefault="00A55E2D" w:rsidP="00A55E2D">
      <w:pPr>
        <w:pStyle w:val="Recdate"/>
        <w:rPr>
          <w:lang w:val="es-ES_tradnl"/>
        </w:rPr>
      </w:pPr>
      <w:r w:rsidRPr="00487A65">
        <w:rPr>
          <w:lang w:val="es-ES_tradnl"/>
        </w:rPr>
        <w:t>(1990-1992-1993-1994-2012)</w:t>
      </w:r>
    </w:p>
    <w:p w:rsidR="00BF3FB3" w:rsidRPr="00BF3FB3" w:rsidRDefault="00BF3FB3" w:rsidP="00BF3FB3">
      <w:pPr>
        <w:pStyle w:val="Blanc"/>
      </w:pPr>
    </w:p>
    <w:p w:rsidR="00A55E2D" w:rsidRPr="00A55E2D" w:rsidRDefault="00A55E2D" w:rsidP="008928CD">
      <w:pPr>
        <w:pStyle w:val="HeadingSum"/>
      </w:pPr>
      <w:r w:rsidRPr="00A55E2D">
        <w:t>Cometido</w:t>
      </w:r>
    </w:p>
    <w:p w:rsidR="00A55E2D" w:rsidRPr="00A55E2D" w:rsidRDefault="00A55E2D" w:rsidP="008928CD">
      <w:pPr>
        <w:pStyle w:val="Summary"/>
      </w:pPr>
      <w:r w:rsidRPr="00A55E2D">
        <w:t>En esta Recomendación se presenta una metodología para calcular la densidad de potencia máxima de varios tipos de portadoras con valor medio en una banda de 4 kHz o 1 MHz.</w:t>
      </w:r>
    </w:p>
    <w:p w:rsidR="00BF3FB3" w:rsidRPr="00BF3FB3" w:rsidRDefault="00BF3FB3" w:rsidP="00BF3FB3">
      <w:pPr>
        <w:pStyle w:val="Blanc"/>
      </w:pPr>
    </w:p>
    <w:p w:rsidR="00A55E2D" w:rsidRPr="00A55E2D" w:rsidRDefault="00A55E2D" w:rsidP="008928CD">
      <w:pPr>
        <w:pStyle w:val="Normalaftertitle"/>
        <w:rPr>
          <w:lang w:val="es-ES_tradnl"/>
        </w:rPr>
      </w:pPr>
      <w:r w:rsidRPr="00A55E2D">
        <w:rPr>
          <w:lang w:val="es-ES_tradnl"/>
        </w:rPr>
        <w:t>La Asamblea de Radiocomunicaciones de la UIT,</w:t>
      </w:r>
    </w:p>
    <w:p w:rsidR="00A55E2D" w:rsidRPr="00A55E2D" w:rsidRDefault="00A55E2D" w:rsidP="008928CD">
      <w:pPr>
        <w:pStyle w:val="Call"/>
        <w:rPr>
          <w:lang w:val="es-ES_tradnl"/>
        </w:rPr>
      </w:pPr>
      <w:r w:rsidRPr="00A55E2D">
        <w:rPr>
          <w:lang w:val="es-ES_tradnl"/>
        </w:rPr>
        <w:t>considerando</w:t>
      </w:r>
    </w:p>
    <w:p w:rsidR="00A55E2D" w:rsidRPr="00A55E2D" w:rsidRDefault="00A55E2D" w:rsidP="00BF3FB3">
      <w:pPr>
        <w:rPr>
          <w:lang w:val="es-ES_tradnl"/>
        </w:rPr>
      </w:pPr>
      <w:r w:rsidRPr="00A55E2D">
        <w:rPr>
          <w:lang w:val="es-ES_tradnl"/>
        </w:rPr>
        <w:t>a)</w:t>
      </w:r>
      <w:r w:rsidRPr="00A55E2D">
        <w:rPr>
          <w:lang w:val="es-ES_tradnl"/>
        </w:rPr>
        <w:tab/>
        <w:t xml:space="preserve">que a las administraciones se les solicita que preparen la información indicada en los </w:t>
      </w:r>
      <w:r w:rsidR="00BF3FB3" w:rsidRPr="00A55E2D">
        <w:rPr>
          <w:lang w:val="es-ES_tradnl"/>
        </w:rPr>
        <w:t>Apéndices</w:t>
      </w:r>
      <w:r w:rsidR="00BF3FB3">
        <w:rPr>
          <w:lang w:val="es-ES_tradnl"/>
        </w:rPr>
        <w:t> </w:t>
      </w:r>
      <w:r w:rsidRPr="00A55E2D">
        <w:rPr>
          <w:lang w:val="es-ES_tradnl"/>
        </w:rPr>
        <w:t>3 y 4 del Reglamento de Radiocomunicaciones (RR) a efectos de coordinación y notificación;</w:t>
      </w:r>
    </w:p>
    <w:p w:rsidR="00A55E2D" w:rsidRPr="00A55E2D" w:rsidRDefault="00A55E2D" w:rsidP="008928CD">
      <w:pPr>
        <w:rPr>
          <w:lang w:val="es-ES_tradnl"/>
        </w:rPr>
      </w:pPr>
      <w:r w:rsidRPr="00A55E2D">
        <w:rPr>
          <w:lang w:val="es-ES_tradnl"/>
        </w:rPr>
        <w:t>b)</w:t>
      </w:r>
      <w:r w:rsidRPr="00A55E2D">
        <w:rPr>
          <w:lang w:val="es-ES_tradnl"/>
        </w:rPr>
        <w:tab/>
        <w:t xml:space="preserve">que uno de los elementos de información indicados en los </w:t>
      </w:r>
      <w:r w:rsidR="00F74F32" w:rsidRPr="00A55E2D">
        <w:rPr>
          <w:lang w:val="es-ES_tradnl"/>
        </w:rPr>
        <w:t xml:space="preserve">Apéndices </w:t>
      </w:r>
      <w:r w:rsidRPr="00A55E2D">
        <w:rPr>
          <w:lang w:val="es-ES_tradnl"/>
        </w:rPr>
        <w:t>3 y 4 del RR es la densidad de potencia máxima por Hz a la entrada de la antena;</w:t>
      </w:r>
    </w:p>
    <w:p w:rsidR="00A55E2D" w:rsidRPr="00A55E2D" w:rsidRDefault="00A55E2D" w:rsidP="00056866">
      <w:pPr>
        <w:rPr>
          <w:lang w:val="es-ES_tradnl"/>
        </w:rPr>
      </w:pPr>
      <w:r w:rsidRPr="00A55E2D">
        <w:rPr>
          <w:lang w:val="es-ES_tradnl"/>
        </w:rPr>
        <w:t>c)</w:t>
      </w:r>
      <w:r w:rsidRPr="00A55E2D">
        <w:rPr>
          <w:lang w:val="es-ES_tradnl"/>
        </w:rPr>
        <w:tab/>
        <w:t xml:space="preserve">que el </w:t>
      </w:r>
      <w:r w:rsidR="00056866">
        <w:rPr>
          <w:lang w:val="es-ES_tradnl"/>
        </w:rPr>
        <w:t>Apéndice </w:t>
      </w:r>
      <w:r w:rsidRPr="00A55E2D">
        <w:rPr>
          <w:lang w:val="es-ES_tradnl"/>
        </w:rPr>
        <w:t>4 del RR estipula que la densidad de potencia máxima por Hz de una portadora se promedia en la banda de 4 kHz más desfavorable para frecuencias por debajo de 15 GHz y se promedia en la banda de 1 MHz más desfavorable para frecuencias por encima de 15</w:t>
      </w:r>
      <w:r w:rsidR="00056866">
        <w:rPr>
          <w:lang w:val="es-ES_tradnl"/>
        </w:rPr>
        <w:t> </w:t>
      </w:r>
      <w:r w:rsidRPr="00A55E2D">
        <w:rPr>
          <w:lang w:val="es-ES_tradnl"/>
        </w:rPr>
        <w:t>GHz;</w:t>
      </w:r>
    </w:p>
    <w:p w:rsidR="00A55E2D" w:rsidRPr="00A55E2D" w:rsidRDefault="00A55E2D" w:rsidP="008928CD">
      <w:pPr>
        <w:rPr>
          <w:lang w:val="es-ES_tradnl"/>
        </w:rPr>
      </w:pPr>
      <w:r w:rsidRPr="00A55E2D">
        <w:rPr>
          <w:lang w:val="es-ES_tradnl"/>
        </w:rPr>
        <w:t>d)</w:t>
      </w:r>
      <w:r w:rsidRPr="00A55E2D">
        <w:rPr>
          <w:lang w:val="es-ES_tradnl"/>
        </w:rPr>
        <w:tab/>
        <w:t>que es preciso disponer de métodos generalizados para el cálculo de la densidad de potencia máxima de una portadora con modulación angular;</w:t>
      </w:r>
    </w:p>
    <w:p w:rsidR="00A55E2D" w:rsidRPr="00A55E2D" w:rsidRDefault="00A55E2D" w:rsidP="008928CD">
      <w:pPr>
        <w:rPr>
          <w:lang w:val="es-ES_tradnl"/>
        </w:rPr>
      </w:pPr>
      <w:r w:rsidRPr="00A55E2D">
        <w:rPr>
          <w:lang w:val="es-ES_tradnl"/>
        </w:rPr>
        <w:t>e)</w:t>
      </w:r>
      <w:r w:rsidRPr="00A55E2D">
        <w:rPr>
          <w:lang w:val="es-ES_tradnl"/>
        </w:rPr>
        <w:tab/>
        <w:t>que las portadoras de seguimiento, telemetría y telemando (TTC) suelen tener características de modulación y, por tanto, características de densidad espectral diferentes de las de otros tipos de portadoras,</w:t>
      </w:r>
    </w:p>
    <w:p w:rsidR="00A55E2D" w:rsidRPr="00A55E2D" w:rsidRDefault="00A55E2D" w:rsidP="00133403">
      <w:pPr>
        <w:pStyle w:val="Call"/>
        <w:rPr>
          <w:lang w:val="es-ES_tradnl"/>
        </w:rPr>
      </w:pPr>
      <w:r w:rsidRPr="00A55E2D">
        <w:rPr>
          <w:lang w:val="es-ES_tradnl"/>
        </w:rPr>
        <w:t>recomienda</w:t>
      </w:r>
    </w:p>
    <w:p w:rsidR="00A55E2D" w:rsidRPr="00A55E2D" w:rsidRDefault="00A55E2D" w:rsidP="00056866">
      <w:pPr>
        <w:rPr>
          <w:lang w:val="es-ES_tradnl"/>
        </w:rPr>
      </w:pPr>
      <w:r w:rsidRPr="00A55E2D">
        <w:rPr>
          <w:b/>
          <w:bCs/>
          <w:lang w:val="es-ES_tradnl"/>
        </w:rPr>
        <w:t>1</w:t>
      </w:r>
      <w:r w:rsidRPr="00A55E2D">
        <w:rPr>
          <w:lang w:val="es-ES_tradnl"/>
        </w:rPr>
        <w:tab/>
        <w:t xml:space="preserve">que se utilice el método descrito en el </w:t>
      </w:r>
      <w:r w:rsidR="00056866">
        <w:rPr>
          <w:lang w:val="es-ES_tradnl"/>
        </w:rPr>
        <w:t>Anexo </w:t>
      </w:r>
      <w:r w:rsidRPr="00A55E2D">
        <w:rPr>
          <w:lang w:val="es-ES_tradnl"/>
        </w:rPr>
        <w:t>1 para calcular la densidad de potencia máxima, promediada en una banda de 4 kHz, de las portadoras con modulación angular, digitales o de seguimiento, telemetría y telemando (TTC);</w:t>
      </w:r>
    </w:p>
    <w:p w:rsidR="00A55E2D" w:rsidRPr="00A55E2D" w:rsidRDefault="00A55E2D" w:rsidP="00056866">
      <w:pPr>
        <w:rPr>
          <w:lang w:val="es-ES_tradnl"/>
        </w:rPr>
      </w:pPr>
      <w:r w:rsidRPr="00A55E2D">
        <w:rPr>
          <w:b/>
          <w:lang w:val="es-ES_tradnl"/>
        </w:rPr>
        <w:t>2</w:t>
      </w:r>
      <w:r w:rsidRPr="00A55E2D">
        <w:rPr>
          <w:lang w:val="es-ES_tradnl"/>
        </w:rPr>
        <w:tab/>
        <w:t xml:space="preserve">que se utilicen los métodos descritos en el </w:t>
      </w:r>
      <w:r w:rsidR="00056866">
        <w:rPr>
          <w:lang w:val="es-ES_tradnl"/>
        </w:rPr>
        <w:t>Anexo </w:t>
      </w:r>
      <w:r w:rsidRPr="00A55E2D">
        <w:rPr>
          <w:lang w:val="es-ES_tradnl"/>
        </w:rPr>
        <w:t>2 para calcular la densidad de potencia máxima, promediada en 1 MHz, de las portadoras digitales o TTC;</w:t>
      </w:r>
    </w:p>
    <w:p w:rsidR="00A55E2D" w:rsidRPr="00A55E2D" w:rsidRDefault="00A55E2D" w:rsidP="00133403">
      <w:pPr>
        <w:rPr>
          <w:lang w:val="es-ES_tradnl"/>
        </w:rPr>
      </w:pPr>
      <w:r w:rsidRPr="00A55E2D">
        <w:rPr>
          <w:b/>
          <w:bCs/>
          <w:lang w:val="es-ES_tradnl"/>
        </w:rPr>
        <w:t>3</w:t>
      </w:r>
      <w:r w:rsidRPr="00A55E2D">
        <w:rPr>
          <w:b/>
          <w:bCs/>
          <w:lang w:val="es-ES_tradnl"/>
        </w:rPr>
        <w:tab/>
      </w:r>
      <w:r w:rsidRPr="00A55E2D">
        <w:rPr>
          <w:lang w:val="es-ES_tradnl"/>
        </w:rPr>
        <w:t xml:space="preserve">que para la determinación de la densidad espectral de potencia máxima, las administraciones sigan, con el acuerdo de las demás administraciones interesadas, los objetivos de la Resolución </w:t>
      </w:r>
      <w:r w:rsidRPr="00A55E2D">
        <w:rPr>
          <w:bCs/>
          <w:lang w:val="es-ES_tradnl"/>
        </w:rPr>
        <w:t>703 (Rev.CMR-07)</w:t>
      </w:r>
      <w:r w:rsidRPr="00A55E2D">
        <w:rPr>
          <w:lang w:val="es-ES_tradnl"/>
        </w:rPr>
        <w:t>.</w:t>
      </w:r>
    </w:p>
    <w:p w:rsidR="00A55E2D" w:rsidRPr="00A55E2D" w:rsidRDefault="00A55E2D" w:rsidP="00BF3FB3">
      <w:pPr>
        <w:pStyle w:val="AnnexNoTitle"/>
        <w:rPr>
          <w:lang w:val="es-ES_tradnl"/>
        </w:rPr>
      </w:pPr>
      <w:r w:rsidRPr="00A55E2D">
        <w:rPr>
          <w:lang w:val="es-ES_tradnl"/>
        </w:rPr>
        <w:lastRenderedPageBreak/>
        <w:t>Anexo 1</w:t>
      </w:r>
      <w:r w:rsidRPr="00A55E2D">
        <w:rPr>
          <w:lang w:val="es-ES_tradnl"/>
        </w:rPr>
        <w:br/>
      </w:r>
      <w:r w:rsidRPr="00A55E2D">
        <w:rPr>
          <w:lang w:val="es-ES_tradnl"/>
        </w:rPr>
        <w:br/>
        <w:t>Cálculo de la densidad de potencia máxima</w:t>
      </w:r>
      <w:r w:rsidR="00BF3FB3">
        <w:rPr>
          <w:lang w:val="es-ES_tradnl"/>
        </w:rPr>
        <w:br/>
      </w:r>
      <w:r w:rsidRPr="00A55E2D">
        <w:rPr>
          <w:lang w:val="es-ES_tradnl"/>
        </w:rPr>
        <w:t>(valor medio</w:t>
      </w:r>
      <w:r w:rsidR="00056866">
        <w:rPr>
          <w:lang w:val="es-ES_tradnl"/>
        </w:rPr>
        <w:t xml:space="preserve"> </w:t>
      </w:r>
      <w:r w:rsidRPr="00A55E2D">
        <w:rPr>
          <w:lang w:val="es-ES_tradnl"/>
        </w:rPr>
        <w:t>en una banda</w:t>
      </w:r>
      <w:r w:rsidR="00BF3FB3">
        <w:rPr>
          <w:lang w:val="es-ES_tradnl"/>
        </w:rPr>
        <w:t xml:space="preserve"> </w:t>
      </w:r>
      <w:r w:rsidRPr="00A55E2D">
        <w:rPr>
          <w:lang w:val="es-ES_tradnl"/>
        </w:rPr>
        <w:t>de 4 kHz)</w:t>
      </w:r>
      <w:r w:rsidR="00BF3FB3">
        <w:rPr>
          <w:lang w:val="es-ES_tradnl"/>
        </w:rPr>
        <w:br/>
      </w:r>
      <w:r w:rsidRPr="00A55E2D">
        <w:rPr>
          <w:lang w:val="es-ES_tradnl"/>
        </w:rPr>
        <w:t>de una portadora con modulación angular</w:t>
      </w:r>
    </w:p>
    <w:p w:rsidR="00A55E2D" w:rsidRPr="00A55E2D" w:rsidRDefault="00A55E2D" w:rsidP="00BF3FB3">
      <w:pPr>
        <w:pStyle w:val="Normalaftertitle"/>
        <w:rPr>
          <w:lang w:val="es-ES_tradnl"/>
        </w:rPr>
      </w:pPr>
      <w:r w:rsidRPr="00A55E2D">
        <w:rPr>
          <w:lang w:val="es-ES_tradnl"/>
        </w:rPr>
        <w:t>Más adelante se da el método de cálculo del nivel de potencia en la banda de 4</w:t>
      </w:r>
      <w:r w:rsidR="00BF3FB3">
        <w:rPr>
          <w:lang w:val="es-ES_tradnl"/>
        </w:rPr>
        <w:t> </w:t>
      </w:r>
      <w:r w:rsidRPr="00A55E2D">
        <w:rPr>
          <w:lang w:val="es-ES_tradnl"/>
        </w:rPr>
        <w:t>kHz más desfavorable</w:t>
      </w:r>
      <w:r w:rsidR="00BF3FB3">
        <w:rPr>
          <w:lang w:val="es-ES_tradnl"/>
        </w:rPr>
        <w:t xml:space="preserve"> </w:t>
      </w:r>
      <w:r w:rsidRPr="00A55E2D">
        <w:rPr>
          <w:lang w:val="es-ES_tradnl"/>
        </w:rPr>
        <w:t>(W/4 kHz). La densidad de potencia máxima por Hz, requerida por el RR, puede obte</w:t>
      </w:r>
      <w:r w:rsidR="00E90FBD">
        <w:rPr>
          <w:lang w:val="es-ES_tradnl"/>
        </w:rPr>
        <w:t xml:space="preserve">nerse dividiendo este valor por </w:t>
      </w:r>
      <w:r w:rsidRPr="00A55E2D">
        <w:rPr>
          <w:lang w:val="es-ES_tradnl"/>
        </w:rPr>
        <w:t>4 000.</w:t>
      </w:r>
    </w:p>
    <w:p w:rsidR="00A55E2D" w:rsidRPr="00A55E2D" w:rsidRDefault="00A55E2D" w:rsidP="00133403">
      <w:pPr>
        <w:pStyle w:val="Heading1"/>
        <w:rPr>
          <w:lang w:val="es-ES_tradnl"/>
        </w:rPr>
      </w:pPr>
      <w:r w:rsidRPr="00A55E2D">
        <w:rPr>
          <w:lang w:val="es-ES_tradnl"/>
        </w:rPr>
        <w:t>1</w:t>
      </w:r>
      <w:r w:rsidRPr="00A55E2D">
        <w:rPr>
          <w:lang w:val="es-ES_tradnl"/>
        </w:rPr>
        <w:tab/>
        <w:t>Portadora MF</w:t>
      </w:r>
    </w:p>
    <w:p w:rsidR="00A55E2D" w:rsidRPr="00A55E2D" w:rsidRDefault="00A55E2D" w:rsidP="00133403">
      <w:pPr>
        <w:pStyle w:val="Heading2"/>
        <w:rPr>
          <w:lang w:val="es-ES_tradnl"/>
        </w:rPr>
      </w:pPr>
      <w:r w:rsidRPr="00A55E2D">
        <w:rPr>
          <w:lang w:val="es-ES_tradnl"/>
        </w:rPr>
        <w:t>1.1</w:t>
      </w:r>
      <w:r w:rsidRPr="00A55E2D">
        <w:rPr>
          <w:lang w:val="es-ES_tradnl"/>
        </w:rPr>
        <w:tab/>
        <w:t>Portadora MF modulada por una señal de telefonía multicanal</w:t>
      </w:r>
    </w:p>
    <w:p w:rsidR="00A55E2D" w:rsidRPr="00A55E2D" w:rsidRDefault="00A55E2D" w:rsidP="00133403">
      <w:pPr>
        <w:rPr>
          <w:b/>
          <w:lang w:val="es-ES_tradnl"/>
        </w:rPr>
      </w:pPr>
      <w:r w:rsidRPr="00A55E2D">
        <w:rPr>
          <w:lang w:val="es-ES_tradnl"/>
        </w:rPr>
        <w:t>La densidad espectral de potencia máxima cuando la banda de base está con plena carga viene determinada por la portadora residual o por las crestas del espectro continuo, según la naturaleza de la modulación.</w:t>
      </w:r>
    </w:p>
    <w:p w:rsidR="00A55E2D" w:rsidRPr="00A55E2D" w:rsidRDefault="00A55E2D" w:rsidP="00133403">
      <w:pPr>
        <w:rPr>
          <w:lang w:val="es-ES_tradnl"/>
        </w:rPr>
      </w:pPr>
      <w:r w:rsidRPr="00A55E2D">
        <w:rPr>
          <w:lang w:val="es-ES_tradnl"/>
        </w:rPr>
        <w:t>La potencia de la portadora residual viene dada por la expresión siguiente:</w:t>
      </w:r>
    </w:p>
    <w:p w:rsidR="00BF3FB3" w:rsidRPr="00A55E2D" w:rsidRDefault="00BF3FB3" w:rsidP="00181EF3">
      <w:pPr>
        <w:pStyle w:val="Equation"/>
        <w:rPr>
          <w:lang w:val="es-ES_tradnl"/>
        </w:rPr>
      </w:pPr>
      <w:r>
        <w:rPr>
          <w:lang w:val="es-ES_tradnl"/>
        </w:rPr>
        <w:tab/>
      </w:r>
      <w:r>
        <w:rPr>
          <w:lang w:val="es-ES_tradnl"/>
        </w:rPr>
        <w:tab/>
      </w:r>
      <w:r w:rsidRPr="00BF3FB3">
        <w:rPr>
          <w:i/>
          <w:iCs/>
          <w:lang w:val="es-ES_tradnl"/>
        </w:rPr>
        <w:t>Pt</w:t>
      </w:r>
      <w:r>
        <w:rPr>
          <w:lang w:val="es-ES_tradnl"/>
        </w:rPr>
        <w:t xml:space="preserve"> </w:t>
      </w:r>
      <w:r>
        <w:rPr>
          <w:lang w:val="es-ES_tradnl"/>
        </w:rPr>
        <w:sym w:font="Symbol" w:char="F0D7"/>
      </w:r>
      <w:r>
        <w:rPr>
          <w:lang w:val="es-ES_tradnl"/>
        </w:rPr>
        <w:t xml:space="preserve"> e</w:t>
      </w:r>
      <w:r w:rsidR="00181EF3" w:rsidRPr="00BF3FB3">
        <w:rPr>
          <w:vertAlign w:val="superscript"/>
          <w:lang w:val="es-ES_tradnl"/>
        </w:rPr>
        <w:t>–</w:t>
      </w:r>
      <w:r w:rsidRPr="00BF3FB3">
        <w:rPr>
          <w:vertAlign w:val="superscript"/>
          <w:lang w:val="es-ES_tradnl"/>
        </w:rPr>
        <w:sym w:font="Symbol" w:char="F079"/>
      </w:r>
      <w:r w:rsidRPr="00BF3FB3">
        <w:rPr>
          <w:vertAlign w:val="superscript"/>
          <w:lang w:val="es-ES_tradnl"/>
        </w:rPr>
        <w:t>0</w:t>
      </w:r>
      <w:r>
        <w:rPr>
          <w:lang w:val="es-ES_tradnl"/>
        </w:rPr>
        <w:t>       W</w:t>
      </w:r>
      <w:r w:rsidRPr="00A55E2D">
        <w:rPr>
          <w:lang w:val="es-ES_tradnl"/>
        </w:rPr>
        <w:tab/>
        <w:t>(1)</w:t>
      </w:r>
    </w:p>
    <w:p w:rsidR="00A55E2D" w:rsidRPr="00A55E2D" w:rsidRDefault="00A55E2D" w:rsidP="00EB2EB8">
      <w:pPr>
        <w:rPr>
          <w:lang w:val="es-ES_tradnl"/>
        </w:rPr>
      </w:pPr>
      <w:r w:rsidRPr="00A55E2D">
        <w:rPr>
          <w:lang w:val="es-ES_tradnl"/>
        </w:rPr>
        <w:t>donde:</w:t>
      </w:r>
    </w:p>
    <w:p w:rsidR="00A55E2D" w:rsidRPr="00A55E2D" w:rsidRDefault="00A55E2D" w:rsidP="00EB2EB8">
      <w:pPr>
        <w:pStyle w:val="Equation"/>
        <w:rPr>
          <w:lang w:val="es-ES_tradnl"/>
        </w:rPr>
      </w:pPr>
      <w:bookmarkStart w:id="3" w:name="F002"/>
      <w:r w:rsidRPr="00A55E2D">
        <w:rPr>
          <w:b/>
          <w:lang w:val="es-ES_tradnl"/>
        </w:rPr>
        <w:tab/>
      </w:r>
      <w:r w:rsidRPr="00A55E2D">
        <w:rPr>
          <w:lang w:val="es-ES_tradnl"/>
        </w:rPr>
        <w:tab/>
      </w:r>
      <w:r w:rsidR="004C7FC6" w:rsidRPr="004C7FC6">
        <w:rPr>
          <w:position w:val="-26"/>
          <w:lang w:val="es-ES_tradnl"/>
        </w:rPr>
        <w:object w:dxaOrig="35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1pt;height:33.7pt" o:ole="">
            <v:imagedata r:id="rId13" o:title=""/>
          </v:shape>
          <o:OLEObject Type="Embed" ProgID="Equation.3" ShapeID="_x0000_i1025" DrawAspect="Content" ObjectID="_1408431227" r:id="rId14"/>
        </w:object>
      </w:r>
      <w:r w:rsidRPr="00A55E2D">
        <w:rPr>
          <w:lang w:val="es-ES_tradnl"/>
        </w:rPr>
        <w:tab/>
        <w:t>(2)</w:t>
      </w:r>
      <w:bookmarkEnd w:id="3"/>
    </w:p>
    <w:p w:rsidR="00A55E2D" w:rsidRPr="00A55E2D" w:rsidRDefault="00A55E2D" w:rsidP="00EB2EB8">
      <w:pPr>
        <w:rPr>
          <w:lang w:val="es-ES_tradnl"/>
        </w:rPr>
      </w:pPr>
      <w:r w:rsidRPr="00A55E2D">
        <w:rPr>
          <w:lang w:val="es-ES_tradnl"/>
        </w:rPr>
        <w:t xml:space="preserve">En la ecuación (2), </w:t>
      </w:r>
      <w:r w:rsidRPr="00A55E2D">
        <w:rPr>
          <w:i/>
          <w:lang w:val="es-ES_tradnl"/>
        </w:rPr>
        <w:t xml:space="preserve">m </w:t>
      </w:r>
      <w:r w:rsidRPr="00A55E2D">
        <w:rPr>
          <w:lang w:val="es-ES_tradnl"/>
        </w:rPr>
        <w:t xml:space="preserve">es el índice de modulación cuadrático medio multicanal y las constantes </w:t>
      </w:r>
      <w:r w:rsidRPr="00A55E2D">
        <w:rPr>
          <w:i/>
          <w:lang w:val="es-ES_tradnl"/>
        </w:rPr>
        <w:t>C</w:t>
      </w:r>
      <w:r w:rsidRPr="00E90FBD">
        <w:rPr>
          <w:vertAlign w:val="subscript"/>
          <w:lang w:val="es-ES_tradnl"/>
        </w:rPr>
        <w:t>0</w:t>
      </w:r>
      <w:r w:rsidRPr="00A55E2D">
        <w:rPr>
          <w:i/>
          <w:lang w:val="es-ES_tradnl"/>
        </w:rPr>
        <w:t>, C</w:t>
      </w:r>
      <w:r w:rsidRPr="00E90FBD">
        <w:rPr>
          <w:vertAlign w:val="subscript"/>
          <w:lang w:val="es-ES_tradnl"/>
        </w:rPr>
        <w:t>2</w:t>
      </w:r>
      <w:r w:rsidRPr="00A55E2D">
        <w:rPr>
          <w:i/>
          <w:lang w:val="es-ES_tradnl"/>
        </w:rPr>
        <w:t xml:space="preserve"> y C</w:t>
      </w:r>
      <w:r w:rsidRPr="00E90FBD">
        <w:rPr>
          <w:vertAlign w:val="subscript"/>
          <w:lang w:val="es-ES_tradnl"/>
        </w:rPr>
        <w:t>4</w:t>
      </w:r>
      <w:r w:rsidRPr="00A55E2D">
        <w:rPr>
          <w:i/>
          <w:lang w:val="es-ES_tradnl"/>
        </w:rPr>
        <w:t xml:space="preserve"> </w:t>
      </w:r>
      <w:r w:rsidRPr="00A55E2D">
        <w:rPr>
          <w:lang w:val="es-ES_tradnl"/>
        </w:rPr>
        <w:t>describen la característica de preacentuación presente en la expresión general para la preacentuación:</w:t>
      </w:r>
    </w:p>
    <w:p w:rsidR="00A55E2D" w:rsidRPr="00A55E2D" w:rsidRDefault="00A55E2D" w:rsidP="00E90FBD">
      <w:pPr>
        <w:pStyle w:val="Equation"/>
        <w:rPr>
          <w:lang w:val="es-ES_tradnl"/>
        </w:rPr>
      </w:pPr>
      <w:bookmarkStart w:id="4" w:name="F003"/>
      <w:r w:rsidRPr="00A55E2D">
        <w:rPr>
          <w:lang w:val="es-ES_tradnl"/>
        </w:rPr>
        <w:tab/>
      </w:r>
      <w:r w:rsidRPr="00A55E2D">
        <w:rPr>
          <w:lang w:val="es-ES_tradnl"/>
        </w:rPr>
        <w:tab/>
      </w:r>
      <w:r w:rsidR="00EB2EB8" w:rsidRPr="00FF4E67">
        <w:rPr>
          <w:i/>
          <w:iCs/>
          <w:lang w:val="en-US"/>
        </w:rPr>
        <w:t>p</w:t>
      </w:r>
      <w:r w:rsidR="00EB2EB8" w:rsidRPr="00FF4E67">
        <w:rPr>
          <w:lang w:val="en-US"/>
        </w:rPr>
        <w:t>(</w:t>
      </w:r>
      <w:r w:rsidR="00615F86" w:rsidRPr="00615F86">
        <w:rPr>
          <w:i/>
          <w:iCs/>
          <w:lang w:val="en-US"/>
        </w:rPr>
        <w:t>f</w:t>
      </w:r>
      <w:r w:rsidR="00E90FBD" w:rsidRPr="00E90FBD">
        <w:rPr>
          <w:sz w:val="8"/>
          <w:lang w:val="en-US"/>
        </w:rPr>
        <w:t xml:space="preserve"> </w:t>
      </w:r>
      <w:r w:rsidR="00E90FBD" w:rsidRPr="00FF4E67">
        <w:rPr>
          <w:lang w:val="en-US"/>
        </w:rPr>
        <w:t>/</w:t>
      </w:r>
      <w:r w:rsidR="00E90FBD">
        <w:rPr>
          <w:rFonts w:asciiTheme="majorBidi" w:hAnsiTheme="majorBidi" w:cstheme="majorBidi"/>
          <w:i/>
          <w:iCs/>
          <w:sz w:val="8"/>
        </w:rPr>
        <w:t> </w:t>
      </w:r>
      <w:r w:rsidR="00F27690" w:rsidRPr="00F27690">
        <w:rPr>
          <w:rFonts w:asciiTheme="majorBidi" w:hAnsiTheme="majorBidi" w:cstheme="majorBidi"/>
          <w:i/>
          <w:iCs/>
        </w:rPr>
        <w:t>f</w:t>
      </w:r>
      <w:r w:rsidR="00EB2EB8" w:rsidRPr="00BF3FB3">
        <w:rPr>
          <w:i/>
          <w:iCs/>
          <w:vertAlign w:val="subscript"/>
        </w:rPr>
        <w:t>h</w:t>
      </w:r>
      <w:r w:rsidR="00EB2EB8" w:rsidRPr="00FF4E67">
        <w:rPr>
          <w:lang w:val="en-US"/>
        </w:rPr>
        <w:t xml:space="preserve">) </w:t>
      </w:r>
      <w:r w:rsidR="00BF3FB3">
        <w:rPr>
          <w:lang w:val="en-US"/>
        </w:rPr>
        <w:t>=</w:t>
      </w:r>
      <w:r w:rsidR="00EB2EB8" w:rsidRPr="00AA00EA">
        <w:t xml:space="preserve"> </w:t>
      </w:r>
      <w:r w:rsidR="00EB2EB8" w:rsidRPr="00FF4E67">
        <w:rPr>
          <w:i/>
          <w:iCs/>
          <w:lang w:val="en-US"/>
        </w:rPr>
        <w:t>C</w:t>
      </w:r>
      <w:r w:rsidR="00EB2EB8" w:rsidRPr="00BF3FB3">
        <w:rPr>
          <w:vertAlign w:val="subscript"/>
        </w:rPr>
        <w:t>0</w:t>
      </w:r>
      <w:r w:rsidR="00AA00EA">
        <w:rPr>
          <w:lang w:val="en-US"/>
        </w:rPr>
        <w:t xml:space="preserve"> </w:t>
      </w:r>
      <w:r w:rsidR="00BF3FB3">
        <w:rPr>
          <w:lang w:val="en-US"/>
        </w:rPr>
        <w:t>+</w:t>
      </w:r>
      <w:r w:rsidR="00BF3FB3" w:rsidRPr="00FF4E67">
        <w:rPr>
          <w:lang w:val="en-US"/>
        </w:rPr>
        <w:t xml:space="preserve"> </w:t>
      </w:r>
      <w:r w:rsidR="00EB2EB8" w:rsidRPr="00FF4E67">
        <w:rPr>
          <w:i/>
          <w:iCs/>
          <w:lang w:val="en-US"/>
        </w:rPr>
        <w:t>C</w:t>
      </w:r>
      <w:r w:rsidR="00EB2EB8" w:rsidRPr="00BF3FB3">
        <w:rPr>
          <w:vertAlign w:val="subscript"/>
        </w:rPr>
        <w:t>2</w:t>
      </w:r>
      <w:r w:rsidR="00EB2EB8" w:rsidRPr="00FF4E67">
        <w:rPr>
          <w:lang w:val="en-US"/>
        </w:rPr>
        <w:t>(</w:t>
      </w:r>
      <w:r w:rsidR="00C05AA6" w:rsidRPr="00C05AA6">
        <w:rPr>
          <w:rFonts w:asciiTheme="majorBidi" w:hAnsiTheme="majorBidi" w:cstheme="majorBidi"/>
          <w:i/>
          <w:iCs/>
        </w:rPr>
        <w:t>f</w:t>
      </w:r>
      <w:r w:rsidR="00E90FBD" w:rsidRPr="00E90FBD">
        <w:rPr>
          <w:sz w:val="8"/>
          <w:lang w:val="en-US"/>
        </w:rPr>
        <w:t xml:space="preserve"> </w:t>
      </w:r>
      <w:r w:rsidR="00E90FBD" w:rsidRPr="00FF4E67">
        <w:rPr>
          <w:lang w:val="en-US"/>
        </w:rPr>
        <w:t>/</w:t>
      </w:r>
      <w:r w:rsidR="00E90FBD">
        <w:rPr>
          <w:rFonts w:asciiTheme="majorBidi" w:hAnsiTheme="majorBidi" w:cstheme="majorBidi"/>
          <w:i/>
          <w:iCs/>
          <w:sz w:val="8"/>
        </w:rPr>
        <w:t> </w:t>
      </w:r>
      <w:r w:rsidR="00C05AA6" w:rsidRPr="00C05AA6">
        <w:rPr>
          <w:rFonts w:asciiTheme="majorBidi" w:hAnsiTheme="majorBidi" w:cstheme="majorBidi"/>
          <w:i/>
          <w:iCs/>
        </w:rPr>
        <w:t>f</w:t>
      </w:r>
      <w:r w:rsidR="00C05AA6" w:rsidRPr="00BF3FB3">
        <w:rPr>
          <w:i/>
          <w:iCs/>
          <w:vertAlign w:val="subscript"/>
        </w:rPr>
        <w:t xml:space="preserve"> </w:t>
      </w:r>
      <w:r w:rsidR="00EB2EB8" w:rsidRPr="00BF3FB3">
        <w:rPr>
          <w:i/>
          <w:iCs/>
          <w:vertAlign w:val="subscript"/>
        </w:rPr>
        <w:t>h</w:t>
      </w:r>
      <w:r w:rsidR="00EB2EB8" w:rsidRPr="00FF4E67">
        <w:rPr>
          <w:lang w:val="en-US"/>
        </w:rPr>
        <w:t>)</w:t>
      </w:r>
      <w:r w:rsidR="00EB2EB8" w:rsidRPr="00BF3FB3">
        <w:rPr>
          <w:vertAlign w:val="superscript"/>
        </w:rPr>
        <w:t>2</w:t>
      </w:r>
      <w:r w:rsidR="00BF3FB3" w:rsidRPr="00FF4E67">
        <w:rPr>
          <w:lang w:val="en-US"/>
        </w:rPr>
        <w:t xml:space="preserve"> </w:t>
      </w:r>
      <w:r w:rsidR="00BF3FB3">
        <w:rPr>
          <w:lang w:val="en-US"/>
        </w:rPr>
        <w:t>+</w:t>
      </w:r>
      <w:r w:rsidR="00BF3FB3" w:rsidRPr="00FF4E67">
        <w:rPr>
          <w:lang w:val="en-US"/>
        </w:rPr>
        <w:t xml:space="preserve"> </w:t>
      </w:r>
      <w:r w:rsidR="00EB2EB8" w:rsidRPr="00FF4E67">
        <w:rPr>
          <w:i/>
          <w:iCs/>
          <w:lang w:val="en-US"/>
        </w:rPr>
        <w:t>C</w:t>
      </w:r>
      <w:r w:rsidR="00EB2EB8" w:rsidRPr="00BF3FB3">
        <w:rPr>
          <w:vertAlign w:val="subscript"/>
        </w:rPr>
        <w:t>4</w:t>
      </w:r>
      <w:r w:rsidR="00EB2EB8" w:rsidRPr="00FF4E67">
        <w:rPr>
          <w:lang w:val="en-US"/>
        </w:rPr>
        <w:t>(</w:t>
      </w:r>
      <w:r w:rsidR="00C16EB8" w:rsidRPr="00C05AA6">
        <w:rPr>
          <w:rFonts w:asciiTheme="majorBidi" w:hAnsiTheme="majorBidi" w:cstheme="majorBidi"/>
          <w:i/>
          <w:iCs/>
        </w:rPr>
        <w:t>f</w:t>
      </w:r>
      <w:r w:rsidR="00E90FBD" w:rsidRPr="00E90FBD">
        <w:rPr>
          <w:sz w:val="8"/>
          <w:lang w:val="en-US"/>
        </w:rPr>
        <w:t xml:space="preserve"> </w:t>
      </w:r>
      <w:r w:rsidR="00E90FBD" w:rsidRPr="00FF4E67">
        <w:rPr>
          <w:lang w:val="en-US"/>
        </w:rPr>
        <w:t>/</w:t>
      </w:r>
      <w:r w:rsidR="00E90FBD">
        <w:rPr>
          <w:rFonts w:asciiTheme="majorBidi" w:hAnsiTheme="majorBidi" w:cstheme="majorBidi"/>
          <w:i/>
          <w:iCs/>
          <w:sz w:val="8"/>
        </w:rPr>
        <w:t> </w:t>
      </w:r>
      <w:r w:rsidR="00C16EB8" w:rsidRPr="00C05AA6">
        <w:rPr>
          <w:rFonts w:asciiTheme="majorBidi" w:hAnsiTheme="majorBidi" w:cstheme="majorBidi"/>
          <w:i/>
          <w:iCs/>
        </w:rPr>
        <w:t>f</w:t>
      </w:r>
      <w:r w:rsidR="00C16EB8" w:rsidRPr="00BF3FB3">
        <w:rPr>
          <w:i/>
          <w:iCs/>
          <w:vertAlign w:val="subscript"/>
        </w:rPr>
        <w:t xml:space="preserve"> </w:t>
      </w:r>
      <w:r w:rsidR="00EB2EB8" w:rsidRPr="00BF3FB3">
        <w:rPr>
          <w:i/>
          <w:iCs/>
          <w:vertAlign w:val="subscript"/>
        </w:rPr>
        <w:t>h</w:t>
      </w:r>
      <w:r w:rsidR="00EB2EB8" w:rsidRPr="00FF4E67">
        <w:rPr>
          <w:lang w:val="en-US"/>
        </w:rPr>
        <w:t>)</w:t>
      </w:r>
      <w:r w:rsidR="00EB2EB8" w:rsidRPr="00BF3FB3">
        <w:rPr>
          <w:vertAlign w:val="superscript"/>
        </w:rPr>
        <w:t>4</w:t>
      </w:r>
      <w:r w:rsidRPr="00A55E2D">
        <w:rPr>
          <w:lang w:val="es-ES_tradnl"/>
        </w:rPr>
        <w:tab/>
        <w:t>(3)</w:t>
      </w:r>
      <w:bookmarkEnd w:id="4"/>
    </w:p>
    <w:p w:rsidR="00A55E2D" w:rsidRPr="00A55E2D" w:rsidRDefault="001D11A4" w:rsidP="00E90FBD">
      <w:pPr>
        <w:rPr>
          <w:lang w:val="es-ES_tradnl"/>
        </w:rPr>
      </w:pPr>
      <w:r w:rsidRPr="00C05AA6">
        <w:rPr>
          <w:rFonts w:asciiTheme="majorBidi" w:hAnsiTheme="majorBidi" w:cstheme="majorBidi"/>
          <w:i/>
          <w:iCs/>
        </w:rPr>
        <w:t>f</w:t>
      </w:r>
      <w:r w:rsidRPr="00A55E2D">
        <w:rPr>
          <w:lang w:val="es-ES_tradnl"/>
        </w:rPr>
        <w:t xml:space="preserve"> </w:t>
      </w:r>
      <w:r w:rsidR="00A55E2D" w:rsidRPr="00A55E2D">
        <w:rPr>
          <w:lang w:val="es-ES_tradnl"/>
        </w:rPr>
        <w:t xml:space="preserve">es la frecuencia de banda de base específica de que se trata, dada en las mismas unidades que </w:t>
      </w:r>
      <w:r w:rsidR="00F27690" w:rsidRPr="00F27690">
        <w:rPr>
          <w:i/>
          <w:iCs/>
          <w:lang w:val="es-ES_tradnl"/>
        </w:rPr>
        <w:t>f</w:t>
      </w:r>
      <w:r w:rsidR="00EB2EB8" w:rsidRPr="00FF4E67">
        <w:rPr>
          <w:i/>
          <w:iCs/>
          <w:position w:val="-4"/>
          <w:sz w:val="16"/>
          <w:szCs w:val="16"/>
          <w:lang w:val="en-US"/>
        </w:rPr>
        <w:t>h</w:t>
      </w:r>
      <w:r w:rsidR="00A55E2D" w:rsidRPr="004C7FC6">
        <w:t>.</w:t>
      </w:r>
      <w:r w:rsidR="00A55E2D" w:rsidRPr="00A55E2D">
        <w:rPr>
          <w:lang w:val="es-ES_tradnl"/>
        </w:rPr>
        <w:t xml:space="preserve"> En la gama</w:t>
      </w:r>
      <w:r w:rsidR="00EB2EB8" w:rsidRPr="00EB2EB8">
        <w:rPr>
          <w:lang w:val="en-US"/>
        </w:rPr>
        <w:t xml:space="preserve"> </w:t>
      </w:r>
      <w:r w:rsidR="00AA00EA" w:rsidRPr="00AA00EA">
        <w:sym w:font="Symbol" w:char="F065"/>
      </w:r>
      <w:r w:rsidR="00EB2EB8" w:rsidRPr="00FF4E67">
        <w:rPr>
          <w:lang w:val="en-US"/>
        </w:rPr>
        <w:t> </w:t>
      </w:r>
      <w:r w:rsidR="00615F86">
        <w:rPr>
          <w:lang w:val="en-US"/>
        </w:rPr>
        <w:t>≤</w:t>
      </w:r>
      <w:r w:rsidR="00EB2EB8" w:rsidRPr="00FF4E67">
        <w:rPr>
          <w:lang w:val="en-US"/>
        </w:rPr>
        <w:t> </w:t>
      </w:r>
      <w:r w:rsidRPr="00C05AA6">
        <w:rPr>
          <w:rFonts w:asciiTheme="majorBidi" w:hAnsiTheme="majorBidi" w:cstheme="majorBidi"/>
          <w:i/>
          <w:iCs/>
        </w:rPr>
        <w:t>f</w:t>
      </w:r>
      <w:r w:rsidRPr="00E90FBD">
        <w:rPr>
          <w:sz w:val="8"/>
          <w:lang w:val="en-US"/>
        </w:rPr>
        <w:t xml:space="preserve"> </w:t>
      </w:r>
      <w:r w:rsidR="00EB2EB8" w:rsidRPr="00FF4E67">
        <w:rPr>
          <w:lang w:val="en-US"/>
        </w:rPr>
        <w:t>/</w:t>
      </w:r>
      <w:r w:rsidR="00E90FBD">
        <w:rPr>
          <w:rFonts w:asciiTheme="majorBidi" w:hAnsiTheme="majorBidi" w:cstheme="majorBidi"/>
          <w:i/>
          <w:iCs/>
          <w:sz w:val="8"/>
        </w:rPr>
        <w:t> </w:t>
      </w:r>
      <w:r w:rsidR="00680C35" w:rsidRPr="00C05AA6">
        <w:rPr>
          <w:rFonts w:asciiTheme="majorBidi" w:hAnsiTheme="majorBidi" w:cstheme="majorBidi"/>
          <w:i/>
          <w:iCs/>
        </w:rPr>
        <w:t>f</w:t>
      </w:r>
      <w:r w:rsidR="00680C35" w:rsidRPr="00FF4E67">
        <w:rPr>
          <w:i/>
          <w:iCs/>
          <w:position w:val="-4"/>
          <w:sz w:val="16"/>
          <w:szCs w:val="16"/>
          <w:lang w:val="en-US"/>
        </w:rPr>
        <w:t xml:space="preserve"> </w:t>
      </w:r>
      <w:r w:rsidR="00EB2EB8" w:rsidRPr="00FF4E67">
        <w:rPr>
          <w:i/>
          <w:iCs/>
          <w:position w:val="-4"/>
          <w:sz w:val="16"/>
          <w:szCs w:val="16"/>
          <w:lang w:val="en-US"/>
        </w:rPr>
        <w:t>h</w:t>
      </w:r>
      <w:r w:rsidR="00615F86">
        <w:t> </w:t>
      </w:r>
      <w:r w:rsidR="00615F86">
        <w:rPr>
          <w:lang w:val="en-US"/>
        </w:rPr>
        <w:t>≤ </w:t>
      </w:r>
      <w:r w:rsidR="00EB2EB8" w:rsidRPr="00FF4E67">
        <w:rPr>
          <w:lang w:val="en-US"/>
        </w:rPr>
        <w:t>1,</w:t>
      </w:r>
      <w:r w:rsidR="00A55E2D" w:rsidRPr="00A55E2D">
        <w:rPr>
          <w:lang w:val="es-ES_tradnl"/>
        </w:rPr>
        <w:t xml:space="preserve"> se obtiene una buena aproximación de la característica de preacentuación mediante la expresión:</w:t>
      </w:r>
    </w:p>
    <w:p w:rsidR="00BF3FB3" w:rsidRPr="00A55E2D" w:rsidRDefault="00BF3FB3" w:rsidP="00E90FBD">
      <w:pPr>
        <w:pStyle w:val="Equation"/>
        <w:rPr>
          <w:lang w:val="es-ES_tradnl"/>
        </w:rPr>
      </w:pPr>
      <w:bookmarkStart w:id="5" w:name="F004"/>
      <w:r w:rsidRPr="00A55E2D">
        <w:rPr>
          <w:lang w:val="es-ES_tradnl"/>
        </w:rPr>
        <w:tab/>
      </w:r>
      <w:r w:rsidRPr="00A55E2D">
        <w:rPr>
          <w:lang w:val="es-ES_tradnl"/>
        </w:rPr>
        <w:tab/>
      </w:r>
      <w:r w:rsidRPr="00FF4E67">
        <w:rPr>
          <w:i/>
          <w:iCs/>
          <w:lang w:val="en-US"/>
        </w:rPr>
        <w:t>p</w:t>
      </w:r>
      <w:r w:rsidRPr="00FF4E67">
        <w:rPr>
          <w:lang w:val="en-US"/>
        </w:rPr>
        <w:t>(</w:t>
      </w:r>
      <w:r w:rsidR="008A71B0" w:rsidRPr="00C05AA6">
        <w:rPr>
          <w:rFonts w:asciiTheme="majorBidi" w:hAnsiTheme="majorBidi" w:cstheme="majorBidi"/>
          <w:i/>
          <w:iCs/>
        </w:rPr>
        <w:t>f</w:t>
      </w:r>
      <w:r w:rsidRPr="00FF4E67">
        <w:rPr>
          <w:lang w:val="en-US"/>
        </w:rPr>
        <w:t>/</w:t>
      </w:r>
      <w:r w:rsidR="00DC345B" w:rsidRPr="00C05AA6">
        <w:rPr>
          <w:rFonts w:asciiTheme="majorBidi" w:hAnsiTheme="majorBidi" w:cstheme="majorBidi"/>
          <w:i/>
          <w:iCs/>
        </w:rPr>
        <w:t>f</w:t>
      </w:r>
      <w:r w:rsidRPr="00BF3FB3">
        <w:rPr>
          <w:i/>
          <w:iCs/>
          <w:vertAlign w:val="subscript"/>
        </w:rPr>
        <w:t>h</w:t>
      </w:r>
      <w:r w:rsidRPr="00FF4E67">
        <w:rPr>
          <w:lang w:val="en-US"/>
        </w:rPr>
        <w:t xml:space="preserve">) </w:t>
      </w:r>
      <w:r w:rsidR="00615F86">
        <w:rPr>
          <w:lang w:val="en-US"/>
        </w:rPr>
        <w:t>=</w:t>
      </w:r>
      <w:r w:rsidRPr="00FF4E67">
        <w:rPr>
          <w:lang w:val="en-US"/>
        </w:rPr>
        <w:t xml:space="preserve"> </w:t>
      </w:r>
      <w:r w:rsidRPr="00BF3FB3">
        <w:t>0</w:t>
      </w:r>
      <w:r>
        <w:t>,4</w:t>
      </w:r>
      <w:r w:rsidRPr="00FF4E67">
        <w:rPr>
          <w:lang w:val="en-US"/>
        </w:rPr>
        <w:t xml:space="preserve"> </w:t>
      </w:r>
      <w:r>
        <w:rPr>
          <w:lang w:val="en-US"/>
        </w:rPr>
        <w:t>+</w:t>
      </w:r>
      <w:r w:rsidRPr="00FF4E67">
        <w:rPr>
          <w:lang w:val="en-US"/>
        </w:rPr>
        <w:t xml:space="preserve"> </w:t>
      </w:r>
      <w:r>
        <w:t>1,35</w:t>
      </w:r>
      <w:r w:rsidRPr="00FF4E67">
        <w:rPr>
          <w:lang w:val="en-US"/>
        </w:rPr>
        <w:t>(</w:t>
      </w:r>
      <w:r w:rsidR="00277DE6" w:rsidRPr="00C05AA6">
        <w:rPr>
          <w:rFonts w:asciiTheme="majorBidi" w:hAnsiTheme="majorBidi" w:cstheme="majorBidi"/>
          <w:i/>
          <w:iCs/>
        </w:rPr>
        <w:t>f</w:t>
      </w:r>
      <w:r w:rsidRPr="00FF4E67">
        <w:rPr>
          <w:lang w:val="en-US"/>
        </w:rPr>
        <w:t>/</w:t>
      </w:r>
      <w:r w:rsidR="004F0C5D" w:rsidRPr="00C05AA6">
        <w:rPr>
          <w:rFonts w:asciiTheme="majorBidi" w:hAnsiTheme="majorBidi" w:cstheme="majorBidi"/>
          <w:i/>
          <w:iCs/>
        </w:rPr>
        <w:t>f</w:t>
      </w:r>
      <w:r w:rsidRPr="00BF3FB3">
        <w:rPr>
          <w:i/>
          <w:iCs/>
          <w:vertAlign w:val="subscript"/>
        </w:rPr>
        <w:t>h</w:t>
      </w:r>
      <w:r w:rsidRPr="00FF4E67">
        <w:rPr>
          <w:lang w:val="en-US"/>
        </w:rPr>
        <w:t>)</w:t>
      </w:r>
      <w:r w:rsidRPr="00BF3FB3">
        <w:rPr>
          <w:vertAlign w:val="superscript"/>
        </w:rPr>
        <w:t>2</w:t>
      </w:r>
      <w:r w:rsidRPr="00FF4E67">
        <w:rPr>
          <w:lang w:val="en-US"/>
        </w:rPr>
        <w:t xml:space="preserve"> </w:t>
      </w:r>
      <w:r>
        <w:rPr>
          <w:lang w:val="en-US"/>
        </w:rPr>
        <w:t>+</w:t>
      </w:r>
      <w:r w:rsidRPr="00FF4E67">
        <w:rPr>
          <w:lang w:val="en-US"/>
        </w:rPr>
        <w:t xml:space="preserve"> </w:t>
      </w:r>
      <w:r w:rsidR="00AA00EA">
        <w:t>0,75</w:t>
      </w:r>
      <w:r w:rsidRPr="00FF4E67">
        <w:rPr>
          <w:lang w:val="en-US"/>
        </w:rPr>
        <w:t>(</w:t>
      </w:r>
      <w:r w:rsidR="004F0C5D" w:rsidRPr="00C05AA6">
        <w:rPr>
          <w:rFonts w:asciiTheme="majorBidi" w:hAnsiTheme="majorBidi" w:cstheme="majorBidi"/>
          <w:i/>
          <w:iCs/>
        </w:rPr>
        <w:t>f</w:t>
      </w:r>
      <w:r w:rsidR="00E90FBD" w:rsidRPr="00E90FBD">
        <w:rPr>
          <w:sz w:val="8"/>
          <w:lang w:val="en-US"/>
        </w:rPr>
        <w:t xml:space="preserve"> </w:t>
      </w:r>
      <w:r w:rsidR="00E90FBD" w:rsidRPr="00FF4E67">
        <w:rPr>
          <w:lang w:val="en-US"/>
        </w:rPr>
        <w:t>/</w:t>
      </w:r>
      <w:r w:rsidR="00E90FBD">
        <w:rPr>
          <w:rFonts w:asciiTheme="majorBidi" w:hAnsiTheme="majorBidi" w:cstheme="majorBidi"/>
          <w:i/>
          <w:iCs/>
          <w:sz w:val="8"/>
        </w:rPr>
        <w:t> </w:t>
      </w:r>
      <w:r w:rsidR="004438D1" w:rsidRPr="00C05AA6">
        <w:rPr>
          <w:rFonts w:asciiTheme="majorBidi" w:hAnsiTheme="majorBidi" w:cstheme="majorBidi"/>
          <w:i/>
          <w:iCs/>
        </w:rPr>
        <w:t>f</w:t>
      </w:r>
      <w:r w:rsidRPr="00BF3FB3">
        <w:rPr>
          <w:i/>
          <w:iCs/>
          <w:vertAlign w:val="subscript"/>
        </w:rPr>
        <w:t>h</w:t>
      </w:r>
      <w:r w:rsidRPr="00FF4E67">
        <w:rPr>
          <w:lang w:val="en-US"/>
        </w:rPr>
        <w:t>)</w:t>
      </w:r>
      <w:r w:rsidRPr="00BF3FB3">
        <w:rPr>
          <w:vertAlign w:val="superscript"/>
        </w:rPr>
        <w:t>4</w:t>
      </w:r>
      <w:r w:rsidRPr="00A55E2D">
        <w:rPr>
          <w:lang w:val="es-ES_tradnl"/>
        </w:rPr>
        <w:tab/>
        <w:t>(</w:t>
      </w:r>
      <w:r>
        <w:rPr>
          <w:lang w:val="es-ES_tradnl"/>
        </w:rPr>
        <w:t>4</w:t>
      </w:r>
      <w:r w:rsidRPr="00A55E2D">
        <w:rPr>
          <w:lang w:val="es-ES_tradnl"/>
        </w:rPr>
        <w:t>)</w:t>
      </w:r>
    </w:p>
    <w:bookmarkEnd w:id="5"/>
    <w:p w:rsidR="00A55E2D" w:rsidRPr="00A55E2D" w:rsidRDefault="00A55E2D" w:rsidP="00241A0F">
      <w:pPr>
        <w:rPr>
          <w:lang w:val="es-ES_tradnl"/>
        </w:rPr>
      </w:pPr>
      <w:r w:rsidRPr="00A55E2D">
        <w:rPr>
          <w:lang w:val="es-ES_tradnl"/>
        </w:rPr>
        <w:t>Por lo tanto, para un sistema con preacentuación:</w:t>
      </w:r>
    </w:p>
    <w:p w:rsidR="00A55E2D" w:rsidRPr="00A55E2D" w:rsidRDefault="00290F40" w:rsidP="00EB2EB8">
      <w:pPr>
        <w:pStyle w:val="Equation"/>
        <w:rPr>
          <w:lang w:val="es-ES_tradnl"/>
        </w:rPr>
      </w:pPr>
      <w:bookmarkStart w:id="6" w:name="F005"/>
      <w:r w:rsidRPr="00FF4E67">
        <w:rPr>
          <w:lang w:val="en-US"/>
        </w:rPr>
        <w:tab/>
      </w:r>
      <w:r w:rsidRPr="00FF4E67">
        <w:rPr>
          <w:lang w:val="en-US"/>
        </w:rPr>
        <w:tab/>
      </w:r>
      <w:r w:rsidRPr="00290F40">
        <w:rPr>
          <w:position w:val="-22"/>
        </w:rPr>
        <w:object w:dxaOrig="4040" w:dyaOrig="639">
          <v:shape id="_x0000_i1026" type="#_x0000_t75" style="width:202.15pt;height:31.4pt" o:ole="">
            <v:imagedata r:id="rId15" o:title=""/>
          </v:shape>
          <o:OLEObject Type="Embed" ProgID="Equation.3" ShapeID="_x0000_i1026" DrawAspect="Content" ObjectID="_1408431228" r:id="rId16"/>
        </w:object>
      </w:r>
      <w:r w:rsidR="00A55E2D" w:rsidRPr="00A55E2D">
        <w:rPr>
          <w:lang w:val="es-ES_tradnl"/>
        </w:rPr>
        <w:tab/>
        <w:t>(5)</w:t>
      </w:r>
      <w:bookmarkEnd w:id="6"/>
    </w:p>
    <w:p w:rsidR="00A55E2D" w:rsidRPr="00A55E2D" w:rsidRDefault="00A55E2D" w:rsidP="00E90FBD">
      <w:pPr>
        <w:rPr>
          <w:lang w:val="es-ES_tradnl"/>
        </w:rPr>
      </w:pPr>
      <w:r w:rsidRPr="00241A0F">
        <w:rPr>
          <w:lang w:val="es-ES_tradnl"/>
        </w:rPr>
        <w:t>donde</w:t>
      </w:r>
      <w:r w:rsidRPr="00A55E2D">
        <w:rPr>
          <w:lang w:val="es-ES_tradnl"/>
        </w:rPr>
        <w:tab/>
      </w:r>
      <w:r w:rsidR="009B0B91" w:rsidRPr="00FF4E67">
        <w:rPr>
          <w:i/>
          <w:iCs/>
          <w:lang w:val="en-US"/>
        </w:rPr>
        <w:t>m</w:t>
      </w:r>
      <w:r w:rsidR="009B0B91" w:rsidRPr="00AA00EA">
        <w:t xml:space="preserve"> </w:t>
      </w:r>
      <w:r w:rsidR="001A4B39">
        <w:rPr>
          <w:lang w:val="es-ES_tradnl"/>
        </w:rPr>
        <w:t>=</w:t>
      </w:r>
      <w:r w:rsidR="009B0B91" w:rsidRPr="00FF4E67">
        <w:rPr>
          <w:lang w:val="en-US"/>
        </w:rPr>
        <w:t xml:space="preserve"> </w:t>
      </w:r>
      <w:r w:rsidR="00FC0B3D" w:rsidRPr="00C05AA6">
        <w:rPr>
          <w:rFonts w:asciiTheme="majorBidi" w:hAnsiTheme="majorBidi" w:cstheme="majorBidi"/>
          <w:i/>
          <w:iCs/>
        </w:rPr>
        <w:t>f</w:t>
      </w:r>
      <w:r w:rsidR="00AA00EA" w:rsidRPr="00AA00EA">
        <w:rPr>
          <w:vertAlign w:val="subscript"/>
        </w:rPr>
        <w:sym w:font="Symbol" w:char="F044"/>
      </w:r>
      <w:r w:rsidR="00E90FBD" w:rsidRPr="00E90FBD">
        <w:rPr>
          <w:sz w:val="8"/>
          <w:vertAlign w:val="subscript"/>
        </w:rPr>
        <w:t> </w:t>
      </w:r>
      <w:r w:rsidR="009B0B91" w:rsidRPr="00FF4E67">
        <w:rPr>
          <w:lang w:val="en-US"/>
        </w:rPr>
        <w:t>/</w:t>
      </w:r>
      <w:r w:rsidR="00E90FBD" w:rsidRPr="00E90FBD">
        <w:rPr>
          <w:sz w:val="8"/>
          <w:vertAlign w:val="subscript"/>
        </w:rPr>
        <w:t> </w:t>
      </w:r>
      <w:r w:rsidR="00FC0B3D" w:rsidRPr="00C05AA6">
        <w:rPr>
          <w:rFonts w:asciiTheme="majorBidi" w:hAnsiTheme="majorBidi" w:cstheme="majorBidi"/>
          <w:i/>
          <w:iCs/>
        </w:rPr>
        <w:t>f</w:t>
      </w:r>
      <w:r w:rsidR="009B0B91" w:rsidRPr="00FF4E67">
        <w:rPr>
          <w:i/>
          <w:iCs/>
          <w:position w:val="-4"/>
          <w:sz w:val="16"/>
          <w:szCs w:val="16"/>
          <w:lang w:val="en-US"/>
        </w:rPr>
        <w:t>h</w:t>
      </w:r>
      <w:r w:rsidRPr="00A55E2D">
        <w:rPr>
          <w:lang w:val="es-ES_tradnl"/>
        </w:rPr>
        <w:t>.</w:t>
      </w:r>
    </w:p>
    <w:p w:rsidR="00A55E2D" w:rsidRPr="00A55E2D" w:rsidRDefault="00A55E2D" w:rsidP="00BF3FB3">
      <w:pPr>
        <w:pStyle w:val="Note"/>
        <w:rPr>
          <w:lang w:val="es-ES_tradnl"/>
        </w:rPr>
      </w:pPr>
      <w:r w:rsidRPr="00A55E2D">
        <w:rPr>
          <w:lang w:val="es-ES_tradnl"/>
        </w:rPr>
        <w:t>NOTA</w:t>
      </w:r>
      <w:r w:rsidR="00BF3FB3">
        <w:rPr>
          <w:lang w:val="es-ES_tradnl"/>
        </w:rPr>
        <w:t> </w:t>
      </w:r>
      <w:r w:rsidRPr="00A55E2D">
        <w:rPr>
          <w:lang w:val="es-ES_tradnl"/>
        </w:rPr>
        <w:t>1</w:t>
      </w:r>
      <w:r w:rsidR="00BF3FB3">
        <w:rPr>
          <w:lang w:val="es-ES_tradnl"/>
        </w:rPr>
        <w:t> </w:t>
      </w:r>
      <w:r w:rsidRPr="00A55E2D">
        <w:rPr>
          <w:lang w:val="es-ES_tradnl"/>
        </w:rPr>
        <w:t>–</w:t>
      </w:r>
      <w:r w:rsidR="00BF3FB3">
        <w:rPr>
          <w:lang w:val="es-ES_tradnl"/>
        </w:rPr>
        <w:t> </w:t>
      </w:r>
      <w:r w:rsidRPr="00A55E2D">
        <w:rPr>
          <w:lang w:val="es-ES_tradnl"/>
        </w:rPr>
        <w:t>Las administraciones deben facilitar detalles de la forma del espectro y el valor de los coeficientes utilizados en las ecuaciones (2) y (3) a fin de poder efectuar una coordinación detallada.</w:t>
      </w:r>
    </w:p>
    <w:p w:rsidR="00A55E2D" w:rsidRPr="00A55E2D" w:rsidRDefault="00A55E2D" w:rsidP="00BF3FB3">
      <w:pPr>
        <w:rPr>
          <w:lang w:val="es-ES_tradnl"/>
        </w:rPr>
      </w:pPr>
      <w:r w:rsidRPr="00A55E2D">
        <w:rPr>
          <w:lang w:val="es-ES_tradnl"/>
        </w:rPr>
        <w:t xml:space="preserve">La densidad espectral de potencia máxima en la parte continua del espectro puede obtenerse aproximadamente a partir de las </w:t>
      </w:r>
      <w:r w:rsidR="00AA00EA" w:rsidRPr="00A55E2D">
        <w:rPr>
          <w:lang w:val="es-ES_tradnl"/>
        </w:rPr>
        <w:t>Figs</w:t>
      </w:r>
      <w:r w:rsidR="00AA00EA">
        <w:rPr>
          <w:lang w:val="es-ES_tradnl"/>
        </w:rPr>
        <w:t xml:space="preserve">. 1 y </w:t>
      </w:r>
      <w:r w:rsidRPr="00A55E2D">
        <w:rPr>
          <w:lang w:val="es-ES_tradnl"/>
        </w:rPr>
        <w:t>2.</w:t>
      </w:r>
    </w:p>
    <w:p w:rsidR="00A55E2D" w:rsidRPr="00A55E2D" w:rsidRDefault="00A55E2D" w:rsidP="00F034A1">
      <w:pPr>
        <w:pStyle w:val="FigureNo"/>
        <w:rPr>
          <w:lang w:val="es-ES_tradnl"/>
        </w:rPr>
      </w:pPr>
      <w:r w:rsidRPr="00A55E2D">
        <w:rPr>
          <w:lang w:val="es-ES_tradnl"/>
        </w:rPr>
        <w:lastRenderedPageBreak/>
        <w:t>Figura 1</w:t>
      </w:r>
    </w:p>
    <w:p w:rsidR="00A55E2D" w:rsidRPr="00A55E2D" w:rsidRDefault="00A55E2D" w:rsidP="00F74F32">
      <w:pPr>
        <w:pStyle w:val="Figuretitle"/>
        <w:rPr>
          <w:lang w:val="es-ES_tradnl"/>
        </w:rPr>
      </w:pPr>
      <w:r w:rsidRPr="00A55E2D">
        <w:rPr>
          <w:lang w:val="es-ES_tradnl"/>
        </w:rPr>
        <w:t xml:space="preserve">Densidad </w:t>
      </w:r>
      <w:r w:rsidRPr="00A55E2D">
        <w:rPr>
          <w:lang w:val="es-ES"/>
        </w:rPr>
        <w:t>expectral</w:t>
      </w:r>
      <w:r w:rsidRPr="00A55E2D">
        <w:rPr>
          <w:lang w:val="es-ES_tradnl"/>
        </w:rPr>
        <w:t xml:space="preserve"> máxima de una señal (componentes espectrales distribuidas)</w:t>
      </w:r>
      <w:r w:rsidR="00F74F32">
        <w:rPr>
          <w:lang w:val="es-ES_tradnl"/>
        </w:rPr>
        <w:t xml:space="preserve"> </w:t>
      </w:r>
      <w:r w:rsidRPr="00A55E2D">
        <w:rPr>
          <w:lang w:val="es-ES_tradnl"/>
        </w:rPr>
        <w:t>modulada</w:t>
      </w:r>
      <w:r w:rsidR="00F74F32">
        <w:rPr>
          <w:lang w:val="es-ES_tradnl"/>
        </w:rPr>
        <w:br/>
      </w:r>
      <w:r w:rsidRPr="00A55E2D">
        <w:rPr>
          <w:lang w:val="es-ES_tradnl"/>
        </w:rPr>
        <w:t>en frecuencia por ruido gaussiano</w:t>
      </w:r>
    </w:p>
    <w:p w:rsidR="00A55E2D" w:rsidRPr="00A55E2D" w:rsidRDefault="00F74F32" w:rsidP="00F034A1">
      <w:pPr>
        <w:pStyle w:val="Figure"/>
        <w:rPr>
          <w:lang w:val="es-ES_tradnl"/>
        </w:rPr>
      </w:pPr>
      <w:r>
        <w:rPr>
          <w:lang w:val="es-ES_tradnl"/>
        </w:rPr>
        <w:object w:dxaOrig="6022" w:dyaOrig="6477">
          <v:shape id="_x0000_i1041" type="#_x0000_t75" style="width:351.25pt;height:378pt" o:ole="">
            <v:imagedata r:id="rId17" o:title=""/>
          </v:shape>
          <o:OLEObject Type="Embed" ProgID="CorelDRAW.Graphic.14" ShapeID="_x0000_i1041" DrawAspect="Content" ObjectID="_1408431229" r:id="rId18"/>
        </w:object>
      </w:r>
    </w:p>
    <w:p w:rsidR="00A55E2D" w:rsidRPr="00A55E2D" w:rsidRDefault="00A55E2D" w:rsidP="001A35C2">
      <w:pPr>
        <w:pStyle w:val="FigureNo"/>
        <w:rPr>
          <w:lang w:val="es-ES_tradnl"/>
        </w:rPr>
      </w:pPr>
      <w:r w:rsidRPr="00A55E2D">
        <w:rPr>
          <w:lang w:val="es-ES_tradnl"/>
        </w:rPr>
        <w:lastRenderedPageBreak/>
        <w:t>Figura 2</w:t>
      </w:r>
    </w:p>
    <w:p w:rsidR="00A55E2D" w:rsidRPr="00A55E2D" w:rsidRDefault="00A55E2D" w:rsidP="00267CD4">
      <w:pPr>
        <w:pStyle w:val="Figuretitle"/>
        <w:rPr>
          <w:lang w:val="es-ES_tradnl"/>
        </w:rPr>
      </w:pPr>
      <w:r w:rsidRPr="00A55E2D">
        <w:rPr>
          <w:lang w:val="es-ES_tradnl"/>
        </w:rPr>
        <w:t>Curvas de señal MDF-MF para una misma densidad espectral máxima (</w:t>
      </w:r>
      <w:r w:rsidR="00267CD4">
        <w:rPr>
          <w:i/>
          <w:iCs/>
          <w:lang w:val="es-ES_tradnl"/>
        </w:rPr>
        <w:t>Vmá</w:t>
      </w:r>
      <w:r w:rsidRPr="00A55E2D">
        <w:rPr>
          <w:i/>
          <w:iCs/>
          <w:lang w:val="es-ES_tradnl"/>
        </w:rPr>
        <w:t>x</w:t>
      </w:r>
      <w:r w:rsidRPr="00A55E2D">
        <w:rPr>
          <w:lang w:val="es-ES_tradnl"/>
        </w:rPr>
        <w:t>)</w:t>
      </w:r>
    </w:p>
    <w:p w:rsidR="00A55E2D" w:rsidRPr="00A55E2D" w:rsidRDefault="00267CD4" w:rsidP="001A35C2">
      <w:pPr>
        <w:pStyle w:val="Figure"/>
        <w:rPr>
          <w:lang w:val="es-ES_tradnl"/>
        </w:rPr>
      </w:pPr>
      <w:r>
        <w:rPr>
          <w:lang w:val="es-ES_tradnl"/>
        </w:rPr>
        <w:object w:dxaOrig="5512" w:dyaOrig="4556">
          <v:shape id="_x0000_i1028" type="#_x0000_t75" style="width:323.1pt;height:266.75pt" o:ole="">
            <v:imagedata r:id="rId19" o:title=""/>
          </v:shape>
          <o:OLEObject Type="Embed" ProgID="CorelDRAW.Graphic.14" ShapeID="_x0000_i1028" DrawAspect="Content" ObjectID="_1408431230" r:id="rId20"/>
        </w:object>
      </w:r>
    </w:p>
    <w:p w:rsidR="00A55E2D" w:rsidRPr="00A55E2D" w:rsidRDefault="00A55E2D" w:rsidP="007D51A6">
      <w:pPr>
        <w:rPr>
          <w:lang w:val="es-ES_tradnl"/>
        </w:rPr>
      </w:pPr>
      <w:r w:rsidRPr="00A55E2D">
        <w:rPr>
          <w:lang w:val="es-ES_tradnl"/>
        </w:rPr>
        <w:t xml:space="preserve">En la ecuación y en las </w:t>
      </w:r>
      <w:r w:rsidR="00267CD4" w:rsidRPr="00A55E2D">
        <w:rPr>
          <w:lang w:val="es-ES_tradnl"/>
        </w:rPr>
        <w:t>Figuras</w:t>
      </w:r>
      <w:r w:rsidRPr="00A55E2D">
        <w:rPr>
          <w:lang w:val="es-ES_tradnl"/>
        </w:rPr>
        <w:t>, los símbolos tienen los significados siguientes:</w:t>
      </w:r>
    </w:p>
    <w:p w:rsidR="00A55E2D" w:rsidRPr="00A55E2D" w:rsidRDefault="00A55E2D" w:rsidP="00257FCC">
      <w:pPr>
        <w:pStyle w:val="Equationlegend"/>
      </w:pPr>
      <w:r w:rsidRPr="00A55E2D">
        <w:rPr>
          <w:i/>
          <w:iCs/>
        </w:rPr>
        <w:tab/>
      </w:r>
      <w:r w:rsidR="007D51A6" w:rsidRPr="00FF4E67">
        <w:rPr>
          <w:i/>
          <w:iCs/>
        </w:rPr>
        <w:t>P</w:t>
      </w:r>
      <w:r w:rsidR="007D51A6" w:rsidRPr="00FF4E67">
        <w:rPr>
          <w:i/>
          <w:iCs/>
          <w:position w:val="-4"/>
          <w:sz w:val="16"/>
          <w:szCs w:val="16"/>
        </w:rPr>
        <w:t>t</w:t>
      </w:r>
      <w:r w:rsidRPr="00A55E2D">
        <w:t>:</w:t>
      </w:r>
      <w:r w:rsidRPr="00A55E2D">
        <w:tab/>
        <w:t>potencia total de la portadora (W)</w:t>
      </w:r>
    </w:p>
    <w:p w:rsidR="00A55E2D" w:rsidRPr="00A55E2D" w:rsidRDefault="007D51A6" w:rsidP="00AE4788">
      <w:pPr>
        <w:pStyle w:val="Equationlegend"/>
      </w:pPr>
      <w:r>
        <w:tab/>
      </w:r>
      <w:r w:rsidR="00AE4788" w:rsidRPr="00AE4788">
        <w:rPr>
          <w:rFonts w:asciiTheme="majorBidi" w:hAnsiTheme="majorBidi" w:cstheme="majorBidi"/>
          <w:i/>
          <w:iCs/>
        </w:rPr>
        <w:t>f</w:t>
      </w:r>
      <w:r w:rsidR="00AE4788">
        <w:rPr>
          <w:rFonts w:asciiTheme="majorBidi" w:hAnsiTheme="majorBidi" w:cstheme="majorBidi"/>
          <w:position w:val="-4"/>
          <w:sz w:val="16"/>
          <w:szCs w:val="16"/>
        </w:rPr>
        <w:sym w:font="Symbol" w:char="F044"/>
      </w:r>
      <w:r w:rsidR="00A55E2D" w:rsidRPr="00A55E2D">
        <w:t>:</w:t>
      </w:r>
      <w:r w:rsidR="00A55E2D" w:rsidRPr="00A55E2D">
        <w:tab/>
        <w:t>valor cuadrático medio de la excursión multicanal (Hz)</w:t>
      </w:r>
    </w:p>
    <w:p w:rsidR="00A55E2D" w:rsidRPr="00A55E2D" w:rsidRDefault="00A55E2D" w:rsidP="007D51A6">
      <w:pPr>
        <w:pStyle w:val="Equation"/>
        <w:rPr>
          <w:b/>
          <w:lang w:val="es-ES_tradnl"/>
        </w:rPr>
      </w:pPr>
      <w:bookmarkStart w:id="7" w:name="F006"/>
      <w:r w:rsidRPr="00A55E2D">
        <w:rPr>
          <w:b/>
          <w:bCs/>
          <w:lang w:val="es-ES_tradnl"/>
        </w:rPr>
        <w:tab/>
      </w:r>
      <w:r w:rsidRPr="00A55E2D">
        <w:rPr>
          <w:b/>
          <w:bCs/>
          <w:lang w:val="es-ES_tradnl"/>
        </w:rPr>
        <w:tab/>
      </w:r>
      <w:r w:rsidR="00D16215" w:rsidRPr="00267CD4">
        <w:rPr>
          <w:position w:val="-56"/>
          <w:lang w:val="es-ES_tradnl"/>
        </w:rPr>
        <w:object w:dxaOrig="4860" w:dyaOrig="1240">
          <v:shape id="_x0000_i1029" type="#_x0000_t75" style="width:242.3pt;height:62.3pt" o:ole="">
            <v:imagedata r:id="rId21" o:title=""/>
          </v:shape>
          <o:OLEObject Type="Embed" ProgID="Equation.3" ShapeID="_x0000_i1029" DrawAspect="Content" ObjectID="_1408431231" r:id="rId22"/>
        </w:object>
      </w:r>
    </w:p>
    <w:p w:rsidR="00A55E2D" w:rsidRPr="00A55E2D" w:rsidRDefault="00A55E2D" w:rsidP="007D51A6">
      <w:pPr>
        <w:pStyle w:val="Equation"/>
        <w:rPr>
          <w:lang w:val="es-ES_tradnl"/>
        </w:rPr>
      </w:pPr>
      <w:r w:rsidRPr="00A55E2D">
        <w:rPr>
          <w:lang w:val="es-ES_tradnl"/>
        </w:rPr>
        <w:tab/>
      </w:r>
      <w:r w:rsidRPr="00A55E2D">
        <w:rPr>
          <w:lang w:val="es-ES_tradnl"/>
        </w:rPr>
        <w:tab/>
      </w:r>
      <w:r w:rsidR="00050D9F" w:rsidRPr="00267CD4">
        <w:rPr>
          <w:position w:val="-34"/>
          <w:lang w:val="es-ES_tradnl"/>
        </w:rPr>
        <w:object w:dxaOrig="4819" w:dyaOrig="800">
          <v:shape id="_x0000_i1045" type="#_x0000_t75" style="width:240.9pt;height:39.7pt" o:ole="">
            <v:imagedata r:id="rId23" o:title=""/>
          </v:shape>
          <o:OLEObject Type="Embed" ProgID="Equation.3" ShapeID="_x0000_i1045" DrawAspect="Content" ObjectID="_1408431232" r:id="rId24"/>
        </w:object>
      </w:r>
      <w:bookmarkEnd w:id="7"/>
    </w:p>
    <w:p w:rsidR="00A55E2D" w:rsidRPr="00A55E2D" w:rsidRDefault="005E72B8" w:rsidP="00D35B4A">
      <w:pPr>
        <w:pStyle w:val="Equationlegend"/>
      </w:pPr>
      <w:r>
        <w:tab/>
      </w:r>
      <w:r w:rsidR="00D35B4A" w:rsidRPr="00D35B4A">
        <w:rPr>
          <w:i/>
          <w:iCs/>
        </w:rPr>
        <w:t>f</w:t>
      </w:r>
      <w:r w:rsidRPr="00FF4E67">
        <w:rPr>
          <w:i/>
          <w:iCs/>
          <w:position w:val="-4"/>
          <w:sz w:val="16"/>
          <w:szCs w:val="16"/>
        </w:rPr>
        <w:t>d</w:t>
      </w:r>
      <w:r w:rsidR="00A55E2D" w:rsidRPr="00A55E2D">
        <w:t>:</w:t>
      </w:r>
      <w:r w:rsidR="00A55E2D" w:rsidRPr="00A55E2D">
        <w:tab/>
        <w:t>valor cuadrático medio de la excursión producida por el tono de prueba (Hz)</w:t>
      </w:r>
    </w:p>
    <w:p w:rsidR="00A55E2D" w:rsidRPr="00A55E2D" w:rsidRDefault="00A55E2D" w:rsidP="00257FCC">
      <w:pPr>
        <w:pStyle w:val="Equationlegend"/>
      </w:pPr>
      <w:r w:rsidRPr="00A55E2D">
        <w:rPr>
          <w:i/>
          <w:iCs/>
        </w:rPr>
        <w:tab/>
        <w:t>Nc</w:t>
      </w:r>
      <w:r w:rsidRPr="00A55E2D">
        <w:t>:</w:t>
      </w:r>
      <w:r w:rsidRPr="00A55E2D">
        <w:tab/>
        <w:t>número de canales</w:t>
      </w:r>
    </w:p>
    <w:p w:rsidR="00A55E2D" w:rsidRPr="00A55E2D" w:rsidRDefault="00A55E2D" w:rsidP="00D35B4A">
      <w:pPr>
        <w:pStyle w:val="Equationlegend"/>
      </w:pPr>
      <w:r w:rsidRPr="00A55E2D">
        <w:tab/>
      </w:r>
      <w:r w:rsidR="00D35B4A" w:rsidRPr="00D35B4A">
        <w:rPr>
          <w:i/>
          <w:iCs/>
        </w:rPr>
        <w:t>f</w:t>
      </w:r>
      <w:r w:rsidR="005E72B8" w:rsidRPr="00FF4E67">
        <w:rPr>
          <w:i/>
          <w:iCs/>
          <w:position w:val="-4"/>
          <w:sz w:val="16"/>
          <w:szCs w:val="16"/>
        </w:rPr>
        <w:t>h</w:t>
      </w:r>
      <w:r w:rsidRPr="00A55E2D">
        <w:t>:</w:t>
      </w:r>
      <w:r w:rsidRPr="00A55E2D">
        <w:tab/>
        <w:t>frecuencia superior de la banda de base (Hz)</w:t>
      </w:r>
    </w:p>
    <w:p w:rsidR="00A55E2D" w:rsidRPr="00A55E2D" w:rsidRDefault="00A55E2D" w:rsidP="00D35B4A">
      <w:pPr>
        <w:pStyle w:val="Equationlegend"/>
      </w:pPr>
      <w:r w:rsidRPr="00A55E2D">
        <w:tab/>
      </w:r>
      <w:r w:rsidR="00D35B4A" w:rsidRPr="00D35B4A">
        <w:rPr>
          <w:i/>
          <w:iCs/>
        </w:rPr>
        <w:t>f</w:t>
      </w:r>
      <w:r w:rsidR="00E2053A" w:rsidRPr="00FF4E67">
        <w:rPr>
          <w:position w:val="-4"/>
          <w:sz w:val="16"/>
          <w:szCs w:val="16"/>
        </w:rPr>
        <w:t>1</w:t>
      </w:r>
      <w:r w:rsidRPr="00A55E2D">
        <w:t>:</w:t>
      </w:r>
      <w:r w:rsidRPr="00A55E2D">
        <w:tab/>
        <w:t>frecuencia inferior de la banda de base (Hz)</w:t>
      </w:r>
    </w:p>
    <w:p w:rsidR="00A55E2D" w:rsidRPr="00A55E2D" w:rsidRDefault="00A55E2D" w:rsidP="00E90FBD">
      <w:pPr>
        <w:pStyle w:val="Equationlegend"/>
      </w:pPr>
      <w:r w:rsidRPr="00A55E2D">
        <w:rPr>
          <w:i/>
          <w:iCs/>
        </w:rPr>
        <w:tab/>
        <w:t>m</w:t>
      </w:r>
      <w:r w:rsidRPr="00A55E2D">
        <w:t>:</w:t>
      </w:r>
      <w:r w:rsidRPr="00A55E2D">
        <w:tab/>
        <w:t xml:space="preserve">índice de modulación multicanal </w:t>
      </w:r>
      <w:r w:rsidR="004E17A0" w:rsidRPr="00FF4E67">
        <w:t>(</w:t>
      </w:r>
      <w:r w:rsidR="00D35B4A">
        <w:rPr>
          <w:rFonts w:asciiTheme="majorBidi" w:hAnsiTheme="majorBidi" w:cstheme="majorBidi"/>
        </w:rPr>
        <w:t>=</w:t>
      </w:r>
      <w:r w:rsidR="00D35B4A">
        <w:rPr>
          <w:sz w:val="12"/>
          <w:szCs w:val="12"/>
        </w:rPr>
        <w:t xml:space="preserve"> </w:t>
      </w:r>
      <w:r w:rsidR="00D35B4A" w:rsidRPr="00AE4788">
        <w:rPr>
          <w:rFonts w:asciiTheme="majorBidi" w:hAnsiTheme="majorBidi" w:cstheme="majorBidi"/>
          <w:i/>
          <w:iCs/>
        </w:rPr>
        <w:t>f</w:t>
      </w:r>
      <w:r w:rsidR="00D35B4A">
        <w:rPr>
          <w:rFonts w:asciiTheme="majorBidi" w:hAnsiTheme="majorBidi" w:cstheme="majorBidi"/>
          <w:position w:val="-4"/>
          <w:sz w:val="16"/>
          <w:szCs w:val="16"/>
        </w:rPr>
        <w:sym w:font="Symbol" w:char="F044"/>
      </w:r>
      <w:r w:rsidR="00E90FBD" w:rsidRPr="00E90FBD">
        <w:rPr>
          <w:sz w:val="8"/>
        </w:rPr>
        <w:t xml:space="preserve"> </w:t>
      </w:r>
      <w:r w:rsidR="00E90FBD" w:rsidRPr="00FF4E67">
        <w:t>/</w:t>
      </w:r>
      <w:r w:rsidR="00E90FBD">
        <w:rPr>
          <w:rFonts w:asciiTheme="majorBidi" w:hAnsiTheme="majorBidi" w:cstheme="majorBidi"/>
          <w:i/>
          <w:iCs/>
          <w:sz w:val="8"/>
        </w:rPr>
        <w:t> </w:t>
      </w:r>
      <w:r w:rsidR="00D35B4A" w:rsidRPr="00D35B4A">
        <w:rPr>
          <w:i/>
          <w:iCs/>
        </w:rPr>
        <w:t>f</w:t>
      </w:r>
      <w:r w:rsidR="00D35B4A" w:rsidRPr="00FF4E67">
        <w:rPr>
          <w:i/>
          <w:iCs/>
          <w:position w:val="-4"/>
          <w:sz w:val="16"/>
          <w:szCs w:val="16"/>
        </w:rPr>
        <w:t>h</w:t>
      </w:r>
      <w:r w:rsidR="004E17A0" w:rsidRPr="00FF4E67">
        <w:t>)</w:t>
      </w:r>
    </w:p>
    <w:p w:rsidR="00A55E2D" w:rsidRPr="00A55E2D" w:rsidRDefault="00A55E2D" w:rsidP="00E90FBD">
      <w:pPr>
        <w:pStyle w:val="Equationlegend"/>
      </w:pPr>
      <w:r w:rsidRPr="00A55E2D">
        <w:tab/>
      </w:r>
      <w:r w:rsidR="00C5483E">
        <w:sym w:font="Symbol" w:char="F065"/>
      </w:r>
      <w:r w:rsidR="001D1F49" w:rsidRPr="00FF4E67">
        <w:t xml:space="preserve">  </w:t>
      </w:r>
      <w:r w:rsidR="00C5483E">
        <w:rPr>
          <w:rFonts w:asciiTheme="majorBidi" w:hAnsiTheme="majorBidi" w:cstheme="majorBidi"/>
        </w:rPr>
        <w:t>=</w:t>
      </w:r>
      <w:r w:rsidR="001D1F49" w:rsidRPr="00FF4E67">
        <w:tab/>
      </w:r>
      <w:r w:rsidR="004B0ED8" w:rsidRPr="00D35B4A">
        <w:rPr>
          <w:i/>
          <w:iCs/>
        </w:rPr>
        <w:t>f</w:t>
      </w:r>
      <w:r w:rsidR="001D1F49" w:rsidRPr="00FF4E67">
        <w:rPr>
          <w:position w:val="-4"/>
          <w:sz w:val="16"/>
          <w:szCs w:val="16"/>
        </w:rPr>
        <w:t>1</w:t>
      </w:r>
      <w:r w:rsidR="00E90FBD" w:rsidRPr="00E90FBD">
        <w:rPr>
          <w:sz w:val="8"/>
        </w:rPr>
        <w:t xml:space="preserve"> </w:t>
      </w:r>
      <w:r w:rsidR="00E90FBD" w:rsidRPr="00FF4E67">
        <w:t>/</w:t>
      </w:r>
      <w:r w:rsidR="00E90FBD">
        <w:rPr>
          <w:rFonts w:asciiTheme="majorBidi" w:hAnsiTheme="majorBidi" w:cstheme="majorBidi"/>
          <w:i/>
          <w:iCs/>
          <w:sz w:val="8"/>
        </w:rPr>
        <w:t> </w:t>
      </w:r>
      <w:r w:rsidR="00B54914" w:rsidRPr="00D35B4A">
        <w:rPr>
          <w:i/>
          <w:iCs/>
        </w:rPr>
        <w:t>f</w:t>
      </w:r>
      <w:r w:rsidR="001D1F49" w:rsidRPr="00FF4E67">
        <w:rPr>
          <w:i/>
          <w:iCs/>
          <w:position w:val="-4"/>
          <w:sz w:val="16"/>
          <w:szCs w:val="16"/>
        </w:rPr>
        <w:t>h</w:t>
      </w:r>
    </w:p>
    <w:p w:rsidR="00273A69" w:rsidRDefault="00A55E2D" w:rsidP="0018706A">
      <w:pPr>
        <w:pStyle w:val="Equationlegend"/>
        <w:rPr>
          <w:i/>
          <w:iCs/>
        </w:rPr>
      </w:pPr>
      <w:r w:rsidRPr="00A55E2D">
        <w:rPr>
          <w:i/>
          <w:iCs/>
        </w:rPr>
        <w:tab/>
      </w:r>
      <w:r w:rsidR="000C227A" w:rsidRPr="00FF4E67">
        <w:rPr>
          <w:i/>
          <w:iCs/>
        </w:rPr>
        <w:t>V</w:t>
      </w:r>
      <w:r w:rsidR="00267CD4">
        <w:rPr>
          <w:i/>
          <w:iCs/>
          <w:position w:val="-4"/>
          <w:sz w:val="16"/>
          <w:szCs w:val="16"/>
        </w:rPr>
        <w:t>máx</w:t>
      </w:r>
      <w:r w:rsidR="000C227A" w:rsidRPr="00FF4E67">
        <w:t xml:space="preserve">  </w:t>
      </w:r>
      <w:r w:rsidR="00C5483E">
        <w:rPr>
          <w:rFonts w:asciiTheme="majorBidi" w:hAnsiTheme="majorBidi" w:cstheme="majorBidi"/>
        </w:rPr>
        <w:t>=</w:t>
      </w:r>
      <w:r w:rsidR="000C227A" w:rsidRPr="00FF4E67">
        <w:tab/>
      </w:r>
      <w:r w:rsidR="000C227A" w:rsidRPr="00FF4E67">
        <w:rPr>
          <w:i/>
          <w:iCs/>
        </w:rPr>
        <w:t>W</w:t>
      </w:r>
      <w:r w:rsidR="00267CD4">
        <w:rPr>
          <w:i/>
          <w:iCs/>
          <w:position w:val="-4"/>
          <w:sz w:val="16"/>
          <w:szCs w:val="16"/>
        </w:rPr>
        <w:t>má</w:t>
      </w:r>
      <w:r w:rsidR="000C227A" w:rsidRPr="00FF4E67">
        <w:rPr>
          <w:i/>
          <w:iCs/>
          <w:position w:val="-4"/>
          <w:sz w:val="16"/>
          <w:szCs w:val="16"/>
        </w:rPr>
        <w:t>x</w:t>
      </w:r>
      <w:r w:rsidR="0018706A">
        <w:rPr>
          <w:i/>
          <w:iCs/>
        </w:rPr>
        <w:t xml:space="preserve"> </w:t>
      </w:r>
      <w:r w:rsidR="0018706A" w:rsidRPr="00D35B4A">
        <w:rPr>
          <w:i/>
          <w:iCs/>
        </w:rPr>
        <w:t>f</w:t>
      </w:r>
      <w:r w:rsidR="000C227A" w:rsidRPr="00FF4E67">
        <w:rPr>
          <w:i/>
          <w:iCs/>
          <w:position w:val="-4"/>
          <w:sz w:val="16"/>
          <w:szCs w:val="16"/>
        </w:rPr>
        <w:t>h</w:t>
      </w:r>
      <w:r w:rsidR="000C227A" w:rsidRPr="00FF4E67">
        <w:rPr>
          <w:i/>
          <w:iCs/>
          <w:position w:val="-3"/>
          <w:sz w:val="12"/>
          <w:szCs w:val="12"/>
        </w:rPr>
        <w:t> </w:t>
      </w:r>
      <w:r w:rsidR="000C227A" w:rsidRPr="00FF4E67">
        <w:t>/</w:t>
      </w:r>
      <w:r w:rsidR="000C227A" w:rsidRPr="00FF4E67">
        <w:rPr>
          <w:sz w:val="12"/>
          <w:szCs w:val="12"/>
        </w:rPr>
        <w:t> </w:t>
      </w:r>
      <w:r w:rsidR="000C227A" w:rsidRPr="00FF4E67">
        <w:rPr>
          <w:i/>
          <w:iCs/>
        </w:rPr>
        <w:t>P</w:t>
      </w:r>
      <w:r w:rsidR="000C227A" w:rsidRPr="00FF4E67">
        <w:rPr>
          <w:i/>
          <w:iCs/>
          <w:position w:val="-4"/>
          <w:sz w:val="16"/>
          <w:szCs w:val="16"/>
        </w:rPr>
        <w:t>t</w:t>
      </w:r>
    </w:p>
    <w:p w:rsidR="00A55E2D" w:rsidRPr="00A55E2D" w:rsidRDefault="00A55E2D" w:rsidP="00257FCC">
      <w:pPr>
        <w:pStyle w:val="Equationlegend"/>
      </w:pPr>
      <w:r w:rsidRPr="00A55E2D">
        <w:tab/>
      </w:r>
      <w:r w:rsidR="004E17A0" w:rsidRPr="00FF4E67">
        <w:rPr>
          <w:i/>
          <w:iCs/>
        </w:rPr>
        <w:t>W</w:t>
      </w:r>
      <w:r w:rsidR="00267CD4">
        <w:rPr>
          <w:i/>
          <w:iCs/>
          <w:position w:val="-4"/>
          <w:sz w:val="16"/>
          <w:szCs w:val="16"/>
        </w:rPr>
        <w:t>má</w:t>
      </w:r>
      <w:r w:rsidR="004E17A0" w:rsidRPr="00FF4E67">
        <w:rPr>
          <w:i/>
          <w:iCs/>
          <w:position w:val="-4"/>
          <w:sz w:val="16"/>
          <w:szCs w:val="16"/>
        </w:rPr>
        <w:t>x</w:t>
      </w:r>
      <w:r w:rsidR="004E17A0" w:rsidRPr="00FF4E67">
        <w:t>:</w:t>
      </w:r>
      <w:r w:rsidR="004E17A0">
        <w:tab/>
      </w:r>
      <w:r w:rsidRPr="00A55E2D">
        <w:t>potencia espectral máxima por unidad de anchura de banda (W/Hz).</w:t>
      </w:r>
    </w:p>
    <w:p w:rsidR="00A55E2D" w:rsidRPr="00A55E2D" w:rsidRDefault="00A55E2D" w:rsidP="00FC0B3D">
      <w:pPr>
        <w:keepNext/>
        <w:keepLines/>
        <w:rPr>
          <w:lang w:val="es-ES_tradnl"/>
        </w:rPr>
      </w:pPr>
      <w:r w:rsidRPr="00A55E2D">
        <w:rPr>
          <w:lang w:val="es-ES_tradnl"/>
        </w:rPr>
        <w:lastRenderedPageBreak/>
        <w:t>En el caso de las portadoras en que 1 &lt;</w:t>
      </w:r>
      <w:r w:rsidRPr="00A55E2D">
        <w:rPr>
          <w:i/>
          <w:lang w:val="es-ES_tradnl"/>
        </w:rPr>
        <w:t xml:space="preserve"> N </w:t>
      </w:r>
      <w:r w:rsidR="00FC0B3D">
        <w:rPr>
          <w:rFonts w:asciiTheme="majorBidi" w:hAnsiTheme="majorBidi" w:cstheme="majorBidi"/>
        </w:rPr>
        <w:t>≤</w:t>
      </w:r>
      <w:r w:rsidRPr="00A55E2D">
        <w:rPr>
          <w:lang w:val="es-ES_tradnl"/>
        </w:rPr>
        <w:t xml:space="preserve"> 12, la densidad de potencia máxima por 4 kHz viene dada de forma aproximada por la expresión siguiente:</w:t>
      </w:r>
    </w:p>
    <w:p w:rsidR="00A57934" w:rsidRPr="00487A65" w:rsidRDefault="00A57934" w:rsidP="00417E60">
      <w:pPr>
        <w:pStyle w:val="Equation"/>
        <w:keepNext/>
        <w:keepLines/>
        <w:tabs>
          <w:tab w:val="left" w:pos="1588"/>
        </w:tabs>
        <w:rPr>
          <w:lang w:val="es-ES_tradnl"/>
        </w:rPr>
      </w:pPr>
      <w:r w:rsidRPr="00487A65">
        <w:rPr>
          <w:lang w:val="es-ES_tradnl"/>
        </w:rPr>
        <w:tab/>
      </w:r>
      <w:bookmarkStart w:id="8" w:name="F007"/>
      <w:r w:rsidRPr="00487A65">
        <w:rPr>
          <w:lang w:val="es-ES_tradnl"/>
        </w:rPr>
        <w:tab/>
      </w:r>
      <w:r w:rsidRPr="00487A65">
        <w:rPr>
          <w:lang w:val="es-ES_tradnl"/>
        </w:rPr>
        <w:tab/>
      </w:r>
      <w:r w:rsidR="00E90FBD" w:rsidRPr="00417E60">
        <w:rPr>
          <w:position w:val="-28"/>
          <w:lang w:val="es-ES_tradnl"/>
        </w:rPr>
        <w:object w:dxaOrig="1080" w:dyaOrig="660">
          <v:shape id="_x0000_i1031" type="#_x0000_t75" style="width:54pt;height:33.7pt" o:ole="">
            <v:imagedata r:id="rId25" o:title=""/>
          </v:shape>
          <o:OLEObject Type="Embed" ProgID="Equation.3" ShapeID="_x0000_i1031" DrawAspect="Content" ObjectID="_1408431233" r:id="rId26"/>
        </w:object>
      </w:r>
      <w:r w:rsidR="00417E60">
        <w:rPr>
          <w:lang w:val="es-ES_tradnl"/>
        </w:rPr>
        <w:t xml:space="preserve">                       W/4kHz                     para </w:t>
      </w:r>
      <w:r w:rsidR="00417E60" w:rsidRPr="00417E60">
        <w:rPr>
          <w:i/>
          <w:iCs/>
          <w:lang w:val="es-ES_tradnl"/>
        </w:rPr>
        <w:t>m</w:t>
      </w:r>
      <w:r w:rsidR="00417E60" w:rsidRPr="00417E60">
        <w:rPr>
          <w:i/>
          <w:iCs/>
          <w:vertAlign w:val="subscript"/>
          <w:lang w:val="es-ES_tradnl"/>
        </w:rPr>
        <w:t>b</w:t>
      </w:r>
      <w:r w:rsidR="00417E60" w:rsidRPr="00417E60">
        <w:rPr>
          <w:lang w:val="es-ES_tradnl"/>
        </w:rPr>
        <w:t xml:space="preserve">  </w:t>
      </w:r>
      <w:r w:rsidR="00417E60">
        <w:rPr>
          <w:lang w:val="es-ES_tradnl"/>
        </w:rPr>
        <w:sym w:font="Symbol" w:char="F03C"/>
      </w:r>
      <w:r w:rsidR="00417E60">
        <w:rPr>
          <w:lang w:val="es-ES_tradnl"/>
        </w:rPr>
        <w:t xml:space="preserve">  1</w:t>
      </w:r>
      <w:r w:rsidRPr="00487A65">
        <w:rPr>
          <w:lang w:val="es-ES_tradnl"/>
        </w:rPr>
        <w:tab/>
        <w:t>(6)</w:t>
      </w:r>
      <w:bookmarkEnd w:id="8"/>
    </w:p>
    <w:p w:rsidR="00A55E2D" w:rsidRPr="00A55E2D" w:rsidRDefault="00A55E2D" w:rsidP="00403CB8">
      <w:pPr>
        <w:rPr>
          <w:lang w:val="es-ES_tradnl"/>
        </w:rPr>
      </w:pPr>
      <w:r w:rsidRPr="00A55E2D">
        <w:rPr>
          <w:lang w:val="es-ES_tradnl"/>
        </w:rPr>
        <w:t>donde:</w:t>
      </w:r>
      <w:r w:rsidR="00417E60">
        <w:rPr>
          <w:lang w:val="es-ES_tradnl"/>
        </w:rPr>
        <w:t xml:space="preserve"> </w:t>
      </w:r>
    </w:p>
    <w:p w:rsidR="00A55E2D" w:rsidRPr="00A55E2D" w:rsidRDefault="00A55E2D" w:rsidP="00270831">
      <w:pPr>
        <w:pStyle w:val="Equationlegend"/>
      </w:pPr>
      <w:r w:rsidRPr="00A55E2D">
        <w:rPr>
          <w:i/>
          <w:iCs/>
        </w:rPr>
        <w:tab/>
        <w:t>Pt</w:t>
      </w:r>
      <w:r w:rsidR="00257FCC">
        <w:t>:</w:t>
      </w:r>
      <w:r w:rsidR="00257FCC">
        <w:tab/>
      </w:r>
      <w:r w:rsidRPr="00A55E2D">
        <w:t>potencia total de portadora (W)</w:t>
      </w:r>
    </w:p>
    <w:p w:rsidR="00A55E2D" w:rsidRPr="00A55E2D" w:rsidRDefault="00A55E2D" w:rsidP="00257FCC">
      <w:pPr>
        <w:pStyle w:val="Equationlegend"/>
      </w:pPr>
      <w:r w:rsidRPr="00A55E2D">
        <w:rPr>
          <w:i/>
          <w:iCs/>
        </w:rPr>
        <w:tab/>
        <w:t>mb</w:t>
      </w:r>
      <w:r w:rsidRPr="00A55E2D">
        <w:t>:</w:t>
      </w:r>
      <w:r w:rsidRPr="00A55E2D">
        <w:tab/>
        <w:t>índice de modulación de cresta (rad) debido a un tono de prueba de 0</w:t>
      </w:r>
      <w:r w:rsidR="00DE1CAB">
        <w:t> </w:t>
      </w:r>
      <w:r w:rsidRPr="00A55E2D">
        <w:t>dBm en el canal de banda frecuencia más elevada.</w:t>
      </w:r>
    </w:p>
    <w:p w:rsidR="00A55E2D" w:rsidRPr="00A55E2D" w:rsidRDefault="00A55E2D" w:rsidP="00270831">
      <w:pPr>
        <w:pStyle w:val="Heading2"/>
        <w:rPr>
          <w:lang w:val="es-ES_tradnl"/>
        </w:rPr>
      </w:pPr>
      <w:r w:rsidRPr="00A55E2D">
        <w:rPr>
          <w:lang w:val="es-ES_tradnl"/>
        </w:rPr>
        <w:t>1.2</w:t>
      </w:r>
      <w:r w:rsidRPr="00A55E2D">
        <w:rPr>
          <w:lang w:val="es-ES_tradnl"/>
        </w:rPr>
        <w:tab/>
        <w:t>Portadora MF modulada por una señal de telefonía multicanal y una señal de dispersión de energía de forma de onda triangular con amplitud fija</w:t>
      </w:r>
    </w:p>
    <w:p w:rsidR="00A55E2D" w:rsidRPr="00A55E2D" w:rsidRDefault="00A55E2D" w:rsidP="00E90FBD">
      <w:pPr>
        <w:rPr>
          <w:lang w:val="es-ES_tradnl"/>
        </w:rPr>
      </w:pPr>
      <w:r w:rsidRPr="00A55E2D">
        <w:rPr>
          <w:lang w:val="es-ES_tradnl"/>
        </w:rPr>
        <w:t>Los sistemas de dispersión de onda triangular están concebidos usualmente para lograr que la máxima densidad espectral de potencia por 4</w:t>
      </w:r>
      <w:r w:rsidR="00E90FBD">
        <w:rPr>
          <w:lang w:val="es-ES_tradnl"/>
        </w:rPr>
        <w:t> </w:t>
      </w:r>
      <w:r w:rsidRPr="00A55E2D">
        <w:rPr>
          <w:lang w:val="es-ES_tradnl"/>
        </w:rPr>
        <w:t>kHz centrada en la frecuencia portadora se mantenga dentro de un margen de 3 dB con respecto al valor a plena carga.</w:t>
      </w:r>
    </w:p>
    <w:p w:rsidR="00A55E2D" w:rsidRPr="00A55E2D" w:rsidRDefault="00A55E2D" w:rsidP="00270831">
      <w:pPr>
        <w:rPr>
          <w:lang w:val="es-ES_tradnl"/>
        </w:rPr>
      </w:pPr>
      <w:r w:rsidRPr="00A55E2D">
        <w:rPr>
          <w:lang w:val="es-ES_tradnl"/>
        </w:rPr>
        <w:t>La densidad espectral de potencia con centro en la frecuencia portadora viene dada por la expresión siguiente:</w:t>
      </w:r>
    </w:p>
    <w:p w:rsidR="00A55E2D" w:rsidRPr="00A55E2D" w:rsidRDefault="00A55E2D" w:rsidP="00270831">
      <w:pPr>
        <w:pStyle w:val="Equation"/>
        <w:rPr>
          <w:lang w:val="es-ES_tradnl"/>
        </w:rPr>
      </w:pPr>
      <w:bookmarkStart w:id="9" w:name="F008"/>
      <w:r w:rsidRPr="00A55E2D">
        <w:rPr>
          <w:b/>
          <w:lang w:val="es-ES_tradnl"/>
        </w:rPr>
        <w:tab/>
      </w:r>
      <w:r w:rsidRPr="00A55E2D">
        <w:rPr>
          <w:lang w:val="es-ES_tradnl"/>
        </w:rPr>
        <w:tab/>
      </w:r>
      <w:r w:rsidR="00A63DEF" w:rsidRPr="00DE1CAB">
        <w:rPr>
          <w:position w:val="-24"/>
          <w:lang w:val="es-ES_tradnl"/>
        </w:rPr>
        <w:object w:dxaOrig="1160" w:dyaOrig="620">
          <v:shape id="_x0000_i1032" type="#_x0000_t75" style="width:58.6pt;height:31.4pt" o:ole="">
            <v:imagedata r:id="rId27" o:title=""/>
          </v:shape>
          <o:OLEObject Type="Embed" ProgID="Equation.3" ShapeID="_x0000_i1032" DrawAspect="Content" ObjectID="_1408431234" r:id="rId28"/>
        </w:object>
      </w:r>
      <w:r w:rsidRPr="00A55E2D">
        <w:rPr>
          <w:lang w:val="es-ES_tradnl"/>
        </w:rPr>
        <w:t>                     </w:t>
      </w:r>
      <w:r w:rsidR="00270831" w:rsidRPr="00270831">
        <w:rPr>
          <w:position w:val="-10"/>
          <w:lang w:val="es-ES_tradnl"/>
        </w:rPr>
        <w:object w:dxaOrig="920" w:dyaOrig="320">
          <v:shape id="_x0000_i1033" type="#_x0000_t75" style="width:47.1pt;height:14.75pt" o:ole="">
            <v:imagedata r:id="rId29" o:title=""/>
          </v:shape>
          <o:OLEObject Type="Embed" ProgID="Equation.3" ShapeID="_x0000_i1033" DrawAspect="Content" ObjectID="_1408431235" r:id="rId30"/>
        </w:object>
      </w:r>
      <w:r w:rsidRPr="00A55E2D">
        <w:rPr>
          <w:lang w:val="es-ES_tradnl"/>
        </w:rPr>
        <w:tab/>
        <w:t>(7)</w:t>
      </w:r>
      <w:bookmarkEnd w:id="9"/>
    </w:p>
    <w:p w:rsidR="00A55E2D" w:rsidRPr="00A55E2D" w:rsidRDefault="00A55E2D" w:rsidP="00270831">
      <w:pPr>
        <w:rPr>
          <w:lang w:val="es-ES_tradnl"/>
        </w:rPr>
      </w:pPr>
      <w:r w:rsidRPr="00A55E2D">
        <w:rPr>
          <w:lang w:val="es-ES_tradnl"/>
        </w:rPr>
        <w:t>donde:</w:t>
      </w:r>
    </w:p>
    <w:p w:rsidR="00A55E2D" w:rsidRPr="00A55E2D" w:rsidRDefault="00A55E2D" w:rsidP="00257FCC">
      <w:pPr>
        <w:pStyle w:val="Equationlegend"/>
      </w:pPr>
      <w:r w:rsidRPr="00A55E2D">
        <w:rPr>
          <w:i/>
          <w:iCs/>
        </w:rPr>
        <w:tab/>
        <w:t>Pt</w:t>
      </w:r>
      <w:r w:rsidRPr="00A55E2D">
        <w:t>:</w:t>
      </w:r>
      <w:r w:rsidRPr="00A55E2D">
        <w:tab/>
        <w:t>potencia total de la portadora (W)</w:t>
      </w:r>
    </w:p>
    <w:p w:rsidR="00A55E2D" w:rsidRPr="00A55E2D" w:rsidRDefault="00270831" w:rsidP="004A0384">
      <w:pPr>
        <w:pStyle w:val="Equationlegend"/>
      </w:pPr>
      <w:r>
        <w:tab/>
      </w:r>
      <w:r w:rsidR="004A0384">
        <w:rPr>
          <w:rFonts w:asciiTheme="majorBidi" w:hAnsiTheme="majorBidi" w:cstheme="majorBidi"/>
        </w:rPr>
        <w:sym w:font="Symbol" w:char="F044"/>
      </w:r>
      <w:r w:rsidR="00A55E2D" w:rsidRPr="00A55E2D">
        <w:rPr>
          <w:i/>
          <w:iCs/>
        </w:rPr>
        <w:t>F</w:t>
      </w:r>
      <w:r w:rsidR="00A55E2D" w:rsidRPr="00A55E2D">
        <w:t>:</w:t>
      </w:r>
      <w:r w:rsidR="00A55E2D" w:rsidRPr="00A55E2D">
        <w:tab/>
        <w:t>cresta a cresta de la excursión de frecuencia debida a la señal de dispersión de energía (Hz).</w:t>
      </w:r>
    </w:p>
    <w:p w:rsidR="00A55E2D" w:rsidRPr="00A55E2D" w:rsidRDefault="00270831" w:rsidP="00DE1CAB">
      <w:pPr>
        <w:pStyle w:val="Note"/>
        <w:rPr>
          <w:lang w:val="es-ES_tradnl"/>
        </w:rPr>
      </w:pPr>
      <w:r>
        <w:rPr>
          <w:lang w:val="es-ES_tradnl"/>
        </w:rPr>
        <w:t>NOTA</w:t>
      </w:r>
      <w:r w:rsidR="00DE1CAB">
        <w:rPr>
          <w:lang w:val="es-ES_tradnl"/>
        </w:rPr>
        <w:t> </w:t>
      </w:r>
      <w:r>
        <w:rPr>
          <w:lang w:val="es-ES_tradnl"/>
        </w:rPr>
        <w:t>1</w:t>
      </w:r>
      <w:r w:rsidR="00DE1CAB">
        <w:rPr>
          <w:lang w:val="es-ES_tradnl"/>
        </w:rPr>
        <w:t> </w:t>
      </w:r>
      <w:r>
        <w:rPr>
          <w:lang w:val="es-ES_tradnl"/>
        </w:rPr>
        <w:t>–</w:t>
      </w:r>
      <w:r w:rsidR="00DE1CAB">
        <w:rPr>
          <w:lang w:val="es-ES_tradnl"/>
        </w:rPr>
        <w:t> </w:t>
      </w:r>
      <w:r w:rsidR="00A55E2D" w:rsidRPr="00A55E2D">
        <w:rPr>
          <w:lang w:val="es-ES_tradnl"/>
        </w:rPr>
        <w:t>La ecuación</w:t>
      </w:r>
      <w:r w:rsidR="00DE1CAB">
        <w:rPr>
          <w:lang w:val="es-ES_tradnl"/>
        </w:rPr>
        <w:t> </w:t>
      </w:r>
      <w:r w:rsidR="00A55E2D" w:rsidRPr="00A55E2D">
        <w:rPr>
          <w:lang w:val="es-ES_tradnl"/>
        </w:rPr>
        <w:t>(7) supone la utilización de una forma de onda de dispersión triangular perfectamente lineal.</w:t>
      </w:r>
    </w:p>
    <w:p w:rsidR="00A55E2D" w:rsidRPr="00A55E2D" w:rsidRDefault="00A55E2D" w:rsidP="00270831">
      <w:pPr>
        <w:pStyle w:val="Heading2"/>
        <w:rPr>
          <w:lang w:val="es-ES_tradnl"/>
        </w:rPr>
      </w:pPr>
      <w:r w:rsidRPr="00A55E2D">
        <w:rPr>
          <w:lang w:val="es-ES_tradnl"/>
        </w:rPr>
        <w:t>1.3</w:t>
      </w:r>
      <w:r w:rsidRPr="00A55E2D">
        <w:rPr>
          <w:lang w:val="es-ES_tradnl"/>
        </w:rPr>
        <w:tab/>
        <w:t>Portadora MF modulada por una señal vídeo de televisión</w:t>
      </w:r>
    </w:p>
    <w:p w:rsidR="00A55E2D" w:rsidRPr="00A55E2D" w:rsidRDefault="00A55E2D" w:rsidP="00DE1CAB">
      <w:pPr>
        <w:pStyle w:val="enumlev1"/>
        <w:rPr>
          <w:lang w:val="es-ES_tradnl"/>
        </w:rPr>
      </w:pPr>
      <w:r w:rsidRPr="00A55E2D">
        <w:rPr>
          <w:lang w:val="es-ES_tradnl"/>
        </w:rPr>
        <w:t>–</w:t>
      </w:r>
      <w:r w:rsidRPr="00A55E2D">
        <w:rPr>
          <w:lang w:val="es-ES_tradnl"/>
        </w:rPr>
        <w:tab/>
        <w:t>En el caso en que la señal de dispersión de energía de forma de onda triangular se superponga a la señal vídeo, la densidad de potencia máxima por 4</w:t>
      </w:r>
      <w:r w:rsidR="00DE1CAB">
        <w:rPr>
          <w:lang w:val="es-ES_tradnl"/>
        </w:rPr>
        <w:t> </w:t>
      </w:r>
      <w:r w:rsidRPr="00A55E2D">
        <w:rPr>
          <w:lang w:val="es-ES_tradnl"/>
        </w:rPr>
        <w:t>kHz, en el caso más desfavorable, viene dada por la expresión:</w:t>
      </w:r>
    </w:p>
    <w:p w:rsidR="00A55E2D" w:rsidRPr="00A55E2D" w:rsidRDefault="00A55E2D" w:rsidP="001110F7">
      <w:pPr>
        <w:pStyle w:val="Equation"/>
        <w:rPr>
          <w:lang w:val="es-ES_tradnl"/>
        </w:rPr>
      </w:pPr>
      <w:bookmarkStart w:id="10" w:name="F009"/>
      <w:r w:rsidRPr="00A55E2D">
        <w:rPr>
          <w:b/>
          <w:lang w:val="es-ES_tradnl"/>
        </w:rPr>
        <w:tab/>
      </w:r>
      <w:r w:rsidRPr="00A55E2D">
        <w:rPr>
          <w:lang w:val="es-ES_tradnl"/>
        </w:rPr>
        <w:tab/>
      </w:r>
      <w:r w:rsidR="00A63DEF" w:rsidRPr="00A63DEF">
        <w:rPr>
          <w:position w:val="-24"/>
          <w:lang w:val="es-ES_tradnl"/>
        </w:rPr>
        <w:object w:dxaOrig="1160" w:dyaOrig="620">
          <v:shape id="_x0000_i1034" type="#_x0000_t75" style="width:58.6pt;height:31.85pt" o:ole="">
            <v:imagedata r:id="rId31" o:title=""/>
          </v:shape>
          <o:OLEObject Type="Embed" ProgID="Equation.3" ShapeID="_x0000_i1034" DrawAspect="Content" ObjectID="_1408431236" r:id="rId32"/>
        </w:object>
      </w:r>
      <w:r w:rsidRPr="00A55E2D">
        <w:rPr>
          <w:lang w:val="es-ES_tradnl"/>
        </w:rPr>
        <w:object w:dxaOrig="180" w:dyaOrig="340">
          <v:shape id="_x0000_i1035" type="#_x0000_t75" style="width:9.7pt;height:17.1pt" o:ole="">
            <v:imagedata r:id="rId33" o:title=""/>
          </v:shape>
          <o:OLEObject Type="Embed" ProgID="Equation.3" ShapeID="_x0000_i1035" DrawAspect="Content" ObjectID="_1408431237" r:id="rId34"/>
        </w:object>
      </w:r>
      <w:r w:rsidRPr="00A55E2D">
        <w:rPr>
          <w:lang w:val="es-ES_tradnl"/>
        </w:rPr>
        <w:t>                     </w:t>
      </w:r>
      <w:r w:rsidR="007C02FF" w:rsidRPr="007C02FF">
        <w:rPr>
          <w:position w:val="-10"/>
        </w:rPr>
        <w:object w:dxaOrig="920" w:dyaOrig="320">
          <v:shape id="_x0000_i1036" type="#_x0000_t75" style="width:47.1pt;height:14.75pt" o:ole="">
            <v:imagedata r:id="rId35" o:title=""/>
          </v:shape>
          <o:OLEObject Type="Embed" ProgID="Equation.3" ShapeID="_x0000_i1036" DrawAspect="Content" ObjectID="_1408431238" r:id="rId36"/>
        </w:object>
      </w:r>
      <w:r w:rsidRPr="00A55E2D">
        <w:rPr>
          <w:lang w:val="es-ES_tradnl"/>
        </w:rPr>
        <w:tab/>
        <w:t>(8)</w:t>
      </w:r>
      <w:bookmarkEnd w:id="10"/>
    </w:p>
    <w:p w:rsidR="00A55E2D" w:rsidRPr="00A55E2D" w:rsidRDefault="00A55E2D" w:rsidP="004745E9">
      <w:pPr>
        <w:rPr>
          <w:lang w:val="es-ES_tradnl"/>
        </w:rPr>
      </w:pPr>
      <w:r w:rsidRPr="00A55E2D">
        <w:rPr>
          <w:lang w:val="es-ES_tradnl"/>
        </w:rPr>
        <w:t>donde:</w:t>
      </w:r>
    </w:p>
    <w:p w:rsidR="00A55E2D" w:rsidRPr="00A55E2D" w:rsidRDefault="00A55E2D" w:rsidP="00257FCC">
      <w:pPr>
        <w:pStyle w:val="Equationlegend"/>
      </w:pPr>
      <w:r w:rsidRPr="00A55E2D">
        <w:rPr>
          <w:i/>
          <w:iCs/>
        </w:rPr>
        <w:tab/>
        <w:t>Pt</w:t>
      </w:r>
      <w:r w:rsidRPr="00A55E2D">
        <w:t>:</w:t>
      </w:r>
      <w:r w:rsidRPr="00A55E2D">
        <w:tab/>
        <w:t>potencia total de la portadora (W)</w:t>
      </w:r>
    </w:p>
    <w:p w:rsidR="00A55E2D" w:rsidRPr="00A55E2D" w:rsidRDefault="007C02FF" w:rsidP="00257FCC">
      <w:pPr>
        <w:pStyle w:val="Equationlegend"/>
      </w:pPr>
      <w:r>
        <w:tab/>
      </w:r>
      <w:r w:rsidR="009D0A38">
        <w:rPr>
          <w:rFonts w:asciiTheme="majorBidi" w:hAnsiTheme="majorBidi" w:cstheme="majorBidi"/>
        </w:rPr>
        <w:sym w:font="Symbol" w:char="F044"/>
      </w:r>
      <w:r w:rsidR="00A55E2D" w:rsidRPr="00A55E2D">
        <w:rPr>
          <w:i/>
          <w:iCs/>
        </w:rPr>
        <w:t>F</w:t>
      </w:r>
      <w:r w:rsidR="00A55E2D" w:rsidRPr="00A55E2D">
        <w:t>:</w:t>
      </w:r>
      <w:r w:rsidR="00A55E2D" w:rsidRPr="00A55E2D">
        <w:tab/>
        <w:t>valor cresta a cresta de la excursión de frecuencia debida a la señal de dispersión de energía (Hz).</w:t>
      </w:r>
    </w:p>
    <w:p w:rsidR="00A55E2D" w:rsidRPr="00A55E2D" w:rsidRDefault="00A55E2D" w:rsidP="00DE1CAB">
      <w:pPr>
        <w:pStyle w:val="Note"/>
        <w:rPr>
          <w:lang w:val="es-ES_tradnl"/>
        </w:rPr>
      </w:pPr>
      <w:r w:rsidRPr="00A55E2D">
        <w:rPr>
          <w:lang w:val="es-ES_tradnl"/>
        </w:rPr>
        <w:t>NOTA</w:t>
      </w:r>
      <w:r w:rsidR="00DE1CAB">
        <w:rPr>
          <w:lang w:val="es-ES_tradnl"/>
        </w:rPr>
        <w:t> </w:t>
      </w:r>
      <w:r w:rsidRPr="00A55E2D">
        <w:rPr>
          <w:lang w:val="es-ES_tradnl"/>
        </w:rPr>
        <w:t>1</w:t>
      </w:r>
      <w:r w:rsidR="00DE1CAB">
        <w:rPr>
          <w:lang w:val="es-ES_tradnl"/>
        </w:rPr>
        <w:t> </w:t>
      </w:r>
      <w:r w:rsidRPr="00A55E2D">
        <w:rPr>
          <w:lang w:val="es-ES_tradnl"/>
        </w:rPr>
        <w:t>–</w:t>
      </w:r>
      <w:r w:rsidR="00DE1CAB">
        <w:rPr>
          <w:lang w:val="es-ES_tradnl"/>
        </w:rPr>
        <w:t> </w:t>
      </w:r>
      <w:r w:rsidRPr="00A55E2D">
        <w:rPr>
          <w:lang w:val="es-ES_tradnl"/>
        </w:rPr>
        <w:t>La ecuación (8) supone la utilización de una forma de onda de dispersión triangular que sea perfectamente lineal. Como resultado de este supuesto, los errores son despreciables en el caso de las actuales transmisiones de televisión MF.</w:t>
      </w:r>
    </w:p>
    <w:p w:rsidR="00A55E2D" w:rsidRPr="00A55E2D" w:rsidRDefault="00A55E2D" w:rsidP="00CC3DE6">
      <w:pPr>
        <w:pStyle w:val="enumlev1"/>
        <w:keepNext/>
        <w:keepLines/>
        <w:rPr>
          <w:lang w:val="es-ES_tradnl"/>
        </w:rPr>
      </w:pPr>
      <w:r w:rsidRPr="00A55E2D">
        <w:rPr>
          <w:lang w:val="es-ES_tradnl"/>
        </w:rPr>
        <w:t>–</w:t>
      </w:r>
      <w:r w:rsidRPr="00A55E2D">
        <w:rPr>
          <w:lang w:val="es-ES_tradnl"/>
        </w:rPr>
        <w:tab/>
        <w:t>En el caso en que no haya modulación (ni por la señal de vídeo, ni por la señal de dispersión de energía), la densidad de potencia máxima por 4 kHz, en el caso más desfavorable, viene dada por:</w:t>
      </w:r>
    </w:p>
    <w:p w:rsidR="007C02FF" w:rsidRPr="00FF4E67" w:rsidRDefault="007C02FF" w:rsidP="00181EF3">
      <w:pPr>
        <w:pStyle w:val="Equation"/>
        <w:rPr>
          <w:lang w:val="en-US"/>
        </w:rPr>
      </w:pPr>
      <w:bookmarkStart w:id="11" w:name="F010"/>
      <w:r w:rsidRPr="00FF4E67">
        <w:rPr>
          <w:b/>
          <w:bCs/>
          <w:lang w:val="en-US"/>
        </w:rPr>
        <w:tab/>
      </w:r>
      <w:r w:rsidRPr="00FF4E67">
        <w:rPr>
          <w:b/>
          <w:bCs/>
          <w:lang w:val="en-US"/>
        </w:rPr>
        <w:tab/>
      </w:r>
      <w:r w:rsidRPr="00FF4E67">
        <w:rPr>
          <w:i/>
          <w:iCs/>
          <w:lang w:val="en-US"/>
        </w:rPr>
        <w:t>P</w:t>
      </w:r>
      <w:r w:rsidRPr="00FF4E67">
        <w:rPr>
          <w:i/>
          <w:iCs/>
          <w:position w:val="-4"/>
          <w:sz w:val="18"/>
          <w:szCs w:val="18"/>
          <w:lang w:val="en-US"/>
        </w:rPr>
        <w:t>t</w:t>
      </w:r>
      <w:r w:rsidRPr="00FF4E67">
        <w:rPr>
          <w:color w:val="FFFFFF"/>
          <w:lang w:val="en-US"/>
        </w:rPr>
        <w:t>mmmmmm</w:t>
      </w:r>
      <w:r w:rsidRPr="00FF4E67">
        <w:rPr>
          <w:color w:val="000000"/>
          <w:lang w:val="en-US"/>
        </w:rPr>
        <w:t>W/4 kHz</w:t>
      </w:r>
      <w:bookmarkEnd w:id="11"/>
    </w:p>
    <w:p w:rsidR="00A55E2D" w:rsidRPr="00A55E2D" w:rsidRDefault="00A55E2D" w:rsidP="004F2372">
      <w:pPr>
        <w:pStyle w:val="Heading1"/>
        <w:rPr>
          <w:lang w:val="es-ES_tradnl"/>
        </w:rPr>
      </w:pPr>
      <w:r w:rsidRPr="00A55E2D">
        <w:rPr>
          <w:lang w:val="es-ES_tradnl"/>
        </w:rPr>
        <w:lastRenderedPageBreak/>
        <w:t>2</w:t>
      </w:r>
      <w:r w:rsidRPr="00A55E2D">
        <w:rPr>
          <w:lang w:val="es-ES_tradnl"/>
        </w:rPr>
        <w:tab/>
        <w:t>Portadora modulada (PM) en fase por una señal de telefonía multicanal</w:t>
      </w:r>
    </w:p>
    <w:p w:rsidR="00A55E2D" w:rsidRPr="00A55E2D" w:rsidRDefault="00A55E2D" w:rsidP="00181EF3">
      <w:pPr>
        <w:keepNext/>
        <w:keepLines/>
        <w:rPr>
          <w:lang w:val="es-ES_tradnl"/>
        </w:rPr>
      </w:pPr>
      <w:r w:rsidRPr="00A55E2D">
        <w:rPr>
          <w:lang w:val="es-ES_tradnl"/>
        </w:rPr>
        <w:t>Cuando la frecuencia superior de la banda de base de una señal de telefonía multicanal es mucho más grande que la frecuencia inferior de dicha banda de base, la densidad de potencia máxima de una PM en fase por esta señal se encuentra en la frecuencia central de la portadora; en este caso, la densidad de potencia máxima viene dada por las siguientes expresiones:</w:t>
      </w:r>
    </w:p>
    <w:p w:rsidR="007E1A39" w:rsidRPr="00B963AF" w:rsidRDefault="007E1A39" w:rsidP="00E90FBD">
      <w:pPr>
        <w:pStyle w:val="enumlev1"/>
        <w:tabs>
          <w:tab w:val="clear" w:pos="1985"/>
          <w:tab w:val="left" w:pos="2552"/>
          <w:tab w:val="left" w:pos="9356"/>
        </w:tabs>
        <w:rPr>
          <w:lang w:val="es-ES_tradnl"/>
        </w:rPr>
      </w:pPr>
      <w:bookmarkStart w:id="12" w:name="F011"/>
      <w:r w:rsidRPr="00B963AF">
        <w:rPr>
          <w:lang w:val="es-ES_tradnl"/>
        </w:rPr>
        <w:t>–</w:t>
      </w:r>
      <w:r w:rsidRPr="00B963AF">
        <w:rPr>
          <w:lang w:val="es-ES_tradnl"/>
        </w:rPr>
        <w:tab/>
      </w:r>
      <w:r>
        <w:rPr>
          <w:lang w:val="es-ES_tradnl"/>
        </w:rPr>
        <w:t>para</w:t>
      </w:r>
      <w:r w:rsidRPr="00B963AF">
        <w:rPr>
          <w:lang w:val="es-ES_tradnl"/>
        </w:rPr>
        <w:t xml:space="preserve"> </w:t>
      </w:r>
      <w:r w:rsidR="001A2DE2">
        <w:rPr>
          <w:lang w:val="es-ES_tradnl"/>
        </w:rPr>
        <w:sym w:font="Symbol" w:char="F062"/>
      </w:r>
      <w:r w:rsidR="00242EAB" w:rsidRPr="00242EAB">
        <w:rPr>
          <w:rFonts w:asciiTheme="majorBidi" w:hAnsiTheme="majorBidi" w:cstheme="majorBidi"/>
        </w:rPr>
        <w:sym w:font="Symbol" w:char="F073"/>
      </w:r>
      <w:r w:rsidRPr="00B963AF">
        <w:rPr>
          <w:i/>
          <w:iCs/>
          <w:position w:val="-4"/>
          <w:sz w:val="18"/>
          <w:szCs w:val="18"/>
          <w:lang w:val="es-ES_tradnl"/>
        </w:rPr>
        <w:t>a</w:t>
      </w:r>
      <w:r w:rsidRPr="00B963AF">
        <w:rPr>
          <w:lang w:val="es-ES_tradnl"/>
        </w:rPr>
        <w:t xml:space="preserve"> </w:t>
      </w:r>
      <w:r w:rsidR="008C751E">
        <w:rPr>
          <w:rFonts w:asciiTheme="majorBidi" w:hAnsiTheme="majorBidi" w:cstheme="majorBidi"/>
        </w:rPr>
        <w:t>≥</w:t>
      </w:r>
      <w:r w:rsidRPr="00B963AF">
        <w:rPr>
          <w:lang w:val="es-ES_tradnl"/>
        </w:rPr>
        <w:t xml:space="preserve"> 2:</w:t>
      </w:r>
      <w:r w:rsidRPr="00B963AF">
        <w:rPr>
          <w:lang w:val="es-ES_tradnl"/>
        </w:rPr>
        <w:tab/>
      </w:r>
      <w:r w:rsidR="00555762" w:rsidRPr="004C7FC6">
        <w:rPr>
          <w:position w:val="-30"/>
          <w:lang w:val="es-ES_tradnl"/>
        </w:rPr>
        <w:object w:dxaOrig="2320" w:dyaOrig="740">
          <v:shape id="_x0000_i1037" type="#_x0000_t75" style="width:116.3pt;height:36.9pt" o:ole="">
            <v:imagedata r:id="rId37" o:title=""/>
          </v:shape>
          <o:OLEObject Type="Embed" ProgID="Equation.3" ShapeID="_x0000_i1037" DrawAspect="Content" ObjectID="_1408431239" r:id="rId38"/>
        </w:object>
      </w:r>
      <w:r w:rsidR="00876FE8">
        <w:rPr>
          <w:lang w:val="es-ES_tradnl"/>
        </w:rPr>
        <w:t>       W/4 kHz</w:t>
      </w:r>
      <w:r w:rsidR="001F5312">
        <w:rPr>
          <w:lang w:val="es-ES_tradnl"/>
        </w:rPr>
        <w:tab/>
      </w:r>
      <w:r w:rsidRPr="00B963AF">
        <w:rPr>
          <w:lang w:val="es-ES_tradnl"/>
        </w:rPr>
        <w:t>(9)</w:t>
      </w:r>
      <w:bookmarkEnd w:id="12"/>
    </w:p>
    <w:p w:rsidR="007E1A39" w:rsidRPr="00487A65" w:rsidRDefault="007E1A39" w:rsidP="00E90FBD">
      <w:pPr>
        <w:pStyle w:val="enumlev1"/>
        <w:rPr>
          <w:lang w:val="es-ES_tradnl"/>
        </w:rPr>
      </w:pPr>
      <w:r w:rsidRPr="00487A65">
        <w:rPr>
          <w:lang w:val="es-ES_tradnl"/>
        </w:rPr>
        <w:t>–</w:t>
      </w:r>
      <w:r w:rsidRPr="00487A65">
        <w:rPr>
          <w:lang w:val="es-ES_tradnl"/>
        </w:rPr>
        <w:tab/>
        <w:t xml:space="preserve">para </w:t>
      </w:r>
      <w:r w:rsidR="001A2DE2">
        <w:rPr>
          <w:lang w:val="es-ES_tradnl"/>
        </w:rPr>
        <w:sym w:font="Symbol" w:char="F062"/>
      </w:r>
      <w:r w:rsidR="00242EAB" w:rsidRPr="00242EAB">
        <w:rPr>
          <w:rFonts w:asciiTheme="majorBidi" w:hAnsiTheme="majorBidi" w:cstheme="majorBidi"/>
        </w:rPr>
        <w:sym w:font="Symbol" w:char="F073"/>
      </w:r>
      <w:r w:rsidRPr="00487A65">
        <w:rPr>
          <w:i/>
          <w:iCs/>
          <w:position w:val="-4"/>
          <w:sz w:val="16"/>
          <w:szCs w:val="16"/>
          <w:lang w:val="es-ES_tradnl"/>
        </w:rPr>
        <w:t>a</w:t>
      </w:r>
      <w:r w:rsidR="00E90FBD">
        <w:t> </w:t>
      </w:r>
      <w:r w:rsidRPr="00487A65">
        <w:rPr>
          <w:lang w:val="es-ES_tradnl"/>
        </w:rPr>
        <w:t>&lt;</w:t>
      </w:r>
      <w:r w:rsidR="00E90FBD">
        <w:rPr>
          <w:lang w:val="es-ES_tradnl"/>
        </w:rPr>
        <w:t> </w:t>
      </w:r>
      <w:r w:rsidRPr="00487A65">
        <w:rPr>
          <w:lang w:val="es-ES_tradnl"/>
        </w:rPr>
        <w:t>2, la máxima densidad de potencia para 4 kHz es la suma de los dos términos siguientes:</w:t>
      </w:r>
    </w:p>
    <w:p w:rsidR="007E1A39" w:rsidRPr="00487A65" w:rsidRDefault="007E1A39" w:rsidP="004C7FC6">
      <w:pPr>
        <w:pStyle w:val="Equation"/>
        <w:tabs>
          <w:tab w:val="left" w:pos="1191"/>
          <w:tab w:val="left" w:pos="1588"/>
        </w:tabs>
        <w:rPr>
          <w:lang w:val="es-ES_tradnl"/>
        </w:rPr>
      </w:pPr>
      <w:bookmarkStart w:id="13" w:name="F012"/>
      <w:r w:rsidRPr="00487A65">
        <w:rPr>
          <w:lang w:val="es-ES_tradnl"/>
        </w:rPr>
        <w:tab/>
      </w:r>
      <w:r w:rsidRPr="00487A65">
        <w:rPr>
          <w:lang w:val="es-ES_tradnl"/>
        </w:rPr>
        <w:tab/>
        <w:t>–</w:t>
      </w:r>
      <w:r w:rsidRPr="00487A65">
        <w:rPr>
          <w:lang w:val="es-ES_tradnl"/>
        </w:rPr>
        <w:tab/>
        <w:t>espectro continuo:</w:t>
      </w:r>
      <w:r w:rsidR="00DE1CAB">
        <w:rPr>
          <w:lang w:val="es-ES_tradnl"/>
        </w:rPr>
        <w:t xml:space="preserve"> </w:t>
      </w:r>
      <w:r w:rsidR="00DE1CAB" w:rsidRPr="00DE1CAB">
        <w:rPr>
          <w:i/>
          <w:iCs/>
          <w:lang w:val="es-ES_tradnl"/>
        </w:rPr>
        <w:t>P</w:t>
      </w:r>
      <w:r w:rsidR="00DE1CAB" w:rsidRPr="00DE1CAB">
        <w:rPr>
          <w:i/>
          <w:iCs/>
          <w:vertAlign w:val="subscript"/>
          <w:lang w:val="es-ES_tradnl"/>
        </w:rPr>
        <w:t>t</w:t>
      </w:r>
      <w:r w:rsidR="00DE1CAB">
        <w:rPr>
          <w:lang w:val="es-ES_tradnl"/>
        </w:rPr>
        <w:t xml:space="preserve"> </w:t>
      </w:r>
      <w:r w:rsidR="004C7FC6">
        <w:rPr>
          <w:lang w:val="es-ES_tradnl"/>
        </w:rPr>
        <w:sym w:font="Symbol" w:char="F0B4"/>
      </w:r>
      <w:r w:rsidR="00DE1CAB" w:rsidRPr="001E3B06">
        <w:t xml:space="preserve"> </w:t>
      </w:r>
      <w:r w:rsidR="00DE1CAB" w:rsidRPr="00DE1CAB">
        <w:rPr>
          <w:i/>
          <w:iCs/>
          <w:lang w:val="es-ES_tradnl"/>
        </w:rPr>
        <w:t>S</w:t>
      </w:r>
      <w:r w:rsidR="00DE1CAB">
        <w:t>(0)</w:t>
      </w:r>
      <w:r w:rsidR="00DE1CAB" w:rsidRPr="001E3B06">
        <w:t xml:space="preserve"> </w:t>
      </w:r>
      <w:r w:rsidR="004C7FC6">
        <w:rPr>
          <w:lang w:val="es-ES_tradnl"/>
        </w:rPr>
        <w:sym w:font="Symbol" w:char="F0B4"/>
      </w:r>
      <w:r w:rsidR="00DE1CAB" w:rsidRPr="001E3B06">
        <w:t xml:space="preserve"> </w:t>
      </w:r>
      <w:r w:rsidR="00DE1CAB">
        <w:t>4</w:t>
      </w:r>
      <w:r w:rsidR="00555762">
        <w:t> 0</w:t>
      </w:r>
      <w:r w:rsidR="00DE1CAB">
        <w:t>00</w:t>
      </w:r>
      <w:r w:rsidR="00DE1CAB">
        <w:rPr>
          <w:lang w:val="es-ES_tradnl"/>
        </w:rPr>
        <w:t>       W/4 kHz</w:t>
      </w:r>
      <w:r w:rsidRPr="00DE1CAB">
        <w:tab/>
      </w:r>
      <w:r w:rsidRPr="00487A65">
        <w:rPr>
          <w:lang w:val="es-ES_tradnl"/>
        </w:rPr>
        <w:t>(10)</w:t>
      </w:r>
      <w:bookmarkEnd w:id="13"/>
    </w:p>
    <w:p w:rsidR="007E1A39" w:rsidRPr="00487A65" w:rsidRDefault="007E1A39" w:rsidP="00E90FBD">
      <w:pPr>
        <w:pStyle w:val="enumlev3"/>
        <w:ind w:firstLine="0"/>
        <w:rPr>
          <w:lang w:val="es-ES_tradnl"/>
        </w:rPr>
      </w:pPr>
      <w:r w:rsidRPr="00487A65">
        <w:rPr>
          <w:i/>
          <w:iCs/>
          <w:lang w:val="es-ES_tradnl"/>
        </w:rPr>
        <w:t>S</w:t>
      </w:r>
      <w:r w:rsidRPr="00487A65">
        <w:rPr>
          <w:lang w:val="es-ES_tradnl"/>
        </w:rPr>
        <w:t xml:space="preserve">(0) puede obtenerse a partir de la </w:t>
      </w:r>
      <w:r w:rsidR="00DE1CAB" w:rsidRPr="00487A65">
        <w:rPr>
          <w:lang w:val="es-ES_tradnl"/>
        </w:rPr>
        <w:t>Fig</w:t>
      </w:r>
      <w:r w:rsidRPr="00487A65">
        <w:rPr>
          <w:lang w:val="es-ES_tradnl"/>
        </w:rPr>
        <w:t>.</w:t>
      </w:r>
      <w:r w:rsidR="00DE1CAB">
        <w:rPr>
          <w:lang w:val="es-ES_tradnl"/>
        </w:rPr>
        <w:t> </w:t>
      </w:r>
      <w:r w:rsidRPr="00487A65">
        <w:rPr>
          <w:lang w:val="es-ES_tradnl"/>
        </w:rPr>
        <w:t xml:space="preserve">3, que da </w:t>
      </w:r>
      <w:r w:rsidRPr="00487A65">
        <w:rPr>
          <w:i/>
          <w:lang w:val="es-ES_tradnl"/>
        </w:rPr>
        <w:t>S</w:t>
      </w:r>
      <w:r w:rsidRPr="00487A65">
        <w:rPr>
          <w:lang w:val="es-ES_tradnl"/>
        </w:rPr>
        <w:t>(0)</w:t>
      </w:r>
      <w:r w:rsidR="00E90FBD">
        <w:rPr>
          <w:lang w:val="es-ES_tradnl"/>
        </w:rPr>
        <w:t> </w:t>
      </w:r>
      <w:r w:rsidR="00F15DAD">
        <w:rPr>
          <w:rFonts w:asciiTheme="majorBidi" w:hAnsiTheme="majorBidi" w:cstheme="majorBidi"/>
          <w:lang w:val="es-ES_tradnl"/>
        </w:rPr>
        <w:sym w:font="Symbol" w:char="F0B4"/>
      </w:r>
      <w:r w:rsidR="00E90FBD">
        <w:rPr>
          <w:lang w:val="es-ES_tradnl"/>
        </w:rPr>
        <w:t> </w:t>
      </w:r>
      <w:r w:rsidRPr="00487A65">
        <w:rPr>
          <w:i/>
          <w:lang w:val="es-ES_tradnl"/>
        </w:rPr>
        <w:t>f</w:t>
      </w:r>
      <w:r w:rsidRPr="00487A65">
        <w:rPr>
          <w:i/>
          <w:position w:val="-4"/>
          <w:sz w:val="16"/>
          <w:lang w:val="es-ES_tradnl"/>
        </w:rPr>
        <w:t>h</w:t>
      </w:r>
      <w:r w:rsidRPr="00487A65">
        <w:rPr>
          <w:lang w:val="es-ES_tradnl"/>
        </w:rPr>
        <w:t xml:space="preserve">, relación entre la potencia total de la portadora y la densidad de potencia en una anchura de banda de </w:t>
      </w:r>
      <w:r w:rsidR="00F15DAD" w:rsidRPr="00F15DAD">
        <w:rPr>
          <w:rFonts w:asciiTheme="majorBidi" w:hAnsiTheme="majorBidi" w:cstheme="majorBidi"/>
          <w:i/>
          <w:iCs/>
          <w:lang w:val="es-ES_tradnl"/>
        </w:rPr>
        <w:t>f</w:t>
      </w:r>
      <w:r w:rsidRPr="00487A65">
        <w:rPr>
          <w:i/>
          <w:iCs/>
          <w:position w:val="-4"/>
          <w:sz w:val="16"/>
          <w:szCs w:val="16"/>
          <w:lang w:val="es-ES_tradnl"/>
        </w:rPr>
        <w:t>h</w:t>
      </w:r>
      <w:r w:rsidRPr="00487A65">
        <w:rPr>
          <w:lang w:val="es-ES_tradnl"/>
        </w:rPr>
        <w:t xml:space="preserve"> (Hz).</w:t>
      </w:r>
    </w:p>
    <w:p w:rsidR="007E1A39" w:rsidRPr="00487A65" w:rsidRDefault="007E1A39" w:rsidP="00615F86">
      <w:pPr>
        <w:pStyle w:val="Equation"/>
        <w:tabs>
          <w:tab w:val="left" w:pos="1191"/>
          <w:tab w:val="left" w:pos="1588"/>
        </w:tabs>
        <w:rPr>
          <w:lang w:val="es-ES_tradnl"/>
        </w:rPr>
      </w:pPr>
      <w:bookmarkStart w:id="14" w:name="F013"/>
      <w:r w:rsidRPr="00487A65">
        <w:rPr>
          <w:b/>
          <w:bCs/>
          <w:lang w:val="es-ES_tradnl"/>
        </w:rPr>
        <w:tab/>
      </w:r>
      <w:r w:rsidRPr="00487A65">
        <w:rPr>
          <w:b/>
          <w:bCs/>
          <w:lang w:val="es-ES_tradnl"/>
        </w:rPr>
        <w:tab/>
      </w:r>
      <w:r w:rsidRPr="00487A65">
        <w:rPr>
          <w:lang w:val="es-ES_tradnl"/>
        </w:rPr>
        <w:t>–</w:t>
      </w:r>
      <w:r w:rsidRPr="00487A65">
        <w:rPr>
          <w:lang w:val="es-ES_tradnl"/>
        </w:rPr>
        <w:tab/>
        <w:t>portadora residual:</w:t>
      </w:r>
      <w:r w:rsidR="00257FCC">
        <w:rPr>
          <w:lang w:val="es-ES_tradnl"/>
        </w:rPr>
        <w:t xml:space="preserve"> </w:t>
      </w:r>
      <w:r w:rsidR="00615F86" w:rsidRPr="00615F86">
        <w:rPr>
          <w:i/>
          <w:iCs/>
          <w:lang w:val="es-ES_tradnl"/>
        </w:rPr>
        <w:t>P</w:t>
      </w:r>
      <w:r w:rsidR="00615F86" w:rsidRPr="00615F86">
        <w:rPr>
          <w:i/>
          <w:iCs/>
          <w:vertAlign w:val="subscript"/>
          <w:lang w:val="es-ES_tradnl"/>
        </w:rPr>
        <w:t>t</w:t>
      </w:r>
      <w:r w:rsidR="00615F86">
        <w:rPr>
          <w:lang w:val="es-ES_tradnl"/>
        </w:rPr>
        <w:t xml:space="preserve"> exp {</w:t>
      </w:r>
      <w:r w:rsidR="00615F86" w:rsidRPr="00615F86">
        <w:rPr>
          <w:lang w:val="es-ES_tradnl"/>
        </w:rPr>
        <w:t>–</w:t>
      </w:r>
      <w:r w:rsidR="00615F86">
        <w:rPr>
          <w:lang w:val="es-ES_tradnl"/>
        </w:rPr>
        <w:t>(</w:t>
      </w:r>
      <w:r w:rsidR="00615F86">
        <w:rPr>
          <w:lang w:val="es-ES_tradnl"/>
        </w:rPr>
        <w:sym w:font="Symbol" w:char="F062"/>
      </w:r>
      <w:r w:rsidR="00615F86">
        <w:rPr>
          <w:lang w:val="es-ES_tradnl"/>
        </w:rPr>
        <w:sym w:font="Symbol" w:char="F073"/>
      </w:r>
      <w:r w:rsidR="00615F86" w:rsidRPr="00615F86">
        <w:rPr>
          <w:i/>
          <w:iCs/>
          <w:vertAlign w:val="subscript"/>
          <w:lang w:val="es-ES_tradnl"/>
        </w:rPr>
        <w:t>a</w:t>
      </w:r>
      <w:r w:rsidR="00615F86">
        <w:rPr>
          <w:lang w:val="es-ES_tradnl"/>
        </w:rPr>
        <w:t>)</w:t>
      </w:r>
      <w:r w:rsidR="00615F86" w:rsidRPr="00615F86">
        <w:rPr>
          <w:vertAlign w:val="superscript"/>
          <w:lang w:val="es-ES_tradnl"/>
        </w:rPr>
        <w:t>2</w:t>
      </w:r>
      <w:r w:rsidR="00615F86">
        <w:rPr>
          <w:lang w:val="es-ES_tradnl"/>
        </w:rPr>
        <w:t>}          W</w:t>
      </w:r>
      <w:r w:rsidRPr="00487A65">
        <w:rPr>
          <w:lang w:val="es-ES_tradnl"/>
        </w:rPr>
        <w:tab/>
        <w:t>(11)</w:t>
      </w:r>
      <w:bookmarkEnd w:id="14"/>
    </w:p>
    <w:p w:rsidR="007E1A39" w:rsidRPr="00487A65" w:rsidRDefault="007E1A39" w:rsidP="007E1A39">
      <w:pPr>
        <w:rPr>
          <w:lang w:val="es-ES_tradnl"/>
        </w:rPr>
      </w:pPr>
      <w:r w:rsidRPr="00487A65">
        <w:rPr>
          <w:lang w:val="es-ES_tradnl"/>
        </w:rPr>
        <w:tab/>
      </w:r>
      <w:r w:rsidRPr="00487A65">
        <w:rPr>
          <w:lang w:val="es-ES_tradnl"/>
        </w:rPr>
        <w:tab/>
      </w:r>
      <w:r w:rsidRPr="00487A65">
        <w:rPr>
          <w:lang w:val="es-ES_tradnl"/>
        </w:rPr>
        <w:tab/>
        <w:t>donde:</w:t>
      </w:r>
    </w:p>
    <w:p w:rsidR="007E1A39" w:rsidRPr="00487A65" w:rsidRDefault="007E1A39" w:rsidP="00257FCC">
      <w:pPr>
        <w:pStyle w:val="enumlev3"/>
        <w:tabs>
          <w:tab w:val="left" w:pos="1418"/>
        </w:tabs>
        <w:rPr>
          <w:lang w:val="es-ES_tradnl"/>
        </w:rPr>
      </w:pPr>
      <w:r w:rsidRPr="00487A65">
        <w:rPr>
          <w:i/>
          <w:iCs/>
          <w:lang w:val="es-ES_tradnl"/>
        </w:rPr>
        <w:t>P</w:t>
      </w:r>
      <w:r w:rsidRPr="00487A65">
        <w:rPr>
          <w:i/>
          <w:iCs/>
          <w:position w:val="-4"/>
          <w:sz w:val="16"/>
          <w:szCs w:val="16"/>
          <w:lang w:val="es-ES_tradnl"/>
        </w:rPr>
        <w:t>t</w:t>
      </w:r>
      <w:r w:rsidRPr="00487A65">
        <w:rPr>
          <w:lang w:val="es-ES_tradnl"/>
        </w:rPr>
        <w:t>:</w:t>
      </w:r>
      <w:r w:rsidRPr="00487A65">
        <w:rPr>
          <w:lang w:val="es-ES_tradnl"/>
        </w:rPr>
        <w:tab/>
      </w:r>
      <w:r w:rsidRPr="00487A65">
        <w:rPr>
          <w:lang w:val="es-ES_tradnl"/>
        </w:rPr>
        <w:tab/>
        <w:t>potencia total de la portadora (W)</w:t>
      </w:r>
    </w:p>
    <w:p w:rsidR="007E1A39" w:rsidRPr="00487A65" w:rsidRDefault="001A2DE2" w:rsidP="00257FCC">
      <w:pPr>
        <w:pStyle w:val="enumlev3"/>
        <w:tabs>
          <w:tab w:val="left" w:pos="1418"/>
        </w:tabs>
        <w:rPr>
          <w:lang w:val="es-ES_tradnl"/>
        </w:rPr>
      </w:pPr>
      <w:r>
        <w:rPr>
          <w:lang w:val="es-ES_tradnl"/>
        </w:rPr>
        <w:sym w:font="Symbol" w:char="F062"/>
      </w:r>
      <w:r w:rsidRPr="00242EAB">
        <w:rPr>
          <w:rFonts w:asciiTheme="majorBidi" w:hAnsiTheme="majorBidi" w:cstheme="majorBidi"/>
        </w:rPr>
        <w:sym w:font="Symbol" w:char="F073"/>
      </w:r>
      <w:r w:rsidR="007E1A39" w:rsidRPr="00487A65">
        <w:rPr>
          <w:i/>
          <w:iCs/>
          <w:position w:val="-4"/>
          <w:sz w:val="16"/>
          <w:szCs w:val="16"/>
          <w:lang w:val="es-ES_tradnl"/>
        </w:rPr>
        <w:t>a</w:t>
      </w:r>
      <w:r w:rsidR="007E1A39" w:rsidRPr="00487A65">
        <w:rPr>
          <w:lang w:val="es-ES_tradnl"/>
        </w:rPr>
        <w:t>:</w:t>
      </w:r>
      <w:r w:rsidR="007E1A39" w:rsidRPr="00487A65">
        <w:rPr>
          <w:lang w:val="es-ES_tradnl"/>
        </w:rPr>
        <w:tab/>
        <w:t>excursión de fase multicanal (rad)</w:t>
      </w:r>
    </w:p>
    <w:p w:rsidR="007E1A39" w:rsidRPr="00487A65" w:rsidRDefault="001A2DE2" w:rsidP="00257FCC">
      <w:pPr>
        <w:pStyle w:val="enumlev3"/>
        <w:tabs>
          <w:tab w:val="left" w:pos="1418"/>
        </w:tabs>
        <w:ind w:left="1985" w:hanging="794"/>
        <w:rPr>
          <w:lang w:val="es-ES_tradnl"/>
        </w:rPr>
      </w:pPr>
      <w:r>
        <w:rPr>
          <w:lang w:val="es-ES_tradnl"/>
        </w:rPr>
        <w:sym w:font="Symbol" w:char="F062"/>
      </w:r>
      <w:r w:rsidR="007E1A39" w:rsidRPr="00487A65">
        <w:rPr>
          <w:lang w:val="es-ES_tradnl"/>
        </w:rPr>
        <w:t>:</w:t>
      </w:r>
      <w:r w:rsidR="007E1A39" w:rsidRPr="00487A65">
        <w:rPr>
          <w:lang w:val="es-ES_tradnl"/>
        </w:rPr>
        <w:tab/>
      </w:r>
      <w:r w:rsidR="00257FCC">
        <w:rPr>
          <w:lang w:val="es-ES_tradnl"/>
        </w:rPr>
        <w:tab/>
      </w:r>
      <w:r w:rsidR="007E1A39" w:rsidRPr="00487A65">
        <w:rPr>
          <w:lang w:val="es-ES_tradnl"/>
        </w:rPr>
        <w:tab/>
        <w:t>raíz cuadrada del valor cuadrático medio de la excursión de fase producida por el tono de prueba (rad)</w:t>
      </w:r>
    </w:p>
    <w:p w:rsidR="007E1A39" w:rsidRPr="00487A65" w:rsidRDefault="00C05AA6" w:rsidP="00257FCC">
      <w:pPr>
        <w:pStyle w:val="enumlev3"/>
        <w:tabs>
          <w:tab w:val="left" w:pos="1418"/>
        </w:tabs>
        <w:rPr>
          <w:lang w:val="es-ES_tradnl"/>
        </w:rPr>
      </w:pPr>
      <w:r w:rsidRPr="00242EAB">
        <w:rPr>
          <w:rFonts w:asciiTheme="majorBidi" w:hAnsiTheme="majorBidi" w:cstheme="majorBidi"/>
        </w:rPr>
        <w:sym w:font="Symbol" w:char="F073"/>
      </w:r>
      <w:r w:rsidR="007E1A39" w:rsidRPr="00487A65">
        <w:rPr>
          <w:i/>
          <w:iCs/>
          <w:position w:val="-4"/>
          <w:sz w:val="16"/>
          <w:szCs w:val="16"/>
          <w:lang w:val="es-ES_tradnl"/>
        </w:rPr>
        <w:t>a</w:t>
      </w:r>
      <w:r w:rsidR="007E1A39" w:rsidRPr="00487A65">
        <w:rPr>
          <w:lang w:val="es-ES_tradnl"/>
        </w:rPr>
        <w:t>:</w:t>
      </w:r>
      <w:r w:rsidR="007E1A39" w:rsidRPr="00487A65">
        <w:rPr>
          <w:lang w:val="es-ES_tradnl"/>
        </w:rPr>
        <w:tab/>
      </w:r>
      <w:r w:rsidR="007E1A39" w:rsidRPr="00487A65">
        <w:rPr>
          <w:lang w:val="es-ES_tradnl"/>
        </w:rPr>
        <w:tab/>
        <w:t>factor de carga de l</w:t>
      </w:r>
      <w:r w:rsidR="00E90FBD">
        <w:rPr>
          <w:lang w:val="es-ES_tradnl"/>
        </w:rPr>
        <w:t>a señal de telefonía multicanal</w:t>
      </w:r>
    </w:p>
    <w:p w:rsidR="007E1A39" w:rsidRPr="00487A65" w:rsidRDefault="007E1A39" w:rsidP="00C05AA6">
      <w:pPr>
        <w:pStyle w:val="Equation"/>
        <w:tabs>
          <w:tab w:val="left" w:pos="1191"/>
          <w:tab w:val="left" w:pos="2155"/>
        </w:tabs>
        <w:rPr>
          <w:lang w:val="es-ES_tradnl"/>
        </w:rPr>
      </w:pPr>
      <w:bookmarkStart w:id="15" w:name="F014"/>
      <w:r w:rsidRPr="00487A65">
        <w:rPr>
          <w:b/>
          <w:bCs/>
          <w:lang w:val="es-ES_tradnl"/>
        </w:rPr>
        <w:tab/>
      </w:r>
      <w:r w:rsidRPr="00487A65">
        <w:rPr>
          <w:b/>
          <w:bCs/>
          <w:lang w:val="es-ES_tradnl"/>
        </w:rPr>
        <w:tab/>
      </w:r>
      <w:r w:rsidRPr="00487A65">
        <w:rPr>
          <w:b/>
          <w:bCs/>
          <w:lang w:val="es-ES_tradnl"/>
        </w:rPr>
        <w:tab/>
      </w:r>
      <w:r w:rsidR="00C05AA6" w:rsidRPr="00242EAB">
        <w:rPr>
          <w:rFonts w:asciiTheme="majorBidi" w:hAnsiTheme="majorBidi" w:cstheme="majorBidi"/>
        </w:rPr>
        <w:sym w:font="Symbol" w:char="F073"/>
      </w:r>
      <w:r w:rsidRPr="00487A65">
        <w:rPr>
          <w:i/>
          <w:iCs/>
          <w:position w:val="-4"/>
          <w:sz w:val="18"/>
          <w:szCs w:val="18"/>
          <w:lang w:val="es-ES_tradnl"/>
        </w:rPr>
        <w:t>a</w:t>
      </w:r>
      <w:r w:rsidR="00C05AA6">
        <w:rPr>
          <w:rFonts w:asciiTheme="majorBidi" w:hAnsiTheme="majorBidi" w:cstheme="majorBidi"/>
          <w:lang w:val="es-ES_tradnl"/>
        </w:rPr>
        <w:t>=</w:t>
      </w:r>
      <w:r w:rsidR="00555762" w:rsidRPr="00DE1CAB">
        <w:rPr>
          <w:position w:val="-34"/>
          <w:lang w:val="es-ES_tradnl"/>
        </w:rPr>
        <w:object w:dxaOrig="3360" w:dyaOrig="800">
          <v:shape id="_x0000_i1038" type="#_x0000_t75" style="width:166.15pt;height:41.55pt" o:ole="">
            <v:imagedata r:id="rId39" o:title=""/>
          </v:shape>
          <o:OLEObject Type="Embed" ProgID="Equation.3" ShapeID="_x0000_i1038" DrawAspect="Content" ObjectID="_1408431240" r:id="rId40"/>
        </w:object>
      </w:r>
      <w:bookmarkEnd w:id="15"/>
    </w:p>
    <w:p w:rsidR="007E1A39" w:rsidRPr="00487A65" w:rsidRDefault="007E1A39" w:rsidP="00257FCC">
      <w:pPr>
        <w:pStyle w:val="enumlev3"/>
        <w:tabs>
          <w:tab w:val="left" w:pos="1418"/>
        </w:tabs>
        <w:rPr>
          <w:lang w:val="es-ES_tradnl"/>
        </w:rPr>
      </w:pPr>
      <w:r w:rsidRPr="00487A65">
        <w:rPr>
          <w:i/>
          <w:iCs/>
          <w:lang w:val="es-ES_tradnl"/>
        </w:rPr>
        <w:t>N</w:t>
      </w:r>
      <w:r w:rsidRPr="00487A65">
        <w:rPr>
          <w:lang w:val="es-ES_tradnl"/>
        </w:rPr>
        <w:t>:</w:t>
      </w:r>
      <w:r w:rsidRPr="00487A65">
        <w:rPr>
          <w:lang w:val="es-ES_tradnl"/>
        </w:rPr>
        <w:tab/>
      </w:r>
      <w:r w:rsidR="00257FCC">
        <w:rPr>
          <w:lang w:val="es-ES_tradnl"/>
        </w:rPr>
        <w:tab/>
      </w:r>
      <w:r w:rsidRPr="00487A65">
        <w:rPr>
          <w:lang w:val="es-ES_tradnl"/>
        </w:rPr>
        <w:tab/>
        <w:t>número de canales</w:t>
      </w:r>
    </w:p>
    <w:p w:rsidR="007E1A39" w:rsidRPr="00487A65" w:rsidRDefault="00C05AA6" w:rsidP="00257FCC">
      <w:pPr>
        <w:pStyle w:val="enumlev3"/>
        <w:tabs>
          <w:tab w:val="left" w:pos="1418"/>
        </w:tabs>
        <w:rPr>
          <w:lang w:val="es-ES_tradnl"/>
        </w:rPr>
      </w:pPr>
      <w:r w:rsidRPr="00C05AA6">
        <w:rPr>
          <w:rFonts w:asciiTheme="majorBidi" w:hAnsiTheme="majorBidi" w:cstheme="majorBidi"/>
          <w:i/>
          <w:iCs/>
          <w:lang w:val="es-ES_tradnl"/>
        </w:rPr>
        <w:t>f</w:t>
      </w:r>
      <w:r w:rsidR="007E1A39" w:rsidRPr="00487A65">
        <w:rPr>
          <w:i/>
          <w:iCs/>
          <w:position w:val="-4"/>
          <w:sz w:val="16"/>
          <w:szCs w:val="16"/>
          <w:lang w:val="es-ES_tradnl"/>
        </w:rPr>
        <w:t>h</w:t>
      </w:r>
      <w:r w:rsidR="007E1A39" w:rsidRPr="00487A65">
        <w:rPr>
          <w:lang w:val="es-ES_tradnl"/>
        </w:rPr>
        <w:t>:</w:t>
      </w:r>
      <w:r w:rsidR="007E1A39" w:rsidRPr="00487A65">
        <w:rPr>
          <w:lang w:val="es-ES_tradnl"/>
        </w:rPr>
        <w:tab/>
      </w:r>
      <w:r w:rsidR="007E1A39" w:rsidRPr="00487A65">
        <w:rPr>
          <w:lang w:val="es-ES_tradnl"/>
        </w:rPr>
        <w:tab/>
        <w:t>frecuencia superior de la banda de base (Hz).</w:t>
      </w:r>
    </w:p>
    <w:p w:rsidR="00A55E2D" w:rsidRPr="00A55E2D" w:rsidRDefault="00A55E2D" w:rsidP="00944EE3">
      <w:pPr>
        <w:pStyle w:val="FigureNo"/>
        <w:rPr>
          <w:lang w:val="es-ES_tradnl"/>
        </w:rPr>
      </w:pPr>
      <w:r w:rsidRPr="00A55E2D">
        <w:rPr>
          <w:lang w:val="es-ES_tradnl"/>
        </w:rPr>
        <w:lastRenderedPageBreak/>
        <w:t>Figura 3</w:t>
      </w:r>
    </w:p>
    <w:p w:rsidR="00A55E2D" w:rsidRPr="00A55E2D" w:rsidRDefault="00A55E2D" w:rsidP="00944EE3">
      <w:pPr>
        <w:pStyle w:val="Figuretitle"/>
        <w:rPr>
          <w:i/>
          <w:iCs/>
          <w:lang w:val="es-ES_tradnl"/>
        </w:rPr>
      </w:pPr>
      <w:r w:rsidRPr="00A55E2D">
        <w:rPr>
          <w:lang w:val="es-ES_tradnl"/>
        </w:rPr>
        <w:t xml:space="preserve">Densidad de potencia en la frecuencia central del espectro de potencia continuo </w:t>
      </w:r>
      <w:r w:rsidRPr="00A55E2D">
        <w:rPr>
          <w:lang w:val="es-ES_tradnl"/>
        </w:rPr>
        <w:br/>
        <w:t xml:space="preserve">de una portadora con modulaciòn de fase en una anchura de banda de </w:t>
      </w:r>
      <w:r w:rsidR="00944EE3" w:rsidRPr="00B6034E">
        <w:rPr>
          <w:i/>
          <w:iCs/>
          <w:lang w:val="en-US"/>
        </w:rPr>
        <w:t>f</w:t>
      </w:r>
      <w:r w:rsidR="00944EE3" w:rsidRPr="00B6034E">
        <w:rPr>
          <w:i/>
          <w:iCs/>
          <w:vertAlign w:val="subscript"/>
          <w:lang w:val="en-US"/>
        </w:rPr>
        <w:t>h</w:t>
      </w:r>
    </w:p>
    <w:p w:rsidR="00A55E2D" w:rsidRPr="00A55E2D" w:rsidRDefault="00615F86" w:rsidP="00944EE3">
      <w:pPr>
        <w:pStyle w:val="Figure"/>
        <w:rPr>
          <w:lang w:val="es-ES_tradnl"/>
        </w:rPr>
      </w:pPr>
      <w:r w:rsidRPr="00A55E2D">
        <w:rPr>
          <w:lang w:val="es-ES_tradnl"/>
        </w:rPr>
        <w:object w:dxaOrig="11901" w:dyaOrig="8902">
          <v:shape id="_x0000_i1039" type="#_x0000_t75" style="width:444.9pt;height:331.85pt" o:ole="">
            <v:imagedata r:id="rId41" o:title=""/>
          </v:shape>
          <o:OLEObject Type="Embed" ProgID="CorelDRAW.Graphic.14" ShapeID="_x0000_i1039" DrawAspect="Content" ObjectID="_1408431241" r:id="rId42"/>
        </w:object>
      </w:r>
    </w:p>
    <w:p w:rsidR="00A55E2D" w:rsidRPr="00A55E2D" w:rsidRDefault="00A55E2D" w:rsidP="00147B3B">
      <w:pPr>
        <w:pStyle w:val="Heading1"/>
        <w:rPr>
          <w:lang w:val="es-ES_tradnl"/>
        </w:rPr>
      </w:pPr>
      <w:r w:rsidRPr="00A55E2D">
        <w:rPr>
          <w:lang w:val="es-ES_tradnl"/>
        </w:rPr>
        <w:t>3</w:t>
      </w:r>
      <w:r w:rsidRPr="00A55E2D">
        <w:rPr>
          <w:lang w:val="es-ES_tradnl"/>
        </w:rPr>
        <w:tab/>
        <w:t>Portadora digital con anchura de banda necesaria superior a 4 kHz</w:t>
      </w:r>
    </w:p>
    <w:p w:rsidR="00A55E2D" w:rsidRPr="00A55E2D" w:rsidRDefault="00A55E2D" w:rsidP="000109FF">
      <w:pPr>
        <w:rPr>
          <w:lang w:val="es-ES_tradnl"/>
        </w:rPr>
      </w:pPr>
      <w:r w:rsidRPr="00A55E2D">
        <w:rPr>
          <w:lang w:val="es-ES_tradnl"/>
        </w:rPr>
        <w:t>La densidad de potencia máxima por Hz de una portadora digital viene dada por:</w:t>
      </w:r>
    </w:p>
    <w:p w:rsidR="00147B3B" w:rsidRPr="00FF4E67" w:rsidRDefault="00147B3B" w:rsidP="00147B3B">
      <w:pPr>
        <w:pStyle w:val="Equation"/>
        <w:rPr>
          <w:lang w:val="en-US"/>
        </w:rPr>
      </w:pPr>
      <w:bookmarkStart w:id="16" w:name="F015"/>
      <w:r w:rsidRPr="00FF4E67">
        <w:rPr>
          <w:b/>
          <w:bCs/>
          <w:lang w:val="en-US"/>
        </w:rPr>
        <w:tab/>
      </w:r>
      <w:r w:rsidRPr="00FF4E67">
        <w:rPr>
          <w:b/>
          <w:bCs/>
          <w:lang w:val="en-US"/>
        </w:rPr>
        <w:tab/>
      </w:r>
      <w:r w:rsidRPr="00FF4E67">
        <w:rPr>
          <w:i/>
          <w:iCs/>
          <w:lang w:val="en-US"/>
        </w:rPr>
        <w:t>P</w:t>
      </w:r>
      <w:r w:rsidRPr="00FF4E67">
        <w:rPr>
          <w:i/>
          <w:iCs/>
          <w:vertAlign w:val="subscript"/>
          <w:lang w:val="en-US"/>
        </w:rPr>
        <w:t>o</w:t>
      </w:r>
      <w:r w:rsidRPr="00257FCC">
        <w:t xml:space="preserve"> </w:t>
      </w:r>
      <w:r w:rsidRPr="00FF4E67">
        <w:rPr>
          <w:lang w:val="en-US"/>
        </w:rPr>
        <w:t xml:space="preserve">= </w:t>
      </w:r>
      <w:r w:rsidRPr="00FF4E67">
        <w:rPr>
          <w:i/>
          <w:iCs/>
          <w:lang w:val="en-US"/>
        </w:rPr>
        <w:t>P</w:t>
      </w:r>
      <w:r w:rsidRPr="00FF4E67">
        <w:rPr>
          <w:i/>
          <w:iCs/>
          <w:vertAlign w:val="subscript"/>
          <w:lang w:val="en-US"/>
        </w:rPr>
        <w:t>t</w:t>
      </w:r>
      <w:r w:rsidRPr="00FF4E67">
        <w:rPr>
          <w:lang w:val="en-US"/>
        </w:rPr>
        <w:t>/</w:t>
      </w:r>
      <w:r w:rsidRPr="00FF4E67">
        <w:rPr>
          <w:i/>
          <w:iCs/>
          <w:lang w:val="en-US"/>
        </w:rPr>
        <w:t>B</w:t>
      </w:r>
      <w:r w:rsidRPr="00FF4E67">
        <w:rPr>
          <w:lang w:val="en-US"/>
        </w:rPr>
        <w:t xml:space="preserve">     </w:t>
      </w:r>
      <w:r w:rsidRPr="00FF4E67">
        <w:rPr>
          <w:lang w:val="en-US"/>
        </w:rPr>
        <w:tab/>
        <w:t>(12)</w:t>
      </w:r>
      <w:bookmarkEnd w:id="16"/>
    </w:p>
    <w:p w:rsidR="00A55E2D" w:rsidRPr="00A55E2D" w:rsidRDefault="00A55E2D" w:rsidP="000109FF">
      <w:pPr>
        <w:rPr>
          <w:lang w:val="es-ES_tradnl"/>
        </w:rPr>
      </w:pPr>
      <w:r w:rsidRPr="00A55E2D">
        <w:rPr>
          <w:lang w:val="es-ES_tradnl"/>
        </w:rPr>
        <w:t>donde:</w:t>
      </w:r>
    </w:p>
    <w:p w:rsidR="00A55E2D" w:rsidRPr="00A55E2D" w:rsidRDefault="00A55E2D" w:rsidP="000109FF">
      <w:pPr>
        <w:pStyle w:val="Equationlegend"/>
      </w:pPr>
      <w:r w:rsidRPr="00A55E2D">
        <w:rPr>
          <w:i/>
          <w:iCs/>
        </w:rPr>
        <w:tab/>
        <w:t>Pt</w:t>
      </w:r>
      <w:r w:rsidRPr="00A55E2D">
        <w:t>:</w:t>
      </w:r>
      <w:r w:rsidRPr="00A55E2D">
        <w:tab/>
      </w:r>
      <w:r w:rsidRPr="00A55E2D">
        <w:tab/>
        <w:t>potencia total de la portadora (W)</w:t>
      </w:r>
    </w:p>
    <w:p w:rsidR="00A55E2D" w:rsidRPr="00A55E2D" w:rsidRDefault="00A55E2D" w:rsidP="000109FF">
      <w:pPr>
        <w:pStyle w:val="Equationlegend"/>
      </w:pPr>
      <w:r w:rsidRPr="00A55E2D">
        <w:rPr>
          <w:i/>
          <w:iCs/>
        </w:rPr>
        <w:tab/>
        <w:t>B</w:t>
      </w:r>
      <w:r w:rsidRPr="00A55E2D">
        <w:t>:</w:t>
      </w:r>
      <w:r w:rsidRPr="00A55E2D">
        <w:tab/>
      </w:r>
      <w:r w:rsidRPr="00A55E2D">
        <w:tab/>
        <w:t>anchura de banda necesaria de la emisión digital (Hz).</w:t>
      </w:r>
    </w:p>
    <w:p w:rsidR="00A55E2D" w:rsidRPr="00A55E2D" w:rsidRDefault="00A55E2D" w:rsidP="000109FF">
      <w:pPr>
        <w:rPr>
          <w:lang w:val="es-ES_tradnl"/>
        </w:rPr>
      </w:pPr>
      <w:r w:rsidRPr="00A55E2D">
        <w:rPr>
          <w:lang w:val="es-ES_tradnl"/>
        </w:rPr>
        <w:t>La densidad de potencia máxima por 4 kHz en el caso más desfavorable se obtiene multiplicando el resultado de la ecuación (12) por 4 × 10</w:t>
      </w:r>
      <w:r w:rsidRPr="00A55E2D">
        <w:rPr>
          <w:vertAlign w:val="superscript"/>
          <w:lang w:val="es-ES_tradnl"/>
        </w:rPr>
        <w:t xml:space="preserve">3 </w:t>
      </w:r>
      <w:r w:rsidRPr="00A55E2D">
        <w:rPr>
          <w:lang w:val="es-ES_tradnl"/>
        </w:rPr>
        <w:t>del siguiente modo:</w:t>
      </w:r>
    </w:p>
    <w:p w:rsidR="00B12191" w:rsidRPr="00FF4E67" w:rsidRDefault="00B12191" w:rsidP="00B12191">
      <w:pPr>
        <w:pStyle w:val="Equation"/>
        <w:rPr>
          <w:lang w:val="en-US"/>
        </w:rPr>
      </w:pPr>
      <w:r w:rsidRPr="00FF4E67">
        <w:rPr>
          <w:lang w:val="en-US"/>
        </w:rPr>
        <w:tab/>
      </w:r>
      <w:r w:rsidRPr="00FF4E67">
        <w:rPr>
          <w:lang w:val="en-US"/>
        </w:rPr>
        <w:tab/>
      </w:r>
      <w:r w:rsidRPr="00FF4E67">
        <w:rPr>
          <w:i/>
          <w:iCs/>
          <w:lang w:val="en-US"/>
        </w:rPr>
        <w:t>P</w:t>
      </w:r>
      <w:r w:rsidRPr="00FF4E67">
        <w:rPr>
          <w:vertAlign w:val="subscript"/>
          <w:lang w:val="en-US"/>
        </w:rPr>
        <w:t>4 kHz</w:t>
      </w:r>
      <w:r w:rsidRPr="00FF4E67">
        <w:rPr>
          <w:lang w:val="en-US"/>
        </w:rPr>
        <w:t xml:space="preserve"> = </w:t>
      </w:r>
      <w:r w:rsidRPr="00FF4E67">
        <w:rPr>
          <w:i/>
          <w:iCs/>
          <w:lang w:val="en-US"/>
        </w:rPr>
        <w:t>P</w:t>
      </w:r>
      <w:r w:rsidRPr="00FF4E67">
        <w:rPr>
          <w:i/>
          <w:iCs/>
          <w:vertAlign w:val="subscript"/>
          <w:lang w:val="en-US"/>
        </w:rPr>
        <w:t>o</w:t>
      </w:r>
      <w:r w:rsidRPr="00FF4E67">
        <w:rPr>
          <w:i/>
          <w:iCs/>
          <w:lang w:val="en-US"/>
        </w:rPr>
        <w:t xml:space="preserve"> </w:t>
      </w:r>
      <w:r w:rsidRPr="00FF4E67">
        <w:rPr>
          <w:lang w:val="en-US"/>
        </w:rPr>
        <w:t xml:space="preserve">* 4 </w:t>
      </w:r>
      <w:r w:rsidRPr="00FF4E67">
        <w:rPr>
          <w:rFonts w:ascii="Times" w:hAnsi="Times"/>
          <w:lang w:val="en-US"/>
        </w:rPr>
        <w:t>×</w:t>
      </w:r>
      <w:r w:rsidRPr="00FF4E67">
        <w:rPr>
          <w:lang w:val="en-US"/>
        </w:rPr>
        <w:t xml:space="preserve"> 10</w:t>
      </w:r>
      <w:r w:rsidRPr="00FF4E67">
        <w:rPr>
          <w:vertAlign w:val="superscript"/>
          <w:lang w:val="en-US"/>
        </w:rPr>
        <w:t>3</w:t>
      </w:r>
      <w:r w:rsidRPr="00FF4E67">
        <w:rPr>
          <w:lang w:val="en-US"/>
        </w:rPr>
        <w:t xml:space="preserve">  (W/4 kHz)</w:t>
      </w:r>
      <w:r w:rsidRPr="00FF4E67">
        <w:rPr>
          <w:lang w:val="en-US"/>
        </w:rPr>
        <w:tab/>
        <w:t>(13)</w:t>
      </w:r>
    </w:p>
    <w:p w:rsidR="00A55E2D" w:rsidRPr="00A55E2D" w:rsidRDefault="00A55E2D" w:rsidP="000109FF">
      <w:pPr>
        <w:pStyle w:val="Heading1"/>
        <w:rPr>
          <w:lang w:val="es-ES_tradnl"/>
        </w:rPr>
      </w:pPr>
      <w:r w:rsidRPr="00A55E2D">
        <w:rPr>
          <w:lang w:val="es-ES_tradnl"/>
        </w:rPr>
        <w:t>4</w:t>
      </w:r>
      <w:r w:rsidRPr="00A55E2D">
        <w:rPr>
          <w:lang w:val="es-ES_tradnl"/>
        </w:rPr>
        <w:tab/>
        <w:t>Portadora digital con anchura de banda necesaria inferior a 4 kHz</w:t>
      </w:r>
    </w:p>
    <w:p w:rsidR="00A55E2D" w:rsidRPr="00A55E2D" w:rsidRDefault="00A55E2D" w:rsidP="001E3B06">
      <w:pPr>
        <w:rPr>
          <w:lang w:val="es-ES_tradnl"/>
        </w:rPr>
      </w:pPr>
      <w:r w:rsidRPr="00A55E2D">
        <w:rPr>
          <w:lang w:val="es-ES_tradnl"/>
        </w:rPr>
        <w:t>En los casos de portadoras múltiples idénticas con una anchura de banda inferior a 4 kHz, cuando se sabe que la banda de 4kHz no se ocupará completamente con dichas portadoras, deberá aplicarse la siguiente ecuación:</w:t>
      </w:r>
    </w:p>
    <w:p w:rsidR="001E3B06" w:rsidRPr="00FF4E67" w:rsidRDefault="001E3B06" w:rsidP="001E3B06">
      <w:pPr>
        <w:pStyle w:val="Equation"/>
        <w:rPr>
          <w:lang w:val="en-US"/>
        </w:rPr>
      </w:pPr>
      <w:r w:rsidRPr="00FF4E67">
        <w:rPr>
          <w:lang w:val="en-US"/>
        </w:rPr>
        <w:tab/>
      </w:r>
      <w:r w:rsidRPr="00FF4E67">
        <w:rPr>
          <w:lang w:val="en-US"/>
        </w:rPr>
        <w:tab/>
      </w:r>
      <w:r w:rsidRPr="00FF4E67">
        <w:rPr>
          <w:i/>
          <w:iCs/>
          <w:lang w:val="en-US"/>
        </w:rPr>
        <w:t>P</w:t>
      </w:r>
      <w:r w:rsidRPr="00FF4E67">
        <w:rPr>
          <w:vertAlign w:val="subscript"/>
          <w:lang w:val="en-US" w:eastAsia="ja-JP"/>
        </w:rPr>
        <w:t>4 k</w:t>
      </w:r>
      <w:r w:rsidRPr="00FF4E67">
        <w:rPr>
          <w:vertAlign w:val="subscript"/>
          <w:lang w:val="en-US"/>
        </w:rPr>
        <w:t>Hz</w:t>
      </w:r>
      <w:r w:rsidRPr="00FF4E67">
        <w:rPr>
          <w:lang w:val="en-US"/>
        </w:rPr>
        <w:t xml:space="preserve"> = (</w:t>
      </w:r>
      <w:r w:rsidRPr="00FF4E67">
        <w:rPr>
          <w:i/>
          <w:iCs/>
          <w:lang w:val="en-US"/>
        </w:rPr>
        <w:t>P</w:t>
      </w:r>
      <w:r w:rsidRPr="00FF4E67">
        <w:rPr>
          <w:i/>
          <w:iCs/>
          <w:vertAlign w:val="subscript"/>
          <w:lang w:val="en-US"/>
        </w:rPr>
        <w:t>t</w:t>
      </w:r>
      <w:r w:rsidRPr="00FF4E67">
        <w:rPr>
          <w:lang w:val="en-US"/>
        </w:rPr>
        <w:t xml:space="preserve"> * </w:t>
      </w:r>
      <w:r w:rsidRPr="00FF4E67">
        <w:rPr>
          <w:i/>
          <w:iCs/>
          <w:lang w:val="en-US"/>
        </w:rPr>
        <w:t>N</w:t>
      </w:r>
      <w:r w:rsidRPr="00FF4E67">
        <w:rPr>
          <w:lang w:val="en-US"/>
        </w:rPr>
        <w:t>)  (W/</w:t>
      </w:r>
      <w:r w:rsidRPr="00FF4E67">
        <w:rPr>
          <w:lang w:val="en-US" w:eastAsia="ja-JP"/>
        </w:rPr>
        <w:t>4 k</w:t>
      </w:r>
      <w:r w:rsidRPr="00FF4E67">
        <w:rPr>
          <w:lang w:val="en-US"/>
        </w:rPr>
        <w:t>Hz)</w:t>
      </w:r>
      <w:r w:rsidRPr="00FF4E67">
        <w:rPr>
          <w:lang w:val="en-US"/>
        </w:rPr>
        <w:tab/>
        <w:t>(</w:t>
      </w:r>
      <w:r w:rsidRPr="00FF4E67">
        <w:rPr>
          <w:lang w:val="en-US" w:eastAsia="ja-JP"/>
        </w:rPr>
        <w:t>14</w:t>
      </w:r>
      <w:r w:rsidRPr="00FF4E67">
        <w:rPr>
          <w:lang w:val="en-US"/>
        </w:rPr>
        <w:t>)</w:t>
      </w:r>
    </w:p>
    <w:p w:rsidR="00A55E2D" w:rsidRPr="00A55E2D" w:rsidRDefault="00A55E2D" w:rsidP="00181EF3">
      <w:pPr>
        <w:keepNext/>
        <w:keepLines/>
        <w:rPr>
          <w:lang w:val="es-ES_tradnl"/>
        </w:rPr>
      </w:pPr>
      <w:r w:rsidRPr="00A55E2D">
        <w:rPr>
          <w:lang w:val="es-ES_tradnl"/>
        </w:rPr>
        <w:lastRenderedPageBreak/>
        <w:t>donde:</w:t>
      </w:r>
    </w:p>
    <w:p w:rsidR="00A55E2D" w:rsidRPr="00A55E2D" w:rsidRDefault="00A55E2D" w:rsidP="00181EF3">
      <w:pPr>
        <w:pStyle w:val="Equationlegend"/>
        <w:keepNext/>
        <w:keepLines/>
      </w:pPr>
      <w:r w:rsidRPr="00A55E2D">
        <w:tab/>
      </w:r>
      <w:r w:rsidRPr="00A55E2D">
        <w:rPr>
          <w:i/>
          <w:iCs/>
        </w:rPr>
        <w:t>P</w:t>
      </w:r>
      <w:r w:rsidRPr="00A55E2D">
        <w:rPr>
          <w:i/>
          <w:iCs/>
          <w:vertAlign w:val="subscript"/>
        </w:rPr>
        <w:t>t</w:t>
      </w:r>
      <w:r w:rsidRPr="00A55E2D">
        <w:t>:</w:t>
      </w:r>
      <w:r w:rsidRPr="00A55E2D">
        <w:tab/>
        <w:t>potencia total de una sola portadora (W)</w:t>
      </w:r>
    </w:p>
    <w:p w:rsidR="00A55E2D" w:rsidRPr="00A55E2D" w:rsidRDefault="00A55E2D" w:rsidP="001E3B06">
      <w:pPr>
        <w:pStyle w:val="Equationlegend"/>
      </w:pPr>
      <w:r w:rsidRPr="00A55E2D">
        <w:tab/>
      </w:r>
      <w:r w:rsidRPr="00A55E2D">
        <w:rPr>
          <w:i/>
          <w:iCs/>
        </w:rPr>
        <w:t>N</w:t>
      </w:r>
      <w:r w:rsidRPr="00A55E2D">
        <w:t>:</w:t>
      </w:r>
      <w:r w:rsidRPr="00A55E2D">
        <w:tab/>
        <w:t>número máximo de portadoras, o segmentos de portadoras, con una anchura de banda inferior a 4 kHz para ocupar una banda de 4 kHz dada.</w:t>
      </w:r>
    </w:p>
    <w:p w:rsidR="00A55E2D" w:rsidRPr="00A55E2D" w:rsidRDefault="00A55E2D" w:rsidP="001E3B06">
      <w:pPr>
        <w:rPr>
          <w:iCs/>
          <w:lang w:val="es-ES_tradnl"/>
        </w:rPr>
      </w:pPr>
      <w:r w:rsidRPr="00A55E2D">
        <w:rPr>
          <w:lang w:val="es-ES_tradnl"/>
        </w:rPr>
        <w:t>La ecuación (14) puede generalizarse cuando se sabe que diferentes tipos múltiples de portadoras con anchuras de banda inferiores a 4 kHz ocupan una banda de 4 kHz dada sumando la potencia de los diferentes tipos de portadoras individuales que ocupan la banda de 4 kHz y suponiendo que la potencia total es la potencia por 4 kHz.</w:t>
      </w:r>
    </w:p>
    <w:p w:rsidR="00A55E2D" w:rsidRPr="00A55E2D" w:rsidRDefault="00A55E2D" w:rsidP="001E3B06">
      <w:pPr>
        <w:pStyle w:val="Heading1"/>
        <w:rPr>
          <w:lang w:val="es-ES_tradnl"/>
        </w:rPr>
      </w:pPr>
      <w:r w:rsidRPr="00A55E2D">
        <w:rPr>
          <w:lang w:val="es-ES_tradnl"/>
        </w:rPr>
        <w:t>5</w:t>
      </w:r>
      <w:r w:rsidRPr="00A55E2D">
        <w:rPr>
          <w:lang w:val="es-ES_tradnl"/>
        </w:rPr>
        <w:tab/>
        <w:t>Portadora TTC</w:t>
      </w:r>
    </w:p>
    <w:p w:rsidR="00A55E2D" w:rsidRDefault="00A55E2D" w:rsidP="004B07D6">
      <w:pPr>
        <w:rPr>
          <w:lang w:val="es-ES_tradnl"/>
        </w:rPr>
      </w:pPr>
      <w:r w:rsidRPr="00A55E2D">
        <w:rPr>
          <w:lang w:val="es-ES_tradnl"/>
        </w:rPr>
        <w:t>Cuando se trate de portadoras TTC de banda estrecha, de conformidad con el n</w:t>
      </w:r>
      <w:r w:rsidR="00257FCC">
        <w:rPr>
          <w:lang w:val="es-ES_tradnl"/>
        </w:rPr>
        <w:t>úmero</w:t>
      </w:r>
      <w:r w:rsidRPr="00A55E2D">
        <w:rPr>
          <w:lang w:val="es-ES_tradnl"/>
        </w:rPr>
        <w:t> </w:t>
      </w:r>
      <w:r w:rsidRPr="004B07D6">
        <w:rPr>
          <w:b/>
          <w:lang w:val="es-ES_tradnl"/>
        </w:rPr>
        <w:t>1.23</w:t>
      </w:r>
      <w:r w:rsidR="002B082A">
        <w:rPr>
          <w:bCs/>
          <w:lang w:val="es-ES_tradnl"/>
        </w:rPr>
        <w:t xml:space="preserve"> del RR</w:t>
      </w:r>
      <w:r w:rsidRPr="00A55E2D">
        <w:rPr>
          <w:bCs/>
          <w:lang w:val="es-ES_tradnl"/>
        </w:rPr>
        <w:t xml:space="preserve">, en las bandas de frecuencia inferiores a </w:t>
      </w:r>
      <w:r w:rsidRPr="00A55E2D">
        <w:rPr>
          <w:lang w:val="es-ES_tradnl"/>
        </w:rPr>
        <w:t>15 GHz, debe prestarse debida atención a la asignación de potencia máxima por 4 kHz para dichas portadoras, habida cuenta de que estas pueden tener múltiples componentes distintos y componentes espectrales significativos. Por lo tanto, es importante tener en cuenta la forma real del espectro de dichas portadoras TTC al seleccionar la anchura de banda de 4 kHz más desfavorable para poder evaluar la densidad de potencia máxima.</w:t>
      </w:r>
    </w:p>
    <w:p w:rsidR="00181EF3" w:rsidRDefault="00181EF3" w:rsidP="00257FCC">
      <w:pPr>
        <w:rPr>
          <w:lang w:val="es-ES_tradnl"/>
        </w:rPr>
      </w:pPr>
    </w:p>
    <w:p w:rsidR="00181EF3" w:rsidRDefault="00181EF3" w:rsidP="00257FCC">
      <w:pPr>
        <w:rPr>
          <w:lang w:val="es-ES_tradnl"/>
        </w:rPr>
      </w:pPr>
    </w:p>
    <w:p w:rsidR="00181EF3" w:rsidRDefault="00181EF3" w:rsidP="00257FCC">
      <w:pPr>
        <w:rPr>
          <w:lang w:val="es-ES_tradnl"/>
        </w:rPr>
      </w:pPr>
    </w:p>
    <w:p w:rsidR="00181EF3" w:rsidRPr="00A55E2D" w:rsidRDefault="00181EF3" w:rsidP="00257FCC">
      <w:pPr>
        <w:rPr>
          <w:lang w:val="es-ES_tradnl"/>
        </w:rPr>
      </w:pPr>
    </w:p>
    <w:p w:rsidR="00A55E2D" w:rsidRPr="00A55E2D" w:rsidRDefault="00A55E2D" w:rsidP="008C2247">
      <w:pPr>
        <w:pStyle w:val="AnnexNoTitle"/>
        <w:rPr>
          <w:lang w:val="es-ES_tradnl"/>
        </w:rPr>
      </w:pPr>
      <w:r w:rsidRPr="00A55E2D">
        <w:rPr>
          <w:lang w:val="es-ES_tradnl"/>
        </w:rPr>
        <w:t>Anexo 2</w:t>
      </w:r>
      <w:r w:rsidRPr="00A55E2D">
        <w:rPr>
          <w:lang w:val="es-ES_tradnl"/>
        </w:rPr>
        <w:br/>
      </w:r>
      <w:r w:rsidRPr="00A55E2D">
        <w:rPr>
          <w:lang w:val="es-ES_tradnl"/>
        </w:rPr>
        <w:br/>
        <w:t>Cálculo de la densidad de potencia máxima</w:t>
      </w:r>
      <w:r w:rsidR="00E522A3">
        <w:rPr>
          <w:lang w:val="es-ES_tradnl"/>
        </w:rPr>
        <w:br/>
      </w:r>
      <w:r w:rsidRPr="00A55E2D">
        <w:rPr>
          <w:lang w:val="es-ES_tradnl"/>
        </w:rPr>
        <w:t>(val</w:t>
      </w:r>
      <w:r w:rsidR="00E522A3">
        <w:rPr>
          <w:lang w:val="es-ES_tradnl"/>
        </w:rPr>
        <w:t>or medio en una banda de 1 MHz)</w:t>
      </w:r>
      <w:r w:rsidRPr="00A55E2D">
        <w:rPr>
          <w:lang w:val="es-ES_tradnl"/>
        </w:rPr>
        <w:br/>
        <w:t>de una portadora digital o TTC</w:t>
      </w:r>
    </w:p>
    <w:p w:rsidR="00A55E2D" w:rsidRPr="00A55E2D" w:rsidRDefault="00A55E2D" w:rsidP="008C2247">
      <w:pPr>
        <w:pStyle w:val="Normalaftertitle"/>
        <w:keepNext/>
        <w:keepLines/>
        <w:rPr>
          <w:lang w:val="es-ES_tradnl"/>
        </w:rPr>
      </w:pPr>
      <w:r w:rsidRPr="00A55E2D">
        <w:rPr>
          <w:lang w:val="es-ES_tradnl"/>
        </w:rPr>
        <w:t>Más adelante se da el método de cálculo del nivel de potencia en la banda de 1 MHz más desfavorable (W/MHz).</w:t>
      </w:r>
    </w:p>
    <w:p w:rsidR="00A55E2D" w:rsidRPr="00A55E2D" w:rsidRDefault="00A55E2D" w:rsidP="009B2607">
      <w:pPr>
        <w:pStyle w:val="Heading1"/>
        <w:rPr>
          <w:lang w:val="es-ES_tradnl"/>
        </w:rPr>
      </w:pPr>
      <w:r w:rsidRPr="00A55E2D">
        <w:rPr>
          <w:lang w:val="es-ES_tradnl"/>
        </w:rPr>
        <w:t>1</w:t>
      </w:r>
      <w:r w:rsidRPr="00A55E2D">
        <w:rPr>
          <w:lang w:val="es-ES_tradnl"/>
        </w:rPr>
        <w:tab/>
        <w:t>Portadora digital con anchura de banda necesaria superior a 1 MHz</w:t>
      </w:r>
    </w:p>
    <w:p w:rsidR="00A55E2D" w:rsidRPr="00A55E2D" w:rsidRDefault="00A55E2D" w:rsidP="009B2607">
      <w:pPr>
        <w:rPr>
          <w:lang w:val="es-ES_tradnl"/>
        </w:rPr>
      </w:pPr>
      <w:r w:rsidRPr="00A55E2D">
        <w:rPr>
          <w:lang w:val="es-ES_tradnl"/>
        </w:rPr>
        <w:t>La densidad de potencia máxima por Hz de una portadora digital viene dada por:</w:t>
      </w:r>
    </w:p>
    <w:p w:rsidR="009B2607" w:rsidRPr="00FF4E67" w:rsidRDefault="009B2607" w:rsidP="009B2607">
      <w:pPr>
        <w:pStyle w:val="Equation"/>
        <w:keepNext/>
        <w:keepLines/>
        <w:rPr>
          <w:lang w:val="en-US"/>
        </w:rPr>
      </w:pPr>
      <w:r w:rsidRPr="00FF4E67">
        <w:rPr>
          <w:lang w:val="en-US"/>
        </w:rPr>
        <w:tab/>
      </w:r>
      <w:r w:rsidRPr="00FF4E67">
        <w:rPr>
          <w:lang w:val="en-US"/>
        </w:rPr>
        <w:tab/>
      </w:r>
      <w:r w:rsidRPr="00FF4E67">
        <w:rPr>
          <w:i/>
          <w:iCs/>
          <w:lang w:val="en-US"/>
        </w:rPr>
        <w:t>P</w:t>
      </w:r>
      <w:r w:rsidRPr="00FF4E67">
        <w:rPr>
          <w:i/>
          <w:iCs/>
          <w:vertAlign w:val="subscript"/>
          <w:lang w:val="en-US"/>
        </w:rPr>
        <w:t>o</w:t>
      </w:r>
      <w:r w:rsidRPr="00FF4E67">
        <w:rPr>
          <w:lang w:val="en-US"/>
        </w:rPr>
        <w:t xml:space="preserve"> = </w:t>
      </w:r>
      <w:r w:rsidRPr="00FF4E67">
        <w:rPr>
          <w:i/>
          <w:iCs/>
          <w:lang w:val="en-US"/>
        </w:rPr>
        <w:t>P</w:t>
      </w:r>
      <w:r w:rsidRPr="00FF4E67">
        <w:rPr>
          <w:i/>
          <w:iCs/>
          <w:vertAlign w:val="subscript"/>
          <w:lang w:val="en-US"/>
        </w:rPr>
        <w:t>t</w:t>
      </w:r>
      <w:r w:rsidR="00E90FBD" w:rsidRPr="00E90FBD">
        <w:rPr>
          <w:sz w:val="8"/>
          <w:lang w:val="en-US"/>
        </w:rPr>
        <w:t> </w:t>
      </w:r>
      <w:r w:rsidRPr="00FF4E67">
        <w:rPr>
          <w:lang w:val="en-US"/>
        </w:rPr>
        <w:t>/</w:t>
      </w:r>
      <w:r w:rsidR="00E90FBD" w:rsidRPr="00E90FBD">
        <w:rPr>
          <w:sz w:val="8"/>
          <w:lang w:val="en-US"/>
        </w:rPr>
        <w:t> </w:t>
      </w:r>
      <w:r w:rsidRPr="00FF4E67">
        <w:rPr>
          <w:i/>
          <w:iCs/>
          <w:lang w:val="en-US"/>
        </w:rPr>
        <w:t xml:space="preserve">B </w:t>
      </w:r>
      <w:r w:rsidRPr="00FF4E67">
        <w:rPr>
          <w:lang w:val="en-US"/>
        </w:rPr>
        <w:t xml:space="preserve">    (W/Hz)</w:t>
      </w:r>
      <w:r w:rsidRPr="00FF4E67">
        <w:rPr>
          <w:lang w:val="en-US"/>
        </w:rPr>
        <w:tab/>
        <w:t>(15)</w:t>
      </w:r>
    </w:p>
    <w:p w:rsidR="00A55E2D" w:rsidRPr="00A55E2D" w:rsidRDefault="00A55E2D" w:rsidP="008C2247">
      <w:pPr>
        <w:rPr>
          <w:lang w:val="es-ES_tradnl"/>
        </w:rPr>
      </w:pPr>
      <w:r w:rsidRPr="00A55E2D">
        <w:rPr>
          <w:lang w:val="es-ES_tradnl"/>
        </w:rPr>
        <w:t>donde:</w:t>
      </w:r>
    </w:p>
    <w:p w:rsidR="00A55E2D" w:rsidRPr="00A55E2D" w:rsidRDefault="00A55E2D" w:rsidP="009B2607">
      <w:pPr>
        <w:pStyle w:val="Equationlegend"/>
      </w:pPr>
      <w:r w:rsidRPr="00A55E2D">
        <w:tab/>
      </w:r>
      <w:r w:rsidRPr="00A55E2D">
        <w:rPr>
          <w:i/>
          <w:iCs/>
        </w:rPr>
        <w:t>P</w:t>
      </w:r>
      <w:r w:rsidRPr="00A55E2D">
        <w:rPr>
          <w:i/>
          <w:iCs/>
          <w:vertAlign w:val="subscript"/>
        </w:rPr>
        <w:t>t</w:t>
      </w:r>
      <w:r w:rsidRPr="00A55E2D">
        <w:t>:</w:t>
      </w:r>
      <w:r w:rsidRPr="00A55E2D">
        <w:tab/>
        <w:t>potencia total de la portadora (W)</w:t>
      </w:r>
    </w:p>
    <w:p w:rsidR="00A55E2D" w:rsidRPr="00A55E2D" w:rsidRDefault="00A55E2D" w:rsidP="009B2607">
      <w:pPr>
        <w:pStyle w:val="Equationlegend"/>
      </w:pPr>
      <w:r w:rsidRPr="00A55E2D">
        <w:tab/>
      </w:r>
      <w:r w:rsidRPr="00A55E2D">
        <w:rPr>
          <w:i/>
          <w:iCs/>
        </w:rPr>
        <w:t>B</w:t>
      </w:r>
      <w:r w:rsidRPr="00A55E2D">
        <w:t>:</w:t>
      </w:r>
      <w:r w:rsidRPr="00A55E2D">
        <w:tab/>
        <w:t>anchura de banda necesaria de la emisión digital (Hz).</w:t>
      </w:r>
    </w:p>
    <w:p w:rsidR="00A55E2D" w:rsidRPr="00A55E2D" w:rsidRDefault="00A55E2D" w:rsidP="009B2607">
      <w:pPr>
        <w:rPr>
          <w:lang w:val="es-ES_tradnl"/>
        </w:rPr>
      </w:pPr>
      <w:r w:rsidRPr="00A55E2D">
        <w:rPr>
          <w:lang w:val="es-ES_tradnl"/>
        </w:rPr>
        <w:t>La densidad de potencia máxima por MHz en el caso más desfavorable se obtiene multiplicando el resultado de la ecuación (15) por 1 × 10</w:t>
      </w:r>
      <w:r w:rsidRPr="00A55E2D">
        <w:rPr>
          <w:vertAlign w:val="superscript"/>
          <w:lang w:val="es-ES_tradnl"/>
        </w:rPr>
        <w:t xml:space="preserve">6 </w:t>
      </w:r>
      <w:r w:rsidRPr="00A55E2D">
        <w:rPr>
          <w:lang w:val="es-ES_tradnl"/>
        </w:rPr>
        <w:t>del siguiente modo:</w:t>
      </w:r>
    </w:p>
    <w:p w:rsidR="009B2607" w:rsidRPr="00FF4E67" w:rsidRDefault="009B2607" w:rsidP="009B2607">
      <w:pPr>
        <w:pStyle w:val="Equation"/>
        <w:rPr>
          <w:lang w:val="en-US"/>
        </w:rPr>
      </w:pPr>
      <w:r w:rsidRPr="00FF4E67">
        <w:rPr>
          <w:lang w:val="en-US"/>
        </w:rPr>
        <w:tab/>
      </w:r>
      <w:r w:rsidRPr="00FF4E67">
        <w:rPr>
          <w:lang w:val="en-US"/>
        </w:rPr>
        <w:tab/>
      </w:r>
      <w:r w:rsidRPr="00FF4E67">
        <w:rPr>
          <w:i/>
          <w:iCs/>
          <w:lang w:val="en-US"/>
        </w:rPr>
        <w:t>P</w:t>
      </w:r>
      <w:r w:rsidRPr="00FF4E67">
        <w:rPr>
          <w:vertAlign w:val="subscript"/>
          <w:lang w:val="en-US"/>
        </w:rPr>
        <w:t>1 MHz</w:t>
      </w:r>
      <w:r w:rsidRPr="00FF4E67">
        <w:rPr>
          <w:lang w:val="en-US"/>
        </w:rPr>
        <w:t xml:space="preserve"> = </w:t>
      </w:r>
      <w:r w:rsidRPr="00FF4E67">
        <w:rPr>
          <w:i/>
          <w:iCs/>
          <w:lang w:val="en-US"/>
        </w:rPr>
        <w:t>P</w:t>
      </w:r>
      <w:r w:rsidRPr="00FF4E67">
        <w:rPr>
          <w:i/>
          <w:iCs/>
          <w:vertAlign w:val="subscript"/>
          <w:lang w:val="en-US"/>
        </w:rPr>
        <w:t>o</w:t>
      </w:r>
      <w:r w:rsidRPr="00FF4E67">
        <w:rPr>
          <w:lang w:val="en-US"/>
        </w:rPr>
        <w:t xml:space="preserve"> * 1 </w:t>
      </w:r>
      <w:r w:rsidRPr="00FF4E67">
        <w:rPr>
          <w:rFonts w:ascii="Times" w:hAnsi="Times"/>
          <w:lang w:val="en-US"/>
        </w:rPr>
        <w:t>×</w:t>
      </w:r>
      <w:r w:rsidRPr="00FF4E67">
        <w:rPr>
          <w:lang w:val="en-US"/>
        </w:rPr>
        <w:t xml:space="preserve"> 10</w:t>
      </w:r>
      <w:r w:rsidRPr="00FF4E67">
        <w:rPr>
          <w:vertAlign w:val="superscript"/>
          <w:lang w:val="en-US"/>
        </w:rPr>
        <w:t>6</w:t>
      </w:r>
      <w:r w:rsidRPr="00FF4E67">
        <w:rPr>
          <w:lang w:val="en-US"/>
        </w:rPr>
        <w:t xml:space="preserve">  (W/MHz)</w:t>
      </w:r>
      <w:r w:rsidRPr="00FF4E67">
        <w:rPr>
          <w:lang w:val="en-US"/>
        </w:rPr>
        <w:tab/>
        <w:t>(16)</w:t>
      </w:r>
    </w:p>
    <w:p w:rsidR="00A55E2D" w:rsidRPr="00A55E2D" w:rsidRDefault="00A55E2D" w:rsidP="009B2607">
      <w:pPr>
        <w:pStyle w:val="Heading1"/>
        <w:rPr>
          <w:lang w:val="es-ES_tradnl"/>
        </w:rPr>
      </w:pPr>
      <w:r w:rsidRPr="00A55E2D">
        <w:rPr>
          <w:lang w:val="es-ES_tradnl"/>
        </w:rPr>
        <w:lastRenderedPageBreak/>
        <w:t>2</w:t>
      </w:r>
      <w:r w:rsidRPr="00A55E2D">
        <w:rPr>
          <w:lang w:val="es-ES_tradnl"/>
        </w:rPr>
        <w:tab/>
        <w:t>Portadora digital con anchura de banda necesaria inferior a 1 MHz</w:t>
      </w:r>
    </w:p>
    <w:p w:rsidR="00A55E2D" w:rsidRPr="00A55E2D" w:rsidRDefault="00A55E2D" w:rsidP="009B2607">
      <w:pPr>
        <w:rPr>
          <w:lang w:val="es-ES_tradnl"/>
        </w:rPr>
      </w:pPr>
      <w:r w:rsidRPr="00A55E2D">
        <w:rPr>
          <w:lang w:val="es-ES_tradnl"/>
        </w:rPr>
        <w:t>Obsérvese que, para portadoras digitales con una anchura de banda necesaria inferior a 1 MHz, debe determinarse el número máximo de portadoras, y segmentos de portadoras, que operarán en una banda de 1 MHz dada. Cuando se desconoce el número máximo de portadoras, deberá suponerse que la anchura de banda de 1 MHz de referencia se ocupará con portadoras múltiples idénticas. Partiendo de esta suposición, las ecuaciones (15) y (16) proporcionan el valor estimado de la densidad de potencia máxima por MHz en el caso más desfavorable. En los casos de portadoras con anchura de banda necesaria inferior a 1 MHz en los que se sepa que la banda de 1 MHz no se ocupará totalmente con portadoras múltiples idénticas, deberá aplicarse la ecuación siguiente para calcular la densidad de potencia máxima por 1 MHz:</w:t>
      </w:r>
    </w:p>
    <w:p w:rsidR="007428AA" w:rsidRPr="00FF4E67" w:rsidRDefault="007428AA" w:rsidP="007428AA">
      <w:pPr>
        <w:pStyle w:val="Equation"/>
        <w:rPr>
          <w:lang w:val="en-US"/>
        </w:rPr>
      </w:pPr>
      <w:r w:rsidRPr="00FF4E67">
        <w:rPr>
          <w:lang w:val="en-US"/>
        </w:rPr>
        <w:tab/>
      </w:r>
      <w:r w:rsidRPr="00FF4E67">
        <w:rPr>
          <w:lang w:val="en-US"/>
        </w:rPr>
        <w:tab/>
      </w:r>
      <w:r w:rsidRPr="00FF4E67">
        <w:rPr>
          <w:i/>
          <w:iCs/>
          <w:lang w:val="en-US"/>
        </w:rPr>
        <w:t>P</w:t>
      </w:r>
      <w:r w:rsidRPr="00FF4E67">
        <w:rPr>
          <w:vertAlign w:val="subscript"/>
          <w:lang w:val="en-US"/>
        </w:rPr>
        <w:t>1 MHz</w:t>
      </w:r>
      <w:r w:rsidRPr="00FF4E67">
        <w:rPr>
          <w:lang w:val="en-US"/>
        </w:rPr>
        <w:t xml:space="preserve"> = (</w:t>
      </w:r>
      <w:r w:rsidRPr="00FF4E67">
        <w:rPr>
          <w:i/>
          <w:iCs/>
          <w:lang w:val="en-US"/>
        </w:rPr>
        <w:t>P</w:t>
      </w:r>
      <w:r w:rsidRPr="00FF4E67">
        <w:rPr>
          <w:i/>
          <w:iCs/>
          <w:vertAlign w:val="subscript"/>
          <w:lang w:val="en-US"/>
        </w:rPr>
        <w:t>t</w:t>
      </w:r>
      <w:r w:rsidRPr="00FF4E67">
        <w:rPr>
          <w:lang w:val="en-US"/>
        </w:rPr>
        <w:t xml:space="preserve"> * </w:t>
      </w:r>
      <w:r w:rsidRPr="00FF4E67">
        <w:rPr>
          <w:i/>
          <w:iCs/>
          <w:lang w:val="en-US"/>
        </w:rPr>
        <w:t>N</w:t>
      </w:r>
      <w:r w:rsidRPr="00FF4E67">
        <w:rPr>
          <w:lang w:val="en-US"/>
        </w:rPr>
        <w:t>)  (W/MHz)</w:t>
      </w:r>
      <w:r w:rsidRPr="00FF4E67">
        <w:rPr>
          <w:lang w:val="en-US"/>
        </w:rPr>
        <w:tab/>
        <w:t>(17)</w:t>
      </w:r>
    </w:p>
    <w:p w:rsidR="00A55E2D" w:rsidRPr="00A55E2D" w:rsidRDefault="00A55E2D" w:rsidP="007428AA">
      <w:pPr>
        <w:rPr>
          <w:lang w:val="es-ES_tradnl"/>
        </w:rPr>
      </w:pPr>
      <w:r w:rsidRPr="00A55E2D">
        <w:rPr>
          <w:lang w:val="es-ES_tradnl"/>
        </w:rPr>
        <w:t>donde:</w:t>
      </w:r>
    </w:p>
    <w:p w:rsidR="00A55E2D" w:rsidRPr="00A55E2D" w:rsidRDefault="00A55E2D" w:rsidP="00257FCC">
      <w:pPr>
        <w:pStyle w:val="Equationlegend"/>
      </w:pPr>
      <w:r w:rsidRPr="00A55E2D">
        <w:tab/>
      </w:r>
      <w:r w:rsidRPr="00A55E2D">
        <w:rPr>
          <w:i/>
          <w:iCs/>
        </w:rPr>
        <w:t>P</w:t>
      </w:r>
      <w:r w:rsidRPr="00A55E2D">
        <w:rPr>
          <w:i/>
          <w:iCs/>
          <w:vertAlign w:val="subscript"/>
        </w:rPr>
        <w:t>t</w:t>
      </w:r>
      <w:r w:rsidRPr="00A55E2D">
        <w:t>:</w:t>
      </w:r>
      <w:r w:rsidRPr="00A55E2D">
        <w:tab/>
        <w:t>potencia total de una sola portadora (W)</w:t>
      </w:r>
    </w:p>
    <w:p w:rsidR="00A55E2D" w:rsidRPr="00A55E2D" w:rsidRDefault="00A55E2D" w:rsidP="00257FCC">
      <w:pPr>
        <w:pStyle w:val="Equationlegend"/>
      </w:pPr>
      <w:r w:rsidRPr="00A55E2D">
        <w:tab/>
      </w:r>
      <w:r w:rsidRPr="00A55E2D">
        <w:rPr>
          <w:i/>
          <w:iCs/>
        </w:rPr>
        <w:t>N</w:t>
      </w:r>
      <w:r w:rsidRPr="00A55E2D">
        <w:t>:</w:t>
      </w:r>
      <w:r w:rsidRPr="00A55E2D">
        <w:tab/>
        <w:t>número máximo de portadoras, incluidos los segmentos de portadoras, con anchura de banda necesaria inferior a 1 MHz y que ocupen una banda de 1 MHz dada.</w:t>
      </w:r>
    </w:p>
    <w:p w:rsidR="00A55E2D" w:rsidRPr="00A55E2D" w:rsidRDefault="00A55E2D" w:rsidP="007428AA">
      <w:pPr>
        <w:rPr>
          <w:iCs/>
          <w:lang w:val="es-ES_tradnl"/>
        </w:rPr>
      </w:pPr>
      <w:r w:rsidRPr="00A55E2D">
        <w:rPr>
          <w:lang w:val="es-ES_tradnl"/>
        </w:rPr>
        <w:t>La ecuación (17) puede generalizarse cuando se sabe que diferentes tipos múltiples de portadoras con anchuras de banda necesarias inferiores a 1 MHz ocupan una banda de 1 MHz dada sumando la potencia de los diferentes tipos de portadoras individuales que ocupan la banda de 1 MHz y suponiendo que la potencia total es la potencia por 1 MHz.</w:t>
      </w:r>
    </w:p>
    <w:p w:rsidR="00A55E2D" w:rsidRPr="00A55E2D" w:rsidRDefault="00A55E2D" w:rsidP="007428AA">
      <w:pPr>
        <w:pStyle w:val="Heading1"/>
        <w:rPr>
          <w:lang w:val="es-ES_tradnl"/>
        </w:rPr>
      </w:pPr>
      <w:r w:rsidRPr="00A55E2D">
        <w:rPr>
          <w:lang w:val="es-ES_tradnl"/>
        </w:rPr>
        <w:t>3</w:t>
      </w:r>
      <w:bookmarkStart w:id="17" w:name="OLE_LINK1"/>
      <w:bookmarkStart w:id="18" w:name="OLE_LINK4"/>
      <w:r w:rsidRPr="00A55E2D">
        <w:rPr>
          <w:lang w:val="es-ES_tradnl"/>
        </w:rPr>
        <w:tab/>
        <w:t>Portadora TTC</w:t>
      </w:r>
    </w:p>
    <w:p w:rsidR="00A55E2D" w:rsidRPr="00A55E2D" w:rsidRDefault="00A55E2D" w:rsidP="004B07D6">
      <w:pPr>
        <w:keepNext/>
        <w:keepLines/>
        <w:rPr>
          <w:lang w:val="es-ES_tradnl"/>
        </w:rPr>
      </w:pPr>
      <w:r w:rsidRPr="00A55E2D">
        <w:rPr>
          <w:lang w:val="es-ES_tradnl"/>
        </w:rPr>
        <w:t xml:space="preserve">Cuando, de conformidad con el </w:t>
      </w:r>
      <w:r w:rsidR="004B07D6" w:rsidRPr="00A55E2D">
        <w:rPr>
          <w:lang w:val="es-ES_tradnl"/>
        </w:rPr>
        <w:t>el n</w:t>
      </w:r>
      <w:r w:rsidR="004B07D6">
        <w:rPr>
          <w:lang w:val="es-ES_tradnl"/>
        </w:rPr>
        <w:t>úmero</w:t>
      </w:r>
      <w:r w:rsidR="004B07D6" w:rsidRPr="00A55E2D">
        <w:rPr>
          <w:lang w:val="es-ES_tradnl"/>
        </w:rPr>
        <w:t> </w:t>
      </w:r>
      <w:r w:rsidR="004B07D6" w:rsidRPr="004B07D6">
        <w:rPr>
          <w:b/>
          <w:lang w:val="es-ES_tradnl"/>
        </w:rPr>
        <w:t>1.23</w:t>
      </w:r>
      <w:r w:rsidR="004B07D6">
        <w:rPr>
          <w:bCs/>
          <w:lang w:val="es-ES_tradnl"/>
        </w:rPr>
        <w:t xml:space="preserve"> del RR</w:t>
      </w:r>
      <w:bookmarkStart w:id="19" w:name="_GoBack"/>
      <w:bookmarkEnd w:id="19"/>
      <w:r w:rsidRPr="00A55E2D">
        <w:rPr>
          <w:bCs/>
          <w:lang w:val="es-ES_tradnl"/>
        </w:rPr>
        <w:t>, están implicadas portadoras TTC de banda estrecha</w:t>
      </w:r>
      <w:r w:rsidRPr="00A55E2D">
        <w:rPr>
          <w:lang w:val="es-ES_tradnl"/>
        </w:rPr>
        <w:t>, el cálculo de la densidad de potencia máxima por MHz puede llevar a una sobreestimación de la potencia de interferencia potencial. Esto se debe a que, con el mero ajuste de la potencia de una única portadora TTC hasta 1 MHz mediante la aplicación de la relación de las anchuras de banda, se obtendría un nivel de potencia superior a la propia portadora TTC si se utiliza una sola portadora con una anchura de banda necesaria inferior a 1 MHz en una asignación de frecuencia dada. En estos casos, el potencial de interferencia provocado por una portadora TTC se evalúa con mayor precisión si se parte de la base de que, en la mayoría de los casos, se transmitirá una única portadora TTC en una banda de 1 MHz dada.</w:t>
      </w:r>
    </w:p>
    <w:bookmarkEnd w:id="17"/>
    <w:bookmarkEnd w:id="18"/>
    <w:p w:rsidR="00A55E2D" w:rsidRPr="00A55E2D" w:rsidRDefault="00A55E2D" w:rsidP="007428AA">
      <w:pPr>
        <w:rPr>
          <w:lang w:val="es-ES_tradnl"/>
        </w:rPr>
      </w:pPr>
      <w:r w:rsidRPr="00A55E2D">
        <w:rPr>
          <w:lang w:val="es-ES_tradnl"/>
        </w:rPr>
        <w:t>Por lo tanto, la densidad de potencia máxima por 1 MHz para una portadora TTC con anchura de banda necesaria inferior a 1 MHz viene dada por:</w:t>
      </w:r>
    </w:p>
    <w:p w:rsidR="007428AA" w:rsidRPr="00FF4E67" w:rsidRDefault="007428AA" w:rsidP="007428AA">
      <w:pPr>
        <w:pStyle w:val="Equation"/>
        <w:rPr>
          <w:lang w:val="en-US"/>
        </w:rPr>
      </w:pPr>
      <w:r w:rsidRPr="00FF4E67">
        <w:rPr>
          <w:lang w:val="en-US"/>
        </w:rPr>
        <w:tab/>
      </w:r>
      <w:r w:rsidRPr="00FF4E67">
        <w:rPr>
          <w:lang w:val="en-US"/>
        </w:rPr>
        <w:tab/>
      </w:r>
      <w:r w:rsidRPr="00FF4E67">
        <w:rPr>
          <w:i/>
          <w:iCs/>
          <w:lang w:val="en-US"/>
        </w:rPr>
        <w:t>P</w:t>
      </w:r>
      <w:r w:rsidRPr="00FF4E67">
        <w:rPr>
          <w:i/>
          <w:iCs/>
          <w:vertAlign w:val="subscript"/>
          <w:lang w:val="en-US"/>
        </w:rPr>
        <w:t>t</w:t>
      </w:r>
      <w:r w:rsidR="00E90FBD">
        <w:rPr>
          <w:lang w:val="en-US"/>
        </w:rPr>
        <w:t xml:space="preserve">      (W/MHz)</w:t>
      </w:r>
      <w:r w:rsidRPr="00FF4E67">
        <w:rPr>
          <w:lang w:val="en-US"/>
        </w:rPr>
        <w:tab/>
        <w:t>(18)</w:t>
      </w:r>
    </w:p>
    <w:p w:rsidR="00A55E2D" w:rsidRPr="00A55E2D" w:rsidRDefault="00A55E2D" w:rsidP="008C2247">
      <w:pPr>
        <w:rPr>
          <w:lang w:val="es-ES_tradnl"/>
        </w:rPr>
      </w:pPr>
      <w:r w:rsidRPr="00A55E2D">
        <w:rPr>
          <w:lang w:val="es-ES_tradnl"/>
        </w:rPr>
        <w:t>donde:</w:t>
      </w:r>
    </w:p>
    <w:p w:rsidR="00A55E2D" w:rsidRPr="00A55E2D" w:rsidRDefault="00A55E2D" w:rsidP="007428AA">
      <w:pPr>
        <w:pStyle w:val="Equationlegend"/>
      </w:pPr>
      <w:r w:rsidRPr="00A55E2D">
        <w:tab/>
      </w:r>
      <w:r w:rsidRPr="00A55E2D">
        <w:rPr>
          <w:i/>
          <w:iCs/>
        </w:rPr>
        <w:t>P</w:t>
      </w:r>
      <w:r w:rsidRPr="00A55E2D">
        <w:rPr>
          <w:i/>
          <w:iCs/>
          <w:vertAlign w:val="subscript"/>
        </w:rPr>
        <w:t>t</w:t>
      </w:r>
      <w:r w:rsidRPr="00A55E2D">
        <w:t>:</w:t>
      </w:r>
      <w:r w:rsidRPr="00A55E2D">
        <w:tab/>
        <w:t>potencia total de la portadora TTC (W).</w:t>
      </w:r>
    </w:p>
    <w:p w:rsidR="00A55E2D" w:rsidRPr="00A55E2D" w:rsidRDefault="00A55E2D" w:rsidP="007428AA">
      <w:pPr>
        <w:rPr>
          <w:lang w:val="es-ES_tradnl"/>
        </w:rPr>
      </w:pPr>
      <w:r w:rsidRPr="00A55E2D">
        <w:rPr>
          <w:lang w:val="es-ES_tradnl"/>
        </w:rPr>
        <w:t>En el caso de portadoras TTC con anchura de banda necesaria superior a 1 MHz e inferior a 1,5 MHz, la densidad de potencia máxima por 1 MHz viene dada por:</w:t>
      </w:r>
    </w:p>
    <w:p w:rsidR="007428AA" w:rsidRPr="00FF4E67" w:rsidRDefault="007428AA" w:rsidP="007428AA">
      <w:pPr>
        <w:pStyle w:val="Equation"/>
        <w:rPr>
          <w:lang w:val="en-US"/>
        </w:rPr>
      </w:pPr>
      <w:r w:rsidRPr="00FF4E67">
        <w:rPr>
          <w:lang w:val="en-US"/>
        </w:rPr>
        <w:tab/>
      </w:r>
      <w:r w:rsidRPr="00FF4E67">
        <w:rPr>
          <w:lang w:val="en-US"/>
        </w:rPr>
        <w:tab/>
      </w:r>
      <w:r w:rsidRPr="00FF4E67">
        <w:rPr>
          <w:i/>
          <w:iCs/>
          <w:lang w:val="en-US"/>
        </w:rPr>
        <w:t>P</w:t>
      </w:r>
      <w:r w:rsidRPr="00FF4E67">
        <w:rPr>
          <w:i/>
          <w:iCs/>
          <w:vertAlign w:val="subscript"/>
          <w:lang w:val="en-US"/>
        </w:rPr>
        <w:t>t</w:t>
      </w:r>
      <w:r w:rsidRPr="00FF4E67">
        <w:rPr>
          <w:i/>
          <w:iCs/>
          <w:lang w:val="en-US"/>
        </w:rPr>
        <w:t xml:space="preserve"> </w:t>
      </w:r>
      <w:r w:rsidRPr="00FF4E67">
        <w:rPr>
          <w:rFonts w:ascii="Times" w:hAnsi="Times"/>
          <w:lang w:val="en-US"/>
        </w:rPr>
        <w:t>×</w:t>
      </w:r>
      <w:r w:rsidRPr="00FF4E67">
        <w:rPr>
          <w:lang w:val="en-US"/>
        </w:rPr>
        <w:t xml:space="preserve"> (1 </w:t>
      </w:r>
      <w:r w:rsidRPr="00FF4E67">
        <w:rPr>
          <w:rFonts w:ascii="Times" w:hAnsi="Times"/>
          <w:lang w:val="en-US"/>
        </w:rPr>
        <w:t xml:space="preserve">× </w:t>
      </w:r>
      <w:r w:rsidRPr="00FF4E67">
        <w:rPr>
          <w:lang w:val="en-US"/>
        </w:rPr>
        <w:t>10</w:t>
      </w:r>
      <w:r w:rsidRPr="00FF4E67">
        <w:rPr>
          <w:vertAlign w:val="superscript"/>
          <w:lang w:val="en-US"/>
        </w:rPr>
        <w:t>6</w:t>
      </w:r>
      <w:r w:rsidRPr="00FF4E67">
        <w:rPr>
          <w:lang w:val="en-US"/>
        </w:rPr>
        <w:t>/</w:t>
      </w:r>
      <w:r w:rsidRPr="00FF4E67">
        <w:rPr>
          <w:i/>
          <w:iCs/>
          <w:lang w:val="en-US"/>
        </w:rPr>
        <w:t>B</w:t>
      </w:r>
      <w:r w:rsidRPr="00FF4E67">
        <w:rPr>
          <w:lang w:val="en-US"/>
        </w:rPr>
        <w:t>)     (W/MHz)</w:t>
      </w:r>
      <w:r w:rsidRPr="00FF4E67">
        <w:rPr>
          <w:lang w:val="en-US"/>
        </w:rPr>
        <w:tab/>
        <w:t>(19)</w:t>
      </w:r>
    </w:p>
    <w:p w:rsidR="00A55E2D" w:rsidRPr="00A55E2D" w:rsidRDefault="00A55E2D" w:rsidP="007428AA">
      <w:pPr>
        <w:rPr>
          <w:lang w:val="es-ES_tradnl"/>
        </w:rPr>
      </w:pPr>
      <w:r w:rsidRPr="00A55E2D">
        <w:rPr>
          <w:lang w:val="es-ES_tradnl"/>
        </w:rPr>
        <w:t>donde:</w:t>
      </w:r>
    </w:p>
    <w:p w:rsidR="00A55E2D" w:rsidRPr="00A55E2D" w:rsidRDefault="00A55E2D" w:rsidP="007428AA">
      <w:pPr>
        <w:pStyle w:val="Equationlegend"/>
      </w:pPr>
      <w:r w:rsidRPr="00A55E2D">
        <w:tab/>
      </w:r>
      <w:r w:rsidRPr="00A55E2D">
        <w:rPr>
          <w:i/>
          <w:iCs/>
        </w:rPr>
        <w:t>P</w:t>
      </w:r>
      <w:r w:rsidRPr="00A55E2D">
        <w:rPr>
          <w:i/>
          <w:iCs/>
          <w:vertAlign w:val="subscript"/>
        </w:rPr>
        <w:t>t</w:t>
      </w:r>
      <w:r w:rsidRPr="00A55E2D">
        <w:t>:</w:t>
      </w:r>
      <w:r w:rsidRPr="00A55E2D">
        <w:tab/>
        <w:t>potencia total de la portadora TTC (W)</w:t>
      </w:r>
    </w:p>
    <w:p w:rsidR="00A55E2D" w:rsidRDefault="00A55E2D" w:rsidP="007428AA">
      <w:pPr>
        <w:pStyle w:val="Equationlegend"/>
      </w:pPr>
      <w:r w:rsidRPr="00A55E2D">
        <w:tab/>
      </w:r>
      <w:r w:rsidRPr="00A55E2D">
        <w:rPr>
          <w:i/>
          <w:iCs/>
        </w:rPr>
        <w:t>B</w:t>
      </w:r>
      <w:r w:rsidRPr="00A55E2D">
        <w:t>:</w:t>
      </w:r>
      <w:r w:rsidRPr="00A55E2D">
        <w:tab/>
        <w:t>anchura de banda necesaria de la emisión de TTC superior a 1 MHz (Hz).</w:t>
      </w:r>
    </w:p>
    <w:p w:rsidR="00181EF3" w:rsidRDefault="00181EF3" w:rsidP="007428AA">
      <w:pPr>
        <w:pStyle w:val="Equationlegend"/>
      </w:pPr>
    </w:p>
    <w:p w:rsidR="007428AA" w:rsidRDefault="007428AA">
      <w:pPr>
        <w:jc w:val="center"/>
      </w:pPr>
      <w:r>
        <w:t>______________</w:t>
      </w:r>
    </w:p>
    <w:sectPr w:rsidR="007428AA" w:rsidSect="00044E2A">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82A" w:rsidRDefault="002B082A">
      <w:r>
        <w:separator/>
      </w:r>
    </w:p>
  </w:endnote>
  <w:endnote w:type="continuationSeparator" w:id="0">
    <w:p w:rsidR="002B082A" w:rsidRDefault="002B0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82A" w:rsidRDefault="002B082A">
      <w:r>
        <w:separator/>
      </w:r>
    </w:p>
  </w:footnote>
  <w:footnote w:type="continuationSeparator" w:id="0">
    <w:p w:rsidR="002B082A" w:rsidRDefault="002B08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2A" w:rsidRDefault="002B082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2A" w:rsidRDefault="002B082A" w:rsidP="00241A0F">
    <w:pPr>
      <w:pStyle w:val="Header"/>
      <w:ind w:right="360" w:firstLine="360"/>
    </w:pPr>
    <w:r>
      <w:rPr>
        <w:noProof/>
        <w:lang w:val="en-US" w:eastAsia="zh-CN"/>
      </w:rPr>
      <w:drawing>
        <wp:anchor distT="0" distB="0" distL="114300" distR="114300" simplePos="0" relativeHeight="251659264" behindDoc="1" locked="0" layoutInCell="1" allowOverlap="1" wp14:anchorId="1FB89374" wp14:editId="06FD7E0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2A" w:rsidRDefault="002B082A" w:rsidP="00241A0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Pr="00F74F32">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SF.675-4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2A" w:rsidRDefault="002B082A">
    <w:pPr>
      <w:pStyle w:val="Header"/>
    </w:pPr>
    <w:r>
      <w:tab/>
    </w:r>
    <w:fldSimple w:instr=" DOCPROPERTY &quot;Header&quot; \* MERGEFORMAT ">
      <w:r w:rsidRPr="00F74F3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SF.675-4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2A" w:rsidRDefault="002B082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B07D6">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74F3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B07D6">
      <w:rPr>
        <w:b/>
        <w:bCs/>
        <w:noProof/>
      </w:rPr>
      <w:t>UIT-R  SF.675-4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2A" w:rsidRDefault="002B082A">
    <w:pPr>
      <w:pStyle w:val="Header"/>
    </w:pPr>
    <w:r>
      <w:tab/>
    </w:r>
    <w:fldSimple w:instr=" DOCPROPERTY &quot;Header&quot; \* MERGEFORMAT ">
      <w:r w:rsidRPr="00F74F3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B07D6">
      <w:rPr>
        <w:b/>
        <w:bCs/>
        <w:noProof/>
      </w:rPr>
      <w:t>UIT-R  SF.675-4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B07D6">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4F0"/>
    <w:rsid w:val="000109FF"/>
    <w:rsid w:val="00044E2A"/>
    <w:rsid w:val="00050D9F"/>
    <w:rsid w:val="00056866"/>
    <w:rsid w:val="000C227A"/>
    <w:rsid w:val="000F1CD2"/>
    <w:rsid w:val="001110F7"/>
    <w:rsid w:val="00133403"/>
    <w:rsid w:val="00147B3B"/>
    <w:rsid w:val="00181EF3"/>
    <w:rsid w:val="0018706A"/>
    <w:rsid w:val="001A2DE2"/>
    <w:rsid w:val="001A35C2"/>
    <w:rsid w:val="001A4B39"/>
    <w:rsid w:val="001D11A4"/>
    <w:rsid w:val="001D1F49"/>
    <w:rsid w:val="001E3B06"/>
    <w:rsid w:val="001F5312"/>
    <w:rsid w:val="00217EBF"/>
    <w:rsid w:val="00241A0F"/>
    <w:rsid w:val="00242AEE"/>
    <w:rsid w:val="00242EAB"/>
    <w:rsid w:val="00257FCC"/>
    <w:rsid w:val="00267CD4"/>
    <w:rsid w:val="00270831"/>
    <w:rsid w:val="00273A69"/>
    <w:rsid w:val="00277DE6"/>
    <w:rsid w:val="00290F40"/>
    <w:rsid w:val="002A1B75"/>
    <w:rsid w:val="002B082A"/>
    <w:rsid w:val="002D76C4"/>
    <w:rsid w:val="00315ED2"/>
    <w:rsid w:val="0039268B"/>
    <w:rsid w:val="003979E8"/>
    <w:rsid w:val="00403CB8"/>
    <w:rsid w:val="00417E60"/>
    <w:rsid w:val="004438D1"/>
    <w:rsid w:val="004745E9"/>
    <w:rsid w:val="004A0384"/>
    <w:rsid w:val="004B07D6"/>
    <w:rsid w:val="004B0ED8"/>
    <w:rsid w:val="004C7FC6"/>
    <w:rsid w:val="004E17A0"/>
    <w:rsid w:val="004F0C5D"/>
    <w:rsid w:val="004F2372"/>
    <w:rsid w:val="00516C97"/>
    <w:rsid w:val="0052529D"/>
    <w:rsid w:val="00555762"/>
    <w:rsid w:val="005D4B69"/>
    <w:rsid w:val="005E72B8"/>
    <w:rsid w:val="00607D68"/>
    <w:rsid w:val="00615F86"/>
    <w:rsid w:val="00680C35"/>
    <w:rsid w:val="006F4505"/>
    <w:rsid w:val="007428AA"/>
    <w:rsid w:val="007468DA"/>
    <w:rsid w:val="007C02FF"/>
    <w:rsid w:val="007D0752"/>
    <w:rsid w:val="007D51A6"/>
    <w:rsid w:val="007E1A39"/>
    <w:rsid w:val="008065B9"/>
    <w:rsid w:val="00876FE8"/>
    <w:rsid w:val="008928CD"/>
    <w:rsid w:val="008A71B0"/>
    <w:rsid w:val="008B5FF5"/>
    <w:rsid w:val="008C2247"/>
    <w:rsid w:val="008C751E"/>
    <w:rsid w:val="00944EE3"/>
    <w:rsid w:val="009B0B91"/>
    <w:rsid w:val="009B2607"/>
    <w:rsid w:val="009C2AE4"/>
    <w:rsid w:val="009D0A38"/>
    <w:rsid w:val="009E00A8"/>
    <w:rsid w:val="00A55E2D"/>
    <w:rsid w:val="00A57934"/>
    <w:rsid w:val="00A63DEF"/>
    <w:rsid w:val="00A6617B"/>
    <w:rsid w:val="00AA00EA"/>
    <w:rsid w:val="00AB0DC8"/>
    <w:rsid w:val="00AE4788"/>
    <w:rsid w:val="00B12191"/>
    <w:rsid w:val="00B173A5"/>
    <w:rsid w:val="00B44E24"/>
    <w:rsid w:val="00B516C1"/>
    <w:rsid w:val="00B54914"/>
    <w:rsid w:val="00BE25BA"/>
    <w:rsid w:val="00BF3FB3"/>
    <w:rsid w:val="00C05AA6"/>
    <w:rsid w:val="00C16EB8"/>
    <w:rsid w:val="00C3279E"/>
    <w:rsid w:val="00C374F0"/>
    <w:rsid w:val="00C5483E"/>
    <w:rsid w:val="00CC045F"/>
    <w:rsid w:val="00CC3DE6"/>
    <w:rsid w:val="00D16215"/>
    <w:rsid w:val="00D35B4A"/>
    <w:rsid w:val="00D93286"/>
    <w:rsid w:val="00DC345B"/>
    <w:rsid w:val="00DE1CAB"/>
    <w:rsid w:val="00DF4176"/>
    <w:rsid w:val="00E2053A"/>
    <w:rsid w:val="00E34100"/>
    <w:rsid w:val="00E522A3"/>
    <w:rsid w:val="00E56854"/>
    <w:rsid w:val="00E90FBD"/>
    <w:rsid w:val="00EB2EB8"/>
    <w:rsid w:val="00EE2436"/>
    <w:rsid w:val="00F034A1"/>
    <w:rsid w:val="00F10B98"/>
    <w:rsid w:val="00F15DAD"/>
    <w:rsid w:val="00F27690"/>
    <w:rsid w:val="00F74F32"/>
    <w:rsid w:val="00F80191"/>
    <w:rsid w:val="00FC0B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4B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D4B69"/>
    <w:pPr>
      <w:keepNext/>
      <w:keepLines/>
      <w:spacing w:before="480"/>
      <w:ind w:left="794" w:hanging="794"/>
      <w:outlineLvl w:val="0"/>
    </w:pPr>
    <w:rPr>
      <w:b/>
    </w:rPr>
  </w:style>
  <w:style w:type="paragraph" w:styleId="Heading2">
    <w:name w:val="heading 2"/>
    <w:basedOn w:val="Heading1"/>
    <w:next w:val="Normal"/>
    <w:qFormat/>
    <w:rsid w:val="005D4B69"/>
    <w:pPr>
      <w:spacing w:before="320"/>
      <w:outlineLvl w:val="1"/>
    </w:pPr>
  </w:style>
  <w:style w:type="paragraph" w:styleId="Heading3">
    <w:name w:val="heading 3"/>
    <w:basedOn w:val="Heading1"/>
    <w:next w:val="Normal"/>
    <w:qFormat/>
    <w:rsid w:val="005D4B69"/>
    <w:pPr>
      <w:spacing w:before="200"/>
      <w:outlineLvl w:val="2"/>
    </w:pPr>
  </w:style>
  <w:style w:type="paragraph" w:styleId="Heading4">
    <w:name w:val="heading 4"/>
    <w:basedOn w:val="Heading3"/>
    <w:next w:val="Normal"/>
    <w:qFormat/>
    <w:rsid w:val="005D4B69"/>
    <w:pPr>
      <w:tabs>
        <w:tab w:val="clear" w:pos="794"/>
        <w:tab w:val="left" w:pos="992"/>
      </w:tabs>
      <w:ind w:left="992" w:hanging="992"/>
      <w:outlineLvl w:val="3"/>
    </w:pPr>
  </w:style>
  <w:style w:type="paragraph" w:styleId="Heading5">
    <w:name w:val="heading 5"/>
    <w:basedOn w:val="Heading4"/>
    <w:next w:val="Normal"/>
    <w:qFormat/>
    <w:rsid w:val="005D4B69"/>
    <w:pPr>
      <w:outlineLvl w:val="4"/>
    </w:pPr>
  </w:style>
  <w:style w:type="paragraph" w:styleId="Heading6">
    <w:name w:val="heading 6"/>
    <w:basedOn w:val="Heading4"/>
    <w:next w:val="Normal"/>
    <w:qFormat/>
    <w:rsid w:val="005D4B69"/>
    <w:pPr>
      <w:tabs>
        <w:tab w:val="clear" w:pos="992"/>
        <w:tab w:val="clear" w:pos="1191"/>
      </w:tabs>
      <w:ind w:left="1588" w:hanging="1588"/>
      <w:outlineLvl w:val="5"/>
    </w:pPr>
  </w:style>
  <w:style w:type="paragraph" w:styleId="Heading7">
    <w:name w:val="heading 7"/>
    <w:basedOn w:val="Heading6"/>
    <w:next w:val="Normal"/>
    <w:qFormat/>
    <w:rsid w:val="005D4B69"/>
    <w:pPr>
      <w:outlineLvl w:val="6"/>
    </w:pPr>
  </w:style>
  <w:style w:type="paragraph" w:styleId="Heading8">
    <w:name w:val="heading 8"/>
    <w:basedOn w:val="Heading6"/>
    <w:next w:val="Normal"/>
    <w:qFormat/>
    <w:rsid w:val="005D4B69"/>
    <w:pPr>
      <w:outlineLvl w:val="7"/>
    </w:pPr>
  </w:style>
  <w:style w:type="paragraph" w:styleId="Heading9">
    <w:name w:val="heading 9"/>
    <w:basedOn w:val="Heading6"/>
    <w:next w:val="Normal"/>
    <w:qFormat/>
    <w:rsid w:val="005D4B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D4B6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D4B6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4B69"/>
  </w:style>
  <w:style w:type="paragraph" w:customStyle="1" w:styleId="Headingb">
    <w:name w:val="Heading_b"/>
    <w:basedOn w:val="Heading3"/>
    <w:next w:val="Normal"/>
    <w:rsid w:val="005D4B69"/>
    <w:pPr>
      <w:spacing w:before="160"/>
      <w:ind w:left="0" w:firstLine="0"/>
      <w:outlineLvl w:val="9"/>
    </w:pPr>
  </w:style>
  <w:style w:type="paragraph" w:customStyle="1" w:styleId="Headingi">
    <w:name w:val="Heading_i"/>
    <w:basedOn w:val="Heading3"/>
    <w:next w:val="Normal"/>
    <w:rsid w:val="005D4B69"/>
    <w:pPr>
      <w:spacing w:before="160"/>
      <w:ind w:left="0" w:firstLine="0"/>
    </w:pPr>
    <w:rPr>
      <w:b w:val="0"/>
      <w:i/>
    </w:rPr>
  </w:style>
  <w:style w:type="character" w:customStyle="1" w:styleId="href">
    <w:name w:val="href"/>
    <w:basedOn w:val="DefaultParagraphFont"/>
    <w:rsid w:val="005D4B69"/>
  </w:style>
  <w:style w:type="paragraph" w:customStyle="1" w:styleId="enumlev1">
    <w:name w:val="enumlev1"/>
    <w:basedOn w:val="Normal"/>
    <w:rsid w:val="005D4B69"/>
    <w:pPr>
      <w:spacing w:before="80"/>
      <w:ind w:left="794" w:hanging="794"/>
    </w:pPr>
  </w:style>
  <w:style w:type="paragraph" w:customStyle="1" w:styleId="enumlev2">
    <w:name w:val="enumlev2"/>
    <w:basedOn w:val="enumlev1"/>
    <w:rsid w:val="005D4B69"/>
    <w:pPr>
      <w:ind w:left="1191" w:hanging="397"/>
    </w:pPr>
  </w:style>
  <w:style w:type="paragraph" w:customStyle="1" w:styleId="enumlev3">
    <w:name w:val="enumlev3"/>
    <w:basedOn w:val="enumlev2"/>
    <w:rsid w:val="005D4B69"/>
    <w:pPr>
      <w:ind w:left="1588"/>
    </w:pPr>
  </w:style>
  <w:style w:type="paragraph" w:customStyle="1" w:styleId="Normalaftertitle">
    <w:name w:val="Normal_after_title"/>
    <w:basedOn w:val="Normal"/>
    <w:next w:val="Normal"/>
    <w:rsid w:val="005D4B69"/>
    <w:pPr>
      <w:spacing w:before="320"/>
    </w:pPr>
  </w:style>
  <w:style w:type="paragraph" w:customStyle="1" w:styleId="Note">
    <w:name w:val="Note"/>
    <w:basedOn w:val="Normal"/>
    <w:rsid w:val="005D4B6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4B6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D4B69"/>
    <w:pPr>
      <w:spacing w:before="240"/>
    </w:pPr>
    <w:rPr>
      <w:sz w:val="22"/>
      <w:lang w:val="es-ES_tradnl"/>
    </w:rPr>
  </w:style>
  <w:style w:type="paragraph" w:customStyle="1" w:styleId="Recref">
    <w:name w:val="Rec_ref"/>
    <w:basedOn w:val="Normal"/>
    <w:next w:val="Recdate"/>
    <w:rsid w:val="005D4B69"/>
    <w:pPr>
      <w:jc w:val="center"/>
    </w:pPr>
  </w:style>
  <w:style w:type="paragraph" w:customStyle="1" w:styleId="Recdate">
    <w:name w:val="Rec_date"/>
    <w:basedOn w:val="Recref"/>
    <w:next w:val="Normalaftertitle"/>
    <w:rsid w:val="005D4B69"/>
    <w:pPr>
      <w:jc w:val="right"/>
    </w:pPr>
  </w:style>
  <w:style w:type="paragraph" w:customStyle="1" w:styleId="AnnexNoTitle">
    <w:name w:val="Annex_NoTitle"/>
    <w:basedOn w:val="Normal"/>
    <w:next w:val="Normalaftertitle"/>
    <w:rsid w:val="005D4B69"/>
    <w:pPr>
      <w:keepNext/>
      <w:keepLines/>
      <w:spacing w:before="480" w:after="80"/>
      <w:jc w:val="center"/>
    </w:pPr>
    <w:rPr>
      <w:b/>
      <w:sz w:val="28"/>
    </w:rPr>
  </w:style>
  <w:style w:type="paragraph" w:customStyle="1" w:styleId="AppendixNoTitle">
    <w:name w:val="Appendix_NoTitle"/>
    <w:basedOn w:val="AnnexNoTitle"/>
    <w:next w:val="Normal"/>
    <w:rsid w:val="005D4B69"/>
  </w:style>
  <w:style w:type="paragraph" w:customStyle="1" w:styleId="Tablefin">
    <w:name w:val="Table_fin"/>
    <w:basedOn w:val="Normal"/>
    <w:next w:val="Normal"/>
    <w:rsid w:val="005D4B69"/>
    <w:pPr>
      <w:spacing w:before="0"/>
    </w:pPr>
    <w:rPr>
      <w:sz w:val="20"/>
      <w:lang w:val="en-GB"/>
    </w:rPr>
  </w:style>
  <w:style w:type="paragraph" w:customStyle="1" w:styleId="Tablehead">
    <w:name w:val="Table_head"/>
    <w:basedOn w:val="Normal"/>
    <w:next w:val="Normal"/>
    <w:rsid w:val="005D4B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4B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D4B69"/>
    <w:pPr>
      <w:keepNext/>
      <w:spacing w:before="360" w:after="120"/>
      <w:jc w:val="center"/>
    </w:pPr>
  </w:style>
  <w:style w:type="paragraph" w:customStyle="1" w:styleId="Tabletext">
    <w:name w:val="Table_text"/>
    <w:basedOn w:val="Normal"/>
    <w:rsid w:val="005D4B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D4B69"/>
    <w:pPr>
      <w:tabs>
        <w:tab w:val="clear" w:pos="1191"/>
        <w:tab w:val="clear" w:pos="1588"/>
        <w:tab w:val="clear" w:pos="1985"/>
        <w:tab w:val="center" w:pos="4820"/>
        <w:tab w:val="right" w:pos="9639"/>
      </w:tabs>
    </w:pPr>
  </w:style>
  <w:style w:type="paragraph" w:customStyle="1" w:styleId="Equationlegend">
    <w:name w:val="Equation_legend"/>
    <w:basedOn w:val="NormalIndent"/>
    <w:rsid w:val="005D4B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4B69"/>
    <w:pPr>
      <w:ind w:left="794"/>
    </w:pPr>
  </w:style>
  <w:style w:type="paragraph" w:customStyle="1" w:styleId="Figurelegend">
    <w:name w:val="Figure_legend"/>
    <w:basedOn w:val="Normal"/>
    <w:rsid w:val="005D4B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D4B69"/>
    <w:pPr>
      <w:keepNext/>
      <w:keepLines/>
      <w:spacing w:before="480" w:after="80"/>
      <w:jc w:val="center"/>
    </w:pPr>
    <w:rPr>
      <w:caps/>
      <w:sz w:val="18"/>
    </w:rPr>
  </w:style>
  <w:style w:type="paragraph" w:customStyle="1" w:styleId="tocpart">
    <w:name w:val="tocpart"/>
    <w:basedOn w:val="Normal"/>
    <w:rsid w:val="005D4B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4B69"/>
    <w:pPr>
      <w:keepNext/>
      <w:keepLines/>
      <w:spacing w:before="480"/>
      <w:jc w:val="center"/>
    </w:pPr>
    <w:rPr>
      <w:sz w:val="28"/>
    </w:rPr>
  </w:style>
  <w:style w:type="paragraph" w:customStyle="1" w:styleId="Arttitle">
    <w:name w:val="Art_title"/>
    <w:basedOn w:val="Normal"/>
    <w:next w:val="Normalaftertitle"/>
    <w:rsid w:val="005D4B69"/>
    <w:pPr>
      <w:keepNext/>
      <w:keepLines/>
      <w:spacing w:before="240"/>
      <w:jc w:val="center"/>
    </w:pPr>
    <w:rPr>
      <w:b/>
      <w:sz w:val="28"/>
    </w:rPr>
  </w:style>
  <w:style w:type="paragraph" w:customStyle="1" w:styleId="Blanc">
    <w:name w:val="Blanc"/>
    <w:basedOn w:val="Normal"/>
    <w:next w:val="Tabletext"/>
    <w:rsid w:val="005D4B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4B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4B69"/>
    <w:pPr>
      <w:keepNext/>
      <w:keepLines/>
      <w:spacing w:before="160"/>
      <w:ind w:left="794"/>
    </w:pPr>
    <w:rPr>
      <w:i/>
    </w:rPr>
  </w:style>
  <w:style w:type="paragraph" w:customStyle="1" w:styleId="ChapNo">
    <w:name w:val="Chap_No"/>
    <w:basedOn w:val="ArtNo"/>
    <w:next w:val="Chaptitle"/>
    <w:rsid w:val="005D4B69"/>
    <w:rPr>
      <w:b/>
    </w:rPr>
  </w:style>
  <w:style w:type="paragraph" w:customStyle="1" w:styleId="Chaptitle">
    <w:name w:val="Chap_title"/>
    <w:basedOn w:val="Arttitle"/>
    <w:next w:val="Normalaftertitle"/>
    <w:rsid w:val="005D4B69"/>
  </w:style>
  <w:style w:type="character" w:styleId="FootnoteReference">
    <w:name w:val="footnote reference"/>
    <w:basedOn w:val="DefaultParagraphFont"/>
    <w:semiHidden/>
    <w:rsid w:val="005D4B69"/>
    <w:rPr>
      <w:position w:val="6"/>
      <w:sz w:val="18"/>
    </w:rPr>
  </w:style>
  <w:style w:type="paragraph" w:styleId="FootnoteText">
    <w:name w:val="footnote text"/>
    <w:basedOn w:val="Normal"/>
    <w:semiHidden/>
    <w:rsid w:val="005D4B69"/>
    <w:pPr>
      <w:keepLines/>
      <w:tabs>
        <w:tab w:val="left" w:pos="255"/>
      </w:tabs>
      <w:ind w:left="255" w:hanging="255"/>
    </w:pPr>
    <w:rPr>
      <w:sz w:val="22"/>
    </w:rPr>
  </w:style>
  <w:style w:type="paragraph" w:styleId="Index1">
    <w:name w:val="index 1"/>
    <w:basedOn w:val="Normal"/>
    <w:next w:val="Normal"/>
    <w:semiHidden/>
    <w:rsid w:val="005D4B69"/>
  </w:style>
  <w:style w:type="paragraph" w:styleId="Index2">
    <w:name w:val="index 2"/>
    <w:basedOn w:val="Normal"/>
    <w:next w:val="Normal"/>
    <w:semiHidden/>
    <w:rsid w:val="005D4B69"/>
    <w:pPr>
      <w:ind w:left="283"/>
    </w:pPr>
  </w:style>
  <w:style w:type="paragraph" w:styleId="Index3">
    <w:name w:val="index 3"/>
    <w:basedOn w:val="Normal"/>
    <w:next w:val="Normal"/>
    <w:semiHidden/>
    <w:rsid w:val="005D4B69"/>
    <w:pPr>
      <w:ind w:left="566"/>
    </w:pPr>
  </w:style>
  <w:style w:type="paragraph" w:styleId="IndexHeading">
    <w:name w:val="index heading"/>
    <w:basedOn w:val="Normal"/>
    <w:next w:val="Index1"/>
    <w:semiHidden/>
    <w:rsid w:val="005D4B69"/>
  </w:style>
  <w:style w:type="paragraph" w:customStyle="1" w:styleId="Line">
    <w:name w:val="Line"/>
    <w:basedOn w:val="Normal"/>
    <w:next w:val="Normal"/>
    <w:rsid w:val="005D4B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4B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4B69"/>
  </w:style>
  <w:style w:type="paragraph" w:customStyle="1" w:styleId="Partref">
    <w:name w:val="Part_ref"/>
    <w:basedOn w:val="Normal"/>
    <w:next w:val="Normal"/>
    <w:rsid w:val="005D4B69"/>
    <w:pPr>
      <w:keepNext/>
      <w:keepLines/>
      <w:spacing w:after="280"/>
      <w:jc w:val="center"/>
    </w:pPr>
  </w:style>
  <w:style w:type="paragraph" w:customStyle="1" w:styleId="Parttitle">
    <w:name w:val="Part_title"/>
    <w:basedOn w:val="Normal"/>
    <w:next w:val="Normalaftertitle"/>
    <w:rsid w:val="005D4B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4B69"/>
  </w:style>
  <w:style w:type="paragraph" w:customStyle="1" w:styleId="QuestionNo">
    <w:name w:val="Question_No"/>
    <w:basedOn w:val="RecNo"/>
    <w:next w:val="Normal"/>
    <w:rsid w:val="005D4B69"/>
  </w:style>
  <w:style w:type="paragraph" w:customStyle="1" w:styleId="Questionref">
    <w:name w:val="Question_ref"/>
    <w:basedOn w:val="Recref"/>
    <w:next w:val="Questiondate"/>
    <w:rsid w:val="005D4B69"/>
  </w:style>
  <w:style w:type="paragraph" w:customStyle="1" w:styleId="Questiontitle">
    <w:name w:val="Question_title"/>
    <w:basedOn w:val="Normal"/>
    <w:next w:val="Questionref"/>
    <w:rsid w:val="005D4B69"/>
  </w:style>
  <w:style w:type="paragraph" w:customStyle="1" w:styleId="Reftext">
    <w:name w:val="Ref_text"/>
    <w:basedOn w:val="Normal"/>
    <w:rsid w:val="005D4B69"/>
    <w:pPr>
      <w:ind w:left="794" w:hanging="794"/>
    </w:pPr>
    <w:rPr>
      <w:sz w:val="22"/>
    </w:rPr>
  </w:style>
  <w:style w:type="paragraph" w:customStyle="1" w:styleId="Reftitle">
    <w:name w:val="Ref_title"/>
    <w:basedOn w:val="Normal"/>
    <w:next w:val="Reftext"/>
    <w:rsid w:val="005D4B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4B69"/>
  </w:style>
  <w:style w:type="paragraph" w:customStyle="1" w:styleId="RepNo">
    <w:name w:val="Rep_No"/>
    <w:basedOn w:val="RecNo"/>
    <w:next w:val="Reptitle"/>
    <w:rsid w:val="005D4B69"/>
  </w:style>
  <w:style w:type="paragraph" w:customStyle="1" w:styleId="Repref">
    <w:name w:val="Rep_ref"/>
    <w:basedOn w:val="Recref"/>
    <w:next w:val="Repdate"/>
    <w:rsid w:val="005D4B69"/>
  </w:style>
  <w:style w:type="paragraph" w:customStyle="1" w:styleId="Reptitle">
    <w:name w:val="Rep_title"/>
    <w:basedOn w:val="Rectitle"/>
    <w:next w:val="Repref"/>
    <w:rsid w:val="005D4B69"/>
  </w:style>
  <w:style w:type="paragraph" w:customStyle="1" w:styleId="Resdate">
    <w:name w:val="Res_date"/>
    <w:basedOn w:val="Recdate"/>
    <w:next w:val="Normalaftertitle"/>
    <w:rsid w:val="005D4B69"/>
  </w:style>
  <w:style w:type="paragraph" w:customStyle="1" w:styleId="ResNo">
    <w:name w:val="Res_No"/>
    <w:basedOn w:val="RecNo"/>
    <w:next w:val="Restitle"/>
    <w:rsid w:val="005D4B69"/>
  </w:style>
  <w:style w:type="paragraph" w:customStyle="1" w:styleId="Resref">
    <w:name w:val="Res_ref"/>
    <w:basedOn w:val="Recref"/>
    <w:next w:val="Resdate"/>
    <w:rsid w:val="005D4B69"/>
  </w:style>
  <w:style w:type="paragraph" w:customStyle="1" w:styleId="Restitle">
    <w:name w:val="Res_title"/>
    <w:basedOn w:val="Normal"/>
    <w:next w:val="Resref"/>
    <w:rsid w:val="005D4B69"/>
    <w:pPr>
      <w:spacing w:before="240"/>
      <w:jc w:val="center"/>
    </w:pPr>
    <w:rPr>
      <w:b/>
      <w:sz w:val="28"/>
    </w:rPr>
  </w:style>
  <w:style w:type="paragraph" w:customStyle="1" w:styleId="SectionNo">
    <w:name w:val="Section_No"/>
    <w:basedOn w:val="Normal"/>
    <w:next w:val="Normal"/>
    <w:rsid w:val="005D4B69"/>
  </w:style>
  <w:style w:type="paragraph" w:customStyle="1" w:styleId="Sectiontitle">
    <w:name w:val="Section_title"/>
    <w:basedOn w:val="Normal"/>
    <w:next w:val="Normalaftertitle"/>
    <w:rsid w:val="005D4B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4B69"/>
    <w:pPr>
      <w:tabs>
        <w:tab w:val="clear" w:pos="794"/>
        <w:tab w:val="clear" w:pos="1191"/>
        <w:tab w:val="clear" w:pos="1588"/>
        <w:tab w:val="clear" w:pos="1985"/>
        <w:tab w:val="right" w:pos="9611"/>
      </w:tabs>
    </w:pPr>
    <w:rPr>
      <w:i/>
    </w:rPr>
  </w:style>
  <w:style w:type="paragraph" w:styleId="TOC1">
    <w:name w:val="toc 1"/>
    <w:basedOn w:val="Normal"/>
    <w:semiHidden/>
    <w:rsid w:val="005D4B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4B69"/>
    <w:pPr>
      <w:tabs>
        <w:tab w:val="clear" w:pos="567"/>
        <w:tab w:val="left" w:pos="1276"/>
      </w:tabs>
      <w:spacing w:before="160"/>
      <w:ind w:left="1276" w:hanging="709"/>
    </w:pPr>
  </w:style>
  <w:style w:type="paragraph" w:styleId="TOC3">
    <w:name w:val="toc 3"/>
    <w:basedOn w:val="TOC2"/>
    <w:semiHidden/>
    <w:rsid w:val="005D4B69"/>
    <w:pPr>
      <w:tabs>
        <w:tab w:val="clear" w:pos="1276"/>
        <w:tab w:val="left" w:pos="2155"/>
      </w:tabs>
      <w:ind w:left="2155" w:hanging="879"/>
    </w:pPr>
  </w:style>
  <w:style w:type="paragraph" w:styleId="TOC4">
    <w:name w:val="toc 4"/>
    <w:basedOn w:val="TOC3"/>
    <w:semiHidden/>
    <w:rsid w:val="005D4B69"/>
    <w:pPr>
      <w:tabs>
        <w:tab w:val="left" w:pos="3261"/>
      </w:tabs>
      <w:spacing w:before="80"/>
      <w:ind w:left="3261" w:hanging="993"/>
    </w:pPr>
  </w:style>
  <w:style w:type="paragraph" w:styleId="TOC5">
    <w:name w:val="toc 5"/>
    <w:basedOn w:val="TOC4"/>
    <w:semiHidden/>
    <w:rsid w:val="005D4B69"/>
  </w:style>
  <w:style w:type="paragraph" w:styleId="TOC6">
    <w:name w:val="toc 6"/>
    <w:basedOn w:val="TOC4"/>
    <w:semiHidden/>
    <w:rsid w:val="005D4B69"/>
  </w:style>
  <w:style w:type="paragraph" w:styleId="TOC7">
    <w:name w:val="toc 7"/>
    <w:basedOn w:val="TOC4"/>
    <w:semiHidden/>
    <w:rsid w:val="005D4B69"/>
  </w:style>
  <w:style w:type="paragraph" w:styleId="TOC8">
    <w:name w:val="toc 8"/>
    <w:basedOn w:val="TOC4"/>
    <w:semiHidden/>
    <w:rsid w:val="005D4B69"/>
  </w:style>
  <w:style w:type="paragraph" w:customStyle="1" w:styleId="Rectitle">
    <w:name w:val="Rec_title"/>
    <w:basedOn w:val="Normal"/>
    <w:next w:val="Recref"/>
    <w:rsid w:val="005D4B69"/>
    <w:pPr>
      <w:keepNext/>
      <w:keepLines/>
      <w:spacing w:before="240"/>
      <w:jc w:val="center"/>
    </w:pPr>
    <w:rPr>
      <w:b/>
      <w:sz w:val="28"/>
    </w:rPr>
  </w:style>
  <w:style w:type="paragraph" w:customStyle="1" w:styleId="Annexref">
    <w:name w:val="Annex_ref"/>
    <w:basedOn w:val="Normal"/>
    <w:next w:val="Normalaftertitle"/>
    <w:rsid w:val="005D4B69"/>
    <w:pPr>
      <w:keepNext/>
      <w:keepLines/>
      <w:spacing w:after="280"/>
      <w:jc w:val="center"/>
    </w:pPr>
  </w:style>
  <w:style w:type="paragraph" w:customStyle="1" w:styleId="Appendixref">
    <w:name w:val="Appendix_ref"/>
    <w:basedOn w:val="Annexref"/>
    <w:next w:val="Normalaftertitle"/>
    <w:rsid w:val="005D4B69"/>
  </w:style>
  <w:style w:type="paragraph" w:customStyle="1" w:styleId="Figuretitle">
    <w:name w:val="Figure_title"/>
    <w:basedOn w:val="Normal"/>
    <w:next w:val="Figure"/>
    <w:rsid w:val="005D4B6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D4B69"/>
    <w:pPr>
      <w:keepNext/>
      <w:spacing w:before="0" w:after="120"/>
      <w:jc w:val="center"/>
    </w:pPr>
    <w:rPr>
      <w:b/>
    </w:rPr>
  </w:style>
  <w:style w:type="paragraph" w:customStyle="1" w:styleId="Summary">
    <w:name w:val="Summary"/>
    <w:basedOn w:val="Normal"/>
    <w:next w:val="Normalaftertitle"/>
    <w:autoRedefine/>
    <w:rsid w:val="005D4B69"/>
    <w:pPr>
      <w:spacing w:after="480"/>
    </w:pPr>
    <w:rPr>
      <w:sz w:val="22"/>
      <w:lang w:val="es-ES_tradnl"/>
    </w:rPr>
  </w:style>
  <w:style w:type="paragraph" w:customStyle="1" w:styleId="TableLegendNote">
    <w:name w:val="Table_Legend_Note"/>
    <w:basedOn w:val="Tablelegend"/>
    <w:next w:val="Tablelegend"/>
    <w:rsid w:val="005D4B69"/>
    <w:pPr>
      <w:ind w:left="-85" w:firstLine="0"/>
    </w:pPr>
    <w:rPr>
      <w:lang w:val="en-US"/>
    </w:rPr>
  </w:style>
  <w:style w:type="paragraph" w:customStyle="1" w:styleId="Figure">
    <w:name w:val="Figure"/>
    <w:basedOn w:val="FigureNo"/>
    <w:next w:val="Normal"/>
    <w:rsid w:val="005D4B69"/>
    <w:pPr>
      <w:keepNext w:val="0"/>
      <w:spacing w:before="0" w:after="240"/>
    </w:pPr>
  </w:style>
  <w:style w:type="character" w:styleId="Hyperlink">
    <w:name w:val="Hyperlink"/>
    <w:basedOn w:val="DefaultParagraphFont"/>
    <w:rsid w:val="00C374F0"/>
    <w:rPr>
      <w:color w:val="0000FF"/>
      <w:u w:val="single"/>
    </w:rPr>
  </w:style>
  <w:style w:type="table" w:styleId="TableGrid">
    <w:name w:val="Table Grid"/>
    <w:basedOn w:val="TableNormal"/>
    <w:rsid w:val="00C374F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quationChar">
    <w:name w:val="Equation Char"/>
    <w:link w:val="Equation"/>
    <w:locked/>
    <w:rsid w:val="007C02FF"/>
    <w:rPr>
      <w:sz w:val="24"/>
      <w:lang w:val="fr-FR" w:eastAsia="en-US"/>
    </w:rPr>
  </w:style>
  <w:style w:type="paragraph" w:customStyle="1" w:styleId="Reasons">
    <w:name w:val="Reasons"/>
    <w:basedOn w:val="Normal"/>
    <w:qFormat/>
    <w:rsid w:val="007428AA"/>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EE2436"/>
    <w:pPr>
      <w:spacing w:before="0"/>
    </w:pPr>
    <w:rPr>
      <w:rFonts w:ascii="Tahoma" w:hAnsi="Tahoma" w:cs="Tahoma"/>
      <w:sz w:val="16"/>
      <w:szCs w:val="16"/>
    </w:rPr>
  </w:style>
  <w:style w:type="character" w:customStyle="1" w:styleId="BalloonTextChar">
    <w:name w:val="Balloon Text Char"/>
    <w:basedOn w:val="DefaultParagraphFont"/>
    <w:link w:val="BalloonText"/>
    <w:rsid w:val="00EE2436"/>
    <w:rPr>
      <w:rFonts w:ascii="Tahoma" w:hAnsi="Tahoma" w:cs="Tahoma"/>
      <w:sz w:val="16"/>
      <w:szCs w:val="16"/>
      <w:lang w:val="fr-FR" w:eastAsia="en-US"/>
    </w:rPr>
  </w:style>
  <w:style w:type="character" w:styleId="PlaceholderText">
    <w:name w:val="Placeholder Text"/>
    <w:basedOn w:val="DefaultParagraphFont"/>
    <w:uiPriority w:val="99"/>
    <w:semiHidden/>
    <w:rsid w:val="00D9328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4B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D4B69"/>
    <w:pPr>
      <w:keepNext/>
      <w:keepLines/>
      <w:spacing w:before="480"/>
      <w:ind w:left="794" w:hanging="794"/>
      <w:outlineLvl w:val="0"/>
    </w:pPr>
    <w:rPr>
      <w:b/>
    </w:rPr>
  </w:style>
  <w:style w:type="paragraph" w:styleId="Heading2">
    <w:name w:val="heading 2"/>
    <w:basedOn w:val="Heading1"/>
    <w:next w:val="Normal"/>
    <w:qFormat/>
    <w:rsid w:val="005D4B69"/>
    <w:pPr>
      <w:spacing w:before="320"/>
      <w:outlineLvl w:val="1"/>
    </w:pPr>
  </w:style>
  <w:style w:type="paragraph" w:styleId="Heading3">
    <w:name w:val="heading 3"/>
    <w:basedOn w:val="Heading1"/>
    <w:next w:val="Normal"/>
    <w:qFormat/>
    <w:rsid w:val="005D4B69"/>
    <w:pPr>
      <w:spacing w:before="200"/>
      <w:outlineLvl w:val="2"/>
    </w:pPr>
  </w:style>
  <w:style w:type="paragraph" w:styleId="Heading4">
    <w:name w:val="heading 4"/>
    <w:basedOn w:val="Heading3"/>
    <w:next w:val="Normal"/>
    <w:qFormat/>
    <w:rsid w:val="005D4B69"/>
    <w:pPr>
      <w:tabs>
        <w:tab w:val="clear" w:pos="794"/>
        <w:tab w:val="left" w:pos="992"/>
      </w:tabs>
      <w:ind w:left="992" w:hanging="992"/>
      <w:outlineLvl w:val="3"/>
    </w:pPr>
  </w:style>
  <w:style w:type="paragraph" w:styleId="Heading5">
    <w:name w:val="heading 5"/>
    <w:basedOn w:val="Heading4"/>
    <w:next w:val="Normal"/>
    <w:qFormat/>
    <w:rsid w:val="005D4B69"/>
    <w:pPr>
      <w:outlineLvl w:val="4"/>
    </w:pPr>
  </w:style>
  <w:style w:type="paragraph" w:styleId="Heading6">
    <w:name w:val="heading 6"/>
    <w:basedOn w:val="Heading4"/>
    <w:next w:val="Normal"/>
    <w:qFormat/>
    <w:rsid w:val="005D4B69"/>
    <w:pPr>
      <w:tabs>
        <w:tab w:val="clear" w:pos="992"/>
        <w:tab w:val="clear" w:pos="1191"/>
      </w:tabs>
      <w:ind w:left="1588" w:hanging="1588"/>
      <w:outlineLvl w:val="5"/>
    </w:pPr>
  </w:style>
  <w:style w:type="paragraph" w:styleId="Heading7">
    <w:name w:val="heading 7"/>
    <w:basedOn w:val="Heading6"/>
    <w:next w:val="Normal"/>
    <w:qFormat/>
    <w:rsid w:val="005D4B69"/>
    <w:pPr>
      <w:outlineLvl w:val="6"/>
    </w:pPr>
  </w:style>
  <w:style w:type="paragraph" w:styleId="Heading8">
    <w:name w:val="heading 8"/>
    <w:basedOn w:val="Heading6"/>
    <w:next w:val="Normal"/>
    <w:qFormat/>
    <w:rsid w:val="005D4B69"/>
    <w:pPr>
      <w:outlineLvl w:val="7"/>
    </w:pPr>
  </w:style>
  <w:style w:type="paragraph" w:styleId="Heading9">
    <w:name w:val="heading 9"/>
    <w:basedOn w:val="Heading6"/>
    <w:next w:val="Normal"/>
    <w:qFormat/>
    <w:rsid w:val="005D4B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D4B6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D4B6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4B69"/>
  </w:style>
  <w:style w:type="paragraph" w:customStyle="1" w:styleId="Headingb">
    <w:name w:val="Heading_b"/>
    <w:basedOn w:val="Heading3"/>
    <w:next w:val="Normal"/>
    <w:rsid w:val="005D4B69"/>
    <w:pPr>
      <w:spacing w:before="160"/>
      <w:ind w:left="0" w:firstLine="0"/>
      <w:outlineLvl w:val="9"/>
    </w:pPr>
  </w:style>
  <w:style w:type="paragraph" w:customStyle="1" w:styleId="Headingi">
    <w:name w:val="Heading_i"/>
    <w:basedOn w:val="Heading3"/>
    <w:next w:val="Normal"/>
    <w:rsid w:val="005D4B69"/>
    <w:pPr>
      <w:spacing w:before="160"/>
      <w:ind w:left="0" w:firstLine="0"/>
    </w:pPr>
    <w:rPr>
      <w:b w:val="0"/>
      <w:i/>
    </w:rPr>
  </w:style>
  <w:style w:type="character" w:customStyle="1" w:styleId="href">
    <w:name w:val="href"/>
    <w:basedOn w:val="DefaultParagraphFont"/>
    <w:rsid w:val="005D4B69"/>
  </w:style>
  <w:style w:type="paragraph" w:customStyle="1" w:styleId="enumlev1">
    <w:name w:val="enumlev1"/>
    <w:basedOn w:val="Normal"/>
    <w:rsid w:val="005D4B69"/>
    <w:pPr>
      <w:spacing w:before="80"/>
      <w:ind w:left="794" w:hanging="794"/>
    </w:pPr>
  </w:style>
  <w:style w:type="paragraph" w:customStyle="1" w:styleId="enumlev2">
    <w:name w:val="enumlev2"/>
    <w:basedOn w:val="enumlev1"/>
    <w:rsid w:val="005D4B69"/>
    <w:pPr>
      <w:ind w:left="1191" w:hanging="397"/>
    </w:pPr>
  </w:style>
  <w:style w:type="paragraph" w:customStyle="1" w:styleId="enumlev3">
    <w:name w:val="enumlev3"/>
    <w:basedOn w:val="enumlev2"/>
    <w:rsid w:val="005D4B69"/>
    <w:pPr>
      <w:ind w:left="1588"/>
    </w:pPr>
  </w:style>
  <w:style w:type="paragraph" w:customStyle="1" w:styleId="Normalaftertitle">
    <w:name w:val="Normal_after_title"/>
    <w:basedOn w:val="Normal"/>
    <w:next w:val="Normal"/>
    <w:rsid w:val="005D4B69"/>
    <w:pPr>
      <w:spacing w:before="320"/>
    </w:pPr>
  </w:style>
  <w:style w:type="paragraph" w:customStyle="1" w:styleId="Note">
    <w:name w:val="Note"/>
    <w:basedOn w:val="Normal"/>
    <w:rsid w:val="005D4B6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4B6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D4B69"/>
    <w:pPr>
      <w:spacing w:before="240"/>
    </w:pPr>
    <w:rPr>
      <w:sz w:val="22"/>
      <w:lang w:val="es-ES_tradnl"/>
    </w:rPr>
  </w:style>
  <w:style w:type="paragraph" w:customStyle="1" w:styleId="Recref">
    <w:name w:val="Rec_ref"/>
    <w:basedOn w:val="Normal"/>
    <w:next w:val="Recdate"/>
    <w:rsid w:val="005D4B69"/>
    <w:pPr>
      <w:jc w:val="center"/>
    </w:pPr>
  </w:style>
  <w:style w:type="paragraph" w:customStyle="1" w:styleId="Recdate">
    <w:name w:val="Rec_date"/>
    <w:basedOn w:val="Recref"/>
    <w:next w:val="Normalaftertitle"/>
    <w:rsid w:val="005D4B69"/>
    <w:pPr>
      <w:jc w:val="right"/>
    </w:pPr>
  </w:style>
  <w:style w:type="paragraph" w:customStyle="1" w:styleId="AnnexNoTitle">
    <w:name w:val="Annex_NoTitle"/>
    <w:basedOn w:val="Normal"/>
    <w:next w:val="Normalaftertitle"/>
    <w:rsid w:val="005D4B69"/>
    <w:pPr>
      <w:keepNext/>
      <w:keepLines/>
      <w:spacing w:before="480" w:after="80"/>
      <w:jc w:val="center"/>
    </w:pPr>
    <w:rPr>
      <w:b/>
      <w:sz w:val="28"/>
    </w:rPr>
  </w:style>
  <w:style w:type="paragraph" w:customStyle="1" w:styleId="AppendixNoTitle">
    <w:name w:val="Appendix_NoTitle"/>
    <w:basedOn w:val="AnnexNoTitle"/>
    <w:next w:val="Normal"/>
    <w:rsid w:val="005D4B69"/>
  </w:style>
  <w:style w:type="paragraph" w:customStyle="1" w:styleId="Tablefin">
    <w:name w:val="Table_fin"/>
    <w:basedOn w:val="Normal"/>
    <w:next w:val="Normal"/>
    <w:rsid w:val="005D4B69"/>
    <w:pPr>
      <w:spacing w:before="0"/>
    </w:pPr>
    <w:rPr>
      <w:sz w:val="20"/>
      <w:lang w:val="en-GB"/>
    </w:rPr>
  </w:style>
  <w:style w:type="paragraph" w:customStyle="1" w:styleId="Tablehead">
    <w:name w:val="Table_head"/>
    <w:basedOn w:val="Normal"/>
    <w:next w:val="Normal"/>
    <w:rsid w:val="005D4B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4B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D4B69"/>
    <w:pPr>
      <w:keepNext/>
      <w:spacing w:before="360" w:after="120"/>
      <w:jc w:val="center"/>
    </w:pPr>
  </w:style>
  <w:style w:type="paragraph" w:customStyle="1" w:styleId="Tabletext">
    <w:name w:val="Table_text"/>
    <w:basedOn w:val="Normal"/>
    <w:rsid w:val="005D4B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D4B69"/>
    <w:pPr>
      <w:tabs>
        <w:tab w:val="clear" w:pos="1191"/>
        <w:tab w:val="clear" w:pos="1588"/>
        <w:tab w:val="clear" w:pos="1985"/>
        <w:tab w:val="center" w:pos="4820"/>
        <w:tab w:val="right" w:pos="9639"/>
      </w:tabs>
    </w:pPr>
  </w:style>
  <w:style w:type="paragraph" w:customStyle="1" w:styleId="Equationlegend">
    <w:name w:val="Equation_legend"/>
    <w:basedOn w:val="NormalIndent"/>
    <w:rsid w:val="005D4B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4B69"/>
    <w:pPr>
      <w:ind w:left="794"/>
    </w:pPr>
  </w:style>
  <w:style w:type="paragraph" w:customStyle="1" w:styleId="Figurelegend">
    <w:name w:val="Figure_legend"/>
    <w:basedOn w:val="Normal"/>
    <w:rsid w:val="005D4B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D4B69"/>
    <w:pPr>
      <w:keepNext/>
      <w:keepLines/>
      <w:spacing w:before="480" w:after="80"/>
      <w:jc w:val="center"/>
    </w:pPr>
    <w:rPr>
      <w:caps/>
      <w:sz w:val="18"/>
    </w:rPr>
  </w:style>
  <w:style w:type="paragraph" w:customStyle="1" w:styleId="tocpart">
    <w:name w:val="tocpart"/>
    <w:basedOn w:val="Normal"/>
    <w:rsid w:val="005D4B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4B69"/>
    <w:pPr>
      <w:keepNext/>
      <w:keepLines/>
      <w:spacing w:before="480"/>
      <w:jc w:val="center"/>
    </w:pPr>
    <w:rPr>
      <w:sz w:val="28"/>
    </w:rPr>
  </w:style>
  <w:style w:type="paragraph" w:customStyle="1" w:styleId="Arttitle">
    <w:name w:val="Art_title"/>
    <w:basedOn w:val="Normal"/>
    <w:next w:val="Normalaftertitle"/>
    <w:rsid w:val="005D4B69"/>
    <w:pPr>
      <w:keepNext/>
      <w:keepLines/>
      <w:spacing w:before="240"/>
      <w:jc w:val="center"/>
    </w:pPr>
    <w:rPr>
      <w:b/>
      <w:sz w:val="28"/>
    </w:rPr>
  </w:style>
  <w:style w:type="paragraph" w:customStyle="1" w:styleId="Blanc">
    <w:name w:val="Blanc"/>
    <w:basedOn w:val="Normal"/>
    <w:next w:val="Tabletext"/>
    <w:rsid w:val="005D4B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4B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4B69"/>
    <w:pPr>
      <w:keepNext/>
      <w:keepLines/>
      <w:spacing w:before="160"/>
      <w:ind w:left="794"/>
    </w:pPr>
    <w:rPr>
      <w:i/>
    </w:rPr>
  </w:style>
  <w:style w:type="paragraph" w:customStyle="1" w:styleId="ChapNo">
    <w:name w:val="Chap_No"/>
    <w:basedOn w:val="ArtNo"/>
    <w:next w:val="Chaptitle"/>
    <w:rsid w:val="005D4B69"/>
    <w:rPr>
      <w:b/>
    </w:rPr>
  </w:style>
  <w:style w:type="paragraph" w:customStyle="1" w:styleId="Chaptitle">
    <w:name w:val="Chap_title"/>
    <w:basedOn w:val="Arttitle"/>
    <w:next w:val="Normalaftertitle"/>
    <w:rsid w:val="005D4B69"/>
  </w:style>
  <w:style w:type="character" w:styleId="FootnoteReference">
    <w:name w:val="footnote reference"/>
    <w:basedOn w:val="DefaultParagraphFont"/>
    <w:semiHidden/>
    <w:rsid w:val="005D4B69"/>
    <w:rPr>
      <w:position w:val="6"/>
      <w:sz w:val="18"/>
    </w:rPr>
  </w:style>
  <w:style w:type="paragraph" w:styleId="FootnoteText">
    <w:name w:val="footnote text"/>
    <w:basedOn w:val="Normal"/>
    <w:semiHidden/>
    <w:rsid w:val="005D4B69"/>
    <w:pPr>
      <w:keepLines/>
      <w:tabs>
        <w:tab w:val="left" w:pos="255"/>
      </w:tabs>
      <w:ind w:left="255" w:hanging="255"/>
    </w:pPr>
    <w:rPr>
      <w:sz w:val="22"/>
    </w:rPr>
  </w:style>
  <w:style w:type="paragraph" w:styleId="Index1">
    <w:name w:val="index 1"/>
    <w:basedOn w:val="Normal"/>
    <w:next w:val="Normal"/>
    <w:semiHidden/>
    <w:rsid w:val="005D4B69"/>
  </w:style>
  <w:style w:type="paragraph" w:styleId="Index2">
    <w:name w:val="index 2"/>
    <w:basedOn w:val="Normal"/>
    <w:next w:val="Normal"/>
    <w:semiHidden/>
    <w:rsid w:val="005D4B69"/>
    <w:pPr>
      <w:ind w:left="283"/>
    </w:pPr>
  </w:style>
  <w:style w:type="paragraph" w:styleId="Index3">
    <w:name w:val="index 3"/>
    <w:basedOn w:val="Normal"/>
    <w:next w:val="Normal"/>
    <w:semiHidden/>
    <w:rsid w:val="005D4B69"/>
    <w:pPr>
      <w:ind w:left="566"/>
    </w:pPr>
  </w:style>
  <w:style w:type="paragraph" w:styleId="IndexHeading">
    <w:name w:val="index heading"/>
    <w:basedOn w:val="Normal"/>
    <w:next w:val="Index1"/>
    <w:semiHidden/>
    <w:rsid w:val="005D4B69"/>
  </w:style>
  <w:style w:type="paragraph" w:customStyle="1" w:styleId="Line">
    <w:name w:val="Line"/>
    <w:basedOn w:val="Normal"/>
    <w:next w:val="Normal"/>
    <w:rsid w:val="005D4B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4B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4B69"/>
  </w:style>
  <w:style w:type="paragraph" w:customStyle="1" w:styleId="Partref">
    <w:name w:val="Part_ref"/>
    <w:basedOn w:val="Normal"/>
    <w:next w:val="Normal"/>
    <w:rsid w:val="005D4B69"/>
    <w:pPr>
      <w:keepNext/>
      <w:keepLines/>
      <w:spacing w:after="280"/>
      <w:jc w:val="center"/>
    </w:pPr>
  </w:style>
  <w:style w:type="paragraph" w:customStyle="1" w:styleId="Parttitle">
    <w:name w:val="Part_title"/>
    <w:basedOn w:val="Normal"/>
    <w:next w:val="Normalaftertitle"/>
    <w:rsid w:val="005D4B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4B69"/>
  </w:style>
  <w:style w:type="paragraph" w:customStyle="1" w:styleId="QuestionNo">
    <w:name w:val="Question_No"/>
    <w:basedOn w:val="RecNo"/>
    <w:next w:val="Normal"/>
    <w:rsid w:val="005D4B69"/>
  </w:style>
  <w:style w:type="paragraph" w:customStyle="1" w:styleId="Questionref">
    <w:name w:val="Question_ref"/>
    <w:basedOn w:val="Recref"/>
    <w:next w:val="Questiondate"/>
    <w:rsid w:val="005D4B69"/>
  </w:style>
  <w:style w:type="paragraph" w:customStyle="1" w:styleId="Questiontitle">
    <w:name w:val="Question_title"/>
    <w:basedOn w:val="Normal"/>
    <w:next w:val="Questionref"/>
    <w:rsid w:val="005D4B69"/>
  </w:style>
  <w:style w:type="paragraph" w:customStyle="1" w:styleId="Reftext">
    <w:name w:val="Ref_text"/>
    <w:basedOn w:val="Normal"/>
    <w:rsid w:val="005D4B69"/>
    <w:pPr>
      <w:ind w:left="794" w:hanging="794"/>
    </w:pPr>
    <w:rPr>
      <w:sz w:val="22"/>
    </w:rPr>
  </w:style>
  <w:style w:type="paragraph" w:customStyle="1" w:styleId="Reftitle">
    <w:name w:val="Ref_title"/>
    <w:basedOn w:val="Normal"/>
    <w:next w:val="Reftext"/>
    <w:rsid w:val="005D4B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4B69"/>
  </w:style>
  <w:style w:type="paragraph" w:customStyle="1" w:styleId="RepNo">
    <w:name w:val="Rep_No"/>
    <w:basedOn w:val="RecNo"/>
    <w:next w:val="Reptitle"/>
    <w:rsid w:val="005D4B69"/>
  </w:style>
  <w:style w:type="paragraph" w:customStyle="1" w:styleId="Repref">
    <w:name w:val="Rep_ref"/>
    <w:basedOn w:val="Recref"/>
    <w:next w:val="Repdate"/>
    <w:rsid w:val="005D4B69"/>
  </w:style>
  <w:style w:type="paragraph" w:customStyle="1" w:styleId="Reptitle">
    <w:name w:val="Rep_title"/>
    <w:basedOn w:val="Rectitle"/>
    <w:next w:val="Repref"/>
    <w:rsid w:val="005D4B69"/>
  </w:style>
  <w:style w:type="paragraph" w:customStyle="1" w:styleId="Resdate">
    <w:name w:val="Res_date"/>
    <w:basedOn w:val="Recdate"/>
    <w:next w:val="Normalaftertitle"/>
    <w:rsid w:val="005D4B69"/>
  </w:style>
  <w:style w:type="paragraph" w:customStyle="1" w:styleId="ResNo">
    <w:name w:val="Res_No"/>
    <w:basedOn w:val="RecNo"/>
    <w:next w:val="Restitle"/>
    <w:rsid w:val="005D4B69"/>
  </w:style>
  <w:style w:type="paragraph" w:customStyle="1" w:styleId="Resref">
    <w:name w:val="Res_ref"/>
    <w:basedOn w:val="Recref"/>
    <w:next w:val="Resdate"/>
    <w:rsid w:val="005D4B69"/>
  </w:style>
  <w:style w:type="paragraph" w:customStyle="1" w:styleId="Restitle">
    <w:name w:val="Res_title"/>
    <w:basedOn w:val="Normal"/>
    <w:next w:val="Resref"/>
    <w:rsid w:val="005D4B69"/>
    <w:pPr>
      <w:spacing w:before="240"/>
      <w:jc w:val="center"/>
    </w:pPr>
    <w:rPr>
      <w:b/>
      <w:sz w:val="28"/>
    </w:rPr>
  </w:style>
  <w:style w:type="paragraph" w:customStyle="1" w:styleId="SectionNo">
    <w:name w:val="Section_No"/>
    <w:basedOn w:val="Normal"/>
    <w:next w:val="Normal"/>
    <w:rsid w:val="005D4B69"/>
  </w:style>
  <w:style w:type="paragraph" w:customStyle="1" w:styleId="Sectiontitle">
    <w:name w:val="Section_title"/>
    <w:basedOn w:val="Normal"/>
    <w:next w:val="Normalaftertitle"/>
    <w:rsid w:val="005D4B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4B69"/>
    <w:pPr>
      <w:tabs>
        <w:tab w:val="clear" w:pos="794"/>
        <w:tab w:val="clear" w:pos="1191"/>
        <w:tab w:val="clear" w:pos="1588"/>
        <w:tab w:val="clear" w:pos="1985"/>
        <w:tab w:val="right" w:pos="9611"/>
      </w:tabs>
    </w:pPr>
    <w:rPr>
      <w:i/>
    </w:rPr>
  </w:style>
  <w:style w:type="paragraph" w:styleId="TOC1">
    <w:name w:val="toc 1"/>
    <w:basedOn w:val="Normal"/>
    <w:semiHidden/>
    <w:rsid w:val="005D4B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4B69"/>
    <w:pPr>
      <w:tabs>
        <w:tab w:val="clear" w:pos="567"/>
        <w:tab w:val="left" w:pos="1276"/>
      </w:tabs>
      <w:spacing w:before="160"/>
      <w:ind w:left="1276" w:hanging="709"/>
    </w:pPr>
  </w:style>
  <w:style w:type="paragraph" w:styleId="TOC3">
    <w:name w:val="toc 3"/>
    <w:basedOn w:val="TOC2"/>
    <w:semiHidden/>
    <w:rsid w:val="005D4B69"/>
    <w:pPr>
      <w:tabs>
        <w:tab w:val="clear" w:pos="1276"/>
        <w:tab w:val="left" w:pos="2155"/>
      </w:tabs>
      <w:ind w:left="2155" w:hanging="879"/>
    </w:pPr>
  </w:style>
  <w:style w:type="paragraph" w:styleId="TOC4">
    <w:name w:val="toc 4"/>
    <w:basedOn w:val="TOC3"/>
    <w:semiHidden/>
    <w:rsid w:val="005D4B69"/>
    <w:pPr>
      <w:tabs>
        <w:tab w:val="left" w:pos="3261"/>
      </w:tabs>
      <w:spacing w:before="80"/>
      <w:ind w:left="3261" w:hanging="993"/>
    </w:pPr>
  </w:style>
  <w:style w:type="paragraph" w:styleId="TOC5">
    <w:name w:val="toc 5"/>
    <w:basedOn w:val="TOC4"/>
    <w:semiHidden/>
    <w:rsid w:val="005D4B69"/>
  </w:style>
  <w:style w:type="paragraph" w:styleId="TOC6">
    <w:name w:val="toc 6"/>
    <w:basedOn w:val="TOC4"/>
    <w:semiHidden/>
    <w:rsid w:val="005D4B69"/>
  </w:style>
  <w:style w:type="paragraph" w:styleId="TOC7">
    <w:name w:val="toc 7"/>
    <w:basedOn w:val="TOC4"/>
    <w:semiHidden/>
    <w:rsid w:val="005D4B69"/>
  </w:style>
  <w:style w:type="paragraph" w:styleId="TOC8">
    <w:name w:val="toc 8"/>
    <w:basedOn w:val="TOC4"/>
    <w:semiHidden/>
    <w:rsid w:val="005D4B69"/>
  </w:style>
  <w:style w:type="paragraph" w:customStyle="1" w:styleId="Rectitle">
    <w:name w:val="Rec_title"/>
    <w:basedOn w:val="Normal"/>
    <w:next w:val="Recref"/>
    <w:rsid w:val="005D4B69"/>
    <w:pPr>
      <w:keepNext/>
      <w:keepLines/>
      <w:spacing w:before="240"/>
      <w:jc w:val="center"/>
    </w:pPr>
    <w:rPr>
      <w:b/>
      <w:sz w:val="28"/>
    </w:rPr>
  </w:style>
  <w:style w:type="paragraph" w:customStyle="1" w:styleId="Annexref">
    <w:name w:val="Annex_ref"/>
    <w:basedOn w:val="Normal"/>
    <w:next w:val="Normalaftertitle"/>
    <w:rsid w:val="005D4B69"/>
    <w:pPr>
      <w:keepNext/>
      <w:keepLines/>
      <w:spacing w:after="280"/>
      <w:jc w:val="center"/>
    </w:pPr>
  </w:style>
  <w:style w:type="paragraph" w:customStyle="1" w:styleId="Appendixref">
    <w:name w:val="Appendix_ref"/>
    <w:basedOn w:val="Annexref"/>
    <w:next w:val="Normalaftertitle"/>
    <w:rsid w:val="005D4B69"/>
  </w:style>
  <w:style w:type="paragraph" w:customStyle="1" w:styleId="Figuretitle">
    <w:name w:val="Figure_title"/>
    <w:basedOn w:val="Normal"/>
    <w:next w:val="Figure"/>
    <w:rsid w:val="005D4B6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D4B69"/>
    <w:pPr>
      <w:keepNext/>
      <w:spacing w:before="0" w:after="120"/>
      <w:jc w:val="center"/>
    </w:pPr>
    <w:rPr>
      <w:b/>
    </w:rPr>
  </w:style>
  <w:style w:type="paragraph" w:customStyle="1" w:styleId="Summary">
    <w:name w:val="Summary"/>
    <w:basedOn w:val="Normal"/>
    <w:next w:val="Normalaftertitle"/>
    <w:autoRedefine/>
    <w:rsid w:val="005D4B69"/>
    <w:pPr>
      <w:spacing w:after="480"/>
    </w:pPr>
    <w:rPr>
      <w:sz w:val="22"/>
      <w:lang w:val="es-ES_tradnl"/>
    </w:rPr>
  </w:style>
  <w:style w:type="paragraph" w:customStyle="1" w:styleId="TableLegendNote">
    <w:name w:val="Table_Legend_Note"/>
    <w:basedOn w:val="Tablelegend"/>
    <w:next w:val="Tablelegend"/>
    <w:rsid w:val="005D4B69"/>
    <w:pPr>
      <w:ind w:left="-85" w:firstLine="0"/>
    </w:pPr>
    <w:rPr>
      <w:lang w:val="en-US"/>
    </w:rPr>
  </w:style>
  <w:style w:type="paragraph" w:customStyle="1" w:styleId="Figure">
    <w:name w:val="Figure"/>
    <w:basedOn w:val="FigureNo"/>
    <w:next w:val="Normal"/>
    <w:rsid w:val="005D4B69"/>
    <w:pPr>
      <w:keepNext w:val="0"/>
      <w:spacing w:before="0" w:after="240"/>
    </w:pPr>
  </w:style>
  <w:style w:type="character" w:styleId="Hyperlink">
    <w:name w:val="Hyperlink"/>
    <w:basedOn w:val="DefaultParagraphFont"/>
    <w:rsid w:val="00C374F0"/>
    <w:rPr>
      <w:color w:val="0000FF"/>
      <w:u w:val="single"/>
    </w:rPr>
  </w:style>
  <w:style w:type="table" w:styleId="TableGrid">
    <w:name w:val="Table Grid"/>
    <w:basedOn w:val="TableNormal"/>
    <w:rsid w:val="00C374F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quationChar">
    <w:name w:val="Equation Char"/>
    <w:link w:val="Equation"/>
    <w:locked/>
    <w:rsid w:val="007C02FF"/>
    <w:rPr>
      <w:sz w:val="24"/>
      <w:lang w:val="fr-FR" w:eastAsia="en-US"/>
    </w:rPr>
  </w:style>
  <w:style w:type="paragraph" w:customStyle="1" w:styleId="Reasons">
    <w:name w:val="Reasons"/>
    <w:basedOn w:val="Normal"/>
    <w:qFormat/>
    <w:rsid w:val="007428AA"/>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EE2436"/>
    <w:pPr>
      <w:spacing w:before="0"/>
    </w:pPr>
    <w:rPr>
      <w:rFonts w:ascii="Tahoma" w:hAnsi="Tahoma" w:cs="Tahoma"/>
      <w:sz w:val="16"/>
      <w:szCs w:val="16"/>
    </w:rPr>
  </w:style>
  <w:style w:type="character" w:customStyle="1" w:styleId="BalloonTextChar">
    <w:name w:val="Balloon Text Char"/>
    <w:basedOn w:val="DefaultParagraphFont"/>
    <w:link w:val="BalloonText"/>
    <w:rsid w:val="00EE2436"/>
    <w:rPr>
      <w:rFonts w:ascii="Tahoma" w:hAnsi="Tahoma" w:cs="Tahoma"/>
      <w:sz w:val="16"/>
      <w:szCs w:val="16"/>
      <w:lang w:val="fr-FR" w:eastAsia="en-US"/>
    </w:rPr>
  </w:style>
  <w:style w:type="character" w:styleId="PlaceholderText">
    <w:name w:val="Placeholder Text"/>
    <w:basedOn w:val="DefaultParagraphFont"/>
    <w:uiPriority w:val="99"/>
    <w:semiHidden/>
    <w:rsid w:val="00D932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wmf"/><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467</TotalTime>
  <Pages>11</Pages>
  <Words>2720</Words>
  <Characters>13927</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96</cp:revision>
  <cp:lastPrinted>2012-09-06T07:44:00Z</cp:lastPrinted>
  <dcterms:created xsi:type="dcterms:W3CDTF">2012-08-27T11:53:00Z</dcterms:created>
  <dcterms:modified xsi:type="dcterms:W3CDTF">2012-09-06T08:05:00Z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