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520" w:rsidRPr="00CA2D02" w:rsidRDefault="00BA2520">
      <w:pPr>
        <w:rPr>
          <w:lang w:val="en-GB"/>
        </w:rPr>
      </w:pPr>
    </w:p>
    <w:p w:rsidR="00BA2520" w:rsidRPr="00CA2D02" w:rsidRDefault="00BA2520">
      <w:pPr>
        <w:rPr>
          <w:lang w:val="en-GB"/>
        </w:rPr>
      </w:pPr>
    </w:p>
    <w:p w:rsidR="00BA2520" w:rsidRPr="00CA2D02" w:rsidRDefault="00BA2520">
      <w:pPr>
        <w:rPr>
          <w:lang w:val="en-GB"/>
        </w:rPr>
      </w:pPr>
    </w:p>
    <w:p w:rsidR="00BA2520" w:rsidRPr="00CA2D02" w:rsidRDefault="00BA2520">
      <w:pPr>
        <w:rPr>
          <w:lang w:val="en-GB"/>
        </w:rPr>
      </w:pPr>
    </w:p>
    <w:p w:rsidR="00BA2520" w:rsidRPr="00CA2D02" w:rsidRDefault="00BA2520">
      <w:pPr>
        <w:rPr>
          <w:lang w:val="en-GB"/>
        </w:rPr>
      </w:pPr>
    </w:p>
    <w:p w:rsidR="00BA2520" w:rsidRPr="00CA2D02" w:rsidRDefault="00BA2520">
      <w:pPr>
        <w:rPr>
          <w:lang w:val="en-GB"/>
        </w:rPr>
      </w:pPr>
    </w:p>
    <w:p w:rsidR="00BA2520" w:rsidRPr="00CA2D02" w:rsidRDefault="00BA2520">
      <w:pPr>
        <w:rPr>
          <w:lang w:val="en-GB"/>
        </w:rPr>
      </w:pPr>
    </w:p>
    <w:p w:rsidR="00BA2520" w:rsidRPr="00CA2D02" w:rsidRDefault="00BA2520">
      <w:pPr>
        <w:rPr>
          <w:lang w:val="en-GB"/>
        </w:rPr>
      </w:pPr>
    </w:p>
    <w:p w:rsidR="00BA2520" w:rsidRPr="00CA2D02" w:rsidRDefault="00BA2520">
      <w:pPr>
        <w:rPr>
          <w:lang w:val="en-GB"/>
        </w:rPr>
      </w:pPr>
    </w:p>
    <w:p w:rsidR="00BA2520" w:rsidRPr="00CA2D02" w:rsidRDefault="00BA2520">
      <w:pPr>
        <w:rPr>
          <w:lang w:val="en-GB"/>
        </w:rPr>
      </w:pPr>
    </w:p>
    <w:p w:rsidR="00BA2520" w:rsidRPr="00CA2D02" w:rsidRDefault="00BA2520">
      <w:pPr>
        <w:rPr>
          <w:lang w:val="en-GB"/>
        </w:rPr>
      </w:pPr>
    </w:p>
    <w:p w:rsidR="00BA2520" w:rsidRPr="00CA2D02" w:rsidRDefault="00BA2520">
      <w:pPr>
        <w:rPr>
          <w:lang w:val="en-GB"/>
        </w:rPr>
      </w:pPr>
    </w:p>
    <w:tbl>
      <w:tblPr>
        <w:tblW w:w="10089" w:type="dxa"/>
        <w:tblLook w:val="01E0" w:firstRow="1" w:lastRow="1" w:firstColumn="1" w:lastColumn="1" w:noHBand="0" w:noVBand="0"/>
      </w:tblPr>
      <w:tblGrid>
        <w:gridCol w:w="10089"/>
      </w:tblGrid>
      <w:tr w:rsidR="00BA2520" w:rsidRPr="00CA2D02">
        <w:tc>
          <w:tcPr>
            <w:tcW w:w="10089" w:type="dxa"/>
          </w:tcPr>
          <w:p w:rsidR="00BA2520" w:rsidRPr="00CA2D02" w:rsidRDefault="00BA2520" w:rsidP="00013002">
            <w:pPr>
              <w:spacing w:before="380" w:line="280" w:lineRule="exact"/>
              <w:jc w:val="right"/>
              <w:rPr>
                <w:rFonts w:ascii="Tahoma" w:hAnsi="Tahoma" w:cs="Tahoma"/>
                <w:b/>
                <w:bCs/>
                <w:iCs/>
                <w:color w:val="243285"/>
                <w:sz w:val="32"/>
                <w:szCs w:val="32"/>
                <w:lang w:val="en-GB"/>
              </w:rPr>
            </w:pPr>
          </w:p>
          <w:p w:rsidR="00BA2520" w:rsidRPr="00CA2D02" w:rsidRDefault="00BA2520" w:rsidP="00036492">
            <w:pPr>
              <w:spacing w:before="380" w:line="280" w:lineRule="exact"/>
              <w:jc w:val="right"/>
              <w:rPr>
                <w:rFonts w:ascii="Tahoma" w:hAnsi="Tahoma" w:cs="Tahoma"/>
                <w:b/>
                <w:bCs/>
                <w:iCs/>
                <w:color w:val="243285"/>
                <w:sz w:val="36"/>
                <w:szCs w:val="36"/>
                <w:lang w:val="en-GB"/>
              </w:rPr>
            </w:pPr>
            <w:r w:rsidRPr="00CA2D02">
              <w:rPr>
                <w:rFonts w:ascii="Tahoma" w:hAnsi="Tahoma" w:cs="Tahoma"/>
                <w:b/>
                <w:bCs/>
                <w:iCs/>
                <w:color w:val="243285"/>
                <w:sz w:val="36"/>
                <w:szCs w:val="36"/>
                <w:lang w:val="en-GB"/>
              </w:rPr>
              <w:t>Recommendation  ITU-R  SF.</w:t>
            </w:r>
            <w:r w:rsidR="00036492" w:rsidRPr="00CA2D02">
              <w:rPr>
                <w:rFonts w:ascii="Tahoma" w:hAnsi="Tahoma" w:cs="Tahoma"/>
                <w:b/>
                <w:bCs/>
                <w:iCs/>
                <w:color w:val="243285"/>
                <w:sz w:val="36"/>
                <w:szCs w:val="36"/>
                <w:lang w:val="en-GB"/>
              </w:rPr>
              <w:t>674-3</w:t>
            </w:r>
          </w:p>
          <w:p w:rsidR="00BA2520" w:rsidRPr="00CA2D02" w:rsidRDefault="00BA2520" w:rsidP="00036492">
            <w:pPr>
              <w:spacing w:before="80" w:line="280" w:lineRule="exact"/>
              <w:jc w:val="right"/>
              <w:rPr>
                <w:rFonts w:ascii="Tahoma" w:hAnsi="Tahoma" w:cs="Tahoma"/>
                <w:b/>
                <w:bCs/>
                <w:iCs/>
                <w:color w:val="243285"/>
                <w:szCs w:val="24"/>
                <w:lang w:val="en-GB"/>
              </w:rPr>
            </w:pPr>
            <w:r w:rsidRPr="00CA2D02">
              <w:rPr>
                <w:rFonts w:ascii="Tahoma" w:hAnsi="Tahoma" w:cs="Tahoma"/>
                <w:b/>
                <w:bCs/>
                <w:iCs/>
                <w:color w:val="243285"/>
                <w:szCs w:val="24"/>
                <w:lang w:val="en-GB"/>
              </w:rPr>
              <w:t>(</w:t>
            </w:r>
            <w:r w:rsidR="00036492" w:rsidRPr="00CA2D02">
              <w:rPr>
                <w:rFonts w:ascii="Tahoma" w:hAnsi="Tahoma" w:cs="Tahoma"/>
                <w:b/>
                <w:bCs/>
                <w:iCs/>
                <w:color w:val="243285"/>
                <w:szCs w:val="24"/>
                <w:lang w:val="en-GB"/>
              </w:rPr>
              <w:t>12</w:t>
            </w:r>
            <w:r w:rsidRPr="00CA2D02">
              <w:rPr>
                <w:rFonts w:ascii="Tahoma" w:hAnsi="Tahoma" w:cs="Tahoma"/>
                <w:b/>
                <w:bCs/>
                <w:iCs/>
                <w:color w:val="243285"/>
                <w:szCs w:val="24"/>
                <w:lang w:val="en-GB"/>
              </w:rPr>
              <w:t>/</w:t>
            </w:r>
            <w:r w:rsidR="00036492" w:rsidRPr="00CA2D02">
              <w:rPr>
                <w:rFonts w:ascii="Tahoma" w:hAnsi="Tahoma" w:cs="Tahoma"/>
                <w:b/>
                <w:bCs/>
                <w:iCs/>
                <w:color w:val="243285"/>
                <w:szCs w:val="24"/>
                <w:lang w:val="en-GB"/>
              </w:rPr>
              <w:t>2013</w:t>
            </w:r>
            <w:r w:rsidRPr="00CA2D02">
              <w:rPr>
                <w:rFonts w:ascii="Tahoma" w:hAnsi="Tahoma" w:cs="Tahoma"/>
                <w:b/>
                <w:bCs/>
                <w:iCs/>
                <w:color w:val="243285"/>
                <w:szCs w:val="24"/>
                <w:lang w:val="en-GB"/>
              </w:rPr>
              <w:t>)</w:t>
            </w:r>
          </w:p>
        </w:tc>
      </w:tr>
      <w:tr w:rsidR="00BA2520" w:rsidRPr="004D2928">
        <w:tc>
          <w:tcPr>
            <w:tcW w:w="10089" w:type="dxa"/>
          </w:tcPr>
          <w:p w:rsidR="00BA2520" w:rsidRPr="00CA2D02" w:rsidRDefault="00BA2520" w:rsidP="00FE79FE">
            <w:pPr>
              <w:spacing w:before="80" w:line="500" w:lineRule="exact"/>
              <w:jc w:val="right"/>
              <w:rPr>
                <w:rFonts w:ascii="Tahoma" w:hAnsi="Tahoma" w:cs="Tahoma"/>
                <w:b/>
                <w:bCs/>
                <w:iCs/>
                <w:color w:val="243285"/>
                <w:sz w:val="44"/>
                <w:szCs w:val="44"/>
                <w:lang w:val="en-GB"/>
              </w:rPr>
            </w:pPr>
          </w:p>
          <w:p w:rsidR="00BA2520" w:rsidRPr="00CA2D02" w:rsidRDefault="00036492" w:rsidP="00036492">
            <w:pPr>
              <w:spacing w:before="80" w:line="500" w:lineRule="exact"/>
              <w:jc w:val="right"/>
              <w:rPr>
                <w:rFonts w:ascii="Tahoma" w:hAnsi="Tahoma" w:cs="Tahoma"/>
                <w:b/>
                <w:bCs/>
                <w:iCs/>
                <w:color w:val="243285"/>
                <w:sz w:val="44"/>
                <w:szCs w:val="44"/>
                <w:lang w:val="en-GB"/>
              </w:rPr>
            </w:pPr>
            <w:r w:rsidRPr="00CA2D02">
              <w:rPr>
                <w:rFonts w:ascii="Tahoma" w:hAnsi="Tahoma" w:cs="Tahoma"/>
                <w:b/>
                <w:bCs/>
                <w:color w:val="243285"/>
                <w:sz w:val="44"/>
                <w:szCs w:val="44"/>
                <w:lang w:val="en-GB"/>
              </w:rPr>
              <w:t>Determination of the impact on the fixed service operating in the 11.7-12.2 GHz band when geostationary fixed-satellite service networks in Region 2 exceed power flux</w:t>
            </w:r>
            <w:r w:rsidRPr="00CA2D02">
              <w:rPr>
                <w:rFonts w:ascii="Tahoma" w:hAnsi="Tahoma" w:cs="Tahoma"/>
                <w:b/>
                <w:bCs/>
                <w:color w:val="243285"/>
                <w:sz w:val="44"/>
                <w:szCs w:val="44"/>
                <w:lang w:val="en-GB"/>
              </w:rPr>
              <w:noBreakHyphen/>
              <w:t xml:space="preserve">density thresholds </w:t>
            </w:r>
            <w:r w:rsidRPr="00CA2D02">
              <w:rPr>
                <w:rFonts w:ascii="Tahoma" w:hAnsi="Tahoma" w:cs="Tahoma"/>
                <w:b/>
                <w:bCs/>
                <w:color w:val="243285"/>
                <w:sz w:val="44"/>
                <w:szCs w:val="44"/>
                <w:lang w:val="en-GB" w:eastAsia="ja-JP"/>
              </w:rPr>
              <w:t>for coordination</w:t>
            </w:r>
          </w:p>
        </w:tc>
      </w:tr>
      <w:tr w:rsidR="00BA2520" w:rsidRPr="004D2928">
        <w:tc>
          <w:tcPr>
            <w:tcW w:w="10089" w:type="dxa"/>
          </w:tcPr>
          <w:p w:rsidR="00BA2520" w:rsidRPr="00CA2D02" w:rsidRDefault="00BA2520" w:rsidP="001F38BB">
            <w:pPr>
              <w:spacing w:before="80" w:line="280" w:lineRule="exact"/>
              <w:ind w:right="640"/>
              <w:rPr>
                <w:rFonts w:ascii="Tahoma" w:hAnsi="Tahoma" w:cs="Tahoma"/>
                <w:b/>
                <w:bCs/>
                <w:iCs/>
                <w:color w:val="243285"/>
                <w:sz w:val="32"/>
                <w:szCs w:val="32"/>
                <w:lang w:val="en-GB"/>
              </w:rPr>
            </w:pPr>
          </w:p>
          <w:p w:rsidR="00BA2520" w:rsidRPr="00CA2D02" w:rsidRDefault="00BA2520" w:rsidP="001F38BB">
            <w:pPr>
              <w:spacing w:before="80" w:line="280" w:lineRule="exact"/>
              <w:ind w:right="640"/>
              <w:rPr>
                <w:rFonts w:ascii="Tahoma" w:hAnsi="Tahoma" w:cs="Tahoma"/>
                <w:b/>
                <w:bCs/>
                <w:iCs/>
                <w:color w:val="243285"/>
                <w:sz w:val="32"/>
                <w:szCs w:val="32"/>
                <w:lang w:val="en-GB"/>
              </w:rPr>
            </w:pPr>
          </w:p>
          <w:p w:rsidR="00BA2520" w:rsidRPr="00CA2D02" w:rsidRDefault="00BA2520" w:rsidP="001F38BB">
            <w:pPr>
              <w:spacing w:before="80" w:after="180" w:line="360" w:lineRule="exact"/>
              <w:ind w:right="720"/>
              <w:rPr>
                <w:rFonts w:ascii="Tahoma" w:hAnsi="Tahoma" w:cs="Tahoma"/>
                <w:b/>
                <w:bCs/>
                <w:iCs/>
                <w:color w:val="243285"/>
                <w:sz w:val="36"/>
                <w:szCs w:val="36"/>
                <w:lang w:val="en-GB"/>
              </w:rPr>
            </w:pPr>
          </w:p>
          <w:p w:rsidR="00BA2520" w:rsidRPr="00CA2D02" w:rsidRDefault="00BA2520" w:rsidP="00A84B4E">
            <w:pPr>
              <w:spacing w:before="80" w:after="180" w:line="360" w:lineRule="exact"/>
              <w:jc w:val="right"/>
              <w:rPr>
                <w:rFonts w:ascii="Tahoma" w:hAnsi="Tahoma" w:cs="Tahoma"/>
                <w:b/>
                <w:bCs/>
                <w:iCs/>
                <w:color w:val="243285"/>
                <w:sz w:val="36"/>
                <w:szCs w:val="36"/>
                <w:lang w:val="en-GB"/>
              </w:rPr>
            </w:pPr>
            <w:r w:rsidRPr="00CA2D02">
              <w:rPr>
                <w:rFonts w:ascii="Tahoma" w:hAnsi="Tahoma" w:cs="Tahoma"/>
                <w:b/>
                <w:bCs/>
                <w:iCs/>
                <w:color w:val="243285"/>
                <w:sz w:val="36"/>
                <w:szCs w:val="36"/>
                <w:lang w:val="en-GB"/>
              </w:rPr>
              <w:t>SF Series</w:t>
            </w:r>
          </w:p>
          <w:p w:rsidR="00BA2520" w:rsidRPr="00CA2D02" w:rsidRDefault="00BA2520" w:rsidP="00A84B4E">
            <w:pPr>
              <w:spacing w:before="80" w:line="360" w:lineRule="exact"/>
              <w:jc w:val="right"/>
              <w:rPr>
                <w:rFonts w:ascii="Tahoma" w:hAnsi="Tahoma" w:cs="Tahoma"/>
                <w:b/>
                <w:bCs/>
                <w:iCs/>
                <w:color w:val="243285"/>
                <w:sz w:val="36"/>
                <w:szCs w:val="36"/>
                <w:lang w:val="en-GB"/>
              </w:rPr>
            </w:pPr>
            <w:r w:rsidRPr="00CA2D02">
              <w:rPr>
                <w:rFonts w:ascii="Tahoma" w:hAnsi="Tahoma" w:cs="Tahoma"/>
                <w:b/>
                <w:bCs/>
                <w:iCs/>
                <w:color w:val="243285"/>
                <w:sz w:val="36"/>
                <w:szCs w:val="36"/>
                <w:lang w:val="en-GB"/>
              </w:rPr>
              <w:t>Frequency sharing and coordination between</w:t>
            </w:r>
          </w:p>
          <w:p w:rsidR="00BA2520" w:rsidRPr="00CA2D02" w:rsidRDefault="00BA2520" w:rsidP="00FE79FE">
            <w:pPr>
              <w:spacing w:before="80" w:line="360" w:lineRule="exact"/>
              <w:jc w:val="right"/>
              <w:rPr>
                <w:rFonts w:ascii="Tahoma" w:hAnsi="Tahoma" w:cs="Tahoma"/>
                <w:b/>
                <w:bCs/>
                <w:iCs/>
                <w:color w:val="243285"/>
                <w:sz w:val="32"/>
                <w:szCs w:val="32"/>
                <w:lang w:val="en-GB"/>
              </w:rPr>
            </w:pPr>
            <w:r w:rsidRPr="00CA2D02">
              <w:rPr>
                <w:rFonts w:ascii="Tahoma" w:hAnsi="Tahoma" w:cs="Tahoma"/>
                <w:b/>
                <w:bCs/>
                <w:iCs/>
                <w:color w:val="243285"/>
                <w:sz w:val="36"/>
                <w:szCs w:val="36"/>
                <w:lang w:val="en-GB"/>
              </w:rPr>
              <w:t>fixed-satellite and fixed service systems</w:t>
            </w:r>
          </w:p>
        </w:tc>
      </w:tr>
    </w:tbl>
    <w:p w:rsidR="00BA2520" w:rsidRPr="00CA2D02" w:rsidRDefault="00BA2520" w:rsidP="00CD659B">
      <w:pPr>
        <w:spacing w:before="80"/>
        <w:rPr>
          <w:i/>
          <w:sz w:val="22"/>
          <w:lang w:val="en-GB"/>
        </w:rPr>
      </w:pPr>
    </w:p>
    <w:p w:rsidR="00BA2520" w:rsidRPr="00CA2D02" w:rsidRDefault="00BA2520" w:rsidP="00CD659B">
      <w:pPr>
        <w:spacing w:before="80"/>
        <w:rPr>
          <w:i/>
          <w:sz w:val="22"/>
          <w:lang w:val="en-GB"/>
        </w:rPr>
      </w:pPr>
    </w:p>
    <w:p w:rsidR="00BA2520" w:rsidRPr="00CA2D02" w:rsidRDefault="00BA2520" w:rsidP="00CD659B">
      <w:pPr>
        <w:spacing w:before="80"/>
        <w:rPr>
          <w:i/>
          <w:sz w:val="22"/>
          <w:lang w:val="en-GB"/>
        </w:rPr>
      </w:pPr>
    </w:p>
    <w:p w:rsidR="00BA2520" w:rsidRPr="00CA2D02" w:rsidRDefault="00BA2520" w:rsidP="00CD659B">
      <w:pPr>
        <w:spacing w:before="80"/>
        <w:rPr>
          <w:i/>
          <w:sz w:val="22"/>
          <w:lang w:val="en-GB"/>
        </w:rPr>
      </w:pPr>
    </w:p>
    <w:p w:rsidR="00BA2520" w:rsidRPr="00CA2D02" w:rsidRDefault="00BA2520" w:rsidP="00CD659B">
      <w:pPr>
        <w:spacing w:before="80"/>
        <w:rPr>
          <w:i/>
          <w:sz w:val="22"/>
          <w:lang w:val="en-GB"/>
        </w:rPr>
      </w:pPr>
    </w:p>
    <w:p w:rsidR="00BA2520" w:rsidRPr="00CA2D02" w:rsidRDefault="00BA2520" w:rsidP="00CD659B">
      <w:pPr>
        <w:spacing w:before="80"/>
        <w:rPr>
          <w:i/>
          <w:sz w:val="22"/>
          <w:lang w:val="en-GB"/>
        </w:rPr>
      </w:pPr>
    </w:p>
    <w:p w:rsidR="00BA2520" w:rsidRPr="00CA2D02" w:rsidRDefault="00BA2520" w:rsidP="00CD659B">
      <w:pPr>
        <w:pStyle w:val="Equation"/>
        <w:tabs>
          <w:tab w:val="clear" w:pos="4820"/>
          <w:tab w:val="clear" w:pos="9639"/>
          <w:tab w:val="left" w:pos="1191"/>
          <w:tab w:val="left" w:pos="1588"/>
          <w:tab w:val="left" w:pos="1985"/>
        </w:tabs>
        <w:rPr>
          <w:rFonts w:ascii="Palatino Linotype" w:hAnsi="Palatino Linotype"/>
          <w:lang w:val="en-GB"/>
        </w:rPr>
        <w:sectPr w:rsidR="00BA2520" w:rsidRPr="00CA2D02" w:rsidSect="00F823CB">
          <w:headerReference w:type="even" r:id="rId8"/>
          <w:headerReference w:type="default" r:id="rId9"/>
          <w:pgSz w:w="11907" w:h="16834" w:code="9"/>
          <w:pgMar w:top="1418" w:right="1134" w:bottom="1134" w:left="1134" w:header="720" w:footer="482" w:gutter="0"/>
          <w:paperSrc w:first="15" w:other="15"/>
          <w:cols w:space="720"/>
        </w:sectPr>
      </w:pPr>
    </w:p>
    <w:p w:rsidR="00BA2520" w:rsidRPr="00CA2D02" w:rsidRDefault="00BA2520"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CA2D02">
        <w:rPr>
          <w:bCs/>
          <w:sz w:val="24"/>
          <w:szCs w:val="24"/>
          <w:lang w:val="en-GB"/>
        </w:rPr>
        <w:lastRenderedPageBreak/>
        <w:t>Foreword</w:t>
      </w:r>
    </w:p>
    <w:p w:rsidR="00BA2520" w:rsidRPr="00CA2D02" w:rsidRDefault="00BA2520" w:rsidP="00586EF8">
      <w:pPr>
        <w:spacing w:before="240"/>
        <w:rPr>
          <w:sz w:val="20"/>
          <w:lang w:val="en-GB"/>
        </w:rPr>
      </w:pPr>
      <w:r w:rsidRPr="00CA2D02">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A2520" w:rsidRPr="00CA2D02" w:rsidRDefault="00BA2520" w:rsidP="00586EF8">
      <w:pPr>
        <w:rPr>
          <w:sz w:val="20"/>
          <w:lang w:val="en-GB"/>
        </w:rPr>
      </w:pPr>
      <w:r w:rsidRPr="00CA2D02">
        <w:rPr>
          <w:sz w:val="20"/>
          <w:lang w:val="en-GB"/>
        </w:rPr>
        <w:t>The regulatory and policy functions of the Radiocommunication Sector are performed by World and Regional Radiocommunication Conferences and Radiocommunication Assemblies supported by Study Groups.</w:t>
      </w:r>
    </w:p>
    <w:p w:rsidR="00BA2520" w:rsidRPr="00CA2D02" w:rsidRDefault="00BA2520" w:rsidP="002F5199">
      <w:pPr>
        <w:pStyle w:val="Heading1"/>
        <w:spacing w:before="680"/>
        <w:jc w:val="center"/>
        <w:rPr>
          <w:szCs w:val="24"/>
          <w:lang w:val="en-GB"/>
        </w:rPr>
      </w:pPr>
      <w:r w:rsidRPr="00CA2D02">
        <w:rPr>
          <w:szCs w:val="24"/>
          <w:lang w:val="en-GB"/>
        </w:rPr>
        <w:t>Policy on Intellectual Property Right (IPR)</w:t>
      </w:r>
    </w:p>
    <w:p w:rsidR="00BA2520" w:rsidRPr="00CA2D02" w:rsidRDefault="00BA2520" w:rsidP="00EE04BA">
      <w:pPr>
        <w:tabs>
          <w:tab w:val="clear" w:pos="794"/>
          <w:tab w:val="clear" w:pos="1191"/>
          <w:tab w:val="clear" w:pos="1588"/>
          <w:tab w:val="clear" w:pos="1985"/>
        </w:tabs>
        <w:spacing w:before="240"/>
        <w:rPr>
          <w:sz w:val="20"/>
          <w:lang w:val="en-GB"/>
        </w:rPr>
      </w:pPr>
      <w:r w:rsidRPr="00CA2D02">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CA2D02">
          <w:rPr>
            <w:rStyle w:val="Hyperlink"/>
            <w:sz w:val="20"/>
            <w:lang w:val="en-GB"/>
          </w:rPr>
          <w:t>http://www.itu.int/ITU-R/go/patents/en</w:t>
        </w:r>
      </w:hyperlink>
      <w:r w:rsidRPr="00CA2D02">
        <w:rPr>
          <w:sz w:val="20"/>
          <w:lang w:val="en-GB"/>
        </w:rPr>
        <w:t xml:space="preserve"> where the Guidelines for Implementation of the Common Patent Policy for ITU</w:t>
      </w:r>
      <w:r w:rsidRPr="00CA2D02">
        <w:rPr>
          <w:sz w:val="20"/>
          <w:lang w:val="en-GB"/>
        </w:rPr>
        <w:noBreakHyphen/>
        <w:t>T/ITU</w:t>
      </w:r>
      <w:r w:rsidRPr="00CA2D02">
        <w:rPr>
          <w:sz w:val="20"/>
          <w:lang w:val="en-GB"/>
        </w:rPr>
        <w:noBreakHyphen/>
        <w:t xml:space="preserve">R/ISO/IEC and the ITU-R patent information database can also be found. </w:t>
      </w:r>
    </w:p>
    <w:p w:rsidR="00BA2520" w:rsidRPr="00CA2D02" w:rsidRDefault="00BA2520" w:rsidP="00586EF8">
      <w:pPr>
        <w:jc w:val="center"/>
        <w:rPr>
          <w:sz w:val="22"/>
          <w:lang w:val="en-GB"/>
        </w:rPr>
      </w:pPr>
    </w:p>
    <w:p w:rsidR="00BA2520" w:rsidRPr="00CA2D02" w:rsidRDefault="00BA2520"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A2520" w:rsidRPr="004D2928">
        <w:tc>
          <w:tcPr>
            <w:tcW w:w="9360" w:type="dxa"/>
            <w:gridSpan w:val="2"/>
          </w:tcPr>
          <w:p w:rsidR="00BA2520" w:rsidRPr="00CA2D02" w:rsidRDefault="00BA2520"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CA2D02">
              <w:rPr>
                <w:sz w:val="22"/>
                <w:szCs w:val="22"/>
                <w:lang w:val="en-GB"/>
              </w:rPr>
              <w:t xml:space="preserve">Series of ITU-R Recommendations </w:t>
            </w:r>
          </w:p>
          <w:p w:rsidR="00BA2520" w:rsidRPr="00CA2D02" w:rsidRDefault="00BA2520"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CA2D02">
              <w:rPr>
                <w:b w:val="0"/>
                <w:sz w:val="18"/>
                <w:szCs w:val="18"/>
                <w:lang w:val="en-GB"/>
              </w:rPr>
              <w:t xml:space="preserve">(Also available online at </w:t>
            </w:r>
            <w:hyperlink r:id="rId11" w:history="1">
              <w:r w:rsidRPr="00CA2D02">
                <w:rPr>
                  <w:rStyle w:val="Hyperlink"/>
                  <w:b w:val="0"/>
                  <w:sz w:val="18"/>
                  <w:szCs w:val="18"/>
                  <w:lang w:val="en-GB"/>
                </w:rPr>
                <w:t>http://www.itu.int/publ/R-REC/en</w:t>
              </w:r>
            </w:hyperlink>
            <w:r w:rsidRPr="00CA2D02">
              <w:rPr>
                <w:b w:val="0"/>
                <w:sz w:val="18"/>
                <w:szCs w:val="18"/>
                <w:lang w:val="en-GB"/>
              </w:rPr>
              <w:t>)</w:t>
            </w:r>
          </w:p>
        </w:tc>
      </w:tr>
      <w:tr w:rsidR="00BA2520" w:rsidRPr="00CA2D02" w:rsidTr="00A4173A">
        <w:tc>
          <w:tcPr>
            <w:tcW w:w="1140" w:type="dxa"/>
            <w:tcBorders>
              <w:bottom w:val="nil"/>
            </w:tcBorders>
          </w:tcPr>
          <w:p w:rsidR="00BA2520" w:rsidRPr="00CA2D02" w:rsidRDefault="00BA2520" w:rsidP="000D0677">
            <w:pPr>
              <w:spacing w:before="200" w:after="100"/>
              <w:ind w:left="57"/>
              <w:rPr>
                <w:b/>
                <w:bCs/>
                <w:sz w:val="20"/>
                <w:lang w:val="en-GB"/>
              </w:rPr>
            </w:pPr>
            <w:r w:rsidRPr="00CA2D02">
              <w:rPr>
                <w:b/>
                <w:bCs/>
                <w:sz w:val="20"/>
                <w:lang w:val="en-GB"/>
              </w:rPr>
              <w:t>Series</w:t>
            </w:r>
          </w:p>
        </w:tc>
        <w:tc>
          <w:tcPr>
            <w:tcW w:w="8220" w:type="dxa"/>
            <w:tcBorders>
              <w:bottom w:val="nil"/>
            </w:tcBorders>
          </w:tcPr>
          <w:p w:rsidR="00BA2520" w:rsidRPr="00CA2D02" w:rsidRDefault="00BA2520"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CA2D02">
              <w:rPr>
                <w:bCs/>
                <w:sz w:val="20"/>
                <w:lang w:val="en-GB"/>
              </w:rPr>
              <w:t>Title</w:t>
            </w:r>
          </w:p>
        </w:tc>
      </w:tr>
      <w:tr w:rsidR="00BA2520" w:rsidRPr="00CA2D02" w:rsidTr="00A4173A">
        <w:tc>
          <w:tcPr>
            <w:tcW w:w="1140" w:type="dxa"/>
            <w:tcBorders>
              <w:top w:val="nil"/>
              <w:bottom w:val="nil"/>
            </w:tcBorders>
            <w:shd w:val="clear" w:color="auto" w:fill="auto"/>
          </w:tcPr>
          <w:p w:rsidR="00BA2520" w:rsidRPr="00CA2D02" w:rsidRDefault="00BA2520" w:rsidP="006B1D2B">
            <w:pPr>
              <w:spacing w:before="30" w:after="30"/>
              <w:ind w:left="57"/>
              <w:jc w:val="left"/>
              <w:rPr>
                <w:b/>
                <w:sz w:val="20"/>
                <w:lang w:val="en-GB"/>
              </w:rPr>
            </w:pPr>
            <w:r w:rsidRPr="00CA2D02">
              <w:rPr>
                <w:b/>
                <w:sz w:val="20"/>
                <w:lang w:val="en-GB"/>
              </w:rPr>
              <w:t>BO</w:t>
            </w:r>
          </w:p>
        </w:tc>
        <w:tc>
          <w:tcPr>
            <w:tcW w:w="8220" w:type="dxa"/>
            <w:tcBorders>
              <w:top w:val="nil"/>
              <w:bottom w:val="nil"/>
            </w:tcBorders>
            <w:shd w:val="clear" w:color="auto" w:fill="auto"/>
          </w:tcPr>
          <w:p w:rsidR="00BA2520" w:rsidRPr="00CA2D02" w:rsidRDefault="00BA2520"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CA2D02">
              <w:rPr>
                <w:b w:val="0"/>
                <w:bCs/>
                <w:sz w:val="20"/>
                <w:lang w:val="en-GB"/>
              </w:rPr>
              <w:t>Satellite delivery</w:t>
            </w:r>
          </w:p>
        </w:tc>
      </w:tr>
      <w:tr w:rsidR="00BA2520" w:rsidRPr="004D2928" w:rsidTr="001B164E">
        <w:tc>
          <w:tcPr>
            <w:tcW w:w="1140" w:type="dxa"/>
            <w:tcBorders>
              <w:top w:val="nil"/>
            </w:tcBorders>
          </w:tcPr>
          <w:p w:rsidR="00BA2520" w:rsidRPr="00CA2D02" w:rsidRDefault="00BA2520" w:rsidP="006B1D2B">
            <w:pPr>
              <w:spacing w:before="30" w:after="30"/>
              <w:ind w:left="57"/>
              <w:jc w:val="left"/>
              <w:rPr>
                <w:b/>
                <w:bCs/>
                <w:sz w:val="20"/>
                <w:lang w:val="en-GB"/>
              </w:rPr>
            </w:pPr>
            <w:r w:rsidRPr="00CA2D02">
              <w:rPr>
                <w:b/>
                <w:bCs/>
                <w:sz w:val="20"/>
                <w:lang w:val="en-GB"/>
              </w:rPr>
              <w:t>BR</w:t>
            </w:r>
          </w:p>
        </w:tc>
        <w:tc>
          <w:tcPr>
            <w:tcW w:w="8220" w:type="dxa"/>
            <w:tcBorders>
              <w:top w:val="nil"/>
            </w:tcBorders>
          </w:tcPr>
          <w:p w:rsidR="00BA2520" w:rsidRPr="00CA2D02" w:rsidRDefault="00BA2520"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CA2D02">
              <w:rPr>
                <w:b w:val="0"/>
                <w:sz w:val="20"/>
                <w:lang w:val="en-GB"/>
              </w:rPr>
              <w:t>Recording for production, archival and play-out; film for television</w:t>
            </w:r>
          </w:p>
        </w:tc>
      </w:tr>
      <w:tr w:rsidR="00BA2520" w:rsidRPr="00CA2D02">
        <w:tc>
          <w:tcPr>
            <w:tcW w:w="1140" w:type="dxa"/>
          </w:tcPr>
          <w:p w:rsidR="00BA2520" w:rsidRPr="00CA2D02" w:rsidRDefault="00BA2520" w:rsidP="006B1D2B">
            <w:pPr>
              <w:spacing w:before="30" w:after="30"/>
              <w:ind w:left="57"/>
              <w:jc w:val="left"/>
              <w:rPr>
                <w:b/>
                <w:bCs/>
                <w:sz w:val="20"/>
                <w:lang w:val="en-GB"/>
              </w:rPr>
            </w:pPr>
            <w:r w:rsidRPr="00CA2D02">
              <w:rPr>
                <w:b/>
                <w:bCs/>
                <w:sz w:val="20"/>
                <w:lang w:val="en-GB"/>
              </w:rPr>
              <w:t>BS</w:t>
            </w:r>
          </w:p>
        </w:tc>
        <w:tc>
          <w:tcPr>
            <w:tcW w:w="8220" w:type="dxa"/>
          </w:tcPr>
          <w:p w:rsidR="00BA2520" w:rsidRPr="00CA2D02" w:rsidRDefault="00BA2520"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CA2D02">
              <w:rPr>
                <w:b w:val="0"/>
                <w:sz w:val="20"/>
                <w:lang w:val="en-GB"/>
              </w:rPr>
              <w:t>Broadcasting service (sound)</w:t>
            </w:r>
          </w:p>
        </w:tc>
      </w:tr>
      <w:tr w:rsidR="00BA2520" w:rsidRPr="00CA2D02">
        <w:tc>
          <w:tcPr>
            <w:tcW w:w="1140" w:type="dxa"/>
            <w:shd w:val="clear" w:color="auto" w:fill="auto"/>
          </w:tcPr>
          <w:p w:rsidR="00BA2520" w:rsidRPr="00CA2D02" w:rsidRDefault="00BA2520" w:rsidP="006B1D2B">
            <w:pPr>
              <w:spacing w:before="30" w:after="30"/>
              <w:ind w:left="57"/>
              <w:jc w:val="left"/>
              <w:rPr>
                <w:b/>
                <w:bCs/>
                <w:sz w:val="20"/>
                <w:lang w:val="en-GB"/>
              </w:rPr>
            </w:pPr>
            <w:r w:rsidRPr="00CA2D02">
              <w:rPr>
                <w:b/>
                <w:bCs/>
                <w:sz w:val="20"/>
                <w:lang w:val="en-GB"/>
              </w:rPr>
              <w:t>BT</w:t>
            </w:r>
          </w:p>
        </w:tc>
        <w:tc>
          <w:tcPr>
            <w:tcW w:w="8220" w:type="dxa"/>
            <w:shd w:val="clear" w:color="auto" w:fill="auto"/>
          </w:tcPr>
          <w:p w:rsidR="00BA2520" w:rsidRPr="00CA2D02" w:rsidRDefault="00BA2520"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CA2D02">
              <w:rPr>
                <w:b w:val="0"/>
                <w:sz w:val="20"/>
                <w:lang w:val="en-GB"/>
              </w:rPr>
              <w:t>Broadcasting service (television)</w:t>
            </w:r>
          </w:p>
        </w:tc>
      </w:tr>
      <w:tr w:rsidR="00BA2520" w:rsidRPr="00CA2D02">
        <w:tc>
          <w:tcPr>
            <w:tcW w:w="1140" w:type="dxa"/>
            <w:shd w:val="clear" w:color="auto" w:fill="auto"/>
          </w:tcPr>
          <w:p w:rsidR="00BA2520" w:rsidRPr="00CA2D02" w:rsidRDefault="00BA2520" w:rsidP="006B1D2B">
            <w:pPr>
              <w:spacing w:before="30" w:after="30"/>
              <w:ind w:left="57"/>
              <w:jc w:val="left"/>
              <w:rPr>
                <w:b/>
                <w:bCs/>
                <w:sz w:val="20"/>
                <w:lang w:val="en-GB"/>
              </w:rPr>
            </w:pPr>
            <w:r w:rsidRPr="00CA2D02">
              <w:rPr>
                <w:b/>
                <w:bCs/>
                <w:sz w:val="20"/>
                <w:lang w:val="en-GB"/>
              </w:rPr>
              <w:t>F</w:t>
            </w:r>
          </w:p>
        </w:tc>
        <w:tc>
          <w:tcPr>
            <w:tcW w:w="8220" w:type="dxa"/>
            <w:shd w:val="clear" w:color="auto" w:fill="auto"/>
          </w:tcPr>
          <w:p w:rsidR="00BA2520" w:rsidRPr="00CA2D02" w:rsidRDefault="00BA2520"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CA2D02">
              <w:rPr>
                <w:sz w:val="20"/>
                <w:lang w:val="en-GB"/>
              </w:rPr>
              <w:t>Fixed service</w:t>
            </w:r>
          </w:p>
        </w:tc>
      </w:tr>
      <w:tr w:rsidR="00BA2520" w:rsidRPr="00CA2D02">
        <w:tc>
          <w:tcPr>
            <w:tcW w:w="1140" w:type="dxa"/>
            <w:shd w:val="clear" w:color="auto" w:fill="auto"/>
          </w:tcPr>
          <w:p w:rsidR="00BA2520" w:rsidRPr="00CA2D02" w:rsidRDefault="00BA2520" w:rsidP="006B1D2B">
            <w:pPr>
              <w:spacing w:before="30" w:after="30"/>
              <w:ind w:left="57"/>
              <w:jc w:val="left"/>
              <w:rPr>
                <w:b/>
                <w:bCs/>
                <w:sz w:val="20"/>
                <w:lang w:val="en-GB"/>
              </w:rPr>
            </w:pPr>
            <w:r w:rsidRPr="00CA2D02">
              <w:rPr>
                <w:b/>
                <w:bCs/>
                <w:sz w:val="20"/>
                <w:lang w:val="en-GB"/>
              </w:rPr>
              <w:t>M</w:t>
            </w:r>
          </w:p>
        </w:tc>
        <w:tc>
          <w:tcPr>
            <w:tcW w:w="8220" w:type="dxa"/>
            <w:shd w:val="clear" w:color="auto" w:fill="auto"/>
          </w:tcPr>
          <w:p w:rsidR="00BA2520" w:rsidRPr="00CA2D02" w:rsidRDefault="00BA2520"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CA2D02">
              <w:rPr>
                <w:b w:val="0"/>
                <w:sz w:val="20"/>
                <w:lang w:val="en-GB"/>
              </w:rPr>
              <w:t>Mobile, radiodetermination, amateur and related satellite services</w:t>
            </w:r>
          </w:p>
        </w:tc>
      </w:tr>
      <w:tr w:rsidR="00BA2520" w:rsidRPr="00CA2D02">
        <w:tc>
          <w:tcPr>
            <w:tcW w:w="1140" w:type="dxa"/>
          </w:tcPr>
          <w:p w:rsidR="00BA2520" w:rsidRPr="00CA2D02" w:rsidRDefault="00BA2520" w:rsidP="006B1D2B">
            <w:pPr>
              <w:spacing w:before="30" w:after="30"/>
              <w:ind w:left="57"/>
              <w:jc w:val="left"/>
              <w:rPr>
                <w:b/>
                <w:bCs/>
                <w:sz w:val="20"/>
                <w:lang w:val="en-GB"/>
              </w:rPr>
            </w:pPr>
            <w:r w:rsidRPr="00CA2D02">
              <w:rPr>
                <w:b/>
                <w:bCs/>
                <w:sz w:val="20"/>
                <w:lang w:val="en-GB"/>
              </w:rPr>
              <w:t>P</w:t>
            </w:r>
          </w:p>
        </w:tc>
        <w:tc>
          <w:tcPr>
            <w:tcW w:w="8220" w:type="dxa"/>
          </w:tcPr>
          <w:p w:rsidR="00BA2520" w:rsidRPr="00CA2D02" w:rsidRDefault="00BA2520" w:rsidP="006B1D2B">
            <w:pPr>
              <w:spacing w:before="30" w:after="30"/>
              <w:jc w:val="left"/>
              <w:rPr>
                <w:sz w:val="20"/>
                <w:lang w:val="en-GB"/>
              </w:rPr>
            </w:pPr>
            <w:r w:rsidRPr="00CA2D02">
              <w:rPr>
                <w:sz w:val="20"/>
                <w:lang w:val="en-GB"/>
              </w:rPr>
              <w:t>Radiowave propagation</w:t>
            </w:r>
          </w:p>
        </w:tc>
      </w:tr>
      <w:tr w:rsidR="00BA2520" w:rsidRPr="00CA2D02">
        <w:tc>
          <w:tcPr>
            <w:tcW w:w="1140" w:type="dxa"/>
          </w:tcPr>
          <w:p w:rsidR="00BA2520" w:rsidRPr="00CA2D02" w:rsidRDefault="00BA2520" w:rsidP="006B1D2B">
            <w:pPr>
              <w:spacing w:before="30" w:after="30"/>
              <w:ind w:left="57"/>
              <w:jc w:val="left"/>
              <w:rPr>
                <w:b/>
                <w:bCs/>
                <w:sz w:val="20"/>
                <w:lang w:val="en-GB"/>
              </w:rPr>
            </w:pPr>
            <w:r w:rsidRPr="00CA2D02">
              <w:rPr>
                <w:b/>
                <w:bCs/>
                <w:sz w:val="20"/>
                <w:lang w:val="en-GB"/>
              </w:rPr>
              <w:t>RA</w:t>
            </w:r>
          </w:p>
        </w:tc>
        <w:tc>
          <w:tcPr>
            <w:tcW w:w="8220" w:type="dxa"/>
          </w:tcPr>
          <w:p w:rsidR="00BA2520" w:rsidRPr="00CA2D02" w:rsidRDefault="00BA2520"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CA2D02">
              <w:rPr>
                <w:sz w:val="20"/>
                <w:lang w:val="en-GB"/>
              </w:rPr>
              <w:t>Radio astronomy</w:t>
            </w:r>
          </w:p>
        </w:tc>
      </w:tr>
      <w:tr w:rsidR="00BA2520" w:rsidRPr="00CA2D02">
        <w:tc>
          <w:tcPr>
            <w:tcW w:w="1140" w:type="dxa"/>
          </w:tcPr>
          <w:p w:rsidR="00BA2520" w:rsidRPr="00CA2D02" w:rsidRDefault="00BA2520" w:rsidP="006B1D2B">
            <w:pPr>
              <w:spacing w:before="30" w:after="30"/>
              <w:ind w:left="57"/>
              <w:jc w:val="left"/>
              <w:rPr>
                <w:b/>
                <w:bCs/>
                <w:sz w:val="20"/>
                <w:lang w:val="en-GB"/>
              </w:rPr>
            </w:pPr>
            <w:r w:rsidRPr="00CA2D02">
              <w:rPr>
                <w:b/>
                <w:bCs/>
                <w:sz w:val="20"/>
                <w:lang w:val="en-GB"/>
              </w:rPr>
              <w:t>RS</w:t>
            </w:r>
          </w:p>
        </w:tc>
        <w:tc>
          <w:tcPr>
            <w:tcW w:w="8220" w:type="dxa"/>
          </w:tcPr>
          <w:p w:rsidR="00BA2520" w:rsidRPr="00CA2D02" w:rsidRDefault="00BA2520"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CA2D02">
              <w:rPr>
                <w:sz w:val="20"/>
                <w:lang w:val="en-GB"/>
              </w:rPr>
              <w:t>Remote sensing systems</w:t>
            </w:r>
          </w:p>
        </w:tc>
      </w:tr>
      <w:tr w:rsidR="00BA2520" w:rsidRPr="00CA2D02" w:rsidTr="00A84B4E">
        <w:tc>
          <w:tcPr>
            <w:tcW w:w="1140" w:type="dxa"/>
            <w:tcBorders>
              <w:bottom w:val="nil"/>
            </w:tcBorders>
          </w:tcPr>
          <w:p w:rsidR="00BA2520" w:rsidRPr="00CA2D02" w:rsidRDefault="00BA2520" w:rsidP="006B1D2B">
            <w:pPr>
              <w:spacing w:before="30" w:after="30"/>
              <w:ind w:left="57"/>
              <w:jc w:val="left"/>
              <w:rPr>
                <w:b/>
                <w:bCs/>
                <w:sz w:val="20"/>
                <w:lang w:val="en-GB"/>
              </w:rPr>
            </w:pPr>
            <w:r w:rsidRPr="00CA2D02">
              <w:rPr>
                <w:b/>
                <w:bCs/>
                <w:sz w:val="20"/>
                <w:lang w:val="en-GB"/>
              </w:rPr>
              <w:t>S</w:t>
            </w:r>
          </w:p>
        </w:tc>
        <w:tc>
          <w:tcPr>
            <w:tcW w:w="8220" w:type="dxa"/>
            <w:tcBorders>
              <w:bottom w:val="nil"/>
            </w:tcBorders>
          </w:tcPr>
          <w:p w:rsidR="00BA2520" w:rsidRPr="00CA2D02" w:rsidRDefault="00BA2520" w:rsidP="006B1D2B">
            <w:pPr>
              <w:spacing w:before="30" w:after="30"/>
              <w:jc w:val="left"/>
              <w:rPr>
                <w:sz w:val="20"/>
                <w:lang w:val="en-GB"/>
              </w:rPr>
            </w:pPr>
            <w:r w:rsidRPr="00CA2D02">
              <w:rPr>
                <w:sz w:val="20"/>
                <w:lang w:val="en-GB"/>
              </w:rPr>
              <w:t>Fixed-satellite service</w:t>
            </w:r>
          </w:p>
        </w:tc>
      </w:tr>
      <w:tr w:rsidR="00BA2520" w:rsidRPr="00CA2D02" w:rsidTr="00A84B4E">
        <w:tc>
          <w:tcPr>
            <w:tcW w:w="1140" w:type="dxa"/>
            <w:tcBorders>
              <w:top w:val="nil"/>
              <w:bottom w:val="nil"/>
            </w:tcBorders>
            <w:shd w:val="clear" w:color="auto" w:fill="auto"/>
          </w:tcPr>
          <w:p w:rsidR="00BA2520" w:rsidRPr="00CA2D02" w:rsidRDefault="00BA2520" w:rsidP="006B1D2B">
            <w:pPr>
              <w:spacing w:before="30" w:after="30"/>
              <w:ind w:left="57"/>
              <w:jc w:val="left"/>
              <w:rPr>
                <w:b/>
                <w:bCs/>
                <w:sz w:val="20"/>
                <w:lang w:val="en-GB"/>
              </w:rPr>
            </w:pPr>
            <w:r w:rsidRPr="00CA2D02">
              <w:rPr>
                <w:b/>
                <w:bCs/>
                <w:sz w:val="20"/>
                <w:lang w:val="en-GB"/>
              </w:rPr>
              <w:t>SA</w:t>
            </w:r>
          </w:p>
        </w:tc>
        <w:tc>
          <w:tcPr>
            <w:tcW w:w="8220" w:type="dxa"/>
            <w:tcBorders>
              <w:top w:val="nil"/>
              <w:bottom w:val="nil"/>
            </w:tcBorders>
            <w:shd w:val="clear" w:color="auto" w:fill="auto"/>
          </w:tcPr>
          <w:p w:rsidR="00BA2520" w:rsidRPr="00CA2D02" w:rsidRDefault="00BA2520" w:rsidP="006B1D2B">
            <w:pPr>
              <w:spacing w:before="30" w:after="30"/>
              <w:jc w:val="left"/>
              <w:rPr>
                <w:sz w:val="20"/>
                <w:lang w:val="en-GB"/>
              </w:rPr>
            </w:pPr>
            <w:r w:rsidRPr="00CA2D02">
              <w:rPr>
                <w:sz w:val="20"/>
                <w:lang w:val="en-GB"/>
              </w:rPr>
              <w:t>Space applications and meteorology</w:t>
            </w:r>
          </w:p>
        </w:tc>
      </w:tr>
      <w:tr w:rsidR="00BA2520" w:rsidRPr="004D2928" w:rsidTr="00A84B4E">
        <w:tc>
          <w:tcPr>
            <w:tcW w:w="1140" w:type="dxa"/>
            <w:tcBorders>
              <w:top w:val="nil"/>
              <w:bottom w:val="nil"/>
            </w:tcBorders>
            <w:shd w:val="clear" w:color="auto" w:fill="F3F3F3"/>
          </w:tcPr>
          <w:p w:rsidR="00BA2520" w:rsidRPr="00CA2D02" w:rsidRDefault="00BA2520" w:rsidP="006B1D2B">
            <w:pPr>
              <w:spacing w:before="30" w:after="30"/>
              <w:ind w:left="57"/>
              <w:jc w:val="left"/>
              <w:rPr>
                <w:b/>
                <w:bCs/>
                <w:color w:val="000080"/>
                <w:sz w:val="20"/>
                <w:lang w:val="en-GB"/>
              </w:rPr>
            </w:pPr>
            <w:r w:rsidRPr="00CA2D02">
              <w:rPr>
                <w:b/>
                <w:bCs/>
                <w:color w:val="000080"/>
                <w:sz w:val="20"/>
                <w:lang w:val="en-GB"/>
              </w:rPr>
              <w:t>SF</w:t>
            </w:r>
          </w:p>
        </w:tc>
        <w:tc>
          <w:tcPr>
            <w:tcW w:w="8220" w:type="dxa"/>
            <w:tcBorders>
              <w:top w:val="nil"/>
              <w:bottom w:val="nil"/>
            </w:tcBorders>
            <w:shd w:val="clear" w:color="auto" w:fill="F3F3F3"/>
          </w:tcPr>
          <w:p w:rsidR="00BA2520" w:rsidRPr="00CA2D02" w:rsidRDefault="00BA2520" w:rsidP="006B1D2B">
            <w:pPr>
              <w:spacing w:before="30" w:after="30"/>
              <w:jc w:val="left"/>
              <w:rPr>
                <w:b/>
                <w:bCs/>
                <w:color w:val="000080"/>
                <w:sz w:val="20"/>
                <w:lang w:val="en-GB"/>
              </w:rPr>
            </w:pPr>
            <w:r w:rsidRPr="00CA2D02">
              <w:rPr>
                <w:b/>
                <w:bCs/>
                <w:color w:val="000080"/>
                <w:sz w:val="20"/>
                <w:lang w:val="en-GB"/>
              </w:rPr>
              <w:t>Frequency sharing and coordination between fixed-satellite and fixed service systems</w:t>
            </w:r>
          </w:p>
        </w:tc>
      </w:tr>
      <w:tr w:rsidR="00BA2520" w:rsidRPr="00CA2D02" w:rsidTr="001B164E">
        <w:tc>
          <w:tcPr>
            <w:tcW w:w="1140" w:type="dxa"/>
            <w:tcBorders>
              <w:top w:val="nil"/>
              <w:bottom w:val="nil"/>
            </w:tcBorders>
            <w:shd w:val="clear" w:color="auto" w:fill="auto"/>
          </w:tcPr>
          <w:p w:rsidR="00BA2520" w:rsidRPr="00CA2D02" w:rsidRDefault="00BA2520" w:rsidP="006B1D2B">
            <w:pPr>
              <w:spacing w:before="30" w:after="30"/>
              <w:ind w:left="57"/>
              <w:jc w:val="left"/>
              <w:rPr>
                <w:rFonts w:ascii="Times New Roman Bold" w:hAnsi="Times New Roman Bold" w:cs="Times New Roman Bold"/>
                <w:b/>
                <w:bCs/>
                <w:sz w:val="20"/>
                <w:lang w:val="en-GB"/>
              </w:rPr>
            </w:pPr>
            <w:r w:rsidRPr="00CA2D02">
              <w:rPr>
                <w:rFonts w:ascii="Times New Roman Bold" w:hAnsi="Times New Roman Bold" w:cs="Times New Roman Bold"/>
                <w:b/>
                <w:bCs/>
                <w:sz w:val="20"/>
                <w:lang w:val="en-GB"/>
              </w:rPr>
              <w:t>SM</w:t>
            </w:r>
          </w:p>
        </w:tc>
        <w:tc>
          <w:tcPr>
            <w:tcW w:w="8220" w:type="dxa"/>
            <w:tcBorders>
              <w:top w:val="nil"/>
              <w:bottom w:val="nil"/>
            </w:tcBorders>
            <w:shd w:val="clear" w:color="auto" w:fill="auto"/>
          </w:tcPr>
          <w:p w:rsidR="00BA2520" w:rsidRPr="00CA2D02" w:rsidRDefault="00BA2520" w:rsidP="006B1D2B">
            <w:pPr>
              <w:spacing w:before="30" w:after="30"/>
              <w:jc w:val="left"/>
              <w:rPr>
                <w:rFonts w:hAnsi="Times New Roman Bold"/>
                <w:sz w:val="20"/>
                <w:lang w:val="en-GB"/>
              </w:rPr>
            </w:pPr>
            <w:r w:rsidRPr="00CA2D02">
              <w:rPr>
                <w:rFonts w:hAnsi="Times New Roman Bold"/>
                <w:sz w:val="20"/>
                <w:lang w:val="en-GB"/>
              </w:rPr>
              <w:t>Spectrum management</w:t>
            </w:r>
          </w:p>
        </w:tc>
      </w:tr>
      <w:tr w:rsidR="00BA2520" w:rsidRPr="00CA2D02" w:rsidTr="001B164E">
        <w:tc>
          <w:tcPr>
            <w:tcW w:w="1140" w:type="dxa"/>
            <w:tcBorders>
              <w:top w:val="nil"/>
            </w:tcBorders>
          </w:tcPr>
          <w:p w:rsidR="00BA2520" w:rsidRPr="00CA2D02" w:rsidRDefault="00BA2520" w:rsidP="006B1D2B">
            <w:pPr>
              <w:spacing w:before="30" w:after="30"/>
              <w:ind w:left="57"/>
              <w:jc w:val="left"/>
              <w:rPr>
                <w:b/>
                <w:bCs/>
                <w:sz w:val="20"/>
                <w:lang w:val="en-GB"/>
              </w:rPr>
            </w:pPr>
            <w:r w:rsidRPr="00CA2D02">
              <w:rPr>
                <w:b/>
                <w:bCs/>
                <w:sz w:val="20"/>
                <w:lang w:val="en-GB"/>
              </w:rPr>
              <w:t>SNG</w:t>
            </w:r>
          </w:p>
        </w:tc>
        <w:tc>
          <w:tcPr>
            <w:tcW w:w="8220" w:type="dxa"/>
            <w:tcBorders>
              <w:top w:val="nil"/>
            </w:tcBorders>
          </w:tcPr>
          <w:p w:rsidR="00BA2520" w:rsidRPr="00CA2D02" w:rsidRDefault="00BA2520" w:rsidP="006B1D2B">
            <w:pPr>
              <w:spacing w:before="30" w:after="30"/>
              <w:jc w:val="left"/>
              <w:rPr>
                <w:sz w:val="20"/>
                <w:lang w:val="en-GB"/>
              </w:rPr>
            </w:pPr>
            <w:r w:rsidRPr="00CA2D02">
              <w:rPr>
                <w:sz w:val="20"/>
                <w:lang w:val="en-GB"/>
              </w:rPr>
              <w:t>Satellite news gathering</w:t>
            </w:r>
          </w:p>
        </w:tc>
      </w:tr>
      <w:tr w:rsidR="00BA2520" w:rsidRPr="004D2928">
        <w:tc>
          <w:tcPr>
            <w:tcW w:w="1140" w:type="dxa"/>
          </w:tcPr>
          <w:p w:rsidR="00BA2520" w:rsidRPr="00CA2D02" w:rsidRDefault="00BA2520" w:rsidP="006B1D2B">
            <w:pPr>
              <w:spacing w:before="30" w:after="30"/>
              <w:ind w:left="57"/>
              <w:jc w:val="left"/>
              <w:rPr>
                <w:b/>
                <w:bCs/>
                <w:sz w:val="20"/>
                <w:lang w:val="en-GB"/>
              </w:rPr>
            </w:pPr>
            <w:r w:rsidRPr="00CA2D02">
              <w:rPr>
                <w:b/>
                <w:bCs/>
                <w:sz w:val="20"/>
                <w:lang w:val="en-GB"/>
              </w:rPr>
              <w:t>TF</w:t>
            </w:r>
          </w:p>
        </w:tc>
        <w:tc>
          <w:tcPr>
            <w:tcW w:w="8220" w:type="dxa"/>
          </w:tcPr>
          <w:p w:rsidR="00BA2520" w:rsidRPr="00CA2D02" w:rsidRDefault="00BA2520" w:rsidP="006B1D2B">
            <w:pPr>
              <w:spacing w:before="30" w:after="30"/>
              <w:jc w:val="left"/>
              <w:rPr>
                <w:sz w:val="20"/>
                <w:lang w:val="en-GB"/>
              </w:rPr>
            </w:pPr>
            <w:r w:rsidRPr="00CA2D02">
              <w:rPr>
                <w:sz w:val="20"/>
                <w:lang w:val="en-GB"/>
              </w:rPr>
              <w:t>Time signals and frequency standards emissions</w:t>
            </w:r>
          </w:p>
        </w:tc>
      </w:tr>
      <w:tr w:rsidR="00BA2520" w:rsidRPr="00CA2D02">
        <w:tc>
          <w:tcPr>
            <w:tcW w:w="1140" w:type="dxa"/>
          </w:tcPr>
          <w:p w:rsidR="00BA2520" w:rsidRPr="00CA2D02" w:rsidRDefault="00BA2520" w:rsidP="006B1D2B">
            <w:pPr>
              <w:spacing w:before="30" w:after="30"/>
              <w:ind w:left="57"/>
              <w:jc w:val="left"/>
              <w:rPr>
                <w:b/>
                <w:bCs/>
                <w:sz w:val="20"/>
                <w:lang w:val="en-GB"/>
              </w:rPr>
            </w:pPr>
            <w:r w:rsidRPr="00CA2D02">
              <w:rPr>
                <w:b/>
                <w:bCs/>
                <w:sz w:val="20"/>
                <w:lang w:val="en-GB"/>
              </w:rPr>
              <w:t>V</w:t>
            </w:r>
          </w:p>
        </w:tc>
        <w:tc>
          <w:tcPr>
            <w:tcW w:w="8220" w:type="dxa"/>
          </w:tcPr>
          <w:p w:rsidR="00BA2520" w:rsidRPr="00CA2D02" w:rsidRDefault="00BA2520" w:rsidP="00906589">
            <w:pPr>
              <w:spacing w:before="30" w:after="180"/>
              <w:jc w:val="left"/>
              <w:rPr>
                <w:sz w:val="20"/>
                <w:lang w:val="en-GB"/>
              </w:rPr>
            </w:pPr>
            <w:r w:rsidRPr="00CA2D02">
              <w:rPr>
                <w:sz w:val="20"/>
                <w:lang w:val="en-GB"/>
              </w:rPr>
              <w:t>Vocabulary and related subjects</w:t>
            </w:r>
          </w:p>
        </w:tc>
      </w:tr>
    </w:tbl>
    <w:p w:rsidR="00BA2520" w:rsidRPr="00CA2D02" w:rsidRDefault="00BA2520" w:rsidP="007B1357">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BA2520" w:rsidRPr="00CA2D02">
        <w:tc>
          <w:tcPr>
            <w:tcW w:w="720" w:type="dxa"/>
          </w:tcPr>
          <w:p w:rsidR="00BA2520" w:rsidRPr="00CA2D02" w:rsidRDefault="00BA2520" w:rsidP="007B1357">
            <w:pPr>
              <w:jc w:val="center"/>
              <w:rPr>
                <w:sz w:val="22"/>
                <w:lang w:val="en-GB"/>
              </w:rPr>
            </w:pPr>
          </w:p>
        </w:tc>
      </w:tr>
    </w:tbl>
    <w:p w:rsidR="00BA2520" w:rsidRPr="00CA2D02" w:rsidRDefault="00BA2520" w:rsidP="007B1357">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A2520" w:rsidRPr="004D2928">
        <w:tc>
          <w:tcPr>
            <w:tcW w:w="9360" w:type="dxa"/>
          </w:tcPr>
          <w:p w:rsidR="00BA2520" w:rsidRPr="00CA2D02" w:rsidRDefault="00BA2520" w:rsidP="002F5199">
            <w:pPr>
              <w:spacing w:after="120"/>
              <w:jc w:val="center"/>
              <w:rPr>
                <w:sz w:val="20"/>
                <w:lang w:val="en-GB"/>
              </w:rPr>
            </w:pPr>
            <w:r w:rsidRPr="00CA2D02">
              <w:rPr>
                <w:b/>
                <w:bCs/>
                <w:i/>
                <w:iCs/>
                <w:sz w:val="20"/>
                <w:lang w:val="en-GB"/>
              </w:rPr>
              <w:t>Note</w:t>
            </w:r>
            <w:r w:rsidRPr="00CA2D02">
              <w:rPr>
                <w:sz w:val="20"/>
                <w:lang w:val="en-GB"/>
              </w:rPr>
              <w:t xml:space="preserve">: </w:t>
            </w:r>
            <w:r w:rsidRPr="00CA2D02">
              <w:rPr>
                <w:i/>
                <w:iCs/>
                <w:sz w:val="20"/>
                <w:lang w:val="en-GB"/>
              </w:rPr>
              <w:t>This ITU-R Recommendation was approved in English under the procedure detailed in Resolution ITU-R 1.</w:t>
            </w:r>
          </w:p>
        </w:tc>
      </w:tr>
    </w:tbl>
    <w:p w:rsidR="00BA2520" w:rsidRPr="00CA2D02" w:rsidRDefault="00BA2520" w:rsidP="002F5199">
      <w:pPr>
        <w:spacing w:before="0"/>
        <w:jc w:val="center"/>
        <w:rPr>
          <w:sz w:val="22"/>
          <w:lang w:val="en-GB"/>
        </w:rPr>
      </w:pPr>
    </w:p>
    <w:p w:rsidR="00BA2520" w:rsidRPr="00CA2D02" w:rsidRDefault="00BA2520" w:rsidP="002F5199">
      <w:pPr>
        <w:spacing w:before="0"/>
        <w:jc w:val="center"/>
        <w:rPr>
          <w:sz w:val="22"/>
          <w:lang w:val="en-GB"/>
        </w:rPr>
      </w:pPr>
    </w:p>
    <w:p w:rsidR="00BA2520" w:rsidRPr="00CA2D02" w:rsidRDefault="00BA2520" w:rsidP="007B1357">
      <w:pPr>
        <w:spacing w:before="0"/>
        <w:jc w:val="right"/>
        <w:rPr>
          <w:i/>
          <w:iCs/>
          <w:sz w:val="20"/>
          <w:lang w:val="en-GB"/>
        </w:rPr>
      </w:pPr>
      <w:r w:rsidRPr="00CA2D02">
        <w:rPr>
          <w:i/>
          <w:iCs/>
          <w:sz w:val="20"/>
          <w:lang w:val="en-GB"/>
        </w:rPr>
        <w:t>Electronic Publication</w:t>
      </w:r>
    </w:p>
    <w:p w:rsidR="00BA2520" w:rsidRPr="00CA2D02" w:rsidRDefault="00BA2520" w:rsidP="00267925">
      <w:pPr>
        <w:spacing w:before="0"/>
        <w:jc w:val="right"/>
        <w:rPr>
          <w:sz w:val="20"/>
          <w:lang w:val="en-GB"/>
        </w:rPr>
      </w:pPr>
      <w:r w:rsidRPr="00CA2D02">
        <w:rPr>
          <w:sz w:val="20"/>
          <w:lang w:val="en-GB"/>
        </w:rPr>
        <w:t>Geneva, 201</w:t>
      </w:r>
      <w:r w:rsidR="00267925">
        <w:rPr>
          <w:sz w:val="20"/>
          <w:lang w:val="en-GB"/>
        </w:rPr>
        <w:t>4</w:t>
      </w:r>
    </w:p>
    <w:p w:rsidR="00BA2520" w:rsidRPr="00CA2D02" w:rsidRDefault="00BA2520" w:rsidP="00906589">
      <w:pPr>
        <w:jc w:val="center"/>
        <w:rPr>
          <w:sz w:val="22"/>
          <w:lang w:val="en-GB"/>
        </w:rPr>
      </w:pPr>
    </w:p>
    <w:p w:rsidR="00BA2520" w:rsidRPr="00CA2D02" w:rsidRDefault="00BA2520" w:rsidP="00267925">
      <w:pPr>
        <w:jc w:val="center"/>
        <w:rPr>
          <w:sz w:val="20"/>
          <w:lang w:val="en-GB"/>
        </w:rPr>
      </w:pPr>
      <w:r w:rsidRPr="00CA2D02">
        <w:rPr>
          <w:sz w:val="20"/>
          <w:lang w:val="en-GB"/>
        </w:rPr>
        <w:sym w:font="Symbol" w:char="F0E3"/>
      </w:r>
      <w:r w:rsidRPr="00CA2D02">
        <w:rPr>
          <w:sz w:val="20"/>
          <w:lang w:val="en-GB"/>
        </w:rPr>
        <w:t xml:space="preserve"> ITU </w:t>
      </w:r>
      <w:bookmarkStart w:id="1" w:name="iiannee"/>
      <w:bookmarkEnd w:id="1"/>
      <w:r w:rsidRPr="00CA2D02">
        <w:rPr>
          <w:sz w:val="20"/>
          <w:lang w:val="en-GB"/>
        </w:rPr>
        <w:t>201</w:t>
      </w:r>
      <w:r w:rsidR="00267925">
        <w:rPr>
          <w:sz w:val="20"/>
          <w:lang w:val="en-GB"/>
        </w:rPr>
        <w:t>4</w:t>
      </w:r>
    </w:p>
    <w:p w:rsidR="00BA2520" w:rsidRPr="00CA2D02" w:rsidRDefault="00BA2520" w:rsidP="00470E28">
      <w:pPr>
        <w:rPr>
          <w:sz w:val="18"/>
          <w:szCs w:val="18"/>
          <w:lang w:val="en-GB"/>
        </w:rPr>
      </w:pPr>
      <w:r w:rsidRPr="00CA2D02">
        <w:rPr>
          <w:sz w:val="18"/>
          <w:szCs w:val="18"/>
          <w:lang w:val="en-GB"/>
        </w:rPr>
        <w:t>All rights reserved. No part of this publication may be reproduced, by any means whatsoever, without written permission of ITU.</w:t>
      </w:r>
    </w:p>
    <w:p w:rsidR="00BA2520" w:rsidRPr="00CA2D02" w:rsidRDefault="00BA2520" w:rsidP="00A971A1">
      <w:pPr>
        <w:spacing w:before="160"/>
        <w:rPr>
          <w:i/>
          <w:sz w:val="20"/>
          <w:lang w:val="en-GB"/>
        </w:rPr>
        <w:sectPr w:rsidR="00BA2520" w:rsidRPr="00CA2D02"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6617B" w:rsidRPr="00CA2D02" w:rsidRDefault="00BA2520" w:rsidP="00036492">
      <w:pPr>
        <w:pStyle w:val="RecNo"/>
        <w:spacing w:before="0"/>
        <w:rPr>
          <w:lang w:val="en-GB"/>
        </w:rPr>
      </w:pPr>
      <w:bookmarkStart w:id="2" w:name="irecnoe"/>
      <w:bookmarkEnd w:id="2"/>
      <w:r w:rsidRPr="00CA2D02">
        <w:rPr>
          <w:lang w:val="en-GB"/>
        </w:rPr>
        <w:lastRenderedPageBreak/>
        <w:t xml:space="preserve">RECOMMENDATION  </w:t>
      </w:r>
      <w:r w:rsidRPr="00CA2D02">
        <w:rPr>
          <w:rStyle w:val="href"/>
          <w:lang w:val="en-GB"/>
        </w:rPr>
        <w:t>ITU-R  SF.</w:t>
      </w:r>
      <w:r w:rsidR="00036492" w:rsidRPr="00CA2D02">
        <w:rPr>
          <w:rStyle w:val="href"/>
          <w:lang w:val="en-GB"/>
        </w:rPr>
        <w:t>674-3</w:t>
      </w:r>
    </w:p>
    <w:p w:rsidR="00036492" w:rsidRPr="00CA2D02" w:rsidRDefault="00036492" w:rsidP="00036492">
      <w:pPr>
        <w:pStyle w:val="Rectitle"/>
        <w:rPr>
          <w:lang w:val="en-GB"/>
        </w:rPr>
      </w:pPr>
      <w:r w:rsidRPr="00CA2D02">
        <w:rPr>
          <w:lang w:val="en-GB"/>
        </w:rPr>
        <w:t xml:space="preserve">Determination of the impact on the fixed service operating in the 11.7-12.2 GHz band when geostationary fixed-satellite service networks in Region 2 exceed power flux-density thresholds </w:t>
      </w:r>
      <w:r w:rsidRPr="00CA2D02">
        <w:rPr>
          <w:lang w:val="en-GB" w:eastAsia="ja-JP"/>
        </w:rPr>
        <w:t>for coordination</w:t>
      </w:r>
    </w:p>
    <w:p w:rsidR="00BA2520" w:rsidRPr="00CA2D02" w:rsidRDefault="00BA2520" w:rsidP="00BA2520">
      <w:pPr>
        <w:pStyle w:val="Recdate"/>
        <w:rPr>
          <w:lang w:val="en-GB"/>
        </w:rPr>
      </w:pPr>
      <w:r w:rsidRPr="00CA2D02">
        <w:rPr>
          <w:lang w:val="en-GB"/>
        </w:rPr>
        <w:t>(1990-1997-2002</w:t>
      </w:r>
      <w:r w:rsidR="00036492" w:rsidRPr="00CA2D02">
        <w:rPr>
          <w:lang w:val="en-GB"/>
        </w:rPr>
        <w:t>-2013</w:t>
      </w:r>
      <w:r w:rsidRPr="00CA2D02">
        <w:rPr>
          <w:lang w:val="en-GB"/>
        </w:rPr>
        <w:t>)</w:t>
      </w:r>
    </w:p>
    <w:p w:rsidR="00BA2520" w:rsidRPr="00CA2D02" w:rsidRDefault="00BA2520" w:rsidP="00036492">
      <w:pPr>
        <w:pStyle w:val="HeadingSum"/>
        <w:rPr>
          <w:lang w:val="en-GB"/>
        </w:rPr>
      </w:pPr>
      <w:r w:rsidRPr="00CA2D02">
        <w:rPr>
          <w:lang w:val="en-GB"/>
        </w:rPr>
        <w:t>Scope</w:t>
      </w:r>
    </w:p>
    <w:p w:rsidR="00BA2520" w:rsidRPr="00CA2D02" w:rsidRDefault="00BA2520" w:rsidP="00036492">
      <w:pPr>
        <w:pStyle w:val="Summary"/>
        <w:rPr>
          <w:lang w:val="en-GB" w:eastAsia="ja-JP"/>
        </w:rPr>
      </w:pPr>
      <w:r w:rsidRPr="00CA2D02">
        <w:rPr>
          <w:lang w:val="en-GB"/>
        </w:rPr>
        <w:t>This Recommendation provides a methodology that can be used to determine the interference levels that would be caused to fixed service systems by GSO fixed-satellite service systems operating at power flux</w:t>
      </w:r>
      <w:r w:rsidRPr="00CA2D02">
        <w:rPr>
          <w:lang w:val="en-GB"/>
        </w:rPr>
        <w:noBreakHyphen/>
        <w:t xml:space="preserve">density levels above the </w:t>
      </w:r>
      <w:r w:rsidRPr="00CA2D02">
        <w:rPr>
          <w:lang w:val="en-GB" w:eastAsia="ja-JP"/>
        </w:rPr>
        <w:t xml:space="preserve">coordination </w:t>
      </w:r>
      <w:r w:rsidRPr="00CA2D02">
        <w:rPr>
          <w:lang w:val="en-GB"/>
        </w:rPr>
        <w:t xml:space="preserve">threshold specified in </w:t>
      </w:r>
      <w:r w:rsidRPr="00CA2D02">
        <w:rPr>
          <w:lang w:val="en-GB" w:eastAsia="ja-JP"/>
        </w:rPr>
        <w:t>the Radio Regulations.</w:t>
      </w:r>
    </w:p>
    <w:p w:rsidR="00BA2520" w:rsidRPr="00CA2D02" w:rsidRDefault="00BA2520" w:rsidP="00BA2520">
      <w:pPr>
        <w:pStyle w:val="Normalaftertitle"/>
        <w:rPr>
          <w:lang w:val="en-GB"/>
        </w:rPr>
      </w:pPr>
      <w:r w:rsidRPr="00CA2D02">
        <w:rPr>
          <w:lang w:val="en-GB"/>
        </w:rPr>
        <w:t>The ITU Radiocommunication Assembly,</w:t>
      </w:r>
    </w:p>
    <w:p w:rsidR="00BA2520" w:rsidRPr="00CA2D02" w:rsidRDefault="00BA2520" w:rsidP="00036492">
      <w:pPr>
        <w:pStyle w:val="Call"/>
        <w:rPr>
          <w:lang w:val="en-GB"/>
        </w:rPr>
      </w:pPr>
      <w:r w:rsidRPr="00CA2D02">
        <w:rPr>
          <w:lang w:val="en-GB"/>
        </w:rPr>
        <w:t>considering</w:t>
      </w:r>
    </w:p>
    <w:p w:rsidR="00BA2520" w:rsidRPr="00CA2D02" w:rsidRDefault="00BA2520" w:rsidP="00BA2520">
      <w:pPr>
        <w:rPr>
          <w:lang w:val="en-GB"/>
        </w:rPr>
      </w:pPr>
      <w:r w:rsidRPr="00CA2D02">
        <w:rPr>
          <w:lang w:val="en-GB"/>
        </w:rPr>
        <w:t>a)</w:t>
      </w:r>
      <w:r w:rsidRPr="00CA2D02">
        <w:rPr>
          <w:lang w:val="en-GB"/>
        </w:rPr>
        <w:tab/>
        <w:t xml:space="preserve">that the band 11.7-12.2 GHz is allocated to the fixed service (FS) on a worldwide basis and the fixed-satellite service (FSS) </w:t>
      </w:r>
      <w:r w:rsidRPr="00CA2D02">
        <w:rPr>
          <w:szCs w:val="24"/>
          <w:lang w:val="en-GB"/>
        </w:rPr>
        <w:t xml:space="preserve">(space-to-Earth) </w:t>
      </w:r>
      <w:r w:rsidRPr="00CA2D02">
        <w:rPr>
          <w:lang w:val="en-GB"/>
        </w:rPr>
        <w:t>in Region 2;</w:t>
      </w:r>
    </w:p>
    <w:p w:rsidR="00BA2520" w:rsidRPr="00CA2D02" w:rsidRDefault="00BA2520" w:rsidP="00CA2D02">
      <w:pPr>
        <w:rPr>
          <w:lang w:val="en-GB"/>
        </w:rPr>
      </w:pPr>
      <w:r w:rsidRPr="00CA2D02">
        <w:rPr>
          <w:lang w:val="en-GB"/>
        </w:rPr>
        <w:t>b)</w:t>
      </w:r>
      <w:r w:rsidRPr="00CA2D02">
        <w:rPr>
          <w:lang w:val="en-GB"/>
        </w:rPr>
        <w:tab/>
      </w:r>
      <w:r w:rsidRPr="00CA2D02">
        <w:rPr>
          <w:szCs w:val="24"/>
          <w:lang w:val="en-GB"/>
        </w:rPr>
        <w:t xml:space="preserve">that the use of this band </w:t>
      </w:r>
      <w:r w:rsidRPr="00CA2D02">
        <w:rPr>
          <w:szCs w:val="24"/>
          <w:lang w:val="en-GB" w:eastAsia="ja-JP"/>
        </w:rPr>
        <w:t xml:space="preserve">by geostationary-satellite networks in </w:t>
      </w:r>
      <w:r w:rsidRPr="00CA2D02">
        <w:rPr>
          <w:szCs w:val="24"/>
          <w:lang w:val="en-GB"/>
        </w:rPr>
        <w:t xml:space="preserve">the FSS </w:t>
      </w:r>
      <w:r w:rsidRPr="00CA2D02">
        <w:rPr>
          <w:szCs w:val="24"/>
          <w:lang w:val="en-GB" w:eastAsia="ja-JP"/>
        </w:rPr>
        <w:t xml:space="preserve">in Region 2 </w:t>
      </w:r>
      <w:r w:rsidRPr="00CA2D02">
        <w:rPr>
          <w:szCs w:val="24"/>
          <w:lang w:val="en-GB"/>
        </w:rPr>
        <w:t>is subject to</w:t>
      </w:r>
      <w:r w:rsidR="00CA2D02" w:rsidRPr="00CA2D02">
        <w:rPr>
          <w:szCs w:val="24"/>
          <w:lang w:val="en-GB" w:eastAsia="ja-JP"/>
        </w:rPr>
        <w:t xml:space="preserve"> </w:t>
      </w:r>
      <w:r w:rsidRPr="00CA2D02">
        <w:rPr>
          <w:szCs w:val="24"/>
          <w:lang w:val="en-GB" w:eastAsia="ja-JP"/>
        </w:rPr>
        <w:t xml:space="preserve">threshold levels for coordination </w:t>
      </w:r>
      <w:r w:rsidRPr="00CA2D02">
        <w:rPr>
          <w:bCs/>
          <w:szCs w:val="24"/>
          <w:lang w:val="en-GB" w:eastAsia="ja-JP"/>
        </w:rPr>
        <w:t>specified in Table 5-1 of Appendix </w:t>
      </w:r>
      <w:r w:rsidRPr="000A1C84">
        <w:rPr>
          <w:b/>
          <w:szCs w:val="24"/>
          <w:lang w:val="en-GB" w:eastAsia="ja-JP"/>
        </w:rPr>
        <w:t>5</w:t>
      </w:r>
      <w:r w:rsidRPr="00CA2D02">
        <w:rPr>
          <w:bCs/>
          <w:szCs w:val="24"/>
          <w:lang w:val="en-GB" w:eastAsia="ja-JP"/>
        </w:rPr>
        <w:t xml:space="preserve"> of the Radio Regulations</w:t>
      </w:r>
      <w:r w:rsidRPr="00CA2D02">
        <w:rPr>
          <w:szCs w:val="24"/>
          <w:lang w:val="en-GB" w:eastAsia="ja-JP"/>
        </w:rPr>
        <w:t>;</w:t>
      </w:r>
    </w:p>
    <w:p w:rsidR="00BA2520" w:rsidRPr="00CA2D02" w:rsidRDefault="00BA2520" w:rsidP="00BA2520">
      <w:pPr>
        <w:rPr>
          <w:lang w:val="en-GB" w:eastAsia="ja-JP"/>
        </w:rPr>
      </w:pPr>
      <w:r w:rsidRPr="00CA2D02">
        <w:rPr>
          <w:lang w:val="en-GB"/>
        </w:rPr>
        <w:t>c)</w:t>
      </w:r>
      <w:r w:rsidRPr="00CA2D02">
        <w:rPr>
          <w:lang w:val="en-GB"/>
        </w:rPr>
        <w:tab/>
      </w:r>
      <w:r w:rsidRPr="00CA2D02">
        <w:rPr>
          <w:lang w:val="en-GB" w:eastAsia="ja-JP"/>
        </w:rPr>
        <w:t>that frequency sharing between the FS and FSS would be facilitated by the establishment of a methodology to evaluate the interference levels from the FSS to the FS when the pfd values exceed the threshold for coordination,</w:t>
      </w:r>
    </w:p>
    <w:p w:rsidR="00BA2520" w:rsidRPr="00CA2D02" w:rsidRDefault="00BA2520" w:rsidP="00BA2520">
      <w:pPr>
        <w:pStyle w:val="Call"/>
        <w:rPr>
          <w:lang w:val="en-GB"/>
        </w:rPr>
      </w:pPr>
      <w:r w:rsidRPr="00CA2D02">
        <w:rPr>
          <w:lang w:val="en-GB"/>
        </w:rPr>
        <w:t>recommends</w:t>
      </w:r>
    </w:p>
    <w:p w:rsidR="00BA2520" w:rsidRPr="00CA2D02" w:rsidRDefault="00BA2520" w:rsidP="00BA2520">
      <w:pPr>
        <w:rPr>
          <w:lang w:val="en-GB"/>
        </w:rPr>
      </w:pPr>
      <w:r w:rsidRPr="00CA2D02">
        <w:rPr>
          <w:szCs w:val="24"/>
          <w:lang w:val="en-GB"/>
        </w:rPr>
        <w:t>that the methodology presented in Annex 1 should</w:t>
      </w:r>
      <w:r w:rsidRPr="00CA2D02">
        <w:rPr>
          <w:color w:val="FF0000"/>
          <w:szCs w:val="24"/>
          <w:lang w:val="en-GB"/>
        </w:rPr>
        <w:t xml:space="preserve"> </w:t>
      </w:r>
      <w:r w:rsidRPr="00CA2D02">
        <w:rPr>
          <w:szCs w:val="24"/>
          <w:lang w:val="en-GB"/>
        </w:rPr>
        <w:t xml:space="preserve">be used as a means for determining the interference levels caused to FS systems by the FSS when the pfd levels exceed the threshold referred to in </w:t>
      </w:r>
      <w:r w:rsidRPr="00CA2D02">
        <w:rPr>
          <w:i/>
          <w:szCs w:val="24"/>
          <w:lang w:val="en-GB" w:eastAsia="ja-JP"/>
        </w:rPr>
        <w:t xml:space="preserve">considering </w:t>
      </w:r>
      <w:r w:rsidRPr="00CA2D02">
        <w:rPr>
          <w:lang w:val="en-GB"/>
        </w:rPr>
        <w:t>b) above.</w:t>
      </w:r>
    </w:p>
    <w:p w:rsidR="00BA2520" w:rsidRPr="00CA2D02" w:rsidRDefault="00BA2520" w:rsidP="00BA2520">
      <w:pPr>
        <w:rPr>
          <w:lang w:val="en-GB"/>
        </w:rPr>
      </w:pPr>
    </w:p>
    <w:p w:rsidR="00BA2520" w:rsidRPr="00CA2D02" w:rsidRDefault="00BA2520" w:rsidP="00BA2520">
      <w:pPr>
        <w:rPr>
          <w:lang w:val="en-GB"/>
        </w:rPr>
      </w:pPr>
    </w:p>
    <w:p w:rsidR="00BA2520" w:rsidRPr="00CA2D02" w:rsidRDefault="00BA2520" w:rsidP="00036492">
      <w:pPr>
        <w:pStyle w:val="AnnexNoTitle"/>
        <w:rPr>
          <w:lang w:val="en-GB" w:eastAsia="ja-JP"/>
        </w:rPr>
      </w:pPr>
      <w:r w:rsidRPr="00CA2D02">
        <w:rPr>
          <w:lang w:val="en-GB"/>
        </w:rPr>
        <w:t>Annex 1</w:t>
      </w:r>
      <w:r w:rsidR="00036492" w:rsidRPr="00CA2D02">
        <w:rPr>
          <w:lang w:val="en-GB" w:eastAsia="ja-JP"/>
        </w:rPr>
        <w:br/>
      </w:r>
      <w:r w:rsidR="00036492" w:rsidRPr="00CA2D02">
        <w:rPr>
          <w:lang w:val="en-GB" w:eastAsia="ja-JP"/>
        </w:rPr>
        <w:br/>
      </w:r>
      <w:r w:rsidRPr="00CA2D02">
        <w:rPr>
          <w:lang w:val="en-GB"/>
        </w:rPr>
        <w:t>Determining interference into FS systems</w:t>
      </w:r>
    </w:p>
    <w:p w:rsidR="00BA2520" w:rsidRPr="00CA2D02" w:rsidRDefault="00BA2520" w:rsidP="00BA2520">
      <w:pPr>
        <w:pStyle w:val="Headingb"/>
        <w:rPr>
          <w:lang w:val="en-GB" w:eastAsia="ja-JP"/>
        </w:rPr>
      </w:pPr>
      <w:r w:rsidRPr="00CA2D02">
        <w:rPr>
          <w:lang w:val="en-GB"/>
        </w:rPr>
        <w:t>Introduction</w:t>
      </w:r>
    </w:p>
    <w:p w:rsidR="00BA2520" w:rsidRPr="00CA2D02" w:rsidRDefault="00BA2520" w:rsidP="00CA2D02">
      <w:pPr>
        <w:rPr>
          <w:szCs w:val="24"/>
          <w:lang w:val="en-GB"/>
        </w:rPr>
      </w:pPr>
      <w:r w:rsidRPr="00CA2D02">
        <w:rPr>
          <w:lang w:val="en-GB"/>
        </w:rPr>
        <w:t>This Annex expands upon the methodology that is used in Recommendations ITU-R F.1107 and ITU-R F.1108 for digital FS systems. Recommendation ITU</w:t>
      </w:r>
      <w:r w:rsidRPr="00CA2D02">
        <w:rPr>
          <w:lang w:val="en-GB"/>
        </w:rPr>
        <w:noBreakHyphen/>
        <w:t xml:space="preserve">R F.1108 uses the concept of fractional degradation </w:t>
      </w:r>
      <w:r w:rsidRPr="00CA2D02">
        <w:rPr>
          <w:lang w:val="en-GB" w:eastAsia="ja-JP"/>
        </w:rPr>
        <w:t xml:space="preserve">in </w:t>
      </w:r>
      <w:r w:rsidRPr="00CA2D02">
        <w:rPr>
          <w:lang w:val="en-GB"/>
        </w:rPr>
        <w:t>performance (FDP) for digital FS stations. The FDP is the fractional increase in the percentage of time that the controlling performance criterion will not be met because of the presence of interference. Recommendation ITU</w:t>
      </w:r>
      <w:r w:rsidRPr="00CA2D02">
        <w:rPr>
          <w:lang w:val="en-GB"/>
        </w:rPr>
        <w:noBreakHyphen/>
        <w:t>R F.1108 suggests a value of 10% for FDP as appropriate for sharing studies. Accordingly, the</w:t>
      </w:r>
      <w:r w:rsidR="00CA2D02" w:rsidRPr="00CA2D02">
        <w:rPr>
          <w:lang w:val="en-GB"/>
        </w:rPr>
        <w:t xml:space="preserve"> </w:t>
      </w:r>
      <w:r w:rsidRPr="00CA2D02">
        <w:rPr>
          <w:lang w:val="en-GB"/>
        </w:rPr>
        <w:t xml:space="preserve">methodologies described here will determine the fraction of FS receivers for which the FDP will exceed 10%. The FDP should exceed 10% for no more than an agreed small percentage of the terrestrial stations. </w:t>
      </w:r>
      <w:r w:rsidRPr="00CA2D02">
        <w:rPr>
          <w:szCs w:val="24"/>
          <w:lang w:val="en-GB"/>
        </w:rPr>
        <w:t xml:space="preserve">Attachment </w:t>
      </w:r>
      <w:r w:rsidRPr="00CA2D02">
        <w:rPr>
          <w:szCs w:val="24"/>
          <w:lang w:val="en-GB" w:eastAsia="ja-JP"/>
        </w:rPr>
        <w:t>1</w:t>
      </w:r>
      <w:r w:rsidR="00ED790B">
        <w:rPr>
          <w:szCs w:val="24"/>
          <w:lang w:val="en-GB" w:eastAsia="ja-JP"/>
        </w:rPr>
        <w:t xml:space="preserve"> </w:t>
      </w:r>
      <w:r w:rsidRPr="00CA2D02">
        <w:rPr>
          <w:szCs w:val="24"/>
          <w:lang w:val="en-GB"/>
        </w:rPr>
        <w:t>discusses the methodology used to analyse interference into digital systems. It should be noted that the methodolog</w:t>
      </w:r>
      <w:r w:rsidRPr="00CA2D02">
        <w:rPr>
          <w:szCs w:val="24"/>
          <w:lang w:val="en-GB" w:eastAsia="ja-JP"/>
        </w:rPr>
        <w:t xml:space="preserve">y </w:t>
      </w:r>
      <w:r w:rsidRPr="00CA2D02">
        <w:rPr>
          <w:szCs w:val="24"/>
          <w:lang w:val="en-GB"/>
        </w:rPr>
        <w:t>presented here does not make use of any orbital avoidance.</w:t>
      </w:r>
    </w:p>
    <w:p w:rsidR="00BA2520" w:rsidRPr="00CA2D02" w:rsidRDefault="00BA2520" w:rsidP="00ED790B">
      <w:pPr>
        <w:rPr>
          <w:lang w:val="en-GB"/>
        </w:rPr>
      </w:pPr>
      <w:r w:rsidRPr="00CA2D02">
        <w:rPr>
          <w:lang w:val="en-GB"/>
        </w:rPr>
        <w:lastRenderedPageBreak/>
        <w:t>Attachment</w:t>
      </w:r>
      <w:r w:rsidRPr="00CA2D02">
        <w:rPr>
          <w:lang w:val="en-GB" w:eastAsia="ja-JP"/>
        </w:rPr>
        <w:t xml:space="preserve"> </w:t>
      </w:r>
      <w:r w:rsidRPr="00CA2D02">
        <w:rPr>
          <w:lang w:val="en-GB"/>
        </w:rPr>
        <w:t>1 contain</w:t>
      </w:r>
      <w:r w:rsidRPr="00CA2D02">
        <w:rPr>
          <w:lang w:val="en-GB" w:eastAsia="ja-JP"/>
        </w:rPr>
        <w:t>s</w:t>
      </w:r>
      <w:r w:rsidRPr="00CA2D02">
        <w:rPr>
          <w:lang w:val="en-GB"/>
        </w:rPr>
        <w:t xml:space="preserve"> the details of the methodolog</w:t>
      </w:r>
      <w:r w:rsidRPr="00CA2D02">
        <w:rPr>
          <w:lang w:val="en-GB" w:eastAsia="ja-JP"/>
        </w:rPr>
        <w:t xml:space="preserve">y </w:t>
      </w:r>
      <w:r w:rsidRPr="00CA2D02">
        <w:rPr>
          <w:lang w:val="en-GB"/>
        </w:rPr>
        <w:t>used and some results. The analysis presented in Attachment</w:t>
      </w:r>
      <w:r w:rsidRPr="00CA2D02">
        <w:rPr>
          <w:lang w:val="en-GB" w:eastAsia="ja-JP"/>
        </w:rPr>
        <w:t xml:space="preserve"> </w:t>
      </w:r>
      <w:r w:rsidRPr="00CA2D02">
        <w:rPr>
          <w:lang w:val="en-GB"/>
        </w:rPr>
        <w:t>1 show</w:t>
      </w:r>
      <w:r w:rsidRPr="00CA2D02">
        <w:rPr>
          <w:lang w:val="en-GB" w:eastAsia="ja-JP"/>
        </w:rPr>
        <w:t>s</w:t>
      </w:r>
      <w:r w:rsidRPr="00CA2D02">
        <w:rPr>
          <w:lang w:val="en-GB"/>
        </w:rPr>
        <w:t xml:space="preserve"> that the increased performance degradation in digital FS systems, due to FSS systems that exceed that pfd thresholds </w:t>
      </w:r>
      <w:r w:rsidRPr="00CA2D02">
        <w:rPr>
          <w:lang w:val="en-GB" w:eastAsia="ja-JP"/>
        </w:rPr>
        <w:t xml:space="preserve">referred to in </w:t>
      </w:r>
      <w:r w:rsidRPr="00CA2D02">
        <w:rPr>
          <w:i/>
          <w:lang w:val="en-GB" w:eastAsia="ja-JP"/>
        </w:rPr>
        <w:t>considering</w:t>
      </w:r>
      <w:r w:rsidRPr="00CA2D02">
        <w:rPr>
          <w:iCs/>
          <w:lang w:val="en-GB" w:eastAsia="ja-JP"/>
        </w:rPr>
        <w:t xml:space="preserve"> </w:t>
      </w:r>
      <w:r w:rsidRPr="00CA2D02">
        <w:rPr>
          <w:lang w:val="en-GB"/>
        </w:rPr>
        <w:t>b)</w:t>
      </w:r>
      <w:r w:rsidRPr="00CA2D02">
        <w:rPr>
          <w:i/>
          <w:lang w:val="en-GB" w:eastAsia="ja-JP"/>
        </w:rPr>
        <w:t xml:space="preserve"> </w:t>
      </w:r>
      <w:r w:rsidRPr="00CA2D02">
        <w:rPr>
          <w:lang w:val="en-GB"/>
        </w:rPr>
        <w:t>is dependent on the chosen parameters. The results are based on a noise temperature of 1</w:t>
      </w:r>
      <w:r w:rsidRPr="00CA2D02">
        <w:rPr>
          <w:sz w:val="16"/>
          <w:lang w:val="en-GB"/>
        </w:rPr>
        <w:t> </w:t>
      </w:r>
      <w:r w:rsidRPr="00CA2D02">
        <w:rPr>
          <w:lang w:val="en-GB"/>
        </w:rPr>
        <w:t>100 K for digital FS stations. Th</w:t>
      </w:r>
      <w:r w:rsidRPr="00CA2D02">
        <w:rPr>
          <w:lang w:val="en-GB" w:eastAsia="ja-JP"/>
        </w:rPr>
        <w:t xml:space="preserve">is </w:t>
      </w:r>
      <w:r w:rsidRPr="00CA2D02">
        <w:rPr>
          <w:lang w:val="en-GB"/>
        </w:rPr>
        <w:t xml:space="preserve">value </w:t>
      </w:r>
      <w:r w:rsidRPr="00CA2D02">
        <w:rPr>
          <w:lang w:val="en-GB" w:eastAsia="ja-JP"/>
        </w:rPr>
        <w:t xml:space="preserve">is </w:t>
      </w:r>
      <w:r w:rsidRPr="00CA2D02">
        <w:rPr>
          <w:lang w:val="en-GB"/>
        </w:rPr>
        <w:t>taken from Table 7b of Annex 7 of Appendix 7 of the RR.</w:t>
      </w:r>
    </w:p>
    <w:p w:rsidR="00BA2520" w:rsidRPr="00CA2D02" w:rsidRDefault="00BA2520" w:rsidP="00BA2520">
      <w:pPr>
        <w:rPr>
          <w:lang w:val="en-GB"/>
        </w:rPr>
      </w:pPr>
      <w:r w:rsidRPr="00CA2D02">
        <w:rPr>
          <w:lang w:val="en-GB"/>
        </w:rPr>
        <w:t>The methodolog</w:t>
      </w:r>
      <w:r w:rsidRPr="00CA2D02">
        <w:rPr>
          <w:lang w:val="en-GB" w:eastAsia="ja-JP"/>
        </w:rPr>
        <w:t xml:space="preserve">y </w:t>
      </w:r>
      <w:r w:rsidRPr="00CA2D02">
        <w:rPr>
          <w:lang w:val="en-GB"/>
        </w:rPr>
        <w:t>also take</w:t>
      </w:r>
      <w:r w:rsidRPr="00CA2D02">
        <w:rPr>
          <w:lang w:val="en-GB" w:eastAsia="ja-JP"/>
        </w:rPr>
        <w:t>s</w:t>
      </w:r>
      <w:r w:rsidRPr="00CA2D02">
        <w:rPr>
          <w:lang w:val="en-GB"/>
        </w:rPr>
        <w:t xml:space="preserve"> into account the effects of attenuation by atmospheric gases, using the methodology of Recommendation ITU-R SF.1395.</w:t>
      </w:r>
    </w:p>
    <w:p w:rsidR="00BA2520" w:rsidRPr="00CA2D02" w:rsidRDefault="00BA2520" w:rsidP="00CA2D02">
      <w:pPr>
        <w:rPr>
          <w:lang w:val="en-GB"/>
        </w:rPr>
      </w:pPr>
      <w:r w:rsidRPr="00CA2D02">
        <w:rPr>
          <w:lang w:val="en-GB"/>
        </w:rPr>
        <w:t>The methodolog</w:t>
      </w:r>
      <w:r w:rsidRPr="00CA2D02">
        <w:rPr>
          <w:lang w:val="en-GB" w:eastAsia="ja-JP"/>
        </w:rPr>
        <w:t xml:space="preserve">y </w:t>
      </w:r>
      <w:r w:rsidRPr="00CA2D02">
        <w:rPr>
          <w:lang w:val="en-GB"/>
        </w:rPr>
        <w:t>applied in this Annex do</w:t>
      </w:r>
      <w:r w:rsidRPr="00CA2D02">
        <w:rPr>
          <w:lang w:val="en-GB" w:eastAsia="ja-JP"/>
        </w:rPr>
        <w:t>es</w:t>
      </w:r>
      <w:r w:rsidRPr="00CA2D02">
        <w:rPr>
          <w:lang w:val="en-GB"/>
        </w:rPr>
        <w:t xml:space="preserve"> not take account of the loss due to the spreading of the satellite antenna beam on the Earth-space path. According to Fig. 1 of Recommendation ITU</w:t>
      </w:r>
      <w:r w:rsidRPr="00CA2D02">
        <w:rPr>
          <w:lang w:val="en-GB"/>
        </w:rPr>
        <w:noBreakHyphen/>
        <w:t>R P.834, the average long-term beam spreading loss could be 2.5 dB at a 0.1</w:t>
      </w:r>
      <w:r w:rsidR="00CA2D02" w:rsidRPr="00CA2D02">
        <w:rPr>
          <w:lang w:val="en-GB"/>
        </w:rPr>
        <w:t>°</w:t>
      </w:r>
      <w:r w:rsidRPr="00CA2D02">
        <w:rPr>
          <w:lang w:val="en-GB"/>
        </w:rPr>
        <w:t xml:space="preserve"> elevation angle, 0.85 dB at a 1</w:t>
      </w:r>
      <w:r w:rsidR="00CA2D02" w:rsidRPr="00CA2D02">
        <w:rPr>
          <w:lang w:val="en-GB"/>
        </w:rPr>
        <w:t>°</w:t>
      </w:r>
      <w:r w:rsidRPr="00CA2D02">
        <w:rPr>
          <w:lang w:val="en-GB"/>
        </w:rPr>
        <w:t xml:space="preserve"> elevation angle and 0.45 dB at a 2</w:t>
      </w:r>
      <w:r w:rsidR="00CA2D02" w:rsidRPr="00CA2D02">
        <w:rPr>
          <w:lang w:val="en-GB"/>
        </w:rPr>
        <w:t>°</w:t>
      </w:r>
      <w:r w:rsidRPr="00CA2D02">
        <w:rPr>
          <w:lang w:val="en-GB"/>
        </w:rPr>
        <w:t xml:space="preserve"> elevation angle.</w:t>
      </w:r>
    </w:p>
    <w:p w:rsidR="00BA2520" w:rsidRPr="00CA2D02" w:rsidRDefault="00BA2520" w:rsidP="00CA2D02">
      <w:pPr>
        <w:rPr>
          <w:lang w:val="en-GB"/>
        </w:rPr>
      </w:pPr>
      <w:r w:rsidRPr="00CA2D02">
        <w:rPr>
          <w:lang w:val="en-GB"/>
        </w:rPr>
        <w:t>One interference mitigation technique that may be applicable to existing FS receiving antennas is to implement a slight antenna reorientation to reduce the main-beam coupling to the satellite emissions. Theoretical analyses suggest that the improvements are generally modest, that they depend on the initial off-main-beam angle to the satellite and that they increase with increasing interference-to-noise ratio (</w:t>
      </w:r>
      <w:r w:rsidRPr="00CA2D02">
        <w:rPr>
          <w:i/>
          <w:iCs/>
          <w:lang w:val="en-GB"/>
        </w:rPr>
        <w:t>I</w:t>
      </w:r>
      <w:r w:rsidRPr="00CA2D02">
        <w:rPr>
          <w:lang w:val="en-GB"/>
        </w:rPr>
        <w:t>/</w:t>
      </w:r>
      <w:r w:rsidRPr="00CA2D02">
        <w:rPr>
          <w:i/>
          <w:iCs/>
          <w:lang w:val="en-GB"/>
        </w:rPr>
        <w:t>N)</w:t>
      </w:r>
      <w:r w:rsidRPr="00CA2D02">
        <w:rPr>
          <w:lang w:val="en-GB"/>
        </w:rPr>
        <w:t xml:space="preserve">. For </w:t>
      </w:r>
      <w:r w:rsidRPr="00CA2D02">
        <w:rPr>
          <w:i/>
          <w:iCs/>
          <w:lang w:val="en-GB"/>
        </w:rPr>
        <w:t>I</w:t>
      </w:r>
      <w:r w:rsidRPr="00CA2D02">
        <w:rPr>
          <w:lang w:val="en-GB"/>
        </w:rPr>
        <w:t>/</w:t>
      </w:r>
      <w:r w:rsidRPr="00CA2D02">
        <w:rPr>
          <w:i/>
          <w:iCs/>
          <w:lang w:val="en-GB"/>
        </w:rPr>
        <w:t>N</w:t>
      </w:r>
      <w:r w:rsidRPr="00CA2D02">
        <w:rPr>
          <w:lang w:val="en-GB"/>
        </w:rPr>
        <w:t xml:space="preserve"> of +10 dB or greater, improvements of several dB may be possible when the satellite is initially outside of the three-dB beamwidth of the FS antenna. The</w:t>
      </w:r>
      <w:r w:rsidR="00CA2D02" w:rsidRPr="00CA2D02">
        <w:rPr>
          <w:lang w:val="en-GB"/>
        </w:rPr>
        <w:t xml:space="preserve"> </w:t>
      </w:r>
      <w:r w:rsidRPr="00CA2D02">
        <w:rPr>
          <w:lang w:val="en-GB"/>
        </w:rPr>
        <w:t>practical considerations of implementing this mitigation technique have not been considered, and its effectiveness has not been confirmed in field trials.</w:t>
      </w:r>
    </w:p>
    <w:p w:rsidR="00BA2520" w:rsidRPr="00CA2D02" w:rsidRDefault="00BA2520" w:rsidP="00BA2520">
      <w:pPr>
        <w:rPr>
          <w:lang w:val="en-GB"/>
        </w:rPr>
      </w:pPr>
    </w:p>
    <w:p w:rsidR="00CA2D02" w:rsidRPr="00CA2D02" w:rsidRDefault="00CA2D02" w:rsidP="00BA2520">
      <w:pPr>
        <w:rPr>
          <w:lang w:val="en-GB"/>
        </w:rPr>
      </w:pPr>
    </w:p>
    <w:p w:rsidR="00BA2520" w:rsidRPr="00CA2D02" w:rsidRDefault="00036492" w:rsidP="00036492">
      <w:pPr>
        <w:pStyle w:val="AnnexNoTitle"/>
        <w:rPr>
          <w:lang w:val="en-GB" w:eastAsia="ja-JP"/>
        </w:rPr>
      </w:pPr>
      <w:r w:rsidRPr="00CA2D02">
        <w:rPr>
          <w:lang w:val="en-GB"/>
        </w:rPr>
        <w:t xml:space="preserve">Attachment </w:t>
      </w:r>
      <w:r w:rsidR="00BA2520" w:rsidRPr="00CA2D02">
        <w:rPr>
          <w:lang w:val="en-GB" w:eastAsia="ja-JP"/>
        </w:rPr>
        <w:t>1</w:t>
      </w:r>
      <w:r w:rsidR="00BA2520" w:rsidRPr="00CA2D02">
        <w:rPr>
          <w:lang w:val="en-GB" w:eastAsia="ja-JP"/>
        </w:rPr>
        <w:br/>
      </w:r>
      <w:r w:rsidR="00BA2520" w:rsidRPr="00CA2D02">
        <w:rPr>
          <w:lang w:val="en-GB" w:eastAsia="ja-JP"/>
        </w:rPr>
        <w:br/>
      </w:r>
      <w:r w:rsidR="00BA2520" w:rsidRPr="00CA2D02">
        <w:rPr>
          <w:lang w:val="en-GB"/>
        </w:rPr>
        <w:t>to Annex 1</w:t>
      </w:r>
      <w:r w:rsidRPr="00CA2D02">
        <w:rPr>
          <w:lang w:val="en-GB"/>
        </w:rPr>
        <w:br/>
      </w:r>
      <w:r w:rsidRPr="00CA2D02">
        <w:rPr>
          <w:lang w:val="en-GB"/>
        </w:rPr>
        <w:br/>
      </w:r>
      <w:r w:rsidR="00BA2520" w:rsidRPr="00CA2D02">
        <w:rPr>
          <w:lang w:val="en-GB"/>
        </w:rPr>
        <w:t>Determining interference into digital FS systems</w:t>
      </w:r>
    </w:p>
    <w:p w:rsidR="00BA2520" w:rsidRPr="00CA2D02" w:rsidRDefault="00BA2520" w:rsidP="00BA2520">
      <w:pPr>
        <w:pStyle w:val="Heading1"/>
        <w:numPr>
          <w:ilvl w:val="0"/>
          <w:numId w:val="1"/>
        </w:numPr>
        <w:spacing w:before="360"/>
        <w:jc w:val="left"/>
        <w:rPr>
          <w:lang w:val="en-GB" w:eastAsia="ja-JP"/>
        </w:rPr>
      </w:pPr>
      <w:r w:rsidRPr="00CA2D02">
        <w:rPr>
          <w:lang w:val="en-GB"/>
        </w:rPr>
        <w:t>Methodology</w:t>
      </w:r>
    </w:p>
    <w:p w:rsidR="00BA2520" w:rsidRPr="00CA2D02" w:rsidRDefault="00BA2520" w:rsidP="00CA2D02">
      <w:pPr>
        <w:rPr>
          <w:lang w:val="en-GB"/>
        </w:rPr>
      </w:pPr>
      <w:r w:rsidRPr="00CA2D02">
        <w:rPr>
          <w:lang w:val="en-GB"/>
        </w:rPr>
        <w:t>The analysis methodology of Recommendation ITU</w:t>
      </w:r>
      <w:r w:rsidRPr="00CA2D02">
        <w:rPr>
          <w:lang w:val="en-GB"/>
        </w:rPr>
        <w:noBreakHyphen/>
        <w:t>R F.1107 is summarized as follows. FSS networks are placed in order at equally spaced intervals across the geostationary arc: e.g. 2</w:t>
      </w:r>
      <w:r w:rsidR="00CA2D02" w:rsidRPr="00CA2D02">
        <w:rPr>
          <w:lang w:val="en-GB"/>
        </w:rPr>
        <w:t>°</w:t>
      </w:r>
      <w:r w:rsidRPr="00CA2D02">
        <w:rPr>
          <w:lang w:val="en-GB"/>
        </w:rPr>
        <w:t>. They are assumed to radiate pfd levels onto the surface of the Earth as follows:</w:t>
      </w:r>
    </w:p>
    <w:p w:rsidR="00BA2520" w:rsidRPr="00CA2D02" w:rsidRDefault="00BA2520" w:rsidP="00CA2D02">
      <w:pPr>
        <w:tabs>
          <w:tab w:val="left" w:pos="1440"/>
          <w:tab w:val="left" w:pos="5245"/>
        </w:tabs>
        <w:ind w:left="720"/>
        <w:rPr>
          <w:lang w:val="en-GB"/>
        </w:rPr>
      </w:pPr>
      <w:r w:rsidRPr="00CA2D02">
        <w:rPr>
          <w:lang w:val="en-GB"/>
        </w:rPr>
        <w:tab/>
      </w:r>
      <w:r w:rsidRPr="00CA2D02">
        <w:rPr>
          <w:i/>
          <w:iCs/>
          <w:lang w:val="en-GB"/>
        </w:rPr>
        <w:t>pfd</w:t>
      </w:r>
      <w:r w:rsidRPr="00CA2D02">
        <w:rPr>
          <w:i/>
          <w:iCs/>
          <w:vertAlign w:val="subscript"/>
          <w:lang w:val="en-GB"/>
        </w:rPr>
        <w:t>low</w:t>
      </w:r>
      <w:r w:rsidRPr="00CA2D02">
        <w:rPr>
          <w:lang w:val="en-GB"/>
        </w:rPr>
        <w:tab/>
      </w:r>
      <w:r w:rsidRPr="00CA2D02">
        <w:rPr>
          <w:lang w:val="en-GB"/>
        </w:rPr>
        <w:tab/>
      </w:r>
      <w:r w:rsidRPr="00CA2D02">
        <w:rPr>
          <w:lang w:val="en-GB"/>
        </w:rPr>
        <w:tab/>
      </w:r>
      <w:r w:rsidR="00CA2D02" w:rsidRPr="00CA2D02">
        <w:rPr>
          <w:lang w:val="en-GB"/>
        </w:rPr>
        <w:tab/>
      </w:r>
      <w:r w:rsidRPr="00CA2D02">
        <w:rPr>
          <w:lang w:val="en-GB"/>
        </w:rPr>
        <w:t>for   0</w:t>
      </w:r>
      <w:r w:rsidR="00CA2D02" w:rsidRPr="00CA2D02">
        <w:rPr>
          <w:lang w:val="en-GB"/>
        </w:rPr>
        <w:t>°</w:t>
      </w:r>
      <w:r w:rsidRPr="00CA2D02">
        <w:rPr>
          <w:lang w:val="en-GB"/>
        </w:rPr>
        <w:t xml:space="preserve"> </w:t>
      </w:r>
      <w:r w:rsidRPr="00CA2D02">
        <w:rPr>
          <w:lang w:val="en-GB"/>
        </w:rPr>
        <w:sym w:font="Symbol" w:char="F0A3"/>
      </w:r>
      <w:r w:rsidR="00CA2D02" w:rsidRPr="00CA2D02">
        <w:rPr>
          <w:lang w:val="en-GB"/>
        </w:rPr>
        <w:t xml:space="preserve"> </w:t>
      </w:r>
      <w:r w:rsidR="00CA2D02" w:rsidRPr="00CA2D02">
        <w:rPr>
          <w:lang w:val="en-GB"/>
        </w:rPr>
        <w:sym w:font="Symbol" w:char="F071"/>
      </w:r>
      <w:r w:rsidR="00CA2D02" w:rsidRPr="00CA2D02">
        <w:rPr>
          <w:lang w:val="en-GB"/>
        </w:rPr>
        <w:t xml:space="preserve"> </w:t>
      </w:r>
      <w:r w:rsidRPr="00CA2D02">
        <w:rPr>
          <w:lang w:val="en-GB"/>
        </w:rPr>
        <w:sym w:font="Symbol" w:char="F0A3"/>
      </w:r>
      <w:r w:rsidRPr="00CA2D02">
        <w:rPr>
          <w:lang w:val="en-GB"/>
        </w:rPr>
        <w:t xml:space="preserve"> 5</w:t>
      </w:r>
      <w:r w:rsidR="00CA2D02" w:rsidRPr="00CA2D02">
        <w:rPr>
          <w:lang w:val="en-GB"/>
        </w:rPr>
        <w:t>°</w:t>
      </w:r>
    </w:p>
    <w:p w:rsidR="00BA2520" w:rsidRPr="00CA2D02" w:rsidRDefault="00BA2520" w:rsidP="00CA2D02">
      <w:pPr>
        <w:tabs>
          <w:tab w:val="left" w:pos="1440"/>
          <w:tab w:val="left" w:pos="5245"/>
        </w:tabs>
        <w:rPr>
          <w:lang w:val="en-GB"/>
        </w:rPr>
      </w:pPr>
      <w:r w:rsidRPr="00CA2D02">
        <w:rPr>
          <w:lang w:val="en-GB"/>
        </w:rPr>
        <w:tab/>
      </w:r>
      <w:r w:rsidRPr="00CA2D02">
        <w:rPr>
          <w:i/>
          <w:iCs/>
          <w:lang w:val="en-GB"/>
        </w:rPr>
        <w:t>pfd</w:t>
      </w:r>
      <w:r w:rsidRPr="00CA2D02">
        <w:rPr>
          <w:i/>
          <w:iCs/>
          <w:vertAlign w:val="subscript"/>
          <w:lang w:val="en-GB"/>
        </w:rPr>
        <w:t>low</w:t>
      </w:r>
      <w:r w:rsidRPr="00CA2D02">
        <w:rPr>
          <w:lang w:val="en-GB"/>
        </w:rPr>
        <w:t xml:space="preserve"> + 0.05 (</w:t>
      </w:r>
      <w:r w:rsidRPr="00CA2D02">
        <w:rPr>
          <w:i/>
          <w:iCs/>
          <w:lang w:val="en-GB"/>
        </w:rPr>
        <w:t>pfd</w:t>
      </w:r>
      <w:r w:rsidRPr="00CA2D02">
        <w:rPr>
          <w:i/>
          <w:iCs/>
          <w:vertAlign w:val="subscript"/>
          <w:lang w:val="en-GB"/>
        </w:rPr>
        <w:t>high</w:t>
      </w:r>
      <w:r w:rsidR="00ED790B" w:rsidRPr="00CA2D02">
        <w:rPr>
          <w:lang w:val="en-GB"/>
        </w:rPr>
        <w:t xml:space="preserve"> </w:t>
      </w:r>
      <w:r w:rsidRPr="00CA2D02">
        <w:rPr>
          <w:lang w:val="en-GB"/>
        </w:rPr>
        <w:t xml:space="preserve">– </w:t>
      </w:r>
      <w:r w:rsidRPr="00CA2D02">
        <w:rPr>
          <w:i/>
          <w:iCs/>
          <w:lang w:val="en-GB"/>
        </w:rPr>
        <w:t>pfd</w:t>
      </w:r>
      <w:r w:rsidRPr="00CA2D02">
        <w:rPr>
          <w:i/>
          <w:iCs/>
          <w:vertAlign w:val="subscript"/>
          <w:lang w:val="en-GB"/>
        </w:rPr>
        <w:t>low</w:t>
      </w:r>
      <w:r w:rsidRPr="00CA2D02">
        <w:rPr>
          <w:lang w:val="en-GB"/>
        </w:rPr>
        <w:t>) (</w:t>
      </w:r>
      <w:r w:rsidR="00CA2D02" w:rsidRPr="00CA2D02">
        <w:rPr>
          <w:lang w:val="en-GB"/>
        </w:rPr>
        <w:sym w:font="Symbol" w:char="F071"/>
      </w:r>
      <w:r w:rsidRPr="00CA2D02">
        <w:rPr>
          <w:lang w:val="en-GB"/>
        </w:rPr>
        <w:t xml:space="preserve"> – 5)</w:t>
      </w:r>
      <w:r w:rsidRPr="00CA2D02">
        <w:rPr>
          <w:lang w:val="en-GB"/>
        </w:rPr>
        <w:tab/>
        <w:t>for   5</w:t>
      </w:r>
      <w:r w:rsidR="00CA2D02" w:rsidRPr="00CA2D02">
        <w:rPr>
          <w:lang w:val="en-GB"/>
        </w:rPr>
        <w:t>°</w:t>
      </w:r>
      <w:r w:rsidRPr="00CA2D02">
        <w:rPr>
          <w:lang w:val="en-GB"/>
        </w:rPr>
        <w:t xml:space="preserve"> </w:t>
      </w:r>
      <w:r w:rsidRPr="00CA2D02">
        <w:rPr>
          <w:lang w:val="en-GB"/>
        </w:rPr>
        <w:sym w:font="Symbol" w:char="F0A3"/>
      </w:r>
      <w:r w:rsidR="00CA2D02" w:rsidRPr="00CA2D02">
        <w:rPr>
          <w:lang w:val="en-GB"/>
        </w:rPr>
        <w:t xml:space="preserve"> </w:t>
      </w:r>
      <w:r w:rsidR="00CA2D02" w:rsidRPr="00CA2D02">
        <w:rPr>
          <w:lang w:val="en-GB"/>
        </w:rPr>
        <w:sym w:font="Symbol" w:char="F071"/>
      </w:r>
      <w:r w:rsidR="00CA2D02" w:rsidRPr="00CA2D02">
        <w:rPr>
          <w:lang w:val="en-GB"/>
        </w:rPr>
        <w:t xml:space="preserve"> </w:t>
      </w:r>
      <w:r w:rsidRPr="00CA2D02">
        <w:rPr>
          <w:lang w:val="en-GB"/>
        </w:rPr>
        <w:t>&lt; 25</w:t>
      </w:r>
      <w:r w:rsidR="00CA2D02" w:rsidRPr="00CA2D02">
        <w:rPr>
          <w:lang w:val="en-GB"/>
        </w:rPr>
        <w:t>°</w:t>
      </w:r>
    </w:p>
    <w:p w:rsidR="00BA2520" w:rsidRPr="00CA2D02" w:rsidRDefault="00BA2520" w:rsidP="00CA2D02">
      <w:pPr>
        <w:tabs>
          <w:tab w:val="left" w:pos="1440"/>
          <w:tab w:val="left" w:pos="5245"/>
        </w:tabs>
        <w:rPr>
          <w:lang w:val="en-GB"/>
        </w:rPr>
      </w:pPr>
      <w:r w:rsidRPr="00CA2D02">
        <w:rPr>
          <w:lang w:val="en-GB"/>
        </w:rPr>
        <w:tab/>
      </w:r>
      <w:r w:rsidRPr="00CA2D02">
        <w:rPr>
          <w:i/>
          <w:iCs/>
          <w:lang w:val="en-GB"/>
        </w:rPr>
        <w:t>pfd</w:t>
      </w:r>
      <w:r w:rsidRPr="00CA2D02">
        <w:rPr>
          <w:i/>
          <w:iCs/>
          <w:vertAlign w:val="subscript"/>
          <w:lang w:val="en-GB"/>
        </w:rPr>
        <w:t>high</w:t>
      </w:r>
      <w:r w:rsidRPr="00CA2D02">
        <w:rPr>
          <w:lang w:val="en-GB"/>
        </w:rPr>
        <w:tab/>
      </w:r>
      <w:r w:rsidRPr="00CA2D02">
        <w:rPr>
          <w:lang w:val="en-GB"/>
        </w:rPr>
        <w:tab/>
      </w:r>
      <w:r w:rsidRPr="00CA2D02">
        <w:rPr>
          <w:lang w:val="en-GB"/>
        </w:rPr>
        <w:tab/>
      </w:r>
      <w:r w:rsidR="00CA2D02" w:rsidRPr="00CA2D02">
        <w:rPr>
          <w:lang w:val="en-GB"/>
        </w:rPr>
        <w:tab/>
      </w:r>
      <w:r w:rsidRPr="00CA2D02">
        <w:rPr>
          <w:lang w:val="en-GB"/>
        </w:rPr>
        <w:t>for 25</w:t>
      </w:r>
      <w:r w:rsidR="00CA2D02" w:rsidRPr="00CA2D02">
        <w:rPr>
          <w:lang w:val="en-GB"/>
        </w:rPr>
        <w:t>°</w:t>
      </w:r>
      <w:r w:rsidRPr="00CA2D02">
        <w:rPr>
          <w:lang w:val="en-GB"/>
        </w:rPr>
        <w:t xml:space="preserve"> </w:t>
      </w:r>
      <w:r w:rsidRPr="00CA2D02">
        <w:rPr>
          <w:lang w:val="en-GB"/>
        </w:rPr>
        <w:sym w:font="Symbol" w:char="F0A3"/>
      </w:r>
      <w:r w:rsidR="00CA2D02" w:rsidRPr="00CA2D02">
        <w:rPr>
          <w:lang w:val="en-GB"/>
        </w:rPr>
        <w:t xml:space="preserve"> </w:t>
      </w:r>
      <w:r w:rsidR="00CA2D02" w:rsidRPr="00CA2D02">
        <w:rPr>
          <w:lang w:val="en-GB"/>
        </w:rPr>
        <w:sym w:font="Symbol" w:char="F071"/>
      </w:r>
      <w:r w:rsidR="00CA2D02" w:rsidRPr="00CA2D02">
        <w:rPr>
          <w:lang w:val="en-GB"/>
        </w:rPr>
        <w:t xml:space="preserve"> </w:t>
      </w:r>
      <w:r w:rsidRPr="00CA2D02">
        <w:rPr>
          <w:lang w:val="en-GB"/>
        </w:rPr>
        <w:sym w:font="Symbol" w:char="F0A3"/>
      </w:r>
      <w:r w:rsidRPr="00CA2D02">
        <w:rPr>
          <w:lang w:val="en-GB"/>
        </w:rPr>
        <w:t xml:space="preserve"> 90</w:t>
      </w:r>
      <w:r w:rsidR="00CA2D02" w:rsidRPr="00CA2D02">
        <w:rPr>
          <w:lang w:val="en-GB"/>
        </w:rPr>
        <w:t>°</w:t>
      </w:r>
      <w:r w:rsidRPr="00CA2D02">
        <w:rPr>
          <w:lang w:val="en-GB"/>
        </w:rPr>
        <w:t>.</w:t>
      </w:r>
    </w:p>
    <w:p w:rsidR="00BA2520" w:rsidRPr="00CA2D02" w:rsidRDefault="00BA2520" w:rsidP="00BA2520">
      <w:pPr>
        <w:rPr>
          <w:lang w:val="en-GB"/>
        </w:rPr>
      </w:pPr>
      <w:r w:rsidRPr="00CA2D02">
        <w:rPr>
          <w:lang w:val="en-GB"/>
        </w:rPr>
        <w:t xml:space="preserve">The methodology used here differs from that of Recommendation ITU-R F.1107 in one important aspect. In order to measure the effect of an FSS satellite exceeding the pfd thresholds, the analysis allows the specification of additional satellites (at any orbital locations) to exceed the pfd thresholds by </w:t>
      </w:r>
      <w:r w:rsidRPr="00CA2D02">
        <w:rPr>
          <w:lang w:val="en-GB"/>
        </w:rPr>
        <w:sym w:font="Symbol" w:char="F062"/>
      </w:r>
      <w:r w:rsidRPr="00CA2D02">
        <w:rPr>
          <w:lang w:val="en-GB"/>
        </w:rPr>
        <w:t xml:space="preserve"> dB. The pfds produced by these satellites are all assumed to have the following form:</w:t>
      </w:r>
    </w:p>
    <w:p w:rsidR="00BA2520" w:rsidRPr="00CA2D02" w:rsidRDefault="00BA2520" w:rsidP="00CA2D02">
      <w:pPr>
        <w:tabs>
          <w:tab w:val="left" w:pos="1440"/>
          <w:tab w:val="left" w:pos="5245"/>
        </w:tabs>
        <w:rPr>
          <w:lang w:val="en-GB"/>
        </w:rPr>
      </w:pPr>
      <w:r w:rsidRPr="00CA2D02">
        <w:rPr>
          <w:lang w:val="en-GB"/>
        </w:rPr>
        <w:tab/>
      </w:r>
      <w:r w:rsidRPr="00CA2D02">
        <w:rPr>
          <w:i/>
          <w:iCs/>
          <w:lang w:val="en-GB"/>
        </w:rPr>
        <w:t>pfd</w:t>
      </w:r>
      <w:r w:rsidRPr="00CA2D02">
        <w:rPr>
          <w:i/>
          <w:iCs/>
          <w:vertAlign w:val="subscript"/>
          <w:lang w:val="en-GB"/>
        </w:rPr>
        <w:t>low</w:t>
      </w:r>
      <w:r w:rsidRPr="00CA2D02">
        <w:rPr>
          <w:lang w:val="en-GB"/>
        </w:rPr>
        <w:t xml:space="preserve"> + </w:t>
      </w:r>
      <w:r w:rsidRPr="00CA2D02">
        <w:rPr>
          <w:lang w:val="en-GB"/>
        </w:rPr>
        <w:sym w:font="Symbol" w:char="F062"/>
      </w:r>
      <w:r w:rsidRPr="00CA2D02">
        <w:rPr>
          <w:lang w:val="en-GB"/>
        </w:rPr>
        <w:tab/>
      </w:r>
      <w:r w:rsidRPr="00CA2D02">
        <w:rPr>
          <w:lang w:val="en-GB"/>
        </w:rPr>
        <w:tab/>
        <w:t xml:space="preserve">for   0º </w:t>
      </w:r>
      <w:r w:rsidRPr="00CA2D02">
        <w:rPr>
          <w:lang w:val="en-GB"/>
        </w:rPr>
        <w:sym w:font="Symbol" w:char="F0A3"/>
      </w:r>
      <w:r w:rsidRPr="00CA2D02">
        <w:rPr>
          <w:lang w:val="en-GB"/>
        </w:rPr>
        <w:t xml:space="preserve"> θ </w:t>
      </w:r>
      <w:r w:rsidRPr="00CA2D02">
        <w:rPr>
          <w:lang w:val="en-GB"/>
        </w:rPr>
        <w:sym w:font="Symbol" w:char="F0A3"/>
      </w:r>
      <w:r w:rsidRPr="00CA2D02">
        <w:rPr>
          <w:lang w:val="en-GB"/>
        </w:rPr>
        <w:t xml:space="preserve"> 5</w:t>
      </w:r>
      <w:r w:rsidR="00CA2D02" w:rsidRPr="00CA2D02">
        <w:rPr>
          <w:lang w:val="en-GB"/>
        </w:rPr>
        <w:t>°</w:t>
      </w:r>
    </w:p>
    <w:p w:rsidR="00BA2520" w:rsidRPr="00CA2D02" w:rsidRDefault="00BA2520" w:rsidP="00CA2D02">
      <w:pPr>
        <w:tabs>
          <w:tab w:val="left" w:pos="1440"/>
          <w:tab w:val="left" w:pos="5245"/>
        </w:tabs>
        <w:rPr>
          <w:lang w:val="en-GB"/>
        </w:rPr>
      </w:pPr>
      <w:r w:rsidRPr="00CA2D02">
        <w:rPr>
          <w:lang w:val="en-GB"/>
        </w:rPr>
        <w:tab/>
      </w:r>
      <w:r w:rsidRPr="00CA2D02">
        <w:rPr>
          <w:i/>
          <w:iCs/>
          <w:lang w:val="en-GB"/>
        </w:rPr>
        <w:t>pfd</w:t>
      </w:r>
      <w:r w:rsidRPr="00CA2D02">
        <w:rPr>
          <w:i/>
          <w:iCs/>
          <w:vertAlign w:val="subscript"/>
          <w:lang w:val="en-GB"/>
        </w:rPr>
        <w:t>low</w:t>
      </w:r>
      <w:r w:rsidRPr="00CA2D02">
        <w:rPr>
          <w:lang w:val="en-GB"/>
        </w:rPr>
        <w:t xml:space="preserve"> + 0.05 (</w:t>
      </w:r>
      <w:r w:rsidRPr="00CA2D02">
        <w:rPr>
          <w:i/>
          <w:iCs/>
          <w:lang w:val="en-GB"/>
        </w:rPr>
        <w:t>pfd</w:t>
      </w:r>
      <w:r w:rsidRPr="00CA2D02">
        <w:rPr>
          <w:i/>
          <w:iCs/>
          <w:vertAlign w:val="subscript"/>
          <w:lang w:val="en-GB"/>
        </w:rPr>
        <w:t>high</w:t>
      </w:r>
      <w:r w:rsidRPr="00CA2D02">
        <w:rPr>
          <w:lang w:val="en-GB"/>
        </w:rPr>
        <w:t xml:space="preserve"> – </w:t>
      </w:r>
      <w:r w:rsidRPr="00CA2D02">
        <w:rPr>
          <w:i/>
          <w:iCs/>
          <w:lang w:val="en-GB"/>
        </w:rPr>
        <w:t>pfd</w:t>
      </w:r>
      <w:r w:rsidRPr="00CA2D02">
        <w:rPr>
          <w:i/>
          <w:iCs/>
          <w:vertAlign w:val="subscript"/>
          <w:lang w:val="en-GB"/>
        </w:rPr>
        <w:t>low</w:t>
      </w:r>
      <w:r w:rsidRPr="00CA2D02">
        <w:rPr>
          <w:lang w:val="en-GB"/>
        </w:rPr>
        <w:t xml:space="preserve">) (θ – 5) + </w:t>
      </w:r>
      <w:r w:rsidRPr="00CA2D02">
        <w:rPr>
          <w:lang w:val="en-GB"/>
        </w:rPr>
        <w:sym w:font="Symbol" w:char="F062"/>
      </w:r>
      <w:r w:rsidRPr="00CA2D02">
        <w:rPr>
          <w:lang w:val="en-GB"/>
        </w:rPr>
        <w:tab/>
        <w:t>for   5</w:t>
      </w:r>
      <w:r w:rsidR="00CA2D02" w:rsidRPr="00CA2D02">
        <w:rPr>
          <w:lang w:val="en-GB"/>
        </w:rPr>
        <w:t>°</w:t>
      </w:r>
      <w:r w:rsidRPr="00CA2D02">
        <w:rPr>
          <w:lang w:val="en-GB"/>
        </w:rPr>
        <w:t xml:space="preserve"> </w:t>
      </w:r>
      <w:r w:rsidRPr="00CA2D02">
        <w:rPr>
          <w:lang w:val="en-GB"/>
        </w:rPr>
        <w:sym w:font="Symbol" w:char="F0A3"/>
      </w:r>
      <w:r w:rsidRPr="00CA2D02">
        <w:rPr>
          <w:lang w:val="en-GB"/>
        </w:rPr>
        <w:t xml:space="preserve"> θ &lt; 25</w:t>
      </w:r>
      <w:r w:rsidR="00CA2D02" w:rsidRPr="00CA2D02">
        <w:rPr>
          <w:lang w:val="en-GB"/>
        </w:rPr>
        <w:t>°</w:t>
      </w:r>
    </w:p>
    <w:p w:rsidR="00BA2520" w:rsidRPr="00CA2D02" w:rsidRDefault="00BA2520" w:rsidP="00CA2D02">
      <w:pPr>
        <w:tabs>
          <w:tab w:val="left" w:pos="1440"/>
          <w:tab w:val="left" w:pos="5245"/>
        </w:tabs>
        <w:rPr>
          <w:lang w:val="en-GB"/>
        </w:rPr>
      </w:pPr>
      <w:r w:rsidRPr="00CA2D02">
        <w:rPr>
          <w:lang w:val="en-GB"/>
        </w:rPr>
        <w:tab/>
      </w:r>
      <w:r w:rsidRPr="00CA2D02">
        <w:rPr>
          <w:i/>
          <w:iCs/>
          <w:lang w:val="en-GB"/>
        </w:rPr>
        <w:t>pfd</w:t>
      </w:r>
      <w:r w:rsidRPr="00CA2D02">
        <w:rPr>
          <w:i/>
          <w:iCs/>
          <w:vertAlign w:val="subscript"/>
          <w:lang w:val="en-GB"/>
        </w:rPr>
        <w:t>high</w:t>
      </w:r>
      <w:r w:rsidRPr="00CA2D02">
        <w:rPr>
          <w:lang w:val="en-GB"/>
        </w:rPr>
        <w:t xml:space="preserve"> + </w:t>
      </w:r>
      <w:r w:rsidRPr="00CA2D02">
        <w:rPr>
          <w:lang w:val="en-GB"/>
        </w:rPr>
        <w:sym w:font="Symbol" w:char="F062"/>
      </w:r>
      <w:r w:rsidRPr="00CA2D02">
        <w:rPr>
          <w:lang w:val="en-GB"/>
        </w:rPr>
        <w:tab/>
      </w:r>
      <w:r w:rsidRPr="00CA2D02">
        <w:rPr>
          <w:lang w:val="en-GB"/>
        </w:rPr>
        <w:tab/>
        <w:t>for 25</w:t>
      </w:r>
      <w:r w:rsidR="00CA2D02" w:rsidRPr="00CA2D02">
        <w:rPr>
          <w:lang w:val="en-GB"/>
        </w:rPr>
        <w:t>°</w:t>
      </w:r>
      <w:r w:rsidRPr="00CA2D02">
        <w:rPr>
          <w:lang w:val="en-GB"/>
        </w:rPr>
        <w:t xml:space="preserve"> </w:t>
      </w:r>
      <w:r w:rsidRPr="00CA2D02">
        <w:rPr>
          <w:lang w:val="en-GB"/>
        </w:rPr>
        <w:sym w:font="Symbol" w:char="F0A3"/>
      </w:r>
      <w:r w:rsidRPr="00CA2D02">
        <w:rPr>
          <w:lang w:val="en-GB"/>
        </w:rPr>
        <w:t xml:space="preserve"> θ </w:t>
      </w:r>
      <w:r w:rsidRPr="00CA2D02">
        <w:rPr>
          <w:lang w:val="en-GB"/>
        </w:rPr>
        <w:sym w:font="Symbol" w:char="F0A3"/>
      </w:r>
      <w:r w:rsidRPr="00CA2D02">
        <w:rPr>
          <w:lang w:val="en-GB"/>
        </w:rPr>
        <w:t xml:space="preserve"> 90</w:t>
      </w:r>
      <w:r w:rsidR="00CA2D02" w:rsidRPr="00CA2D02">
        <w:rPr>
          <w:lang w:val="en-GB"/>
        </w:rPr>
        <w:t>°</w:t>
      </w:r>
      <w:r w:rsidRPr="00CA2D02">
        <w:rPr>
          <w:lang w:val="en-GB"/>
        </w:rPr>
        <w:t>.</w:t>
      </w:r>
    </w:p>
    <w:p w:rsidR="00BA2520" w:rsidRPr="00CA2D02" w:rsidRDefault="00BA2520" w:rsidP="00BA2520">
      <w:pPr>
        <w:rPr>
          <w:lang w:val="en-GB"/>
        </w:rPr>
      </w:pPr>
      <w:r w:rsidRPr="00CA2D02">
        <w:rPr>
          <w:lang w:val="en-GB"/>
        </w:rPr>
        <w:lastRenderedPageBreak/>
        <w:t>Each digital station is analysed independently of all others. For the purposes of interference analysis, an ensemble of receivers is modelled so that each station has the same latitude, but a longitude whose value is picked randomly over a 60</w:t>
      </w:r>
      <w:r w:rsidRPr="00CA2D02">
        <w:rPr>
          <w:lang w:val="en-GB"/>
        </w:rPr>
        <w:sym w:font="Symbol" w:char="F0B0"/>
      </w:r>
      <w:r w:rsidRPr="00CA2D02">
        <w:rPr>
          <w:lang w:val="en-GB"/>
        </w:rPr>
        <w:t xml:space="preserve"> range (this latter part is similar to the methodology used in Recommendation ITU-R F.1107). Each FS antenna has a 0</w:t>
      </w:r>
      <w:r w:rsidRPr="00CA2D02">
        <w:rPr>
          <w:lang w:val="en-GB"/>
        </w:rPr>
        <w:sym w:font="Symbol" w:char="F0B0"/>
      </w:r>
      <w:r w:rsidRPr="00CA2D02">
        <w:rPr>
          <w:lang w:val="en-GB"/>
        </w:rPr>
        <w:t xml:space="preserve"> elevation angle and a randomly chosen azimuth angle uniformly distributed between 0</w:t>
      </w:r>
      <w:r w:rsidRPr="00CA2D02">
        <w:rPr>
          <w:lang w:val="en-GB"/>
        </w:rPr>
        <w:sym w:font="Symbol" w:char="F0B0"/>
      </w:r>
      <w:r w:rsidRPr="00CA2D02">
        <w:rPr>
          <w:lang w:val="en-GB"/>
        </w:rPr>
        <w:t xml:space="preserve"> and 360</w:t>
      </w:r>
      <w:r w:rsidRPr="00CA2D02">
        <w:rPr>
          <w:lang w:val="en-GB"/>
        </w:rPr>
        <w:sym w:font="Symbol" w:char="F0B0"/>
      </w:r>
      <w:r w:rsidRPr="00CA2D02">
        <w:rPr>
          <w:lang w:val="en-GB"/>
        </w:rPr>
        <w:t>. The interference is converted into an FDP value for each, as in Recommendation ITU</w:t>
      </w:r>
      <w:r w:rsidRPr="00CA2D02">
        <w:rPr>
          <w:lang w:val="en-GB"/>
        </w:rPr>
        <w:noBreakHyphen/>
        <w:t>R F.1108. A cumulative distribution is then calculated for the FDP.</w:t>
      </w:r>
    </w:p>
    <w:p w:rsidR="00BA2520" w:rsidRPr="00CA2D02" w:rsidRDefault="00BA2520" w:rsidP="00BA2520">
      <w:pPr>
        <w:pStyle w:val="Heading1"/>
        <w:rPr>
          <w:lang w:val="en-GB"/>
        </w:rPr>
      </w:pPr>
      <w:r w:rsidRPr="00CA2D02">
        <w:rPr>
          <w:lang w:val="en-GB"/>
        </w:rPr>
        <w:t>2</w:t>
      </w:r>
      <w:r w:rsidRPr="00CA2D02">
        <w:rPr>
          <w:lang w:val="en-GB"/>
        </w:rPr>
        <w:tab/>
        <w:t>Results</w:t>
      </w:r>
    </w:p>
    <w:p w:rsidR="00BA2520" w:rsidRDefault="00BA2520" w:rsidP="00CA2D02">
      <w:pPr>
        <w:rPr>
          <w:lang w:val="en-GB"/>
        </w:rPr>
      </w:pPr>
      <w:r w:rsidRPr="00CA2D02">
        <w:rPr>
          <w:lang w:val="en-GB"/>
        </w:rPr>
        <w:t xml:space="preserve">Figures </w:t>
      </w:r>
      <w:r w:rsidRPr="00CA2D02">
        <w:rPr>
          <w:lang w:val="en-GB" w:eastAsia="ja-JP"/>
        </w:rPr>
        <w:t>1</w:t>
      </w:r>
      <w:r w:rsidRPr="00CA2D02">
        <w:rPr>
          <w:lang w:val="en-GB"/>
        </w:rPr>
        <w:t xml:space="preserve">, </w:t>
      </w:r>
      <w:r w:rsidRPr="00CA2D02">
        <w:rPr>
          <w:lang w:val="en-GB" w:eastAsia="ja-JP"/>
        </w:rPr>
        <w:t xml:space="preserve">2 </w:t>
      </w:r>
      <w:r w:rsidRPr="00CA2D02">
        <w:rPr>
          <w:lang w:val="en-GB"/>
        </w:rPr>
        <w:t xml:space="preserve">and </w:t>
      </w:r>
      <w:r w:rsidRPr="00CA2D02">
        <w:rPr>
          <w:lang w:val="en-GB" w:eastAsia="ja-JP"/>
        </w:rPr>
        <w:t xml:space="preserve">3 </w:t>
      </w:r>
      <w:r w:rsidRPr="00CA2D02">
        <w:rPr>
          <w:lang w:val="en-GB"/>
        </w:rPr>
        <w:t>present results of an interference analysis of a network of digital FSS GSO satellites spaced 2</w:t>
      </w:r>
      <w:r w:rsidR="00CA2D02" w:rsidRPr="00CA2D02">
        <w:rPr>
          <w:lang w:val="en-GB"/>
        </w:rPr>
        <w:t>°</w:t>
      </w:r>
      <w:r w:rsidRPr="00CA2D02">
        <w:rPr>
          <w:lang w:val="en-GB"/>
        </w:rPr>
        <w:t xml:space="preserve"> apart causing interference into a digital FS network. The FSS system baseline run is performed with </w:t>
      </w:r>
      <w:r w:rsidRPr="00CA2D02">
        <w:rPr>
          <w:i/>
          <w:iCs/>
          <w:lang w:val="en-GB"/>
        </w:rPr>
        <w:t>pfd</w:t>
      </w:r>
      <w:r w:rsidRPr="00CA2D02">
        <w:rPr>
          <w:i/>
          <w:iCs/>
          <w:vertAlign w:val="subscript"/>
          <w:lang w:val="en-GB"/>
        </w:rPr>
        <w:t>low</w:t>
      </w:r>
      <w:r w:rsidRPr="00CA2D02">
        <w:rPr>
          <w:lang w:val="en-GB"/>
        </w:rPr>
        <w:t xml:space="preserve"> = –124 and </w:t>
      </w:r>
      <w:r w:rsidRPr="00CA2D02">
        <w:rPr>
          <w:i/>
          <w:iCs/>
          <w:lang w:val="en-GB"/>
        </w:rPr>
        <w:t>pfd</w:t>
      </w:r>
      <w:r w:rsidRPr="00CA2D02">
        <w:rPr>
          <w:i/>
          <w:iCs/>
          <w:vertAlign w:val="subscript"/>
          <w:lang w:val="en-GB"/>
        </w:rPr>
        <w:t>high</w:t>
      </w:r>
      <w:r w:rsidRPr="00CA2D02">
        <w:rPr>
          <w:lang w:val="en-GB"/>
        </w:rPr>
        <w:t> = –114 dB(W/(m</w:t>
      </w:r>
      <w:r w:rsidRPr="00CA2D02">
        <w:rPr>
          <w:vertAlign w:val="superscript"/>
          <w:lang w:val="en-GB"/>
        </w:rPr>
        <w:t>2</w:t>
      </w:r>
      <w:r w:rsidRPr="00CA2D02">
        <w:rPr>
          <w:lang w:val="en-GB"/>
        </w:rPr>
        <w:t xml:space="preserve"> · MHz)). It transmits with a frequency of 11.95 GHz. The FS system latitude is 40</w:t>
      </w:r>
      <w:r w:rsidR="00CA2D02" w:rsidRPr="00CA2D02">
        <w:rPr>
          <w:lang w:val="en-GB"/>
        </w:rPr>
        <w:t>°</w:t>
      </w:r>
      <w:r w:rsidRPr="00CA2D02">
        <w:rPr>
          <w:lang w:val="en-GB"/>
        </w:rPr>
        <w:t>. In this example</w:t>
      </w:r>
      <w:r w:rsidR="00ED790B">
        <w:rPr>
          <w:lang w:val="en-GB"/>
        </w:rPr>
        <w:t>,</w:t>
      </w:r>
      <w:r w:rsidRPr="00CA2D02">
        <w:rPr>
          <w:lang w:val="en-GB"/>
        </w:rPr>
        <w:t xml:space="preserve"> each FS site antenna is assumed to have a maximum gain of 44 dB with all receivers having a noise temperature of 1 100 K. A feeder loss of 3 dB is used and the antenna radiation pattern follows Recommendation ITU</w:t>
      </w:r>
      <w:r w:rsidRPr="00CA2D02">
        <w:rPr>
          <w:lang w:val="en-GB"/>
        </w:rPr>
        <w:noBreakHyphen/>
        <w:t xml:space="preserve">R F.1245. In the key, “Nsats” refers to the number of satellites that exceed the pfd baseline by </w:t>
      </w:r>
      <w:r w:rsidRPr="00CA2D02">
        <w:rPr>
          <w:lang w:val="en-GB"/>
        </w:rPr>
        <w:sym w:font="Symbol" w:char="F062"/>
      </w:r>
      <w:r w:rsidRPr="00CA2D02">
        <w:rPr>
          <w:lang w:val="en-GB"/>
        </w:rPr>
        <w:t xml:space="preserve"> = 10 dB: i.e. these satellites have </w:t>
      </w:r>
      <w:r w:rsidRPr="00CA2D02">
        <w:rPr>
          <w:i/>
          <w:iCs/>
          <w:lang w:val="en-GB"/>
        </w:rPr>
        <w:t>pfd</w:t>
      </w:r>
      <w:r w:rsidRPr="00CA2D02">
        <w:rPr>
          <w:i/>
          <w:iCs/>
          <w:vertAlign w:val="subscript"/>
          <w:lang w:val="en-GB"/>
        </w:rPr>
        <w:t>low</w:t>
      </w:r>
      <w:r w:rsidRPr="00CA2D02">
        <w:rPr>
          <w:lang w:val="en-GB"/>
        </w:rPr>
        <w:t xml:space="preserve">+ </w:t>
      </w:r>
      <w:r w:rsidRPr="00CA2D02">
        <w:rPr>
          <w:lang w:val="en-GB"/>
        </w:rPr>
        <w:sym w:font="Symbol" w:char="F062"/>
      </w:r>
      <w:r w:rsidRPr="00CA2D02">
        <w:rPr>
          <w:lang w:val="en-GB"/>
        </w:rPr>
        <w:t xml:space="preserve"> = –114 and </w:t>
      </w:r>
      <w:r w:rsidRPr="00CA2D02">
        <w:rPr>
          <w:i/>
          <w:iCs/>
          <w:lang w:val="en-GB"/>
        </w:rPr>
        <w:t>pfd</w:t>
      </w:r>
      <w:r w:rsidRPr="00CA2D02">
        <w:rPr>
          <w:i/>
          <w:iCs/>
          <w:vertAlign w:val="subscript"/>
          <w:lang w:val="en-GB"/>
        </w:rPr>
        <w:t>high</w:t>
      </w:r>
      <w:r w:rsidRPr="00CA2D02">
        <w:rPr>
          <w:lang w:val="en-GB"/>
        </w:rPr>
        <w:t xml:space="preserve"> + </w:t>
      </w:r>
      <w:r w:rsidRPr="00CA2D02">
        <w:rPr>
          <w:lang w:val="en-GB"/>
        </w:rPr>
        <w:sym w:font="Symbol" w:char="F062"/>
      </w:r>
      <w:r w:rsidRPr="00CA2D02">
        <w:rPr>
          <w:lang w:val="en-GB"/>
        </w:rPr>
        <w:t> = –104 dB(W/(m</w:t>
      </w:r>
      <w:r w:rsidRPr="00CA2D02">
        <w:rPr>
          <w:vertAlign w:val="superscript"/>
          <w:lang w:val="en-GB"/>
        </w:rPr>
        <w:t xml:space="preserve">2 </w:t>
      </w:r>
      <w:r w:rsidRPr="00CA2D02">
        <w:rPr>
          <w:lang w:val="en-GB"/>
        </w:rPr>
        <w:t>· MHz)). In</w:t>
      </w:r>
      <w:r w:rsidR="00CA2D02" w:rsidRPr="00CA2D02">
        <w:rPr>
          <w:lang w:val="en-GB"/>
        </w:rPr>
        <w:t xml:space="preserve"> </w:t>
      </w:r>
      <w:r w:rsidRPr="00CA2D02">
        <w:rPr>
          <w:lang w:val="en-GB"/>
        </w:rPr>
        <w:t>Fig.</w:t>
      </w:r>
      <w:r w:rsidR="00CA2D02" w:rsidRPr="00CA2D02">
        <w:rPr>
          <w:lang w:val="en-GB"/>
        </w:rPr>
        <w:t> </w:t>
      </w:r>
      <w:r w:rsidRPr="00CA2D02">
        <w:rPr>
          <w:lang w:val="en-GB" w:eastAsia="ja-JP"/>
        </w:rPr>
        <w:t>1</w:t>
      </w:r>
      <w:r w:rsidRPr="00CA2D02">
        <w:rPr>
          <w:lang w:val="en-GB"/>
        </w:rPr>
        <w:t xml:space="preserve">, the satellites that exceed the pfd threshold were the Nsats satellites closest to the horizon of the FS network (lowest elevation angles). In Fig. </w:t>
      </w:r>
      <w:r w:rsidRPr="00CA2D02">
        <w:rPr>
          <w:lang w:val="en-GB" w:eastAsia="ja-JP"/>
        </w:rPr>
        <w:t>2</w:t>
      </w:r>
      <w:r w:rsidRPr="00CA2D02">
        <w:rPr>
          <w:lang w:val="en-GB"/>
        </w:rPr>
        <w:t>, the satellites that exceed the pfd threshold were the Nsats satellites closest to the centre of the FS network (highest elevation angles). In</w:t>
      </w:r>
      <w:r w:rsidR="00CA2D02" w:rsidRPr="00CA2D02">
        <w:rPr>
          <w:lang w:val="en-GB"/>
        </w:rPr>
        <w:t xml:space="preserve"> </w:t>
      </w:r>
      <w:r w:rsidRPr="00CA2D02">
        <w:rPr>
          <w:lang w:val="en-GB"/>
        </w:rPr>
        <w:t>Fig. </w:t>
      </w:r>
      <w:r w:rsidRPr="00CA2D02">
        <w:rPr>
          <w:lang w:val="en-GB" w:eastAsia="ja-JP"/>
        </w:rPr>
        <w:t>3</w:t>
      </w:r>
      <w:r w:rsidRPr="00CA2D02">
        <w:rPr>
          <w:lang w:val="en-GB"/>
        </w:rPr>
        <w:t xml:space="preserve">, various alternative scenarios are presented. The baseline graph here is for </w:t>
      </w:r>
      <w:r w:rsidR="00036492" w:rsidRPr="00CA2D02">
        <w:rPr>
          <w:lang w:val="en-GB"/>
        </w:rPr>
        <w:t>Nsats = 30 and with these satel</w:t>
      </w:r>
      <w:r w:rsidRPr="00CA2D02">
        <w:rPr>
          <w:lang w:val="en-GB"/>
        </w:rPr>
        <w:t>lites closest to the horizon of the FS network.</w:t>
      </w:r>
    </w:p>
    <w:p w:rsidR="00267925" w:rsidRDefault="00267925" w:rsidP="00267925">
      <w:pPr>
        <w:pStyle w:val="FigureNo"/>
        <w:rPr>
          <w:lang w:val="en-GB" w:eastAsia="ja-JP"/>
        </w:rPr>
      </w:pPr>
      <w:r>
        <w:rPr>
          <w:lang w:val="en-GB" w:eastAsia="ja-JP"/>
        </w:rPr>
        <w:t>FIGURE 1</w:t>
      </w:r>
    </w:p>
    <w:p w:rsidR="00267925" w:rsidRDefault="00267925" w:rsidP="00267925">
      <w:pPr>
        <w:pStyle w:val="Figuretitle"/>
        <w:rPr>
          <w:bCs/>
          <w:color w:val="000000"/>
          <w:szCs w:val="18"/>
          <w:lang w:val="en-US"/>
        </w:rPr>
      </w:pPr>
      <w:r w:rsidRPr="00ED790B">
        <w:rPr>
          <w:bCs/>
          <w:color w:val="000000"/>
          <w:szCs w:val="18"/>
          <w:lang w:val="en-US"/>
        </w:rPr>
        <w:t>Digital FSS into digital FS, Nsats satellites closest to the horizon</w:t>
      </w:r>
    </w:p>
    <w:p w:rsidR="00267925" w:rsidRDefault="00267925" w:rsidP="00267925">
      <w:pPr>
        <w:pStyle w:val="Figure"/>
      </w:pPr>
      <w:r>
        <w:object w:dxaOrig="10176" w:dyaOrig="6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51.5pt" o:ole="">
            <v:imagedata r:id="rId14" o:title=""/>
          </v:shape>
          <o:OLEObject Type="Embed" ProgID="CorelDRAW.Graphic.14" ShapeID="_x0000_i1025" DrawAspect="Content" ObjectID="_1451292177" r:id="rId15"/>
        </w:object>
      </w:r>
    </w:p>
    <w:p w:rsidR="00267925" w:rsidRDefault="00267925" w:rsidP="00267925">
      <w:pPr>
        <w:pStyle w:val="FigureNo"/>
        <w:rPr>
          <w:lang w:val="en-US" w:eastAsia="ja-JP"/>
        </w:rPr>
      </w:pPr>
      <w:r>
        <w:rPr>
          <w:lang w:val="en-US" w:eastAsia="ja-JP"/>
        </w:rPr>
        <w:lastRenderedPageBreak/>
        <w:t>figure 2</w:t>
      </w:r>
    </w:p>
    <w:p w:rsidR="00267925" w:rsidRDefault="00267925" w:rsidP="00267925">
      <w:pPr>
        <w:pStyle w:val="Figuretitle"/>
        <w:rPr>
          <w:lang w:val="en-US"/>
        </w:rPr>
      </w:pPr>
      <w:r w:rsidRPr="00ED790B">
        <w:rPr>
          <w:lang w:val="en-US"/>
        </w:rPr>
        <w:t>Digital FSS into digital FS, Nsats satellites closest to FS network centre</w:t>
      </w:r>
    </w:p>
    <w:p w:rsidR="00267925" w:rsidRPr="00267925" w:rsidRDefault="00267925" w:rsidP="00267925">
      <w:pPr>
        <w:pStyle w:val="Figure"/>
        <w:rPr>
          <w:lang w:val="en-US"/>
        </w:rPr>
      </w:pPr>
      <w:r>
        <w:object w:dxaOrig="10191" w:dyaOrig="6699">
          <v:shape id="_x0000_i1026" type="#_x0000_t75" style="width:382.5pt;height:251.5pt" o:ole="">
            <v:imagedata r:id="rId16" o:title=""/>
          </v:shape>
          <o:OLEObject Type="Embed" ProgID="CorelDRAW.Graphic.14" ShapeID="_x0000_i1026" DrawAspect="Content" ObjectID="_1451292178" r:id="rId17"/>
        </w:object>
      </w:r>
    </w:p>
    <w:p w:rsidR="00267925" w:rsidRPr="00267925" w:rsidRDefault="00267925" w:rsidP="00267925">
      <w:pPr>
        <w:rPr>
          <w:lang w:val="en-US" w:eastAsia="ja-JP"/>
        </w:rPr>
      </w:pPr>
    </w:p>
    <w:p w:rsidR="00BA2520" w:rsidRDefault="00267925" w:rsidP="00267925">
      <w:pPr>
        <w:pStyle w:val="FigureNo"/>
        <w:rPr>
          <w:lang w:val="en-GB" w:eastAsia="ja-JP"/>
        </w:rPr>
      </w:pPr>
      <w:r>
        <w:rPr>
          <w:lang w:val="en-GB" w:eastAsia="ja-JP"/>
        </w:rPr>
        <w:t>figure 3</w:t>
      </w:r>
    </w:p>
    <w:p w:rsidR="00267925" w:rsidRDefault="00267925" w:rsidP="00267925">
      <w:pPr>
        <w:pStyle w:val="Figuretitle"/>
        <w:rPr>
          <w:bCs/>
          <w:color w:val="000000"/>
          <w:szCs w:val="18"/>
          <w:lang w:val="es-ES_tradnl"/>
        </w:rPr>
      </w:pPr>
      <w:r w:rsidRPr="00FD45C2">
        <w:rPr>
          <w:bCs/>
          <w:color w:val="000000"/>
          <w:szCs w:val="18"/>
          <w:lang w:val="es-ES_tradnl"/>
        </w:rPr>
        <w:t>Digital FSS into digital FS, alternative</w:t>
      </w:r>
      <w:r w:rsidRPr="00BA2520">
        <w:rPr>
          <w:bCs/>
          <w:color w:val="000000"/>
          <w:szCs w:val="18"/>
          <w:lang w:val="es-ES_tradnl"/>
        </w:rPr>
        <w:t xml:space="preserve"> scenarios</w:t>
      </w:r>
    </w:p>
    <w:p w:rsidR="00267925" w:rsidRPr="00267925" w:rsidRDefault="00267925" w:rsidP="00267925">
      <w:pPr>
        <w:pStyle w:val="Figure"/>
        <w:rPr>
          <w:lang w:val="es-ES_tradnl" w:eastAsia="ja-JP"/>
        </w:rPr>
      </w:pPr>
      <w:r>
        <w:object w:dxaOrig="10228" w:dyaOrig="7442">
          <v:shape id="_x0000_i1027" type="#_x0000_t75" style="width:384.5pt;height:280pt" o:ole="">
            <v:imagedata r:id="rId18" o:title=""/>
          </v:shape>
          <o:OLEObject Type="Embed" ProgID="CorelDRAW.Graphic.14" ShapeID="_x0000_i1027" DrawAspect="Content" ObjectID="_1451292179" r:id="rId19"/>
        </w:object>
      </w:r>
    </w:p>
    <w:p w:rsidR="00BA2520" w:rsidRPr="00267925" w:rsidRDefault="00BA2520" w:rsidP="00BA2520">
      <w:pPr>
        <w:rPr>
          <w:lang w:val="es-ES" w:eastAsia="ja-JP"/>
        </w:rPr>
      </w:pPr>
    </w:p>
    <w:p w:rsidR="00BA2520" w:rsidRPr="00CA2D02" w:rsidRDefault="00BA2520" w:rsidP="00BA2520">
      <w:pPr>
        <w:rPr>
          <w:lang w:val="en-GB" w:eastAsia="ja-JP"/>
        </w:rPr>
      </w:pPr>
    </w:p>
    <w:p w:rsidR="00BA2520" w:rsidRPr="00CA2D02" w:rsidRDefault="00ED790B" w:rsidP="00CA2D02">
      <w:pPr>
        <w:keepNext/>
        <w:keepLines/>
        <w:rPr>
          <w:lang w:val="en-GB"/>
        </w:rPr>
      </w:pPr>
      <w:r>
        <w:rPr>
          <w:lang w:val="en-GB"/>
        </w:rPr>
        <w:lastRenderedPageBreak/>
        <w:t>The results of Figs</w:t>
      </w:r>
      <w:r w:rsidR="00BA2520" w:rsidRPr="00CA2D02">
        <w:rPr>
          <w:lang w:val="en-GB"/>
        </w:rPr>
        <w:t xml:space="preserve"> </w:t>
      </w:r>
      <w:r w:rsidR="00BA2520" w:rsidRPr="00CA2D02">
        <w:rPr>
          <w:lang w:val="en-GB" w:eastAsia="ja-JP"/>
        </w:rPr>
        <w:t xml:space="preserve">1 </w:t>
      </w:r>
      <w:r w:rsidR="00BA2520" w:rsidRPr="00CA2D02">
        <w:rPr>
          <w:lang w:val="en-GB"/>
        </w:rPr>
        <w:t xml:space="preserve">and </w:t>
      </w:r>
      <w:r w:rsidR="00BA2520" w:rsidRPr="00CA2D02">
        <w:rPr>
          <w:lang w:val="en-GB" w:eastAsia="ja-JP"/>
        </w:rPr>
        <w:t xml:space="preserve">2 </w:t>
      </w:r>
      <w:r w:rsidR="00BA2520" w:rsidRPr="00CA2D02">
        <w:rPr>
          <w:lang w:val="en-GB"/>
        </w:rPr>
        <w:t xml:space="preserve">demonstrate that in both cases there would be a negligible increase in interference when a single satellite exceeds the pfd baseline by </w:t>
      </w:r>
      <w:r w:rsidR="00BA2520" w:rsidRPr="00CA2D02">
        <w:rPr>
          <w:lang w:val="en-GB"/>
        </w:rPr>
        <w:sym w:font="Symbol" w:char="F062"/>
      </w:r>
      <w:r w:rsidR="00BA2520" w:rsidRPr="00CA2D02">
        <w:rPr>
          <w:lang w:val="en-GB"/>
        </w:rPr>
        <w:t> = 10 dB, that somewhat less than</w:t>
      </w:r>
      <w:r w:rsidR="00036492" w:rsidRPr="00CA2D02">
        <w:rPr>
          <w:lang w:val="en-GB"/>
        </w:rPr>
        <w:t xml:space="preserve"> </w:t>
      </w:r>
      <w:r w:rsidR="00BA2520" w:rsidRPr="00CA2D02">
        <w:rPr>
          <w:lang w:val="en-GB"/>
        </w:rPr>
        <w:t>10% of the FS stations would experience an FDP exceeding 10% when 10 satellites exceed this baseline, and that all FS stations would experience an FDP exceeding 10% when 30 satellites exceed this baseline. There is, however, a significant difference between the two cases. For the low angle case, it is possible to have significantly higher interference levels when Nsats gets large in comparison to the Nsats = 0 case, although with a low probability. This graph shows that when the</w:t>
      </w:r>
      <w:r w:rsidR="00036492" w:rsidRPr="00CA2D02">
        <w:rPr>
          <w:lang w:val="en-GB"/>
        </w:rPr>
        <w:t xml:space="preserve"> </w:t>
      </w:r>
      <w:r w:rsidR="00BA2520" w:rsidRPr="00CA2D02">
        <w:rPr>
          <w:lang w:val="en-GB"/>
        </w:rPr>
        <w:t>FS system latitude is changed to 60</w:t>
      </w:r>
      <w:r w:rsidR="00CA2D02" w:rsidRPr="00CA2D02">
        <w:rPr>
          <w:lang w:val="en-GB"/>
        </w:rPr>
        <w:t>°</w:t>
      </w:r>
      <w:r w:rsidR="00BA2520" w:rsidRPr="00CA2D02">
        <w:rPr>
          <w:lang w:val="en-GB"/>
        </w:rPr>
        <w:t xml:space="preserve"> or to 0</w:t>
      </w:r>
      <w:r w:rsidR="00CA2D02" w:rsidRPr="00CA2D02">
        <w:rPr>
          <w:lang w:val="en-GB"/>
        </w:rPr>
        <w:t>°</w:t>
      </w:r>
      <w:r w:rsidR="00BA2520" w:rsidRPr="00CA2D02">
        <w:rPr>
          <w:lang w:val="en-GB"/>
        </w:rPr>
        <w:t>, then the interference changes only slightly, except</w:t>
      </w:r>
      <w:r w:rsidR="00036492" w:rsidRPr="00CA2D02">
        <w:rPr>
          <w:lang w:val="en-GB"/>
        </w:rPr>
        <w:t xml:space="preserve"> </w:t>
      </w:r>
      <w:r w:rsidR="00BA2520" w:rsidRPr="00CA2D02">
        <w:rPr>
          <w:lang w:val="en-GB"/>
        </w:rPr>
        <w:t>for the 60</w:t>
      </w:r>
      <w:r w:rsidR="00CA2D02" w:rsidRPr="00CA2D02">
        <w:rPr>
          <w:lang w:val="en-GB"/>
        </w:rPr>
        <w:t>°</w:t>
      </w:r>
      <w:r w:rsidR="00BA2520" w:rsidRPr="00CA2D02">
        <w:rPr>
          <w:lang w:val="en-GB"/>
        </w:rPr>
        <w:t xml:space="preserve"> case, in which interference increases for low probability values. When the FS maximum antenna gain is increased to 50 dB the interference decreases.</w:t>
      </w:r>
    </w:p>
    <w:p w:rsidR="00BA2520" w:rsidRPr="00CA2D02" w:rsidRDefault="00BA2520" w:rsidP="00BA2520">
      <w:pPr>
        <w:rPr>
          <w:lang w:val="en-GB" w:eastAsia="zh-CN"/>
        </w:rPr>
      </w:pPr>
    </w:p>
    <w:p w:rsidR="00CA2D02" w:rsidRPr="00CA2D02" w:rsidRDefault="00CA2D02" w:rsidP="00BA2520">
      <w:pPr>
        <w:rPr>
          <w:lang w:val="en-GB" w:eastAsia="zh-CN"/>
        </w:rPr>
      </w:pPr>
    </w:p>
    <w:p w:rsidR="00CA2D02" w:rsidRPr="00CA2D02" w:rsidRDefault="00CA2D02" w:rsidP="00BA2520">
      <w:pPr>
        <w:rPr>
          <w:lang w:val="en-GB" w:eastAsia="zh-CN"/>
        </w:rPr>
      </w:pPr>
    </w:p>
    <w:p w:rsidR="00BA2520" w:rsidRPr="00CA2D02" w:rsidRDefault="00BA2520" w:rsidP="00036492">
      <w:pPr>
        <w:pStyle w:val="Line"/>
      </w:pPr>
    </w:p>
    <w:p w:rsidR="00BA2520" w:rsidRPr="00CA2D02" w:rsidRDefault="00BA2520" w:rsidP="00BA2520">
      <w:pPr>
        <w:rPr>
          <w:lang w:val="en-GB"/>
        </w:rPr>
      </w:pPr>
      <w:bookmarkStart w:id="3" w:name="_GoBack"/>
      <w:bookmarkEnd w:id="3"/>
    </w:p>
    <w:sectPr w:rsidR="00BA2520" w:rsidRPr="00CA2D02" w:rsidSect="00036492">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520" w:rsidRDefault="00BA2520">
      <w:r>
        <w:separator/>
      </w:r>
    </w:p>
  </w:endnote>
  <w:endnote w:type="continuationSeparator" w:id="0">
    <w:p w:rsidR="00BA2520" w:rsidRDefault="00BA2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520" w:rsidRDefault="00BA2520">
      <w:r>
        <w:separator/>
      </w:r>
    </w:p>
  </w:footnote>
  <w:footnote w:type="continuationSeparator" w:id="0">
    <w:p w:rsidR="00BA2520" w:rsidRDefault="00BA25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520" w:rsidRDefault="00BA252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520" w:rsidRDefault="00BA2520" w:rsidP="00B033C8">
    <w:pPr>
      <w:pStyle w:val="Header"/>
      <w:ind w:right="360" w:firstLine="360"/>
    </w:pPr>
    <w:r>
      <w:rPr>
        <w:noProof/>
        <w:lang w:val="en-US" w:eastAsia="zh-CN"/>
      </w:rPr>
      <w:drawing>
        <wp:anchor distT="0" distB="0" distL="114300" distR="114300" simplePos="0" relativeHeight="251659264" behindDoc="1" locked="0" layoutInCell="1" allowOverlap="1" wp14:anchorId="13C95101" wp14:editId="2D3543E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520" w:rsidRDefault="00BA252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A1C84">
      <w:rPr>
        <w:rStyle w:val="PageNumber"/>
        <w:b/>
        <w:bCs/>
        <w:noProof/>
        <w:lang w:val="en-US"/>
      </w:rPr>
      <w:t>ii</w:t>
    </w:r>
    <w:r>
      <w:rPr>
        <w:rStyle w:val="PageNumber"/>
        <w:b/>
        <w:bCs/>
      </w:rPr>
      <w:fldChar w:fldCharType="end"/>
    </w:r>
    <w:r>
      <w:rPr>
        <w:lang w:val="en-US"/>
      </w:rPr>
      <w:tab/>
    </w:r>
    <w:r w:rsidR="000A1C84">
      <w:fldChar w:fldCharType="begin"/>
    </w:r>
    <w:r w:rsidR="000A1C84">
      <w:instrText xml:space="preserve"> DOCPROPERTY "Header" \* MERGEFORMAT </w:instrText>
    </w:r>
    <w:r w:rsidR="000A1C84">
      <w:fldChar w:fldCharType="separate"/>
    </w:r>
    <w:r>
      <w:rPr>
        <w:b/>
        <w:bCs/>
        <w:lang w:val="en-US"/>
      </w:rPr>
      <w:t xml:space="preserve">Rec. </w:t>
    </w:r>
    <w:r w:rsidR="000A1C84">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A1C84">
      <w:rPr>
        <w:b/>
        <w:bCs/>
        <w:noProof/>
      </w:rPr>
      <w:t>ITU-R  SF.674-3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520" w:rsidRDefault="00BA2520">
    <w:pPr>
      <w:pStyle w:val="Header"/>
    </w:pPr>
    <w:r>
      <w:tab/>
    </w:r>
    <w:r w:rsidR="000A1C84">
      <w:fldChar w:fldCharType="begin"/>
    </w:r>
    <w:r w:rsidR="000A1C84">
      <w:instrText xml:space="preserve"> DOCPROPERTY "Header" \* MERGEFORMAT </w:instrText>
    </w:r>
    <w:r w:rsidR="000A1C84">
      <w:fldChar w:fldCharType="separate"/>
    </w:r>
    <w:r>
      <w:rPr>
        <w:b/>
        <w:bCs/>
      </w:rPr>
      <w:t xml:space="preserve">Rec. </w:t>
    </w:r>
    <w:r w:rsidR="000A1C84">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SF.XXX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A1C84">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A2520" w:rsidRPr="00BA252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A1C84">
      <w:rPr>
        <w:b/>
        <w:bCs/>
        <w:noProof/>
      </w:rPr>
      <w:t>ITU-R  SF.674-3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BA2520" w:rsidRPr="00BA252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A1C84">
      <w:rPr>
        <w:b/>
        <w:bCs/>
        <w:noProof/>
      </w:rPr>
      <w:t>ITU-R  SF.674-3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A1C84">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13D26"/>
    <w:multiLevelType w:val="hybridMultilevel"/>
    <w:tmpl w:val="3CE692DC"/>
    <w:lvl w:ilvl="0" w:tplc="E5E2CE06">
      <w:start w:val="1"/>
      <w:numFmt w:val="decimal"/>
      <w:lvlText w:val="%1"/>
      <w:lvlJc w:val="left"/>
      <w:pPr>
        <w:tabs>
          <w:tab w:val="num" w:pos="795"/>
        </w:tabs>
        <w:ind w:left="795" w:hanging="79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520"/>
    <w:rsid w:val="00036492"/>
    <w:rsid w:val="000A1C84"/>
    <w:rsid w:val="00217EBF"/>
    <w:rsid w:val="00242AEE"/>
    <w:rsid w:val="00267925"/>
    <w:rsid w:val="002D76C4"/>
    <w:rsid w:val="004D2928"/>
    <w:rsid w:val="0052529D"/>
    <w:rsid w:val="00607D68"/>
    <w:rsid w:val="007468DA"/>
    <w:rsid w:val="009E00A8"/>
    <w:rsid w:val="00A6617B"/>
    <w:rsid w:val="00AB0DC8"/>
    <w:rsid w:val="00B44E24"/>
    <w:rsid w:val="00BA2520"/>
    <w:rsid w:val="00CA2D02"/>
    <w:rsid w:val="00DF4176"/>
    <w:rsid w:val="00ED79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uiPriority w:val="99"/>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uiPriority w:val="99"/>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A2520"/>
    <w:rPr>
      <w:color w:val="0000FF"/>
      <w:u w:val="single"/>
    </w:rPr>
  </w:style>
  <w:style w:type="character" w:customStyle="1" w:styleId="Heading1Char">
    <w:name w:val="Heading 1 Char"/>
    <w:basedOn w:val="DefaultParagraphFont"/>
    <w:link w:val="Heading1"/>
    <w:rsid w:val="00BA2520"/>
    <w:rPr>
      <w:b/>
      <w:sz w:val="24"/>
      <w:lang w:val="fr-FR" w:eastAsia="en-US"/>
    </w:rPr>
  </w:style>
  <w:style w:type="character" w:customStyle="1" w:styleId="HeaderChar">
    <w:name w:val="Header Char"/>
    <w:basedOn w:val="DefaultParagraphFont"/>
    <w:link w:val="Header"/>
    <w:rsid w:val="00BA2520"/>
    <w:rPr>
      <w:sz w:val="24"/>
      <w:lang w:val="fr-FR" w:eastAsia="en-US"/>
    </w:rPr>
  </w:style>
  <w:style w:type="character" w:customStyle="1" w:styleId="Rectitle0">
    <w:name w:val="Rec_title Знак"/>
    <w:link w:val="Rectitle"/>
    <w:uiPriority w:val="99"/>
    <w:locked/>
    <w:rsid w:val="00BA2520"/>
    <w:rPr>
      <w:b/>
      <w:sz w:val="28"/>
      <w:lang w:val="fr-FR" w:eastAsia="en-US"/>
    </w:rPr>
  </w:style>
  <w:style w:type="character" w:customStyle="1" w:styleId="HeadingbChar">
    <w:name w:val="Heading_b Char"/>
    <w:link w:val="Headingb"/>
    <w:uiPriority w:val="99"/>
    <w:locked/>
    <w:rsid w:val="00BA2520"/>
    <w:rPr>
      <w:b/>
      <w:sz w:val="24"/>
      <w:lang w:val="fr-FR" w:eastAsia="en-US"/>
    </w:rPr>
  </w:style>
  <w:style w:type="character" w:customStyle="1" w:styleId="CallChar">
    <w:name w:val="Call Char"/>
    <w:link w:val="Call"/>
    <w:uiPriority w:val="99"/>
    <w:locked/>
    <w:rsid w:val="00BA2520"/>
    <w:rPr>
      <w:i/>
      <w:sz w:val="24"/>
      <w:lang w:val="fr-FR" w:eastAsia="en-US"/>
    </w:rPr>
  </w:style>
  <w:style w:type="character" w:customStyle="1" w:styleId="NormalaftertitleChar">
    <w:name w:val="Normal_after_title Char"/>
    <w:link w:val="Normalaftertitle"/>
    <w:uiPriority w:val="99"/>
    <w:locked/>
    <w:rsid w:val="00BA2520"/>
    <w:rPr>
      <w:sz w:val="24"/>
      <w:lang w:val="fr-FR" w:eastAsia="en-US"/>
    </w:rPr>
  </w:style>
  <w:style w:type="character" w:customStyle="1" w:styleId="AnnexNoTitleChar">
    <w:name w:val="Annex_NoTitle Char"/>
    <w:link w:val="AnnexNoTitle"/>
    <w:uiPriority w:val="99"/>
    <w:rsid w:val="00BA2520"/>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uiPriority w:val="99"/>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uiPriority w:val="99"/>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A2520"/>
    <w:rPr>
      <w:color w:val="0000FF"/>
      <w:u w:val="single"/>
    </w:rPr>
  </w:style>
  <w:style w:type="character" w:customStyle="1" w:styleId="Heading1Char">
    <w:name w:val="Heading 1 Char"/>
    <w:basedOn w:val="DefaultParagraphFont"/>
    <w:link w:val="Heading1"/>
    <w:rsid w:val="00BA2520"/>
    <w:rPr>
      <w:b/>
      <w:sz w:val="24"/>
      <w:lang w:val="fr-FR" w:eastAsia="en-US"/>
    </w:rPr>
  </w:style>
  <w:style w:type="character" w:customStyle="1" w:styleId="HeaderChar">
    <w:name w:val="Header Char"/>
    <w:basedOn w:val="DefaultParagraphFont"/>
    <w:link w:val="Header"/>
    <w:rsid w:val="00BA2520"/>
    <w:rPr>
      <w:sz w:val="24"/>
      <w:lang w:val="fr-FR" w:eastAsia="en-US"/>
    </w:rPr>
  </w:style>
  <w:style w:type="character" w:customStyle="1" w:styleId="Rectitle0">
    <w:name w:val="Rec_title Знак"/>
    <w:link w:val="Rectitle"/>
    <w:uiPriority w:val="99"/>
    <w:locked/>
    <w:rsid w:val="00BA2520"/>
    <w:rPr>
      <w:b/>
      <w:sz w:val="28"/>
      <w:lang w:val="fr-FR" w:eastAsia="en-US"/>
    </w:rPr>
  </w:style>
  <w:style w:type="character" w:customStyle="1" w:styleId="HeadingbChar">
    <w:name w:val="Heading_b Char"/>
    <w:link w:val="Headingb"/>
    <w:uiPriority w:val="99"/>
    <w:locked/>
    <w:rsid w:val="00BA2520"/>
    <w:rPr>
      <w:b/>
      <w:sz w:val="24"/>
      <w:lang w:val="fr-FR" w:eastAsia="en-US"/>
    </w:rPr>
  </w:style>
  <w:style w:type="character" w:customStyle="1" w:styleId="CallChar">
    <w:name w:val="Call Char"/>
    <w:link w:val="Call"/>
    <w:uiPriority w:val="99"/>
    <w:locked/>
    <w:rsid w:val="00BA2520"/>
    <w:rPr>
      <w:i/>
      <w:sz w:val="24"/>
      <w:lang w:val="fr-FR" w:eastAsia="en-US"/>
    </w:rPr>
  </w:style>
  <w:style w:type="character" w:customStyle="1" w:styleId="NormalaftertitleChar">
    <w:name w:val="Normal_after_title Char"/>
    <w:link w:val="Normalaftertitle"/>
    <w:uiPriority w:val="99"/>
    <w:locked/>
    <w:rsid w:val="00BA2520"/>
    <w:rPr>
      <w:sz w:val="24"/>
      <w:lang w:val="fr-FR" w:eastAsia="en-US"/>
    </w:rPr>
  </w:style>
  <w:style w:type="character" w:customStyle="1" w:styleId="AnnexNoTitleChar">
    <w:name w:val="Annex_NoTitle Char"/>
    <w:link w:val="AnnexNoTitle"/>
    <w:uiPriority w:val="99"/>
    <w:rsid w:val="00BA2520"/>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28</TotalTime>
  <Pages>7</Pages>
  <Words>1649</Words>
  <Characters>9049</Characters>
  <Application>Microsoft Office Word</Application>
  <DocSecurity>0</DocSecurity>
  <Lines>291</Lines>
  <Paragraphs>44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10654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SF.674-3 - Determination of the impact on the fixed service operating in the 11.7-12.2 GHz band when geostationary fixed-satellite service networks in Region 2 exceed power flux-density thresholds for coordination</dc:title>
  <dc:subject>SF Series = Frequency sharing between the fixed-satellite service and the fixed service</dc:subject>
  <dc:creator>ITU Radiocommunication Bureau (BR)</dc:creator>
  <cp:keywords>SF,674-3</cp:keywords>
  <dc:description>Soby, 15.01.2014, ITU51007790</dc:description>
  <cp:lastModifiedBy>Gachet, Christelle</cp:lastModifiedBy>
  <cp:revision>6</cp:revision>
  <cp:lastPrinted>2005-02-10T15:54:00Z</cp:lastPrinted>
  <dcterms:created xsi:type="dcterms:W3CDTF">2013-12-09T14:21:00Z</dcterms:created>
  <dcterms:modified xsi:type="dcterms:W3CDTF">2014-01-15T10:37:00Z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15. janvier 2014</vt:lpwstr>
  </property>
</Properties>
</file>