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62E4" w:rsidRPr="00575CB8" w:rsidRDefault="000662E4" w:rsidP="000662E4">
      <w:pPr>
        <w:rPr>
          <w:lang w:val="en-US"/>
        </w:rPr>
      </w:pPr>
      <w:bookmarkStart w:id="0" w:name="dbreak"/>
      <w:bookmarkEnd w:id="0"/>
    </w:p>
    <w:p w:rsidR="000662E4" w:rsidRDefault="000662E4" w:rsidP="000662E4"/>
    <w:p w:rsidR="000662E4" w:rsidRDefault="000662E4" w:rsidP="000662E4"/>
    <w:p w:rsidR="000662E4" w:rsidRDefault="000662E4" w:rsidP="000662E4"/>
    <w:p w:rsidR="000662E4" w:rsidRDefault="000662E4" w:rsidP="000662E4"/>
    <w:p w:rsidR="000662E4" w:rsidRDefault="000662E4" w:rsidP="000662E4"/>
    <w:p w:rsidR="000662E4" w:rsidRDefault="000662E4" w:rsidP="000662E4"/>
    <w:p w:rsidR="000662E4" w:rsidRDefault="000662E4" w:rsidP="000662E4"/>
    <w:p w:rsidR="000662E4" w:rsidRDefault="000662E4" w:rsidP="000662E4"/>
    <w:p w:rsidR="000662E4" w:rsidRDefault="000662E4" w:rsidP="000662E4"/>
    <w:p w:rsidR="000662E4" w:rsidRDefault="000662E4" w:rsidP="000662E4"/>
    <w:tbl>
      <w:tblPr>
        <w:tblW w:w="10089" w:type="dxa"/>
        <w:tblLook w:val="01E0" w:firstRow="1" w:lastRow="1" w:firstColumn="1" w:lastColumn="1" w:noHBand="0" w:noVBand="0"/>
      </w:tblPr>
      <w:tblGrid>
        <w:gridCol w:w="10089"/>
      </w:tblGrid>
      <w:tr w:rsidR="000662E4" w:rsidRPr="000662E4" w:rsidTr="000662E4">
        <w:tc>
          <w:tcPr>
            <w:tcW w:w="10089" w:type="dxa"/>
          </w:tcPr>
          <w:p w:rsidR="000662E4" w:rsidRPr="0010336F" w:rsidRDefault="000662E4" w:rsidP="000662E4">
            <w:pPr>
              <w:spacing w:before="380" w:line="280" w:lineRule="exact"/>
              <w:jc w:val="right"/>
              <w:rPr>
                <w:rFonts w:ascii="Tahoma" w:hAnsi="Tahoma" w:cs="Tahoma"/>
                <w:b/>
                <w:bCs/>
                <w:iCs/>
                <w:color w:val="243285"/>
                <w:sz w:val="32"/>
                <w:szCs w:val="32"/>
                <w:lang w:val="en-US"/>
              </w:rPr>
            </w:pPr>
          </w:p>
          <w:p w:rsidR="000662E4" w:rsidRPr="0010336F" w:rsidRDefault="000662E4" w:rsidP="000662E4">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SF</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1572</w:t>
            </w:r>
          </w:p>
          <w:p w:rsidR="000662E4" w:rsidRPr="0010336F" w:rsidRDefault="000662E4" w:rsidP="000662E4">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05</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2002</w:t>
            </w:r>
            <w:r w:rsidRPr="0010336F">
              <w:rPr>
                <w:rFonts w:ascii="Tahoma" w:hAnsi="Tahoma" w:cs="Tahoma"/>
                <w:b/>
                <w:bCs/>
                <w:iCs/>
                <w:color w:val="243285"/>
                <w:szCs w:val="24"/>
                <w:lang w:val="es-ES_tradnl"/>
              </w:rPr>
              <w:t>)</w:t>
            </w:r>
          </w:p>
        </w:tc>
      </w:tr>
      <w:tr w:rsidR="000662E4" w:rsidRPr="006B7AFE" w:rsidTr="000662E4">
        <w:tc>
          <w:tcPr>
            <w:tcW w:w="10089" w:type="dxa"/>
          </w:tcPr>
          <w:p w:rsidR="000662E4" w:rsidRPr="0010336F" w:rsidRDefault="000662E4" w:rsidP="000662E4">
            <w:pPr>
              <w:spacing w:before="80" w:line="500" w:lineRule="exact"/>
              <w:jc w:val="right"/>
              <w:rPr>
                <w:rFonts w:ascii="Tahoma" w:hAnsi="Tahoma" w:cs="Tahoma"/>
                <w:b/>
                <w:bCs/>
                <w:iCs/>
                <w:color w:val="243285"/>
                <w:sz w:val="44"/>
                <w:szCs w:val="44"/>
                <w:lang w:val="es-ES_tradnl"/>
              </w:rPr>
            </w:pPr>
          </w:p>
          <w:p w:rsidR="000662E4" w:rsidRDefault="000662E4" w:rsidP="008B3431">
            <w:pPr>
              <w:spacing w:before="80" w:line="500" w:lineRule="exact"/>
              <w:jc w:val="right"/>
              <w:rPr>
                <w:rFonts w:ascii="Tahoma" w:hAnsi="Tahoma" w:cs="Tahoma"/>
                <w:b/>
                <w:bCs/>
                <w:color w:val="243285"/>
                <w:sz w:val="44"/>
                <w:szCs w:val="44"/>
                <w:lang w:val="es-ES_tradnl"/>
              </w:rPr>
            </w:pPr>
            <w:r>
              <w:rPr>
                <w:rFonts w:ascii="Tahoma" w:hAnsi="Tahoma" w:cs="Tahoma"/>
                <w:b/>
                <w:bCs/>
                <w:color w:val="243285"/>
                <w:sz w:val="44"/>
                <w:szCs w:val="44"/>
                <w:lang w:val="es-ES_tradnl"/>
              </w:rPr>
              <w:t>Metodología para evaluar la repercusión de la interferencia en el trayec</w:t>
            </w:r>
            <w:r w:rsidR="0037045B">
              <w:rPr>
                <w:rFonts w:ascii="Tahoma" w:hAnsi="Tahoma" w:cs="Tahoma"/>
                <w:b/>
                <w:bCs/>
                <w:color w:val="243285"/>
                <w:sz w:val="44"/>
                <w:szCs w:val="44"/>
                <w:lang w:val="es-ES_tradnl"/>
              </w:rPr>
              <w:t>to espacio-Tierra causada por el servicio fijo por satélite</w:t>
            </w:r>
            <w:r w:rsidR="008B3431">
              <w:rPr>
                <w:rFonts w:ascii="Tahoma" w:hAnsi="Tahoma" w:cs="Tahoma"/>
                <w:b/>
                <w:bCs/>
                <w:color w:val="243285"/>
                <w:sz w:val="44"/>
                <w:szCs w:val="44"/>
                <w:lang w:val="es-ES_tradnl"/>
              </w:rPr>
              <w:br/>
            </w:r>
            <w:r w:rsidR="0037045B">
              <w:rPr>
                <w:rFonts w:ascii="Tahoma" w:hAnsi="Tahoma" w:cs="Tahoma"/>
                <w:b/>
                <w:bCs/>
                <w:color w:val="243285"/>
                <w:sz w:val="44"/>
                <w:szCs w:val="44"/>
                <w:lang w:val="es-ES_tradnl"/>
              </w:rPr>
              <w:t xml:space="preserve">al servicio fijo en las bandas de frecuencia en las que la precipitación es el mecanismo predominante de los </w:t>
            </w:r>
            <w:r w:rsidR="008F4DD5">
              <w:rPr>
                <w:rFonts w:ascii="Tahoma" w:hAnsi="Tahoma" w:cs="Tahoma"/>
                <w:b/>
                <w:bCs/>
                <w:color w:val="243285"/>
                <w:sz w:val="44"/>
                <w:szCs w:val="44"/>
                <w:lang w:val="es-ES_tradnl"/>
              </w:rPr>
              <w:t>desvanecimientos</w:t>
            </w:r>
          </w:p>
          <w:p w:rsidR="000662E4" w:rsidRPr="0010336F" w:rsidRDefault="000662E4" w:rsidP="000662E4">
            <w:pPr>
              <w:spacing w:before="80" w:line="500" w:lineRule="exact"/>
              <w:jc w:val="right"/>
              <w:rPr>
                <w:rFonts w:ascii="Tahoma" w:hAnsi="Tahoma" w:cs="Tahoma"/>
                <w:b/>
                <w:bCs/>
                <w:iCs/>
                <w:color w:val="243285"/>
                <w:sz w:val="44"/>
                <w:szCs w:val="44"/>
                <w:lang w:val="es-ES_tradnl"/>
              </w:rPr>
            </w:pPr>
          </w:p>
        </w:tc>
      </w:tr>
      <w:tr w:rsidR="000662E4" w:rsidRPr="0026666F" w:rsidTr="000662E4">
        <w:tc>
          <w:tcPr>
            <w:tcW w:w="10089" w:type="dxa"/>
          </w:tcPr>
          <w:p w:rsidR="000662E4" w:rsidRPr="0010336F" w:rsidRDefault="000662E4" w:rsidP="000662E4">
            <w:pPr>
              <w:spacing w:before="80" w:line="280" w:lineRule="exact"/>
              <w:ind w:right="640"/>
              <w:rPr>
                <w:rFonts w:ascii="Tahoma" w:hAnsi="Tahoma" w:cs="Tahoma"/>
                <w:b/>
                <w:bCs/>
                <w:iCs/>
                <w:color w:val="243285"/>
                <w:sz w:val="32"/>
                <w:szCs w:val="32"/>
                <w:lang w:val="es-ES_tradnl"/>
              </w:rPr>
            </w:pPr>
          </w:p>
          <w:p w:rsidR="000662E4" w:rsidRPr="0010336F" w:rsidRDefault="000662E4" w:rsidP="000662E4">
            <w:pPr>
              <w:spacing w:before="80" w:after="180" w:line="360" w:lineRule="exact"/>
              <w:ind w:right="720"/>
              <w:rPr>
                <w:rFonts w:ascii="Tahoma" w:hAnsi="Tahoma" w:cs="Tahoma"/>
                <w:b/>
                <w:bCs/>
                <w:iCs/>
                <w:color w:val="243285"/>
                <w:sz w:val="36"/>
                <w:szCs w:val="36"/>
                <w:lang w:val="es-ES_tradnl"/>
              </w:rPr>
            </w:pPr>
          </w:p>
          <w:p w:rsidR="000662E4" w:rsidRPr="0010336F" w:rsidRDefault="000662E4" w:rsidP="000662E4">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SF</w:t>
            </w:r>
          </w:p>
          <w:p w:rsidR="000662E4" w:rsidRPr="0010336F" w:rsidRDefault="000662E4" w:rsidP="008B3431">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Compartición de frecuencias y coordinación</w:t>
            </w:r>
            <w:r w:rsidR="008B3431">
              <w:rPr>
                <w:rFonts w:ascii="Tahoma" w:hAnsi="Tahoma" w:cs="Tahoma"/>
                <w:b/>
                <w:bCs/>
                <w:iCs/>
                <w:color w:val="243285"/>
                <w:sz w:val="36"/>
                <w:szCs w:val="36"/>
                <w:lang w:val="es-ES_tradnl"/>
              </w:rPr>
              <w:br/>
            </w:r>
            <w:r>
              <w:rPr>
                <w:rFonts w:ascii="Tahoma" w:hAnsi="Tahoma" w:cs="Tahoma"/>
                <w:b/>
                <w:bCs/>
                <w:iCs/>
                <w:color w:val="243285"/>
                <w:sz w:val="36"/>
                <w:szCs w:val="36"/>
                <w:lang w:val="es-ES_tradnl"/>
              </w:rPr>
              <w:t>entre</w:t>
            </w:r>
            <w:r w:rsidR="008B3431">
              <w:rPr>
                <w:rFonts w:ascii="Tahoma" w:hAnsi="Tahoma" w:cs="Tahoma"/>
                <w:b/>
                <w:bCs/>
                <w:iCs/>
                <w:color w:val="243285"/>
                <w:sz w:val="36"/>
                <w:szCs w:val="36"/>
                <w:lang w:val="es-ES_tradnl"/>
              </w:rPr>
              <w:t xml:space="preserve"> </w:t>
            </w:r>
            <w:r>
              <w:rPr>
                <w:rFonts w:ascii="Tahoma" w:hAnsi="Tahoma" w:cs="Tahoma"/>
                <w:b/>
                <w:bCs/>
                <w:iCs/>
                <w:color w:val="243285"/>
                <w:sz w:val="36"/>
                <w:szCs w:val="36"/>
                <w:lang w:val="es-ES_tradnl"/>
              </w:rPr>
              <w:t>los sistemas del servicio fijo</w:t>
            </w:r>
            <w:r w:rsidR="008B3431">
              <w:rPr>
                <w:rFonts w:ascii="Tahoma" w:hAnsi="Tahoma" w:cs="Tahoma"/>
                <w:b/>
                <w:bCs/>
                <w:iCs/>
                <w:color w:val="243285"/>
                <w:sz w:val="36"/>
                <w:szCs w:val="36"/>
                <w:lang w:val="es-ES_tradnl"/>
              </w:rPr>
              <w:br/>
              <w:t xml:space="preserve">por satélite </w:t>
            </w:r>
            <w:r>
              <w:rPr>
                <w:rFonts w:ascii="Tahoma" w:hAnsi="Tahoma" w:cs="Tahoma"/>
                <w:b/>
                <w:bCs/>
                <w:iCs/>
                <w:color w:val="243285"/>
                <w:sz w:val="36"/>
                <w:szCs w:val="36"/>
                <w:lang w:val="es-ES_tradnl"/>
              </w:rPr>
              <w:t>y del servicio fijo</w:t>
            </w:r>
          </w:p>
        </w:tc>
      </w:tr>
    </w:tbl>
    <w:p w:rsidR="000662E4" w:rsidRPr="0026666F" w:rsidRDefault="000662E4" w:rsidP="000662E4">
      <w:pPr>
        <w:spacing w:before="80"/>
        <w:rPr>
          <w:i/>
          <w:sz w:val="22"/>
          <w:lang w:val="es-ES_tradnl"/>
        </w:rPr>
      </w:pPr>
    </w:p>
    <w:p w:rsidR="000662E4" w:rsidRPr="0026666F" w:rsidRDefault="000662E4" w:rsidP="000662E4">
      <w:pPr>
        <w:spacing w:before="80"/>
        <w:rPr>
          <w:i/>
          <w:sz w:val="22"/>
          <w:lang w:val="es-ES_tradnl"/>
        </w:rPr>
      </w:pPr>
    </w:p>
    <w:p w:rsidR="000662E4" w:rsidRPr="0026666F" w:rsidRDefault="000662E4" w:rsidP="000662E4">
      <w:pPr>
        <w:spacing w:before="80"/>
        <w:rPr>
          <w:i/>
          <w:sz w:val="22"/>
          <w:lang w:val="es-ES_tradnl"/>
        </w:rPr>
      </w:pPr>
    </w:p>
    <w:p w:rsidR="000662E4" w:rsidRPr="0026666F" w:rsidRDefault="000662E4" w:rsidP="000662E4">
      <w:pPr>
        <w:spacing w:before="80"/>
        <w:rPr>
          <w:i/>
          <w:sz w:val="22"/>
          <w:lang w:val="es-ES_tradnl"/>
        </w:rPr>
      </w:pPr>
    </w:p>
    <w:p w:rsidR="000662E4" w:rsidRPr="0026666F" w:rsidRDefault="000662E4" w:rsidP="000662E4">
      <w:pPr>
        <w:spacing w:before="80"/>
        <w:rPr>
          <w:i/>
          <w:sz w:val="22"/>
          <w:lang w:val="es-ES_tradnl"/>
        </w:rPr>
      </w:pPr>
    </w:p>
    <w:p w:rsidR="000662E4" w:rsidRPr="0026666F" w:rsidRDefault="000662E4" w:rsidP="000662E4">
      <w:pPr>
        <w:pStyle w:val="Equation"/>
        <w:tabs>
          <w:tab w:val="clear" w:pos="4820"/>
          <w:tab w:val="clear" w:pos="9639"/>
          <w:tab w:val="left" w:pos="1191"/>
          <w:tab w:val="left" w:pos="1588"/>
          <w:tab w:val="left" w:pos="1985"/>
        </w:tabs>
        <w:rPr>
          <w:rFonts w:ascii="Palatino Linotype" w:hAnsi="Palatino Linotype"/>
          <w:lang w:val="es-ES_tradnl"/>
        </w:rPr>
        <w:sectPr w:rsidR="000662E4" w:rsidRPr="0026666F">
          <w:headerReference w:type="even" r:id="rId9"/>
          <w:headerReference w:type="default" r:id="rId10"/>
          <w:pgSz w:w="11907" w:h="16840" w:code="9"/>
          <w:pgMar w:top="1089" w:right="1089" w:bottom="284" w:left="1089" w:header="567" w:footer="284" w:gutter="0"/>
          <w:pgNumType w:start="1"/>
          <w:cols w:space="720"/>
        </w:sectPr>
      </w:pPr>
    </w:p>
    <w:p w:rsidR="000662E4" w:rsidRPr="006C718C" w:rsidRDefault="000662E4" w:rsidP="000662E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0662E4" w:rsidRPr="006C718C" w:rsidRDefault="000662E4" w:rsidP="000662E4">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0662E4" w:rsidRPr="006C718C" w:rsidRDefault="000662E4" w:rsidP="000662E4">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0662E4" w:rsidRPr="00021E8A" w:rsidRDefault="000662E4" w:rsidP="000662E4">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0662E4" w:rsidRPr="00021E8A" w:rsidRDefault="000662E4" w:rsidP="000662E4">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1"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0662E4" w:rsidRPr="007C36CA" w:rsidRDefault="000662E4" w:rsidP="000662E4">
      <w:pPr>
        <w:spacing w:before="0"/>
        <w:jc w:val="center"/>
        <w:rPr>
          <w:sz w:val="22"/>
          <w:lang w:val="es-ES_tradnl"/>
        </w:rPr>
      </w:pPr>
    </w:p>
    <w:p w:rsidR="000662E4" w:rsidRPr="007C36CA" w:rsidRDefault="000662E4" w:rsidP="000662E4">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662E4" w:rsidRPr="006B7AFE" w:rsidTr="000662E4">
        <w:tc>
          <w:tcPr>
            <w:tcW w:w="9360" w:type="dxa"/>
            <w:gridSpan w:val="2"/>
          </w:tcPr>
          <w:p w:rsidR="000662E4" w:rsidRPr="00021E8A" w:rsidRDefault="000662E4" w:rsidP="000662E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0662E4" w:rsidRPr="00763D08" w:rsidRDefault="000662E4" w:rsidP="000662E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2"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0662E4" w:rsidRPr="00036EE3" w:rsidTr="000662E4">
        <w:tc>
          <w:tcPr>
            <w:tcW w:w="1140" w:type="dxa"/>
            <w:tcBorders>
              <w:bottom w:val="nil"/>
            </w:tcBorders>
          </w:tcPr>
          <w:p w:rsidR="000662E4" w:rsidRPr="00036EE3" w:rsidRDefault="000662E4" w:rsidP="000662E4">
            <w:pPr>
              <w:spacing w:before="180" w:after="100"/>
              <w:ind w:left="57"/>
              <w:rPr>
                <w:b/>
                <w:bCs/>
                <w:sz w:val="20"/>
                <w:lang w:val="en-US"/>
              </w:rPr>
            </w:pPr>
            <w:r w:rsidRPr="00036EE3">
              <w:rPr>
                <w:b/>
                <w:bCs/>
                <w:sz w:val="20"/>
                <w:lang w:val="en-US"/>
              </w:rPr>
              <w:t>Series</w:t>
            </w:r>
          </w:p>
        </w:tc>
        <w:tc>
          <w:tcPr>
            <w:tcW w:w="8220" w:type="dxa"/>
            <w:tcBorders>
              <w:bottom w:val="nil"/>
            </w:tcBorders>
          </w:tcPr>
          <w:p w:rsidR="000662E4" w:rsidRPr="00036EE3" w:rsidRDefault="000662E4" w:rsidP="000662E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0662E4" w:rsidRPr="004532F7" w:rsidTr="000662E4">
        <w:tc>
          <w:tcPr>
            <w:tcW w:w="1140" w:type="dxa"/>
            <w:tcBorders>
              <w:top w:val="nil"/>
              <w:bottom w:val="nil"/>
            </w:tcBorders>
            <w:shd w:val="clear" w:color="auto" w:fill="auto"/>
          </w:tcPr>
          <w:p w:rsidR="000662E4" w:rsidRPr="004532F7" w:rsidRDefault="000662E4" w:rsidP="000662E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0662E4" w:rsidRPr="004532F7" w:rsidRDefault="000662E4" w:rsidP="000662E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0662E4" w:rsidRPr="006B7AFE" w:rsidTr="000662E4">
        <w:tc>
          <w:tcPr>
            <w:tcW w:w="1140" w:type="dxa"/>
            <w:tcBorders>
              <w:top w:val="nil"/>
              <w:bottom w:val="nil"/>
            </w:tcBorders>
            <w:shd w:val="clear" w:color="auto" w:fill="auto"/>
          </w:tcPr>
          <w:p w:rsidR="000662E4" w:rsidRPr="006B22C3" w:rsidRDefault="000662E4" w:rsidP="000662E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0662E4" w:rsidRPr="006B22C3" w:rsidRDefault="000662E4" w:rsidP="000662E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0662E4" w:rsidRPr="00847DD5" w:rsidTr="000662E4">
        <w:tc>
          <w:tcPr>
            <w:tcW w:w="1140" w:type="dxa"/>
            <w:tcBorders>
              <w:top w:val="nil"/>
              <w:bottom w:val="nil"/>
            </w:tcBorders>
            <w:shd w:val="clear" w:color="auto" w:fill="auto"/>
          </w:tcPr>
          <w:p w:rsidR="000662E4" w:rsidRPr="00847DD5" w:rsidRDefault="000662E4" w:rsidP="000662E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0662E4" w:rsidRPr="00847DD5" w:rsidRDefault="000662E4" w:rsidP="000662E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47DD5">
              <w:rPr>
                <w:b w:val="0"/>
                <w:sz w:val="20"/>
              </w:rPr>
              <w:t>Servicio de radiodifusión sonora</w:t>
            </w:r>
          </w:p>
        </w:tc>
      </w:tr>
      <w:tr w:rsidR="000662E4" w:rsidRPr="00ED2695" w:rsidTr="000662E4">
        <w:tc>
          <w:tcPr>
            <w:tcW w:w="1140" w:type="dxa"/>
            <w:tcBorders>
              <w:top w:val="nil"/>
              <w:bottom w:val="nil"/>
            </w:tcBorders>
            <w:shd w:val="clear" w:color="auto" w:fill="auto"/>
          </w:tcPr>
          <w:p w:rsidR="000662E4" w:rsidRPr="00ED2695" w:rsidRDefault="000662E4" w:rsidP="000662E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0662E4" w:rsidRPr="00021E8A" w:rsidRDefault="000662E4" w:rsidP="000662E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0662E4" w:rsidRPr="00366CEE" w:rsidTr="000662E4">
        <w:tc>
          <w:tcPr>
            <w:tcW w:w="1140" w:type="dxa"/>
            <w:tcBorders>
              <w:top w:val="nil"/>
              <w:bottom w:val="nil"/>
            </w:tcBorders>
            <w:shd w:val="clear" w:color="auto" w:fill="auto"/>
          </w:tcPr>
          <w:p w:rsidR="000662E4" w:rsidRPr="00366CEE" w:rsidRDefault="000662E4" w:rsidP="000662E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0662E4" w:rsidRPr="00366CEE" w:rsidRDefault="000662E4" w:rsidP="000662E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0662E4" w:rsidRPr="006B7AFE" w:rsidTr="000662E4">
        <w:tc>
          <w:tcPr>
            <w:tcW w:w="1140" w:type="dxa"/>
            <w:tcBorders>
              <w:top w:val="nil"/>
              <w:bottom w:val="nil"/>
            </w:tcBorders>
            <w:shd w:val="clear" w:color="auto" w:fill="auto"/>
          </w:tcPr>
          <w:p w:rsidR="000662E4" w:rsidRPr="0010336F" w:rsidRDefault="000662E4" w:rsidP="000662E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0662E4" w:rsidRPr="0010336F" w:rsidRDefault="000662E4" w:rsidP="000662E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0662E4" w:rsidRPr="006B7AFE" w:rsidTr="000662E4">
        <w:tc>
          <w:tcPr>
            <w:tcW w:w="1140" w:type="dxa"/>
            <w:tcBorders>
              <w:top w:val="nil"/>
              <w:bottom w:val="nil"/>
            </w:tcBorders>
            <w:shd w:val="clear" w:color="auto" w:fill="auto"/>
          </w:tcPr>
          <w:p w:rsidR="000662E4" w:rsidRPr="00F95576" w:rsidRDefault="000662E4" w:rsidP="000662E4">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rsidR="000662E4" w:rsidRPr="00F95576" w:rsidRDefault="000662E4" w:rsidP="000662E4">
            <w:pPr>
              <w:spacing w:before="30" w:after="30"/>
              <w:jc w:val="left"/>
              <w:rPr>
                <w:sz w:val="20"/>
                <w:lang w:val="es-ES_tradnl"/>
              </w:rPr>
            </w:pPr>
            <w:r w:rsidRPr="00F95576">
              <w:rPr>
                <w:sz w:val="20"/>
                <w:lang w:val="es-ES_tradnl"/>
              </w:rPr>
              <w:t>Propagación de las ondas radioeléctricas</w:t>
            </w:r>
          </w:p>
        </w:tc>
      </w:tr>
      <w:tr w:rsidR="000662E4" w:rsidRPr="00DE71F7" w:rsidTr="000662E4">
        <w:tc>
          <w:tcPr>
            <w:tcW w:w="1140" w:type="dxa"/>
            <w:tcBorders>
              <w:top w:val="nil"/>
              <w:bottom w:val="nil"/>
            </w:tcBorders>
            <w:shd w:val="clear" w:color="auto" w:fill="auto"/>
          </w:tcPr>
          <w:p w:rsidR="000662E4" w:rsidRPr="00DE71F7" w:rsidRDefault="000662E4" w:rsidP="000662E4">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rsidR="000662E4" w:rsidRPr="00DE71F7" w:rsidRDefault="000662E4" w:rsidP="000662E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Radio astronomía</w:t>
            </w:r>
          </w:p>
        </w:tc>
      </w:tr>
      <w:tr w:rsidR="000662E4" w:rsidRPr="006B7AFE" w:rsidTr="000662E4">
        <w:tc>
          <w:tcPr>
            <w:tcW w:w="1140" w:type="dxa"/>
            <w:tcBorders>
              <w:top w:val="nil"/>
              <w:bottom w:val="nil"/>
            </w:tcBorders>
            <w:shd w:val="clear" w:color="auto" w:fill="auto"/>
          </w:tcPr>
          <w:p w:rsidR="000662E4" w:rsidRPr="00D12388" w:rsidRDefault="000662E4" w:rsidP="000662E4">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rsidR="000662E4" w:rsidRPr="00D12388" w:rsidRDefault="000662E4" w:rsidP="000662E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0662E4" w:rsidRPr="00025336" w:rsidTr="000662E4">
        <w:tc>
          <w:tcPr>
            <w:tcW w:w="1140" w:type="dxa"/>
            <w:tcBorders>
              <w:top w:val="nil"/>
              <w:bottom w:val="nil"/>
            </w:tcBorders>
            <w:shd w:val="clear" w:color="auto" w:fill="auto"/>
          </w:tcPr>
          <w:p w:rsidR="000662E4" w:rsidRPr="00025336" w:rsidRDefault="000662E4" w:rsidP="000662E4">
            <w:pPr>
              <w:spacing w:before="30" w:after="30"/>
              <w:ind w:left="57"/>
              <w:jc w:val="left"/>
              <w:rPr>
                <w:b/>
                <w:bCs/>
                <w:sz w:val="20"/>
                <w:lang w:val="en-US"/>
              </w:rPr>
            </w:pPr>
            <w:r w:rsidRPr="00025336">
              <w:rPr>
                <w:b/>
                <w:bCs/>
                <w:sz w:val="20"/>
                <w:lang w:val="en-US"/>
              </w:rPr>
              <w:t>S</w:t>
            </w:r>
          </w:p>
        </w:tc>
        <w:tc>
          <w:tcPr>
            <w:tcW w:w="8220" w:type="dxa"/>
            <w:tcBorders>
              <w:top w:val="nil"/>
              <w:bottom w:val="nil"/>
            </w:tcBorders>
            <w:shd w:val="clear" w:color="auto" w:fill="auto"/>
          </w:tcPr>
          <w:p w:rsidR="000662E4" w:rsidRPr="00025336" w:rsidRDefault="000662E4" w:rsidP="000662E4">
            <w:pPr>
              <w:spacing w:before="30" w:after="30"/>
              <w:jc w:val="left"/>
              <w:rPr>
                <w:sz w:val="20"/>
                <w:lang w:val="en-US"/>
              </w:rPr>
            </w:pPr>
            <w:r w:rsidRPr="00025336">
              <w:rPr>
                <w:sz w:val="20"/>
              </w:rPr>
              <w:t>Servicio fijo por satélite</w:t>
            </w:r>
          </w:p>
        </w:tc>
      </w:tr>
      <w:tr w:rsidR="000662E4" w:rsidRPr="00975AEB" w:rsidTr="000662E4">
        <w:tc>
          <w:tcPr>
            <w:tcW w:w="1140" w:type="dxa"/>
            <w:tcBorders>
              <w:top w:val="nil"/>
              <w:bottom w:val="nil"/>
            </w:tcBorders>
            <w:shd w:val="clear" w:color="auto" w:fill="auto"/>
          </w:tcPr>
          <w:p w:rsidR="000662E4" w:rsidRPr="00975AEB" w:rsidRDefault="000662E4" w:rsidP="000662E4">
            <w:pPr>
              <w:spacing w:before="30" w:after="30"/>
              <w:ind w:left="57"/>
              <w:jc w:val="left"/>
              <w:rPr>
                <w:b/>
                <w:bCs/>
                <w:sz w:val="20"/>
                <w:lang w:val="en-US"/>
              </w:rPr>
            </w:pPr>
            <w:r w:rsidRPr="00975AEB">
              <w:rPr>
                <w:b/>
                <w:bCs/>
                <w:sz w:val="20"/>
                <w:lang w:val="en-US"/>
              </w:rPr>
              <w:t>SA</w:t>
            </w:r>
          </w:p>
        </w:tc>
        <w:tc>
          <w:tcPr>
            <w:tcW w:w="8220" w:type="dxa"/>
            <w:tcBorders>
              <w:top w:val="nil"/>
              <w:bottom w:val="nil"/>
            </w:tcBorders>
            <w:shd w:val="clear" w:color="auto" w:fill="auto"/>
          </w:tcPr>
          <w:p w:rsidR="000662E4" w:rsidRPr="00975AEB" w:rsidRDefault="000662E4" w:rsidP="000662E4">
            <w:pPr>
              <w:spacing w:before="30" w:after="30"/>
              <w:jc w:val="left"/>
              <w:rPr>
                <w:sz w:val="20"/>
                <w:lang w:val="en-US"/>
              </w:rPr>
            </w:pPr>
            <w:r w:rsidRPr="00975AEB">
              <w:rPr>
                <w:sz w:val="20"/>
              </w:rPr>
              <w:t>Aplicaciones espaciales y meteorología</w:t>
            </w:r>
          </w:p>
        </w:tc>
      </w:tr>
      <w:tr w:rsidR="000662E4" w:rsidRPr="006B7AFE" w:rsidTr="000662E4">
        <w:tc>
          <w:tcPr>
            <w:tcW w:w="1140" w:type="dxa"/>
            <w:tcBorders>
              <w:top w:val="nil"/>
              <w:bottom w:val="nil"/>
            </w:tcBorders>
            <w:shd w:val="clear" w:color="auto" w:fill="F3F3F3"/>
          </w:tcPr>
          <w:p w:rsidR="000662E4" w:rsidRPr="00975AEB" w:rsidRDefault="000662E4" w:rsidP="000662E4">
            <w:pPr>
              <w:spacing w:before="30" w:after="30"/>
              <w:ind w:left="57"/>
              <w:jc w:val="left"/>
              <w:rPr>
                <w:b/>
                <w:bCs/>
                <w:color w:val="000080"/>
                <w:sz w:val="20"/>
                <w:lang w:val="en-US"/>
              </w:rPr>
            </w:pPr>
            <w:r w:rsidRPr="00975AEB">
              <w:rPr>
                <w:b/>
                <w:bCs/>
                <w:color w:val="000080"/>
                <w:sz w:val="20"/>
                <w:lang w:val="en-US"/>
              </w:rPr>
              <w:t>SF</w:t>
            </w:r>
          </w:p>
        </w:tc>
        <w:tc>
          <w:tcPr>
            <w:tcW w:w="8220" w:type="dxa"/>
            <w:tcBorders>
              <w:top w:val="nil"/>
              <w:bottom w:val="nil"/>
            </w:tcBorders>
            <w:shd w:val="clear" w:color="auto" w:fill="F3F3F3"/>
          </w:tcPr>
          <w:p w:rsidR="000662E4" w:rsidRPr="00975AEB" w:rsidRDefault="000662E4" w:rsidP="000662E4">
            <w:pPr>
              <w:spacing w:before="30" w:after="30"/>
              <w:jc w:val="left"/>
              <w:rPr>
                <w:b/>
                <w:bCs/>
                <w:color w:val="000080"/>
                <w:sz w:val="20"/>
                <w:lang w:val="es-ES_tradnl"/>
              </w:rPr>
            </w:pPr>
            <w:r w:rsidRPr="00975AEB">
              <w:rPr>
                <w:b/>
                <w:bCs/>
                <w:color w:val="000080"/>
                <w:sz w:val="20"/>
                <w:lang w:val="es-ES_tradnl"/>
              </w:rPr>
              <w:t>Compartición de frecuencias y coordinación entre los sistemas del servicio fijo por satélite y del servicio fijo</w:t>
            </w:r>
          </w:p>
        </w:tc>
      </w:tr>
      <w:tr w:rsidR="000662E4" w:rsidRPr="00036EE3" w:rsidTr="000662E4">
        <w:tc>
          <w:tcPr>
            <w:tcW w:w="1140" w:type="dxa"/>
            <w:tcBorders>
              <w:top w:val="nil"/>
            </w:tcBorders>
            <w:shd w:val="clear" w:color="auto" w:fill="auto"/>
          </w:tcPr>
          <w:p w:rsidR="000662E4" w:rsidRPr="001240BC" w:rsidRDefault="000662E4" w:rsidP="000662E4">
            <w:pPr>
              <w:spacing w:before="30" w:after="30"/>
              <w:ind w:left="57"/>
              <w:jc w:val="left"/>
              <w:rPr>
                <w:b/>
                <w:bCs/>
                <w:sz w:val="20"/>
                <w:lang w:val="en-US"/>
              </w:rPr>
            </w:pPr>
            <w:r w:rsidRPr="001240BC">
              <w:rPr>
                <w:b/>
                <w:bCs/>
                <w:sz w:val="20"/>
                <w:lang w:val="en-US"/>
              </w:rPr>
              <w:t>SM</w:t>
            </w:r>
          </w:p>
        </w:tc>
        <w:tc>
          <w:tcPr>
            <w:tcW w:w="8220" w:type="dxa"/>
            <w:tcBorders>
              <w:top w:val="nil"/>
            </w:tcBorders>
            <w:shd w:val="clear" w:color="auto" w:fill="auto"/>
          </w:tcPr>
          <w:p w:rsidR="000662E4" w:rsidRPr="001240BC" w:rsidRDefault="000662E4" w:rsidP="000662E4">
            <w:pPr>
              <w:spacing w:before="30" w:after="30"/>
              <w:jc w:val="left"/>
              <w:rPr>
                <w:sz w:val="20"/>
                <w:lang w:val="en-US"/>
              </w:rPr>
            </w:pPr>
            <w:r w:rsidRPr="001240BC">
              <w:rPr>
                <w:sz w:val="20"/>
              </w:rPr>
              <w:t>Gestión del espectro</w:t>
            </w:r>
          </w:p>
        </w:tc>
      </w:tr>
      <w:tr w:rsidR="000662E4" w:rsidRPr="00036EE3" w:rsidTr="000662E4">
        <w:tc>
          <w:tcPr>
            <w:tcW w:w="1140" w:type="dxa"/>
          </w:tcPr>
          <w:p w:rsidR="000662E4" w:rsidRPr="00036EE3" w:rsidRDefault="000662E4" w:rsidP="000662E4">
            <w:pPr>
              <w:spacing w:before="30" w:after="30"/>
              <w:ind w:left="57"/>
              <w:jc w:val="left"/>
              <w:rPr>
                <w:b/>
                <w:bCs/>
                <w:sz w:val="20"/>
                <w:lang w:val="en-US"/>
              </w:rPr>
            </w:pPr>
            <w:r w:rsidRPr="00036EE3">
              <w:rPr>
                <w:b/>
                <w:bCs/>
                <w:sz w:val="20"/>
                <w:lang w:val="en-US"/>
              </w:rPr>
              <w:t>SNG</w:t>
            </w:r>
          </w:p>
        </w:tc>
        <w:tc>
          <w:tcPr>
            <w:tcW w:w="8220" w:type="dxa"/>
          </w:tcPr>
          <w:p w:rsidR="000662E4" w:rsidRPr="00021E8A" w:rsidRDefault="000662E4" w:rsidP="000662E4">
            <w:pPr>
              <w:spacing w:before="30" w:after="30"/>
              <w:jc w:val="left"/>
              <w:rPr>
                <w:bCs/>
                <w:sz w:val="20"/>
                <w:lang w:val="en-US"/>
              </w:rPr>
            </w:pPr>
            <w:r w:rsidRPr="00021E8A">
              <w:rPr>
                <w:bCs/>
                <w:sz w:val="20"/>
              </w:rPr>
              <w:t>Periodismo electrónico por satélite</w:t>
            </w:r>
          </w:p>
        </w:tc>
      </w:tr>
      <w:tr w:rsidR="000662E4" w:rsidRPr="006B7AFE" w:rsidTr="000662E4">
        <w:tc>
          <w:tcPr>
            <w:tcW w:w="1140" w:type="dxa"/>
          </w:tcPr>
          <w:p w:rsidR="000662E4" w:rsidRPr="00036EE3" w:rsidRDefault="000662E4" w:rsidP="000662E4">
            <w:pPr>
              <w:spacing w:before="30" w:after="30"/>
              <w:ind w:left="57"/>
              <w:jc w:val="left"/>
              <w:rPr>
                <w:b/>
                <w:bCs/>
                <w:sz w:val="20"/>
                <w:lang w:val="en-US"/>
              </w:rPr>
            </w:pPr>
            <w:r w:rsidRPr="00036EE3">
              <w:rPr>
                <w:b/>
                <w:bCs/>
                <w:sz w:val="20"/>
                <w:lang w:val="en-US"/>
              </w:rPr>
              <w:t>TF</w:t>
            </w:r>
          </w:p>
        </w:tc>
        <w:tc>
          <w:tcPr>
            <w:tcW w:w="8220" w:type="dxa"/>
          </w:tcPr>
          <w:p w:rsidR="000662E4" w:rsidRPr="00021E8A" w:rsidRDefault="000662E4" w:rsidP="000662E4">
            <w:pPr>
              <w:spacing w:before="30" w:after="30"/>
              <w:jc w:val="left"/>
              <w:rPr>
                <w:bCs/>
                <w:sz w:val="20"/>
                <w:lang w:val="es-ES_tradnl"/>
              </w:rPr>
            </w:pPr>
            <w:r w:rsidRPr="00021E8A">
              <w:rPr>
                <w:bCs/>
                <w:sz w:val="20"/>
                <w:lang w:val="es-ES_tradnl"/>
              </w:rPr>
              <w:t>Emisiones de frecuencias patrón y señales horarias</w:t>
            </w:r>
          </w:p>
        </w:tc>
      </w:tr>
      <w:tr w:rsidR="000662E4" w:rsidRPr="00036EE3" w:rsidTr="000662E4">
        <w:tc>
          <w:tcPr>
            <w:tcW w:w="1140" w:type="dxa"/>
          </w:tcPr>
          <w:p w:rsidR="000662E4" w:rsidRPr="00036EE3" w:rsidRDefault="000662E4" w:rsidP="000662E4">
            <w:pPr>
              <w:spacing w:before="30" w:after="30"/>
              <w:ind w:left="57"/>
              <w:jc w:val="left"/>
              <w:rPr>
                <w:b/>
                <w:bCs/>
                <w:sz w:val="20"/>
                <w:lang w:val="en-US"/>
              </w:rPr>
            </w:pPr>
            <w:r w:rsidRPr="00036EE3">
              <w:rPr>
                <w:b/>
                <w:bCs/>
                <w:sz w:val="20"/>
                <w:lang w:val="en-US"/>
              </w:rPr>
              <w:t>V</w:t>
            </w:r>
          </w:p>
        </w:tc>
        <w:tc>
          <w:tcPr>
            <w:tcW w:w="8220" w:type="dxa"/>
          </w:tcPr>
          <w:p w:rsidR="000662E4" w:rsidRPr="00021E8A" w:rsidRDefault="000662E4" w:rsidP="000662E4">
            <w:pPr>
              <w:spacing w:before="30" w:after="140"/>
              <w:jc w:val="left"/>
              <w:rPr>
                <w:bCs/>
                <w:sz w:val="20"/>
                <w:lang w:val="en-US"/>
              </w:rPr>
            </w:pPr>
            <w:r w:rsidRPr="00021E8A">
              <w:rPr>
                <w:bCs/>
                <w:sz w:val="20"/>
              </w:rPr>
              <w:t>Vocabulario y cuestiones afines</w:t>
            </w:r>
          </w:p>
        </w:tc>
      </w:tr>
    </w:tbl>
    <w:p w:rsidR="000662E4" w:rsidRPr="00036EE3" w:rsidRDefault="000662E4" w:rsidP="000662E4">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662E4" w:rsidTr="000662E4">
        <w:tc>
          <w:tcPr>
            <w:tcW w:w="720" w:type="dxa"/>
          </w:tcPr>
          <w:p w:rsidR="000662E4" w:rsidRDefault="000662E4" w:rsidP="000662E4">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662E4" w:rsidRPr="006B7AFE" w:rsidTr="000662E4">
        <w:tc>
          <w:tcPr>
            <w:tcW w:w="9360" w:type="dxa"/>
          </w:tcPr>
          <w:p w:rsidR="000662E4" w:rsidRPr="00763D08" w:rsidRDefault="000662E4" w:rsidP="000662E4">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0662E4" w:rsidRPr="00763D08" w:rsidRDefault="000662E4" w:rsidP="000662E4">
      <w:pPr>
        <w:spacing w:before="0"/>
        <w:jc w:val="center"/>
        <w:rPr>
          <w:sz w:val="22"/>
          <w:lang w:val="es-ES_tradnl"/>
        </w:rPr>
      </w:pPr>
    </w:p>
    <w:p w:rsidR="000662E4" w:rsidRPr="00763D08" w:rsidRDefault="000662E4" w:rsidP="000662E4">
      <w:pPr>
        <w:spacing w:before="60"/>
        <w:jc w:val="right"/>
        <w:rPr>
          <w:i/>
          <w:iCs/>
          <w:sz w:val="20"/>
          <w:lang w:val="es-ES_tradnl"/>
        </w:rPr>
      </w:pPr>
      <w:r w:rsidRPr="00763D08">
        <w:rPr>
          <w:i/>
          <w:iCs/>
          <w:sz w:val="20"/>
          <w:lang w:val="es-ES_tradnl"/>
        </w:rPr>
        <w:t>Publicación electrónica</w:t>
      </w:r>
    </w:p>
    <w:p w:rsidR="000662E4" w:rsidRPr="00763D08" w:rsidRDefault="000662E4" w:rsidP="000662E4">
      <w:pPr>
        <w:spacing w:before="0" w:after="40"/>
        <w:jc w:val="right"/>
        <w:rPr>
          <w:sz w:val="20"/>
          <w:lang w:val="es-ES_tradnl"/>
        </w:rPr>
      </w:pPr>
      <w:r w:rsidRPr="00763D08">
        <w:rPr>
          <w:sz w:val="20"/>
          <w:lang w:val="es-ES_tradnl"/>
        </w:rPr>
        <w:t>Ginebra, 20</w:t>
      </w:r>
      <w:r>
        <w:rPr>
          <w:sz w:val="20"/>
          <w:lang w:val="es-ES_tradnl"/>
        </w:rPr>
        <w:t>11</w:t>
      </w:r>
    </w:p>
    <w:p w:rsidR="000662E4" w:rsidRPr="00763D08" w:rsidRDefault="000662E4" w:rsidP="000662E4">
      <w:pPr>
        <w:spacing w:before="0"/>
        <w:jc w:val="center"/>
        <w:rPr>
          <w:sz w:val="22"/>
          <w:lang w:val="es-ES_tradnl"/>
        </w:rPr>
      </w:pPr>
    </w:p>
    <w:p w:rsidR="000662E4" w:rsidRPr="00763D08" w:rsidRDefault="000662E4" w:rsidP="000662E4">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11</w:t>
      </w:r>
    </w:p>
    <w:p w:rsidR="000662E4" w:rsidRPr="006C718C" w:rsidRDefault="000662E4" w:rsidP="000662E4">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0662E4" w:rsidRPr="006C718C" w:rsidRDefault="000662E4" w:rsidP="000662E4">
      <w:pPr>
        <w:spacing w:before="160"/>
        <w:rPr>
          <w:i/>
          <w:sz w:val="20"/>
          <w:highlight w:val="yellow"/>
          <w:lang w:val="es-ES_tradnl"/>
        </w:rPr>
        <w:sectPr w:rsidR="000662E4" w:rsidRPr="006C718C" w:rsidSect="000662E4">
          <w:headerReference w:type="even" r:id="rId13"/>
          <w:headerReference w:type="default" r:id="rId14"/>
          <w:pgSz w:w="11907" w:h="16834" w:code="9"/>
          <w:pgMar w:top="1418" w:right="1134" w:bottom="1134" w:left="1134" w:header="720" w:footer="482" w:gutter="0"/>
          <w:pgNumType w:fmt="lowerRoman" w:start="2"/>
          <w:cols w:space="720"/>
        </w:sectPr>
      </w:pPr>
    </w:p>
    <w:p w:rsidR="00C770FE" w:rsidRDefault="00C770FE" w:rsidP="0037045B">
      <w:pPr>
        <w:pStyle w:val="RecNo"/>
        <w:spacing w:before="0"/>
        <w:rPr>
          <w:lang w:val="es-ES_tradnl"/>
        </w:rPr>
      </w:pPr>
      <w:bookmarkStart w:id="3" w:name="irecnoe"/>
      <w:bookmarkEnd w:id="3"/>
      <w:r w:rsidRPr="00570718">
        <w:rPr>
          <w:lang w:val="es-ES_tradnl"/>
        </w:rPr>
        <w:lastRenderedPageBreak/>
        <w:t>RECOMENDACIÓN</w:t>
      </w:r>
      <w:r>
        <w:rPr>
          <w:lang w:val="es-ES_tradnl"/>
        </w:rPr>
        <w:t xml:space="preserve"> </w:t>
      </w:r>
      <w:r w:rsidRPr="00570718">
        <w:rPr>
          <w:lang w:val="es-ES_tradnl"/>
        </w:rPr>
        <w:t xml:space="preserve"> </w:t>
      </w:r>
      <w:r w:rsidRPr="00570718">
        <w:rPr>
          <w:rStyle w:val="href"/>
          <w:lang w:val="es-ES_tradnl"/>
        </w:rPr>
        <w:t xml:space="preserve">UIT-R </w:t>
      </w:r>
      <w:r w:rsidRPr="007B749C">
        <w:rPr>
          <w:rStyle w:val="href"/>
          <w:lang w:val="es-ES_tradnl"/>
        </w:rPr>
        <w:t xml:space="preserve"> </w:t>
      </w:r>
      <w:r w:rsidR="0037045B">
        <w:rPr>
          <w:rStyle w:val="href"/>
          <w:lang w:val="es-ES_tradnl"/>
        </w:rPr>
        <w:t>SF</w:t>
      </w:r>
      <w:r w:rsidRPr="00570718">
        <w:rPr>
          <w:rStyle w:val="href"/>
          <w:lang w:val="es-ES_tradnl"/>
        </w:rPr>
        <w:t>.1</w:t>
      </w:r>
      <w:r>
        <w:rPr>
          <w:rStyle w:val="href"/>
          <w:lang w:val="es-ES_tradnl"/>
        </w:rPr>
        <w:t>572</w:t>
      </w:r>
      <w:r>
        <w:rPr>
          <w:rStyle w:val="FootnoteReference"/>
          <w:lang w:val="es-ES_tradnl"/>
        </w:rPr>
        <w:footnoteReference w:customMarkFollows="1" w:id="1"/>
        <w:t>*</w:t>
      </w:r>
      <w:r w:rsidRPr="00946344">
        <w:rPr>
          <w:vertAlign w:val="superscript"/>
          <w:lang w:val="es-ES_tradnl"/>
        </w:rPr>
        <w:t>,</w:t>
      </w:r>
      <w:r w:rsidRPr="00946344">
        <w:rPr>
          <w:rStyle w:val="FootnoteReference"/>
          <w:lang w:val="es-ES_tradnl"/>
        </w:rPr>
        <w:footnoteReference w:customMarkFollows="1" w:id="2"/>
        <w:t>**</w:t>
      </w:r>
    </w:p>
    <w:p w:rsidR="00C770FE" w:rsidRDefault="00C770FE" w:rsidP="00C770FE">
      <w:pPr>
        <w:pStyle w:val="Rectitle"/>
        <w:rPr>
          <w:lang w:val="es-ES_tradnl"/>
        </w:rPr>
      </w:pPr>
      <w:bookmarkStart w:id="4" w:name="Pre_title"/>
      <w:r>
        <w:rPr>
          <w:lang w:val="es-ES_tradnl"/>
        </w:rPr>
        <w:t>Metodología para evaluar la repercusión de la interferencia en el trayecto espacio</w:t>
      </w:r>
      <w:r>
        <w:rPr>
          <w:lang w:val="es-ES_tradnl"/>
        </w:rPr>
        <w:noBreakHyphen/>
        <w:t xml:space="preserve">Tierra causada por el servicio fijo por satélite al servicio </w:t>
      </w:r>
      <w:r>
        <w:rPr>
          <w:lang w:val="es-ES_tradnl"/>
        </w:rPr>
        <w:br/>
        <w:t xml:space="preserve">fijo en las bandas de frecuencia en las que la precipitación es </w:t>
      </w:r>
      <w:r>
        <w:rPr>
          <w:lang w:val="es-ES_tradnl"/>
        </w:rPr>
        <w:br/>
        <w:t>el mecanismo predominante de los desvanecimientos</w:t>
      </w:r>
      <w:bookmarkEnd w:id="4"/>
    </w:p>
    <w:p w:rsidR="00C770FE" w:rsidRDefault="00C770FE" w:rsidP="00C770FE">
      <w:pPr>
        <w:pStyle w:val="Recref"/>
        <w:rPr>
          <w:lang w:val="es-ES_tradnl"/>
        </w:rPr>
      </w:pPr>
      <w:bookmarkStart w:id="5" w:name="Related_Questions"/>
      <w:r>
        <w:rPr>
          <w:lang w:val="es-ES_tradnl"/>
        </w:rPr>
        <w:t>(Cuestiones UIT-R 250/4 y UIT-R 217/9)</w:t>
      </w:r>
      <w:bookmarkEnd w:id="5"/>
    </w:p>
    <w:p w:rsidR="00C770FE" w:rsidRDefault="00C770FE" w:rsidP="00C770FE">
      <w:pPr>
        <w:pStyle w:val="Recdate"/>
        <w:rPr>
          <w:lang w:val="es-ES_tradnl"/>
        </w:rPr>
      </w:pPr>
      <w:bookmarkStart w:id="6" w:name="Revision_history"/>
      <w:r>
        <w:rPr>
          <w:lang w:val="es-ES_tradnl"/>
        </w:rPr>
        <w:t>(2002)</w:t>
      </w:r>
      <w:bookmarkEnd w:id="6"/>
    </w:p>
    <w:p w:rsidR="00C770FE" w:rsidRPr="00747020" w:rsidRDefault="006A75D8" w:rsidP="00C770FE">
      <w:pPr>
        <w:pStyle w:val="HeadingSum"/>
      </w:pPr>
      <w:r>
        <w:t>Cometido</w:t>
      </w:r>
    </w:p>
    <w:p w:rsidR="00C770FE" w:rsidRPr="00747020" w:rsidRDefault="00C770FE" w:rsidP="00C770FE">
      <w:pPr>
        <w:pStyle w:val="Summary"/>
      </w:pPr>
      <w:r w:rsidRPr="00747020">
        <w:t xml:space="preserve">Esta Recomendación contiene un método para evaluar </w:t>
      </w:r>
      <w:r>
        <w:t>la</w:t>
      </w:r>
      <w:r w:rsidRPr="00747020">
        <w:t xml:space="preserve"> repercusi</w:t>
      </w:r>
      <w:r>
        <w:t>ón</w:t>
      </w:r>
      <w:r w:rsidRPr="00747020">
        <w:t xml:space="preserve"> </w:t>
      </w:r>
      <w:r>
        <w:t>de la interferencia causada por satélites del servicio fijo por satélite OSG en la disponibilidad de sistemas del servicio fijo en las bandas de frecuencias en las cuales el desvanecimiento debido a las precipitaciones limita la disponibilidad de sistemas del servicio fijo. El método se basa en un criterio en el que la relación</w:t>
      </w:r>
      <w:r w:rsidRPr="00C26957">
        <w:t xml:space="preserve"> entre la portadora y</w:t>
      </w:r>
      <w:r>
        <w:t xml:space="preserve"> la potencia de </w:t>
      </w:r>
      <w:r w:rsidRPr="00C26957">
        <w:t>ruido más la</w:t>
      </w:r>
      <w:r>
        <w:t xml:space="preserve"> </w:t>
      </w:r>
      <w:r w:rsidRPr="00C26957">
        <w:t>interferencia</w:t>
      </w:r>
      <w:r>
        <w:t xml:space="preserve"> se aplica la disponibilidad de sistemas del servicio fijo, tanto punto a punto como punto a multipunto, con parámetros especificados sobre una base estadística. La flexibilidad de la especificación de los parámetros introducidos constantes y/o estadísticamente variables permite la consideración de muchos ejemplos diferentes de sistemas del servicio fijo</w:t>
      </w:r>
      <w:r w:rsidRPr="00747020">
        <w:t>.</w:t>
      </w:r>
    </w:p>
    <w:p w:rsidR="00C770FE" w:rsidRPr="00E65870" w:rsidRDefault="00C770FE" w:rsidP="00C770FE">
      <w:pPr>
        <w:rPr>
          <w:lang w:val="es-ES_tradnl"/>
        </w:rPr>
      </w:pPr>
      <w:r w:rsidRPr="00E65870">
        <w:rPr>
          <w:lang w:val="es-ES_tradnl"/>
        </w:rPr>
        <w:t>La Asamblea de Radiocomunicaciones de la UIT,</w:t>
      </w:r>
    </w:p>
    <w:p w:rsidR="00C770FE" w:rsidRPr="00741A79" w:rsidRDefault="00C770FE" w:rsidP="00C770FE">
      <w:pPr>
        <w:pStyle w:val="Call"/>
        <w:rPr>
          <w:lang w:val="es-ES_tradnl"/>
        </w:rPr>
      </w:pPr>
      <w:r w:rsidRPr="00741A79">
        <w:rPr>
          <w:lang w:val="es-ES_tradnl"/>
        </w:rPr>
        <w:t>considerando</w:t>
      </w:r>
    </w:p>
    <w:p w:rsidR="00C770FE" w:rsidRPr="00594475" w:rsidRDefault="00C770FE" w:rsidP="00C770FE">
      <w:pPr>
        <w:rPr>
          <w:lang w:val="es-ES_tradnl"/>
        </w:rPr>
      </w:pPr>
      <w:r w:rsidRPr="00594475">
        <w:rPr>
          <w:lang w:val="es-ES_tradnl"/>
        </w:rPr>
        <w:t>a)</w:t>
      </w:r>
      <w:r w:rsidRPr="00594475">
        <w:rPr>
          <w:lang w:val="es-ES_tradnl"/>
        </w:rPr>
        <w:tab/>
        <w:t>que las emisiones procedentes de estaciones espaciales del servicio fijo por satélite (SFS) que funcionan en la órbita de los satélites geoestacionarios (OSG) y que comparten el mismo espectro que el servicio fijo pueden producir interferencia en las estaciones receptoras del servicio fijo;</w:t>
      </w:r>
    </w:p>
    <w:p w:rsidR="00C770FE" w:rsidRPr="00594475" w:rsidRDefault="00C770FE" w:rsidP="00C770FE">
      <w:pPr>
        <w:rPr>
          <w:lang w:val="es-ES_tradnl"/>
        </w:rPr>
      </w:pPr>
      <w:r w:rsidRPr="00594475">
        <w:rPr>
          <w:lang w:val="es-ES_tradnl"/>
        </w:rPr>
        <w:t>b)</w:t>
      </w:r>
      <w:r w:rsidRPr="00594475">
        <w:rPr>
          <w:lang w:val="es-ES_tradnl"/>
        </w:rPr>
        <w:tab/>
        <w:t>que los resultados obtenidos utilizando un enfoque estadístico comparado con un análisis de caso más desfavorable pueden conducir a una utilización más eficaz del espectro que los resultados obtenidos con criterios desarrollados utilizando solamente el análisis de caso más desfavorable;</w:t>
      </w:r>
    </w:p>
    <w:p w:rsidR="00C770FE" w:rsidRPr="00594475" w:rsidRDefault="00C770FE" w:rsidP="00C770FE">
      <w:pPr>
        <w:rPr>
          <w:lang w:val="es-ES_tradnl"/>
        </w:rPr>
      </w:pPr>
      <w:r w:rsidRPr="00594475">
        <w:rPr>
          <w:lang w:val="es-ES_tradnl"/>
        </w:rPr>
        <w:t>c)</w:t>
      </w:r>
      <w:r w:rsidRPr="00594475">
        <w:rPr>
          <w:lang w:val="es-ES_tradnl"/>
        </w:rPr>
        <w:tab/>
        <w:t>que las metodologías de compartición deben tener en cuenta los requisitos de calidad y las características de despliegue de los sistemas del servicio fijo utilizados y planificados en estas bandas de frecuencia;</w:t>
      </w:r>
    </w:p>
    <w:p w:rsidR="00C770FE" w:rsidRPr="00594475" w:rsidRDefault="00C770FE" w:rsidP="00594475">
      <w:pPr>
        <w:rPr>
          <w:lang w:val="es-ES_tradnl"/>
        </w:rPr>
      </w:pPr>
      <w:r w:rsidRPr="00594475">
        <w:rPr>
          <w:lang w:val="es-ES_tradnl"/>
        </w:rPr>
        <w:t>d)</w:t>
      </w:r>
      <w:r w:rsidRPr="00594475">
        <w:rPr>
          <w:lang w:val="es-ES_tradnl"/>
        </w:rPr>
        <w:tab/>
        <w:t xml:space="preserve">que cuando se trata del espectro en el que la precipitación es el mecanismo predominante de los desvanecimientos, conviene contar con un útil de evaluación de la interferencia utilizando las estadísticas de las relaciones </w:t>
      </w:r>
      <w:r w:rsidRPr="00594475">
        <w:rPr>
          <w:i/>
          <w:iCs/>
          <w:lang w:val="es-ES_tradnl"/>
        </w:rPr>
        <w:t>C</w:t>
      </w:r>
      <w:r w:rsidRPr="00594475">
        <w:rPr>
          <w:lang w:val="es-ES_tradnl"/>
        </w:rPr>
        <w:t>/</w:t>
      </w:r>
      <w:r w:rsidRPr="00594475">
        <w:rPr>
          <w:i/>
          <w:iCs/>
          <w:lang w:val="es-ES_tradnl"/>
        </w:rPr>
        <w:t>N</w:t>
      </w:r>
      <w:r w:rsidRPr="00594475">
        <w:rPr>
          <w:lang w:val="es-ES_tradnl"/>
        </w:rPr>
        <w:t xml:space="preserve">, </w:t>
      </w:r>
      <w:r w:rsidRPr="00594475">
        <w:rPr>
          <w:i/>
          <w:iCs/>
          <w:lang w:val="es-ES_tradnl"/>
        </w:rPr>
        <w:t>C</w:t>
      </w:r>
      <w:r w:rsidRPr="00594475">
        <w:rPr>
          <w:lang w:val="es-ES_tradnl"/>
        </w:rPr>
        <w:t>/</w:t>
      </w:r>
      <w:r w:rsidRPr="00594475">
        <w:rPr>
          <w:i/>
          <w:iCs/>
          <w:lang w:val="es-ES_tradnl"/>
        </w:rPr>
        <w:t>I</w:t>
      </w:r>
      <w:r w:rsidRPr="00594475">
        <w:rPr>
          <w:lang w:val="es-ES_tradnl"/>
        </w:rPr>
        <w:t xml:space="preserve"> y </w:t>
      </w:r>
      <w:r w:rsidRPr="00594475">
        <w:rPr>
          <w:i/>
          <w:iCs/>
          <w:lang w:val="es-ES_tradnl"/>
        </w:rPr>
        <w:t>C</w:t>
      </w:r>
      <w:r w:rsidRPr="00594475">
        <w:rPr>
          <w:lang w:val="es-ES_tradnl"/>
        </w:rPr>
        <w:t>/(</w:t>
      </w:r>
      <w:r w:rsidRPr="00594475">
        <w:rPr>
          <w:i/>
          <w:iCs/>
          <w:lang w:val="es-ES_tradnl"/>
        </w:rPr>
        <w:t>N</w:t>
      </w:r>
      <w:r w:rsidRPr="00594475">
        <w:rPr>
          <w:lang w:val="es-ES_tradnl"/>
        </w:rPr>
        <w:t> </w:t>
      </w:r>
      <w:r w:rsidR="00594475" w:rsidRPr="00594475">
        <w:rPr>
          <w:lang w:val="es-ES_tradnl"/>
        </w:rPr>
        <w:t>+</w:t>
      </w:r>
      <w:r w:rsidRPr="00594475">
        <w:rPr>
          <w:lang w:val="es-ES_tradnl"/>
        </w:rPr>
        <w:t> </w:t>
      </w:r>
      <w:r w:rsidRPr="00594475">
        <w:rPr>
          <w:i/>
          <w:iCs/>
          <w:lang w:val="es-ES_tradnl"/>
        </w:rPr>
        <w:t>I</w:t>
      </w:r>
      <w:r w:rsidRPr="00594475">
        <w:rPr>
          <w:sz w:val="12"/>
          <w:lang w:val="es-ES_tradnl"/>
        </w:rPr>
        <w:t> </w:t>
      </w:r>
      <w:r w:rsidRPr="00594475">
        <w:rPr>
          <w:lang w:val="es-ES_tradnl"/>
        </w:rPr>
        <w:t>) para determinar la repercusión en la disponibilidad;</w:t>
      </w:r>
    </w:p>
    <w:p w:rsidR="00C770FE" w:rsidRPr="00594475" w:rsidRDefault="00C770FE" w:rsidP="00C770FE">
      <w:pPr>
        <w:rPr>
          <w:lang w:val="es-ES_tradnl"/>
        </w:rPr>
      </w:pPr>
      <w:r w:rsidRPr="00594475">
        <w:rPr>
          <w:lang w:val="es-ES_tradnl"/>
        </w:rPr>
        <w:t>e)</w:t>
      </w:r>
      <w:r w:rsidRPr="00594475">
        <w:rPr>
          <w:lang w:val="es-ES_tradnl"/>
        </w:rPr>
        <w:tab/>
        <w:t>que dicho útil de evaluación de la interferencia puede tener aplicación en las bandas por encima de unos 17 GHz, ayudando a las administraciones a realizar los estudios de compartición,</w:t>
      </w:r>
    </w:p>
    <w:p w:rsidR="00C770FE" w:rsidRDefault="00C770FE" w:rsidP="00C770FE">
      <w:pPr>
        <w:pStyle w:val="Call"/>
        <w:rPr>
          <w:lang w:val="es-ES_tradnl"/>
        </w:rPr>
      </w:pPr>
      <w:r>
        <w:rPr>
          <w:lang w:val="es-ES_tradnl"/>
        </w:rPr>
        <w:lastRenderedPageBreak/>
        <w:t>recomienda</w:t>
      </w:r>
    </w:p>
    <w:p w:rsidR="00C770FE" w:rsidRDefault="00C770FE" w:rsidP="00C770FE">
      <w:pPr>
        <w:rPr>
          <w:lang w:val="es-ES_tradnl"/>
        </w:rPr>
      </w:pPr>
      <w:r>
        <w:rPr>
          <w:b/>
          <w:bCs/>
          <w:lang w:val="es-ES_tradnl"/>
        </w:rPr>
        <w:t>1</w:t>
      </w:r>
      <w:r>
        <w:rPr>
          <w:lang w:val="es-ES_tradnl"/>
        </w:rPr>
        <w:tab/>
        <w:t>que se utilice la metodología descrita en el Anexo 1 para desarrollar útiles de simulación informática que permitan evaluar la repercusión de la interferencia procedente de los sistemas del SFS en los sistemas digitales del servicio fijo cuando funcionan, en las bandas de frecuencia por encima de 17 GHz.</w:t>
      </w:r>
    </w:p>
    <w:p w:rsidR="00C770FE" w:rsidRDefault="00C770FE" w:rsidP="00C770FE">
      <w:pPr>
        <w:rPr>
          <w:lang w:val="es-ES_tradnl"/>
        </w:rPr>
      </w:pPr>
    </w:p>
    <w:p w:rsidR="00C770FE" w:rsidRDefault="00C770FE" w:rsidP="00C770FE">
      <w:pPr>
        <w:pStyle w:val="AnnexNoTitle"/>
        <w:rPr>
          <w:lang w:val="es-ES_tradnl"/>
        </w:rPr>
      </w:pPr>
      <w:r>
        <w:rPr>
          <w:lang w:val="es-ES_tradnl"/>
        </w:rPr>
        <w:t>Anexo 1</w:t>
      </w:r>
    </w:p>
    <w:p w:rsidR="00C770FE" w:rsidRDefault="00C770FE" w:rsidP="00C770FE">
      <w:pPr>
        <w:pStyle w:val="Heading1"/>
        <w:rPr>
          <w:lang w:val="es-ES_tradnl"/>
        </w:rPr>
      </w:pPr>
      <w:r>
        <w:rPr>
          <w:lang w:val="es-ES_tradnl"/>
        </w:rPr>
        <w:t>1</w:t>
      </w:r>
      <w:r>
        <w:rPr>
          <w:lang w:val="es-ES_tradnl"/>
        </w:rPr>
        <w:tab/>
        <w:t>Introducción</w:t>
      </w:r>
    </w:p>
    <w:p w:rsidR="00C770FE" w:rsidRDefault="00C770FE" w:rsidP="006B7AFE">
      <w:pPr>
        <w:rPr>
          <w:lang w:val="es-ES_tradnl"/>
        </w:rPr>
      </w:pPr>
      <w:r w:rsidRPr="00741A79">
        <w:rPr>
          <w:lang w:val="es-ES_tradnl"/>
        </w:rPr>
        <w:t>La metodología descrita en este Anexo ofrece un modelo para el análisis de todos los parámetros de un sistema del servicio fijo y de los parámetros geoclimáticos locales de los sistemas punto a punto (P</w:t>
      </w:r>
      <w:r w:rsidRPr="00741A79">
        <w:rPr>
          <w:lang w:val="es-ES_tradnl"/>
        </w:rPr>
        <w:noBreakHyphen/>
        <w:t>P) y punto a multipunto (P</w:t>
      </w:r>
      <w:r w:rsidRPr="00741A79">
        <w:rPr>
          <w:lang w:val="es-ES_tradnl"/>
        </w:rPr>
        <w:noBreakHyphen/>
        <w:t>MP) que pueden influir en la susceptibilidad de los receptores del servicio</w:t>
      </w:r>
      <w:r>
        <w:rPr>
          <w:lang w:val="es-ES_tradnl"/>
        </w:rPr>
        <w:t xml:space="preserve"> fijo a la interferencia procedente de los enlaces descendentes del SFS.</w:t>
      </w:r>
    </w:p>
    <w:p w:rsidR="00C770FE" w:rsidRDefault="00C770FE" w:rsidP="00C770FE">
      <w:pPr>
        <w:pStyle w:val="Heading2"/>
        <w:rPr>
          <w:lang w:val="es-ES_tradnl"/>
        </w:rPr>
      </w:pPr>
      <w:r>
        <w:rPr>
          <w:lang w:val="es-ES_tradnl"/>
        </w:rPr>
        <w:t>1.1</w:t>
      </w:r>
      <w:r>
        <w:rPr>
          <w:lang w:val="es-ES_tradnl"/>
        </w:rPr>
        <w:tab/>
        <w:t>Definiciones</w:t>
      </w:r>
    </w:p>
    <w:p w:rsidR="00C770FE" w:rsidRDefault="00C770FE" w:rsidP="00C770FE">
      <w:pPr>
        <w:rPr>
          <w:lang w:val="es-ES_tradnl"/>
        </w:rPr>
      </w:pPr>
      <w:r>
        <w:rPr>
          <w:lang w:val="es-ES_tradnl"/>
        </w:rPr>
        <w:t xml:space="preserve">En las bandas de frecuencia en las que la precipitación es el mecanismo predominante de los desvanecimientos, los objetivos de diseño del servicio fijo vienen determinados por las características de disponibilidad, más que por las características de error. A los efectos de esta Recomendación, se considera que el término «disponibilidad de diseño» se basa en el umbral del número de segundos con muchos errores (SME), teniendo en cuenta que en estas bandas de frecuencia, el porcentaje de sucesos con SME consecutivos inferiores a 10 s es despreciable. A partir de ahí, la disponibilidad de diseño para todos los enlaces del servicio fijo se estima por el porcentaje de tiempo en un año promedio en el que la relación </w:t>
      </w:r>
      <w:r>
        <w:rPr>
          <w:i/>
          <w:iCs/>
          <w:lang w:val="es-ES_tradnl"/>
        </w:rPr>
        <w:t>C</w:t>
      </w:r>
      <w:r>
        <w:rPr>
          <w:lang w:val="es-ES_tradnl"/>
        </w:rPr>
        <w:t>/</w:t>
      </w:r>
      <w:r>
        <w:rPr>
          <w:i/>
          <w:iCs/>
          <w:lang w:val="es-ES_tradnl"/>
        </w:rPr>
        <w:t>N</w:t>
      </w:r>
      <w:r>
        <w:rPr>
          <w:lang w:val="es-ES_tradnl"/>
        </w:rPr>
        <w:t xml:space="preserve"> de una señal de receptor cae por debajo del umbral (</w:t>
      </w:r>
      <w:r>
        <w:rPr>
          <w:i/>
          <w:iCs/>
          <w:lang w:val="es-ES_tradnl"/>
        </w:rPr>
        <w:t>C</w:t>
      </w:r>
      <w:r>
        <w:rPr>
          <w:lang w:val="es-ES_tradnl"/>
        </w:rPr>
        <w:t>/</w:t>
      </w:r>
      <w:r>
        <w:rPr>
          <w:i/>
          <w:iCs/>
          <w:lang w:val="es-ES_tradnl"/>
        </w:rPr>
        <w:t>N</w:t>
      </w:r>
      <w:r>
        <w:rPr>
          <w:i/>
          <w:iCs/>
          <w:position w:val="-4"/>
          <w:sz w:val="20"/>
          <w:lang w:val="es-ES_tradnl"/>
        </w:rPr>
        <w:t>ésima</w:t>
      </w:r>
      <w:r>
        <w:rPr>
          <w:lang w:val="es-ES_tradnl"/>
        </w:rPr>
        <w:t>), que se corresponde con los sucesos de SME. En el presente Anexo, la indisponibilidad (100% – disponibilidad) se indica por el símbolo </w:t>
      </w:r>
      <w:r>
        <w:rPr>
          <w:i/>
          <w:iCs/>
          <w:lang w:val="es-ES_tradnl"/>
        </w:rPr>
        <w:t>p</w:t>
      </w:r>
      <w:r>
        <w:rPr>
          <w:i/>
          <w:iCs/>
          <w:position w:val="-4"/>
          <w:sz w:val="20"/>
          <w:lang w:val="es-ES_tradnl"/>
        </w:rPr>
        <w:t>D</w:t>
      </w:r>
      <w:r>
        <w:rPr>
          <w:lang w:val="es-ES_tradnl"/>
        </w:rPr>
        <w:t>(%).</w:t>
      </w:r>
    </w:p>
    <w:p w:rsidR="00C770FE" w:rsidRDefault="00C770FE" w:rsidP="002F1F6B">
      <w:pPr>
        <w:rPr>
          <w:lang w:val="es-ES_tradnl"/>
        </w:rPr>
      </w:pPr>
      <w:r>
        <w:rPr>
          <w:i/>
          <w:iCs/>
          <w:lang w:val="es-ES_tradnl"/>
        </w:rPr>
        <w:t>Disponibilidad de diseño para los sistemas P-MP</w:t>
      </w:r>
      <w:r>
        <w:rPr>
          <w:lang w:val="es-ES_tradnl"/>
        </w:rPr>
        <w:t> – La disponibilidad de diseño es el porcentaje de tiempo de un año promedio en el que la relación entre la portadora y el total del ruido más la interferencia (</w:t>
      </w:r>
      <w:r>
        <w:rPr>
          <w:i/>
          <w:iCs/>
          <w:lang w:val="es-ES_tradnl"/>
        </w:rPr>
        <w:t>C</w:t>
      </w:r>
      <w:r>
        <w:rPr>
          <w:lang w:val="es-ES_tradnl"/>
        </w:rPr>
        <w:t>/(</w:t>
      </w:r>
      <w:r>
        <w:rPr>
          <w:i/>
          <w:iCs/>
          <w:lang w:val="es-ES_tradnl"/>
        </w:rPr>
        <w:t>N</w:t>
      </w:r>
      <w:r>
        <w:rPr>
          <w:lang w:val="es-ES_tradnl"/>
        </w:rPr>
        <w:t> </w:t>
      </w:r>
      <w:r w:rsidR="002F1F6B" w:rsidRPr="002F1F6B">
        <w:rPr>
          <w:lang w:val="es-ES_tradnl"/>
        </w:rPr>
        <w:t>+</w:t>
      </w:r>
      <w:r>
        <w:rPr>
          <w:lang w:val="es-ES_tradnl"/>
        </w:rPr>
        <w:t> </w:t>
      </w:r>
      <w:r>
        <w:rPr>
          <w:i/>
          <w:iCs/>
          <w:lang w:val="es-ES_tradnl"/>
        </w:rPr>
        <w:t>I</w:t>
      </w:r>
      <w:r>
        <w:rPr>
          <w:rFonts w:ascii="Tms Rmn" w:hAnsi="Tms Rmn"/>
          <w:sz w:val="12"/>
          <w:lang w:val="es-ES_tradnl"/>
        </w:rPr>
        <w:t> </w:t>
      </w:r>
      <w:r>
        <w:rPr>
          <w:lang w:val="es-ES_tradnl"/>
        </w:rPr>
        <w:t>)) aplicada a un abonado de referencia situado en el radio máximo de una célula P</w:t>
      </w:r>
      <w:r>
        <w:rPr>
          <w:lang w:val="es-ES_tradnl"/>
        </w:rPr>
        <w:noBreakHyphen/>
        <w:t xml:space="preserve">MP se recibirá con el umbral </w:t>
      </w:r>
      <w:r>
        <w:rPr>
          <w:i/>
          <w:iCs/>
          <w:lang w:val="es-ES_tradnl"/>
        </w:rPr>
        <w:t>C</w:t>
      </w:r>
      <w:r>
        <w:rPr>
          <w:lang w:val="es-ES_tradnl"/>
        </w:rPr>
        <w:t>/</w:t>
      </w:r>
      <w:r>
        <w:rPr>
          <w:i/>
          <w:iCs/>
          <w:lang w:val="es-ES_tradnl"/>
        </w:rPr>
        <w:t>N</w:t>
      </w:r>
      <w:r>
        <w:rPr>
          <w:i/>
          <w:iCs/>
          <w:position w:val="-4"/>
          <w:sz w:val="20"/>
          <w:lang w:val="es-ES_tradnl"/>
        </w:rPr>
        <w:t>ésima</w:t>
      </w:r>
      <w:r>
        <w:rPr>
          <w:lang w:val="es-ES_tradnl"/>
        </w:rPr>
        <w:t>, o superior.</w:t>
      </w:r>
    </w:p>
    <w:p w:rsidR="00C770FE" w:rsidRDefault="00C770FE" w:rsidP="007306DF">
      <w:pPr>
        <w:rPr>
          <w:lang w:val="es-ES_tradnl"/>
        </w:rPr>
      </w:pPr>
      <w:r>
        <w:rPr>
          <w:i/>
          <w:iCs/>
          <w:lang w:val="es-ES_tradnl"/>
        </w:rPr>
        <w:t>Disponibilidad de diseño para sistemas P-P</w:t>
      </w:r>
      <w:r>
        <w:rPr>
          <w:lang w:val="es-ES_tradnl"/>
        </w:rPr>
        <w:t xml:space="preserve"> – La disponibilidad de diseño es el porcentaje de tiempo de un año medio en que la relación entre la portadora y el total de ruido más la interferencia </w:t>
      </w:r>
      <w:r w:rsidR="007306DF">
        <w:rPr>
          <w:lang w:val="es-ES_tradnl"/>
        </w:rPr>
        <w:t>(</w:t>
      </w:r>
      <w:r w:rsidR="007306DF">
        <w:rPr>
          <w:i/>
          <w:iCs/>
          <w:lang w:val="es-ES_tradnl"/>
        </w:rPr>
        <w:t>C</w:t>
      </w:r>
      <w:r w:rsidR="007306DF">
        <w:rPr>
          <w:lang w:val="es-ES_tradnl"/>
        </w:rPr>
        <w:t>/(</w:t>
      </w:r>
      <w:r w:rsidR="007306DF">
        <w:rPr>
          <w:i/>
          <w:iCs/>
          <w:lang w:val="es-ES_tradnl"/>
        </w:rPr>
        <w:t>N</w:t>
      </w:r>
      <w:r w:rsidR="007306DF">
        <w:rPr>
          <w:lang w:val="es-ES_tradnl"/>
        </w:rPr>
        <w:t> </w:t>
      </w:r>
      <w:r w:rsidR="007306DF" w:rsidRPr="002F1F6B">
        <w:rPr>
          <w:lang w:val="es-ES_tradnl"/>
        </w:rPr>
        <w:t>+</w:t>
      </w:r>
      <w:r w:rsidR="007306DF">
        <w:rPr>
          <w:lang w:val="es-ES_tradnl"/>
        </w:rPr>
        <w:t> </w:t>
      </w:r>
      <w:r w:rsidR="007306DF">
        <w:rPr>
          <w:i/>
          <w:iCs/>
          <w:lang w:val="es-ES_tradnl"/>
        </w:rPr>
        <w:t>I</w:t>
      </w:r>
      <w:r w:rsidR="007306DF">
        <w:rPr>
          <w:rFonts w:ascii="Tms Rmn" w:hAnsi="Tms Rmn"/>
          <w:sz w:val="12"/>
          <w:lang w:val="es-ES_tradnl"/>
        </w:rPr>
        <w:t> </w:t>
      </w:r>
      <w:r w:rsidR="007306DF">
        <w:rPr>
          <w:lang w:val="es-ES_tradnl"/>
        </w:rPr>
        <w:t>))</w:t>
      </w:r>
      <w:r>
        <w:rPr>
          <w:lang w:val="es-ES_tradnl"/>
        </w:rPr>
        <w:t xml:space="preserve"> aplicado al receptor se recibirá con el umbral </w:t>
      </w:r>
      <w:r>
        <w:rPr>
          <w:i/>
          <w:iCs/>
          <w:lang w:val="es-ES_tradnl"/>
        </w:rPr>
        <w:t>C</w:t>
      </w:r>
      <w:r>
        <w:rPr>
          <w:lang w:val="es-ES_tradnl"/>
        </w:rPr>
        <w:t>/</w:t>
      </w:r>
      <w:r>
        <w:rPr>
          <w:i/>
          <w:iCs/>
          <w:lang w:val="es-ES_tradnl"/>
        </w:rPr>
        <w:t>N</w:t>
      </w:r>
      <w:r>
        <w:rPr>
          <w:i/>
          <w:iCs/>
          <w:position w:val="-4"/>
          <w:sz w:val="20"/>
          <w:lang w:val="es-ES_tradnl"/>
        </w:rPr>
        <w:t>ésima</w:t>
      </w:r>
      <w:r>
        <w:rPr>
          <w:lang w:val="es-ES_tradnl"/>
        </w:rPr>
        <w:t xml:space="preserve"> o superior.</w:t>
      </w:r>
    </w:p>
    <w:p w:rsidR="00C770FE" w:rsidRDefault="00C770FE" w:rsidP="00C770FE">
      <w:pPr>
        <w:rPr>
          <w:lang w:val="es-ES_tradnl"/>
        </w:rPr>
      </w:pPr>
      <w:r>
        <w:rPr>
          <w:i/>
          <w:iCs/>
          <w:lang w:val="es-ES_tradnl"/>
        </w:rPr>
        <w:t>Abonado de referencia para un sistema P-MP</w:t>
      </w:r>
      <w:r>
        <w:rPr>
          <w:lang w:val="es-ES_tradnl"/>
        </w:rPr>
        <w:t> – Receptor situado a la distancia máxima de la antena central transmisora que se utiliza en el cálculo de la potencia de transmisión necesaria para lograr la disponibilidad de diseño. En los sistemas P-MP en los que los modelos incluyen antenas de abonado con alturas que responden a una distribución estadística, la altura del receptor de referencia es la altura más probable. En dicho modelo de sistema P-MP, una antena central a la que se entregue la potencia de transmisor suficiente para lograr la disponibilidad de diseño en un enlace con el receptor de referencia, no tendrá suficiente potencia de transmisión para cumplir la disponibilidad de diseño del 100% de todos los abonados posibles. Ello es debido a la combinación de ganancia de la antena central inferior y mayores pérdidas en el espacio libre, en la dirección de los abonados, e incluso la distancia máxima respecto a la antena central o sus proximidades. Se necesitará añadir una potencia adicional a la antena central a fin de que todos los posibles abonados puedan lograr su disponibilidad de diseño en un sistema P-MP caracterizado por antenas de abonado que son altas y que responden a una distribución estadística.</w:t>
      </w:r>
    </w:p>
    <w:p w:rsidR="00C770FE" w:rsidRDefault="00C770FE" w:rsidP="00C770FE">
      <w:pPr>
        <w:rPr>
          <w:lang w:val="es-ES_tradnl"/>
        </w:rPr>
      </w:pPr>
      <w:r>
        <w:rPr>
          <w:lang w:val="es-ES_tradnl"/>
        </w:rPr>
        <w:lastRenderedPageBreak/>
        <w:t>En este Anexo se hace referencia a cuatro tipos de modulaciones utilizadas por los sistemas del servicio fijo. Estos tipos de modulación son: modulación por desplazamiento de fase cuaternaria (MDP</w:t>
      </w:r>
      <w:r>
        <w:rPr>
          <w:lang w:val="es-ES_tradnl"/>
        </w:rPr>
        <w:noBreakHyphen/>
        <w:t>4) y tres tipos distintos de modulación de amplitud en cuadratura (MAQ</w:t>
      </w:r>
      <w:r>
        <w:rPr>
          <w:lang w:val="es-ES_tradnl"/>
        </w:rPr>
        <w:noBreakHyphen/>
        <w:t>16, MA</w:t>
      </w:r>
      <w:r>
        <w:rPr>
          <w:caps/>
          <w:lang w:val="es-ES_tradnl"/>
        </w:rPr>
        <w:t>Q</w:t>
      </w:r>
      <w:r>
        <w:rPr>
          <w:caps/>
          <w:lang w:val="es-ES_tradnl"/>
        </w:rPr>
        <w:noBreakHyphen/>
        <w:t>64</w:t>
      </w:r>
      <w:r>
        <w:rPr>
          <w:lang w:val="es-ES_tradnl"/>
        </w:rPr>
        <w:t xml:space="preserve"> y MAQ</w:t>
      </w:r>
      <w:r>
        <w:rPr>
          <w:lang w:val="es-ES_tradnl"/>
        </w:rPr>
        <w:noBreakHyphen/>
        <w:t>256).</w:t>
      </w:r>
    </w:p>
    <w:p w:rsidR="00C770FE" w:rsidRDefault="00C770FE" w:rsidP="00244027">
      <w:pPr>
        <w:pStyle w:val="Heading1"/>
        <w:rPr>
          <w:lang w:val="es-ES_tradnl"/>
        </w:rPr>
      </w:pPr>
      <w:r>
        <w:rPr>
          <w:lang w:val="es-ES_tradnl"/>
        </w:rPr>
        <w:t>2</w:t>
      </w:r>
      <w:r>
        <w:rPr>
          <w:lang w:val="es-ES_tradnl"/>
        </w:rPr>
        <w:tab/>
        <w:t>Tipos de sistemas del servicio fijo analizados para evaluar la susceptibilidad a la interferencia del SFS OSG</w:t>
      </w:r>
    </w:p>
    <w:p w:rsidR="00C770FE" w:rsidRDefault="00C770FE" w:rsidP="00C770FE">
      <w:pPr>
        <w:rPr>
          <w:lang w:val="es-ES_tradnl"/>
        </w:rPr>
      </w:pPr>
      <w:r>
        <w:rPr>
          <w:lang w:val="es-ES_tradnl"/>
        </w:rPr>
        <w:t>Basándose en los sistemas descritos en la Recomendación UIT-R F.758, hay dos implementaciones diferentes de sistema del servicio fijo.</w:t>
      </w:r>
    </w:p>
    <w:p w:rsidR="00C770FE" w:rsidRDefault="00C770FE" w:rsidP="00C770FE">
      <w:pPr>
        <w:pStyle w:val="Heading2"/>
        <w:rPr>
          <w:lang w:val="es-ES_tradnl"/>
        </w:rPr>
      </w:pPr>
      <w:r>
        <w:rPr>
          <w:lang w:val="es-ES_tradnl"/>
        </w:rPr>
        <w:t>2.1</w:t>
      </w:r>
      <w:r>
        <w:rPr>
          <w:lang w:val="es-ES_tradnl"/>
        </w:rPr>
        <w:tab/>
        <w:t>Sistema P</w:t>
      </w:r>
      <w:r>
        <w:rPr>
          <w:lang w:val="es-ES_tradnl"/>
        </w:rPr>
        <w:noBreakHyphen/>
        <w:t>MP</w:t>
      </w:r>
    </w:p>
    <w:p w:rsidR="00C770FE" w:rsidRDefault="00C770FE" w:rsidP="00244027">
      <w:pPr>
        <w:rPr>
          <w:lang w:val="es-ES_tradnl"/>
        </w:rPr>
      </w:pPr>
      <w:r>
        <w:rPr>
          <w:lang w:val="es-ES_tradnl"/>
        </w:rPr>
        <w:t>El sistema P-MP se caracteriza por una antena de transmisión central o «núcleo» que radia omnidireccionalmente en el plano horizontal (acimut) y direccionalmente en el plano vertical (elevación). El diagrama de radiación de la antena central se logra combinando una serie de antenas sectoriales y puede llevar un sesgo angular de elevación negativa a fin de hacer máxima la cobertura desde un punto elevado en lo alto de un edificio o torre. Por el contrario, las antenas de usuario o de «abonado» son directivas y puede suponerse, a efectos de cálculo, que son simétricas axialmente. La distribución de los abonados a lo largo de una gama especificada de valores posibles de longitudes de salto puede responder a un modelo estadístico o estar definida por el usuario. Algunos de los modernos sistemas P-MP actuales de tercera generación funcionan con hasta tres tipos de modulación simultáneamente, tales como las MDP-4, MAQ</w:t>
      </w:r>
      <w:r>
        <w:rPr>
          <w:lang w:val="es-ES_tradnl"/>
        </w:rPr>
        <w:noBreakHyphen/>
        <w:t>16, MA</w:t>
      </w:r>
      <w:r>
        <w:rPr>
          <w:caps/>
          <w:lang w:val="es-ES_tradnl"/>
        </w:rPr>
        <w:t>Q</w:t>
      </w:r>
      <w:r>
        <w:rPr>
          <w:caps/>
          <w:lang w:val="es-ES_tradnl"/>
        </w:rPr>
        <w:noBreakHyphen/>
        <w:t>64</w:t>
      </w:r>
      <w:r>
        <w:rPr>
          <w:lang w:val="es-ES_tradnl"/>
        </w:rPr>
        <w:t xml:space="preserve"> y MAQ</w:t>
      </w:r>
      <w:r>
        <w:rPr>
          <w:lang w:val="es-ES_tradnl"/>
        </w:rPr>
        <w:noBreakHyphen/>
        <w:t>256. Estas configuraciones permiten una mayor capacidad de tráfico por sector, lo que es fundamental para hacer que las redes sean más económicas. El resultado de ello es que en cada emplazamiento de célula pueden existir hasta tres anillos concéntricos en los que se cumple el mismo objetivo mínimo de disponibilidad. Esto significa que un número mucho mayor de abonados que reciben capacidades superiores tienen ángulos medios de elevación mayores que los de las células P-MP y que responden a modelos en los que se utiliza un único esquema de modulación en toda la célula. Los abonados que funcionan en los niveles de modulación superiores de los anillos interiores están inherentemente sujetos a niveles superiores de la densidad de flujo de potencia (dfp) procedentes de satélites que funcionan en la OSG, pues tienen ángulos de elevación mayores que los abonados de los anillos exteriores. El efecto global de la interferencia del SFS en la disponibilidad de dichos sistemas P</w:t>
      </w:r>
      <w:r>
        <w:rPr>
          <w:lang w:val="es-ES_tradnl"/>
        </w:rPr>
        <w:noBreakHyphen/>
        <w:t>MP puede responder a un modelo estadístico, ponderando el número de abonados (independiente de la capacidad) en cada uno de los anillos o ponderando el número de abonados con capacidad equivalente mediante un procesamiento posterior de los datos de disponibilidad obtenidos del análisis de cada uno de los anillos individuales.</w:t>
      </w:r>
    </w:p>
    <w:p w:rsidR="00C770FE" w:rsidRDefault="00C770FE" w:rsidP="00C770FE">
      <w:pPr>
        <w:rPr>
          <w:lang w:val="es-ES_tradnl"/>
        </w:rPr>
      </w:pPr>
      <w:r>
        <w:rPr>
          <w:lang w:val="es-ES_tradnl"/>
        </w:rPr>
        <w:t>La aplicación de la metodología en una amplia gama de escenarios posibles de despliegue permite evaluar paramétricamente la sensibilidad de los sistemas P-MP ante diversos parámetros del sistema del servicio fijo, incluyendo el diámetro de la antena del receptor del servicio fijo, el factor de ruido del sistema receptor, las características de la célula P-MP y los factores geoclimáticos.</w:t>
      </w:r>
    </w:p>
    <w:p w:rsidR="00C770FE" w:rsidRDefault="00C770FE" w:rsidP="00C770FE">
      <w:pPr>
        <w:pStyle w:val="Heading2"/>
        <w:rPr>
          <w:lang w:val="es-ES_tradnl"/>
        </w:rPr>
      </w:pPr>
      <w:r>
        <w:rPr>
          <w:lang w:val="es-ES_tradnl"/>
        </w:rPr>
        <w:t>2.2</w:t>
      </w:r>
      <w:r>
        <w:rPr>
          <w:lang w:val="es-ES_tradnl"/>
        </w:rPr>
        <w:tab/>
        <w:t>Sistema P</w:t>
      </w:r>
      <w:r>
        <w:rPr>
          <w:lang w:val="es-ES_tradnl"/>
        </w:rPr>
        <w:noBreakHyphen/>
        <w:t>P</w:t>
      </w:r>
    </w:p>
    <w:p w:rsidR="00C770FE" w:rsidRDefault="00C770FE" w:rsidP="00C770FE">
      <w:pPr>
        <w:rPr>
          <w:lang w:val="es-ES_tradnl"/>
        </w:rPr>
      </w:pPr>
      <w:r>
        <w:rPr>
          <w:lang w:val="es-ES_tradnl"/>
        </w:rPr>
        <w:t>Este tipo de sistema se caracteriza por enlaces de microondas orientados aleatoriamente con una amplia gama de longitudes de salto y ángulos de elevación. Al considerar el efecto de la interferencia de los sistemas del SFS en una red P-P del servicio fijo, se examina el efecto de la interferencia del SFS en ambos extremos del enlace del servicio fijo.</w:t>
      </w:r>
    </w:p>
    <w:p w:rsidR="00C770FE" w:rsidRDefault="00C770FE" w:rsidP="00C770FE">
      <w:pPr>
        <w:rPr>
          <w:lang w:val="es-ES_tradnl"/>
        </w:rPr>
      </w:pPr>
      <w:r>
        <w:rPr>
          <w:lang w:val="es-ES_tradnl"/>
        </w:rPr>
        <w:t xml:space="preserve">Un subconjunto de los sistemas P-P es el de la realización de un sistema P-MP o de una red con configuración en «estrella» en la que el tráfico puede o no ser asimétrico (es decir, mayor capacidad del transmisor central hacia el abonado). En este caso, habrá una mayor proporción de </w:t>
      </w:r>
      <w:r>
        <w:rPr>
          <w:lang w:val="es-ES_tradnl"/>
        </w:rPr>
        <w:lastRenderedPageBreak/>
        <w:t>receptores P</w:t>
      </w:r>
      <w:r>
        <w:rPr>
          <w:lang w:val="es-ES_tradnl"/>
        </w:rPr>
        <w:noBreakHyphen/>
        <w:t>P que tengan ángulos de elevación superiores, al igual que los receptores de una red P</w:t>
      </w:r>
      <w:r>
        <w:rPr>
          <w:lang w:val="es-ES_tradnl"/>
        </w:rPr>
        <w:noBreakHyphen/>
        <w:t>MP, y presentarán entonces una mayor susceptibilidad a la interferencia de los enlaces espacio</w:t>
      </w:r>
      <w:r>
        <w:rPr>
          <w:lang w:val="es-ES_tradnl"/>
        </w:rPr>
        <w:noBreakHyphen/>
        <w:t>Tierra. En el tipo de configuración en «estrella» de una red P-P, la distribución de los abonados a lo largo de una gama especificada de valores posibles de longitudes de salto puede especificarse de la misma manera que para la red P</w:t>
      </w:r>
      <w:r>
        <w:rPr>
          <w:lang w:val="es-ES_tradnl"/>
        </w:rPr>
        <w:noBreakHyphen/>
        <w:t>MP.</w:t>
      </w:r>
    </w:p>
    <w:p w:rsidR="00C770FE" w:rsidRDefault="00C770FE" w:rsidP="00C770FE">
      <w:pPr>
        <w:rPr>
          <w:lang w:val="es-ES_tradnl"/>
        </w:rPr>
      </w:pPr>
      <w:r>
        <w:rPr>
          <w:lang w:val="es-ES_tradnl"/>
        </w:rPr>
        <w:t>En algunos despliegues del servicio fijo, puede ser posible encontrarse con desarrollos híbridos, consistentes en esquemas P-P (configuración aleatoria y en estrella) y despliegues P-MP que se optimizan basándose en consideraciones sobre eficacia de la red. En todos esos casos, la interferencia predominante es la del SFS en el receptor de abonado del servicio fijo.</w:t>
      </w:r>
    </w:p>
    <w:p w:rsidR="00C770FE" w:rsidRDefault="00C770FE" w:rsidP="00C770FE">
      <w:pPr>
        <w:pStyle w:val="Heading1"/>
        <w:rPr>
          <w:lang w:val="es-ES_tradnl"/>
        </w:rPr>
      </w:pPr>
      <w:r>
        <w:rPr>
          <w:lang w:val="es-ES_tradnl"/>
        </w:rPr>
        <w:t>3</w:t>
      </w:r>
      <w:r>
        <w:rPr>
          <w:lang w:val="es-ES_tradnl"/>
        </w:rPr>
        <w:tab/>
        <w:t>Consideraciones generales</w:t>
      </w:r>
    </w:p>
    <w:p w:rsidR="00C770FE" w:rsidRDefault="00C770FE" w:rsidP="00C770FE">
      <w:pPr>
        <w:pStyle w:val="Heading2"/>
        <w:rPr>
          <w:lang w:val="es-ES_tradnl"/>
        </w:rPr>
      </w:pPr>
      <w:r>
        <w:rPr>
          <w:lang w:val="es-ES_tradnl"/>
        </w:rPr>
        <w:t>3.1</w:t>
      </w:r>
      <w:r>
        <w:rPr>
          <w:lang w:val="es-ES_tradnl"/>
        </w:rPr>
        <w:tab/>
        <w:t>Sistemas P-MP</w:t>
      </w:r>
    </w:p>
    <w:p w:rsidR="00C770FE" w:rsidRDefault="00C770FE" w:rsidP="00244027">
      <w:pPr>
        <w:rPr>
          <w:lang w:val="es-ES_tradnl"/>
        </w:rPr>
      </w:pPr>
      <w:r>
        <w:rPr>
          <w:lang w:val="es-ES_tradnl"/>
        </w:rPr>
        <w:t xml:space="preserve">La geometría de la célula P-MP y los diagramas de </w:t>
      </w:r>
      <w:r w:rsidR="008F4DD5">
        <w:rPr>
          <w:lang w:val="es-ES_tradnl"/>
        </w:rPr>
        <w:t>las antenas centrales</w:t>
      </w:r>
      <w:r>
        <w:rPr>
          <w:lang w:val="es-ES_tradnl"/>
        </w:rPr>
        <w:t xml:space="preserve"> y de abonado afectan a la distribución estadística de los niveles de interferencia del conjunto de los posibles receptores, así como a su susceptibilidad a la interferencia. Además, en las bandas de frecuencia por encima de 17 GHz, la atenuación de larga duración debida a los gases atmosféricos, los efectos de centelleo y la atenuación de corta duración debida a la lluvia, que a su vez resultan afectadas por los factores geoclimáticos relacionados con la latitud, son importantes para determinar la susceptibilidad de los terminales de abonado a la interferencia espacio-Tierra procedente de los satélites del SFS. El efecto de cada uno de estos factores en la susceptibilidad de los terminales de abonado a la interferencia procedente de los satélites del SFS OSG puede determinarse paramétricamente.</w:t>
      </w:r>
    </w:p>
    <w:p w:rsidR="00C770FE" w:rsidRDefault="00C770FE" w:rsidP="00C770FE">
      <w:pPr>
        <w:pStyle w:val="Heading2"/>
        <w:rPr>
          <w:lang w:val="es-ES_tradnl"/>
        </w:rPr>
      </w:pPr>
      <w:r>
        <w:rPr>
          <w:lang w:val="es-ES_tradnl"/>
        </w:rPr>
        <w:t>3.2</w:t>
      </w:r>
      <w:r>
        <w:rPr>
          <w:lang w:val="es-ES_tradnl"/>
        </w:rPr>
        <w:tab/>
        <w:t>Sistemas fijos P-P (incluyendo la configuración en estrella)</w:t>
      </w:r>
    </w:p>
    <w:p w:rsidR="00C770FE" w:rsidRDefault="00C770FE" w:rsidP="00C770FE">
      <w:pPr>
        <w:rPr>
          <w:lang w:val="es-ES_tradnl"/>
        </w:rPr>
      </w:pPr>
      <w:r>
        <w:rPr>
          <w:lang w:val="es-ES_tradnl"/>
        </w:rPr>
        <w:t>En los sistemas P-P que funcionan en las bandas de frecuencia por encima de 17 GHz, una serie de factores que incluyen el diámetro de la antena receptora, el ángulo de elevación y los márgenes del desvanecimiento del sistema contribuyen a la susceptibilidad de los terminales receptores a la interferencia exterior. El margen contra el desvanecimiento de un sistema P</w:t>
      </w:r>
      <w:r>
        <w:rPr>
          <w:lang w:val="es-ES_tradnl"/>
        </w:rPr>
        <w:noBreakHyphen/>
        <w:t>P depende de la distancia del salto y de los mismos factores geoclimáticos al igual que en los sistemas P</w:t>
      </w:r>
      <w:r>
        <w:rPr>
          <w:lang w:val="es-ES_tradnl"/>
        </w:rPr>
        <w:noBreakHyphen/>
        <w:t>MP.</w:t>
      </w:r>
    </w:p>
    <w:p w:rsidR="00C770FE" w:rsidRDefault="00C770FE" w:rsidP="00C770FE">
      <w:pPr>
        <w:pStyle w:val="Heading1"/>
        <w:rPr>
          <w:lang w:val="es-ES_tradnl"/>
        </w:rPr>
      </w:pPr>
      <w:r>
        <w:rPr>
          <w:lang w:val="es-ES_tradnl"/>
        </w:rPr>
        <w:t>4</w:t>
      </w:r>
      <w:r>
        <w:rPr>
          <w:lang w:val="es-ES_tradnl"/>
        </w:rPr>
        <w:tab/>
        <w:t>Hipótesis</w:t>
      </w:r>
    </w:p>
    <w:p w:rsidR="00C770FE" w:rsidRDefault="00C770FE" w:rsidP="00C770FE">
      <w:pPr>
        <w:rPr>
          <w:lang w:val="es-ES_tradnl"/>
        </w:rPr>
      </w:pPr>
      <w:r>
        <w:rPr>
          <w:lang w:val="es-ES_tradnl"/>
        </w:rPr>
        <w:t>La metodología que presenta este Anexo parte de ciertas hipótesis.</w:t>
      </w:r>
    </w:p>
    <w:p w:rsidR="00C770FE" w:rsidRDefault="00C770FE" w:rsidP="00C770FE">
      <w:pPr>
        <w:pStyle w:val="Heading2"/>
        <w:rPr>
          <w:lang w:val="es-ES_tradnl"/>
        </w:rPr>
      </w:pPr>
      <w:r>
        <w:rPr>
          <w:lang w:val="es-ES_tradnl"/>
        </w:rPr>
        <w:t>4.1</w:t>
      </w:r>
      <w:r>
        <w:rPr>
          <w:lang w:val="es-ES_tradnl"/>
        </w:rPr>
        <w:tab/>
        <w:t>Hipótesis básicas</w:t>
      </w:r>
    </w:p>
    <w:p w:rsidR="00C770FE" w:rsidRDefault="00C770FE" w:rsidP="00C770FE">
      <w:pPr>
        <w:rPr>
          <w:lang w:val="es-ES_tradnl"/>
        </w:rPr>
      </w:pPr>
      <w:r>
        <w:rPr>
          <w:lang w:val="es-ES_tradnl"/>
        </w:rPr>
        <w:t>Las hipótesis básicas resumidas a continuación son comunes a los sistemas P</w:t>
      </w:r>
      <w:r>
        <w:rPr>
          <w:lang w:val="es-ES_tradnl"/>
        </w:rPr>
        <w:noBreakHyphen/>
        <w:t>MP y P</w:t>
      </w:r>
      <w:r>
        <w:rPr>
          <w:lang w:val="es-ES_tradnl"/>
        </w:rPr>
        <w:noBreakHyphen/>
        <w:t>P de los sistemas del servicio fijo y constituyen elementos importantes en la implementación de la metodología:</w:t>
      </w:r>
    </w:p>
    <w:p w:rsidR="00C770FE" w:rsidRPr="00741A79" w:rsidRDefault="00C770FE" w:rsidP="00C770FE">
      <w:pPr>
        <w:pStyle w:val="enumlev1"/>
        <w:rPr>
          <w:lang w:val="es-ES_tradnl"/>
        </w:rPr>
      </w:pPr>
      <w:r w:rsidRPr="00741A79">
        <w:rPr>
          <w:lang w:val="es-ES_tradnl"/>
        </w:rPr>
        <w:t>a)</w:t>
      </w:r>
      <w:r w:rsidRPr="00741A79">
        <w:rPr>
          <w:lang w:val="es-ES_tradnl"/>
        </w:rPr>
        <w:tab/>
        <w:t>El diseño del trayecto tiene en cuenta cualesquiera de los objetivos de calidad y el margen contra el desvanecimiento necesario para cumplir los objetivos aplicables recomendados o deseados de calidad a corto plazo.</w:t>
      </w:r>
    </w:p>
    <w:p w:rsidR="00C770FE" w:rsidRPr="00741A79" w:rsidRDefault="00C770FE" w:rsidP="00C770FE">
      <w:pPr>
        <w:pStyle w:val="enumlev1"/>
        <w:rPr>
          <w:lang w:val="es-ES_tradnl"/>
        </w:rPr>
      </w:pPr>
      <w:r w:rsidRPr="00741A79">
        <w:rPr>
          <w:lang w:val="es-ES_tradnl"/>
        </w:rPr>
        <w:t>b)</w:t>
      </w:r>
      <w:r w:rsidRPr="00741A79">
        <w:rPr>
          <w:lang w:val="es-ES_tradnl"/>
        </w:rPr>
        <w:tab/>
        <w:t>El efecto de la interferencia en una red del servicio fijo puede evaluarse, por ejemplo, como porcentaje del número total de receptores posibles del servicio fijo que logran una disponibilidad igual o superior a la de un nivel determinado de disponibilidad degradada.</w:t>
      </w:r>
    </w:p>
    <w:p w:rsidR="00C770FE" w:rsidRPr="00741A79" w:rsidRDefault="00C770FE" w:rsidP="00C770FE">
      <w:pPr>
        <w:pStyle w:val="enumlev1"/>
        <w:rPr>
          <w:lang w:val="es-ES_tradnl"/>
        </w:rPr>
      </w:pPr>
      <w:r w:rsidRPr="00741A79">
        <w:rPr>
          <w:lang w:val="es-ES_tradnl"/>
        </w:rPr>
        <w:t>c)</w:t>
      </w:r>
      <w:r w:rsidRPr="00741A79">
        <w:rPr>
          <w:lang w:val="es-ES_tradnl"/>
        </w:rPr>
        <w:tab/>
        <w:t>La parte del arco OSG por encima del plano horizontal es visible a todos los terminales receptores del servicio fijo y ninguna parte del arco en ninguna dirección resulta bloqueada a la vista de ninguna de las antenas receptoras del servicio fijo.</w:t>
      </w:r>
    </w:p>
    <w:p w:rsidR="00C770FE" w:rsidRPr="00741A79" w:rsidRDefault="00C770FE" w:rsidP="00C770FE">
      <w:pPr>
        <w:pStyle w:val="enumlev1"/>
        <w:rPr>
          <w:lang w:val="es-ES_tradnl"/>
        </w:rPr>
      </w:pPr>
      <w:r w:rsidRPr="00741A79">
        <w:rPr>
          <w:lang w:val="es-ES_tradnl"/>
        </w:rPr>
        <w:lastRenderedPageBreak/>
        <w:t>d)</w:t>
      </w:r>
      <w:r w:rsidRPr="00741A79">
        <w:rPr>
          <w:lang w:val="es-ES_tradnl"/>
        </w:rPr>
        <w:tab/>
        <w:t>Se supone que la altura por encima del nivel medio del mar (amsl, above mean sea level) de todo el trayecto de la señal deseada es la misma a los efectos del cálculo de la atenuación debida a los gases atmosféricos (cuando se adopta la opción de aplicar la Recomendación UIT</w:t>
      </w:r>
      <w:r w:rsidRPr="00741A79">
        <w:rPr>
          <w:lang w:val="es-ES_tradnl"/>
        </w:rPr>
        <w:noBreakHyphen/>
        <w:t>R P.676) y la atenuación de larga duración debida a la lluvia (Recomendación UIT</w:t>
      </w:r>
      <w:r w:rsidRPr="00741A79">
        <w:rPr>
          <w:lang w:val="es-ES_tradnl"/>
        </w:rPr>
        <w:noBreakHyphen/>
        <w:t>R P.530). La altura utilizada es el promedio de las alturas de las antenas de transmisión y de recepción, en un sistema P-P y la altura mínima de la antena del abonado, en un sistema P</w:t>
      </w:r>
      <w:r w:rsidRPr="00741A79">
        <w:rPr>
          <w:lang w:val="es-ES_tradnl"/>
        </w:rPr>
        <w:noBreakHyphen/>
        <w:t>MP.</w:t>
      </w:r>
    </w:p>
    <w:p w:rsidR="00C770FE" w:rsidRPr="00741A79" w:rsidRDefault="00C770FE" w:rsidP="00C770FE">
      <w:pPr>
        <w:pStyle w:val="enumlev1"/>
        <w:rPr>
          <w:lang w:val="es-ES_tradnl"/>
        </w:rPr>
      </w:pPr>
      <w:r w:rsidRPr="00741A79">
        <w:rPr>
          <w:lang w:val="es-ES_tradnl"/>
        </w:rPr>
        <w:t>e)</w:t>
      </w:r>
      <w:r w:rsidRPr="00741A79">
        <w:rPr>
          <w:lang w:val="es-ES_tradnl"/>
        </w:rPr>
        <w:tab/>
        <w:t>Se observa el valor máximo de la p.i.r.e. de 55 dBW. La anchura de banda del canal del sistema del servicio fijo en cuestión, junto con el valor de la p.i.r.e. de 55 dBW establecen los límites de la densidad de potencia máxima de transmisión para el sistema del servicio fijo.</w:t>
      </w:r>
    </w:p>
    <w:p w:rsidR="00C770FE" w:rsidRPr="00741A79" w:rsidRDefault="00C770FE" w:rsidP="00C770FE">
      <w:pPr>
        <w:pStyle w:val="enumlev1"/>
        <w:rPr>
          <w:lang w:val="es-ES_tradnl"/>
        </w:rPr>
      </w:pPr>
      <w:r w:rsidRPr="00741A79">
        <w:rPr>
          <w:lang w:val="es-ES_tradnl"/>
        </w:rPr>
        <w:t>f)</w:t>
      </w:r>
      <w:r w:rsidRPr="00741A79">
        <w:rPr>
          <w:lang w:val="es-ES_tradnl"/>
        </w:rPr>
        <w:tab/>
        <w:t>Las características del servicio fijo utilizadas para el modelo de cualquier enlace P</w:t>
      </w:r>
      <w:r w:rsidRPr="00741A79">
        <w:rPr>
          <w:lang w:val="es-ES_tradnl"/>
        </w:rPr>
        <w:noBreakHyphen/>
        <w:t>P o P</w:t>
      </w:r>
      <w:r w:rsidRPr="00741A79">
        <w:rPr>
          <w:lang w:val="es-ES_tradnl"/>
        </w:rPr>
        <w:noBreakHyphen/>
        <w:t>MP deben ser representativas de las redes típicas instaladas.</w:t>
      </w:r>
    </w:p>
    <w:p w:rsidR="00C770FE" w:rsidRDefault="00C770FE" w:rsidP="00C770FE">
      <w:pPr>
        <w:pStyle w:val="enumlev1"/>
        <w:rPr>
          <w:lang w:val="es-ES_tradnl"/>
        </w:rPr>
      </w:pPr>
      <w:r>
        <w:rPr>
          <w:lang w:val="es-ES_tradnl"/>
        </w:rPr>
        <w:t>g)</w:t>
      </w:r>
      <w:r>
        <w:rPr>
          <w:lang w:val="es-ES_tradnl"/>
        </w:rPr>
        <w:tab/>
        <w:t>La disponibilidad del servicio fijo se define siempre sobre la base de un promedio anual.</w:t>
      </w:r>
    </w:p>
    <w:p w:rsidR="00C770FE" w:rsidRDefault="00C770FE" w:rsidP="00C770FE">
      <w:pPr>
        <w:pStyle w:val="Heading2"/>
        <w:rPr>
          <w:lang w:val="es-ES_tradnl"/>
        </w:rPr>
      </w:pPr>
      <w:r>
        <w:rPr>
          <w:lang w:val="es-ES_tradnl"/>
        </w:rPr>
        <w:t>4.2</w:t>
      </w:r>
      <w:r>
        <w:rPr>
          <w:lang w:val="es-ES_tradnl"/>
        </w:rPr>
        <w:tab/>
        <w:t>Hipótesis P</w:t>
      </w:r>
      <w:r>
        <w:rPr>
          <w:lang w:val="es-ES_tradnl"/>
        </w:rPr>
        <w:noBreakHyphen/>
        <w:t>MP</w:t>
      </w:r>
    </w:p>
    <w:p w:rsidR="00C770FE" w:rsidRDefault="00C770FE" w:rsidP="00C770FE">
      <w:pPr>
        <w:pStyle w:val="Heading3"/>
        <w:rPr>
          <w:lang w:val="es-ES_tradnl"/>
        </w:rPr>
      </w:pPr>
      <w:r>
        <w:rPr>
          <w:lang w:val="es-ES_tradnl"/>
        </w:rPr>
        <w:t>4.2.1</w:t>
      </w:r>
      <w:r>
        <w:rPr>
          <w:lang w:val="es-ES_tradnl"/>
        </w:rPr>
        <w:tab/>
        <w:t>Interferencia interior al servicio (incluyendo la interior al sistema)</w:t>
      </w:r>
    </w:p>
    <w:p w:rsidR="00C770FE" w:rsidRDefault="00C770FE" w:rsidP="00C770FE">
      <w:pPr>
        <w:rPr>
          <w:lang w:val="es-ES_tradnl"/>
        </w:rPr>
      </w:pPr>
      <w:r>
        <w:rPr>
          <w:lang w:val="es-ES_tradnl"/>
        </w:rPr>
        <w:t>En el modelo de sistema más elemental, puede suponerse que se ha atribuido al sistema del servicio fijo una interferencia interior al sistema para un terminal de abonado de referencia situado en el extremo de la célula P</w:t>
      </w:r>
      <w:r>
        <w:rPr>
          <w:lang w:val="es-ES_tradnl"/>
        </w:rPr>
        <w:noBreakHyphen/>
        <w:t xml:space="preserve">MP a una altura especificada sobre el nivel del suelo (agl, </w:t>
      </w:r>
      <w:r>
        <w:rPr>
          <w:i/>
          <w:iCs/>
          <w:lang w:val="es-ES_tradnl"/>
        </w:rPr>
        <w:t>above ground level</w:t>
      </w:r>
      <w:r>
        <w:rPr>
          <w:lang w:val="es-ES_tradnl"/>
        </w:rPr>
        <w:t>). Esta hipótesis se traduce en que el ruido total, el térmico más el interior al servicio, se especifica a un nivel por encima del nivel del ruido térmico. Pueden considerarse, por ejemplo, si se desea, niveles reales de interferencia interior al servicio para evaluar la influencia del efecto de la interferencia espacio</w:t>
      </w:r>
      <w:r>
        <w:rPr>
          <w:lang w:val="es-ES_tradnl"/>
        </w:rPr>
        <w:noBreakHyphen/>
        <w:t>Tierra (por ejemplo, si todos los sistemas de una región determinada incrementasen su modulación hasta un nivel superior para lograr mayores capacidades). Además, la metodología permite calcular, en un modelo específico de características de despliegue del servicio fijo, los niveles de la interferencia interior al servicio.</w:t>
      </w:r>
    </w:p>
    <w:p w:rsidR="00C770FE" w:rsidRDefault="00C770FE" w:rsidP="00C770FE">
      <w:pPr>
        <w:pStyle w:val="Heading3"/>
        <w:rPr>
          <w:lang w:val="es-ES_tradnl"/>
        </w:rPr>
      </w:pPr>
      <w:r>
        <w:rPr>
          <w:lang w:val="es-ES_tradnl"/>
        </w:rPr>
        <w:t>4.2.2</w:t>
      </w:r>
      <w:r>
        <w:rPr>
          <w:lang w:val="es-ES_tradnl"/>
        </w:rPr>
        <w:tab/>
        <w:t>Antena central omnidirectiva</w:t>
      </w:r>
    </w:p>
    <w:p w:rsidR="00C770FE" w:rsidRDefault="00C770FE" w:rsidP="00C770FE">
      <w:pPr>
        <w:rPr>
          <w:lang w:val="es-ES_tradnl"/>
        </w:rPr>
      </w:pPr>
      <w:r>
        <w:rPr>
          <w:lang w:val="es-ES_tradnl"/>
        </w:rPr>
        <w:t>En la mayoría de los casos, la envolvente del diagrama de la ganancia de la antena central es simétrica circularmente en el plano horizontal y la ganancia de la antena depende del azimut para un ángulo determinado en el plano vertical (es decir, el ángulo de declinación). Esta hipótesis se aplica si la antena central es una antena única omnidireccional o si está compuesta de múltiples antenas sectoriales. En el caso en que se utilice una única antena sectorial, el diagrama fuera del eje en los planos horizontal y vertical será necesario como dato que permita el cálculo de la ganancia en cualquier punto determinado.</w:t>
      </w:r>
    </w:p>
    <w:p w:rsidR="00C770FE" w:rsidRPr="00741A79" w:rsidRDefault="00C770FE" w:rsidP="00C770FE">
      <w:pPr>
        <w:pStyle w:val="Heading3"/>
        <w:rPr>
          <w:lang w:val="es-ES_tradnl"/>
        </w:rPr>
      </w:pPr>
      <w:r w:rsidRPr="00741A79">
        <w:rPr>
          <w:lang w:val="es-ES_tradnl"/>
        </w:rPr>
        <w:t>4.2.3</w:t>
      </w:r>
      <w:r w:rsidRPr="00741A79">
        <w:rPr>
          <w:lang w:val="es-ES_tradnl"/>
        </w:rPr>
        <w:tab/>
        <w:t>Distribución de los abonados</w:t>
      </w:r>
    </w:p>
    <w:p w:rsidR="00C770FE" w:rsidRDefault="00C770FE" w:rsidP="00C770FE">
      <w:pPr>
        <w:rPr>
          <w:lang w:val="es-ES_tradnl"/>
        </w:rPr>
      </w:pPr>
      <w:r>
        <w:rPr>
          <w:lang w:val="es-ES_tradnl"/>
        </w:rPr>
        <w:t>Hay múltiples formas posibles de establecer un modelo de distribución de los abonados a lo largo de una célula P</w:t>
      </w:r>
      <w:r>
        <w:rPr>
          <w:lang w:val="es-ES_tradnl"/>
        </w:rPr>
        <w:noBreakHyphen/>
        <w:t>MP, incluyendo las distribuciones de descripción estadística tales como la uniforme o de Rayleigh, u otras distribuciones definidas por el usuario. Siempre que sea posible la selección de un modelo debe efectuarse mediante la validación basada en los datos estadísticos referentes a los emplazamientos reales de los abonados. Pueden utilizarse datos reales que den la posición relativa de un abonado en una célula P</w:t>
      </w:r>
      <w:r>
        <w:rPr>
          <w:lang w:val="es-ES_tradnl"/>
        </w:rPr>
        <w:noBreakHyphen/>
        <w:t>MP al examinar los enlaces reales. También puede utilizarse una combinación de distribución estadística y datos reales.</w:t>
      </w:r>
    </w:p>
    <w:p w:rsidR="00C770FE" w:rsidRDefault="00C770FE" w:rsidP="00C770FE">
      <w:pPr>
        <w:pStyle w:val="Heading3"/>
        <w:rPr>
          <w:lang w:val="es-ES_tradnl"/>
        </w:rPr>
      </w:pPr>
      <w:r>
        <w:rPr>
          <w:lang w:val="es-ES_tradnl"/>
        </w:rPr>
        <w:t>4.2.4</w:t>
      </w:r>
      <w:r>
        <w:rPr>
          <w:lang w:val="es-ES_tradnl"/>
        </w:rPr>
        <w:tab/>
        <w:t>Nivel del suelo</w:t>
      </w:r>
    </w:p>
    <w:p w:rsidR="00C770FE" w:rsidRDefault="00C770FE" w:rsidP="00C770FE">
      <w:pPr>
        <w:rPr>
          <w:lang w:val="es-ES_tradnl"/>
        </w:rPr>
      </w:pPr>
      <w:r>
        <w:rPr>
          <w:lang w:val="es-ES_tradnl"/>
        </w:rPr>
        <w:t xml:space="preserve">Puede considerarse que la elevación del suelo, amsl, a lo largo de toda la célula es la misma que la elevación del suelo de la estación central. Como alternativa, pueden utilizarse datos reales que den </w:t>
      </w:r>
      <w:r>
        <w:rPr>
          <w:lang w:val="es-ES_tradnl"/>
        </w:rPr>
        <w:lastRenderedPageBreak/>
        <w:t>la elevación del suelo para cada posición de abonado en una célula P</w:t>
      </w:r>
      <w:r>
        <w:rPr>
          <w:lang w:val="es-ES_tradnl"/>
        </w:rPr>
        <w:noBreakHyphen/>
        <w:t>MP al examinar los enlaces caso por caso.</w:t>
      </w:r>
    </w:p>
    <w:p w:rsidR="00C770FE" w:rsidRDefault="00C770FE" w:rsidP="00C770FE">
      <w:pPr>
        <w:pStyle w:val="Heading3"/>
        <w:rPr>
          <w:lang w:val="es-ES_tradnl"/>
        </w:rPr>
      </w:pPr>
      <w:r>
        <w:rPr>
          <w:lang w:val="es-ES_tradnl"/>
        </w:rPr>
        <w:t>4.2.5</w:t>
      </w:r>
      <w:r>
        <w:rPr>
          <w:lang w:val="es-ES_tradnl"/>
        </w:rPr>
        <w:tab/>
        <w:t>Alturas de la antena de abonado</w:t>
      </w:r>
    </w:p>
    <w:p w:rsidR="00C770FE" w:rsidRDefault="00C770FE" w:rsidP="00C770FE">
      <w:pPr>
        <w:rPr>
          <w:lang w:val="es-ES_tradnl"/>
        </w:rPr>
      </w:pPr>
      <w:r>
        <w:rPr>
          <w:lang w:val="es-ES_tradnl"/>
        </w:rPr>
        <w:t>Puede establecerse un modelo estadístico de las alturas agl de las antenas de abonado mediante la Recomendación UIT</w:t>
      </w:r>
      <w:r>
        <w:rPr>
          <w:lang w:val="es-ES_tradnl"/>
        </w:rPr>
        <w:noBreakHyphen/>
        <w:t>R P.1410 si se conoce la altura, σ, de Rayleigh de la ciudad sobre la que se establece el modelo. En el caso de un modelo de altura de antena de Rayleigh, han de utilizarse consideraciones prácticas para truncar la altura en algunos valores máximo y mínimo. Pueden utilizarse datos reales que den la altura de cada terminal de abonado al examinar los enlaces caso por caso. También puede utilizarse una combinación de distribución estadística y de datos reales.</w:t>
      </w:r>
    </w:p>
    <w:p w:rsidR="00C770FE" w:rsidRPr="00741A79" w:rsidRDefault="00C770FE" w:rsidP="00C770FE">
      <w:pPr>
        <w:pStyle w:val="Heading3"/>
        <w:rPr>
          <w:lang w:val="es-ES_tradnl"/>
        </w:rPr>
      </w:pPr>
      <w:r w:rsidRPr="00741A79">
        <w:rPr>
          <w:lang w:val="es-ES_tradnl"/>
        </w:rPr>
        <w:t>4.2.6</w:t>
      </w:r>
      <w:r w:rsidRPr="00741A79">
        <w:rPr>
          <w:lang w:val="es-ES_tradnl"/>
        </w:rPr>
        <w:tab/>
        <w:t>Bloqueo 0%</w:t>
      </w:r>
    </w:p>
    <w:p w:rsidR="00C770FE" w:rsidRDefault="00C770FE" w:rsidP="00C770FE">
      <w:pPr>
        <w:rPr>
          <w:lang w:val="es-ES_tradnl"/>
        </w:rPr>
      </w:pPr>
      <w:r>
        <w:rPr>
          <w:lang w:val="es-ES_tradnl"/>
        </w:rPr>
        <w:t>Se supone que la antena de la estación central es visible para toda antena de abonado en una célula P</w:t>
      </w:r>
      <w:r>
        <w:rPr>
          <w:lang w:val="es-ES_tradnl"/>
        </w:rPr>
        <w:noBreakHyphen/>
        <w:t>MP y que su visión no está bloqueada por ningún edificio sobre el que puedan estar situadas otras antenas de abonado, aun cuando la aleatorización empleada por un modelo determinado de altura de antena se traduzca en un bloqueo de la visión por un edificio próximo de una antena de abonado más distante.</w:t>
      </w:r>
    </w:p>
    <w:p w:rsidR="00C770FE" w:rsidRDefault="00C770FE" w:rsidP="00C770FE">
      <w:pPr>
        <w:pStyle w:val="Heading3"/>
        <w:rPr>
          <w:lang w:val="es-ES_tradnl"/>
        </w:rPr>
      </w:pPr>
      <w:r>
        <w:rPr>
          <w:lang w:val="es-ES_tradnl"/>
        </w:rPr>
        <w:t>4.2.7</w:t>
      </w:r>
      <w:r>
        <w:rPr>
          <w:lang w:val="es-ES_tradnl"/>
        </w:rPr>
        <w:tab/>
        <w:t>Sin diversidad</w:t>
      </w:r>
    </w:p>
    <w:p w:rsidR="00C770FE" w:rsidRDefault="00C770FE" w:rsidP="00C770FE">
      <w:pPr>
        <w:rPr>
          <w:lang w:val="es-ES_tradnl"/>
        </w:rPr>
      </w:pPr>
      <w:r>
        <w:rPr>
          <w:lang w:val="es-ES_tradnl"/>
        </w:rPr>
        <w:t>Se supone que todo terminal de abonado distante se orienta hacia el mismo punto, con lo que no se tiene en cuenta ningún caso más desfavorable de exposición en azimut al establecer un terminal de abonado. Es la única manera de establecer con significado el efecto de la intersección de la órbita OSG con el eje de puntería de la antena receptora del servicio fijo en la calidad del sistema del servicio fijo.</w:t>
      </w:r>
    </w:p>
    <w:p w:rsidR="00C770FE" w:rsidRDefault="00C770FE" w:rsidP="00C770FE">
      <w:pPr>
        <w:pStyle w:val="Heading3"/>
        <w:rPr>
          <w:lang w:val="es-ES_tradnl"/>
        </w:rPr>
      </w:pPr>
      <w:r>
        <w:rPr>
          <w:lang w:val="es-ES_tradnl"/>
        </w:rPr>
        <w:t>4.2.8</w:t>
      </w:r>
      <w:r>
        <w:rPr>
          <w:lang w:val="es-ES_tradnl"/>
        </w:rPr>
        <w:tab/>
        <w:t>Altura de la antena central, radio de la célula y sesgo del ángulo de elevación de la antena central en los sistemas P</w:t>
      </w:r>
      <w:r>
        <w:rPr>
          <w:lang w:val="es-ES_tradnl"/>
        </w:rPr>
        <w:noBreakHyphen/>
        <w:t>MP</w:t>
      </w:r>
    </w:p>
    <w:p w:rsidR="00C770FE" w:rsidRPr="00E55CA1" w:rsidRDefault="00C770FE" w:rsidP="00C770FE">
      <w:pPr>
        <w:rPr>
          <w:lang w:val="es-ES_tradnl"/>
        </w:rPr>
      </w:pPr>
      <w:r w:rsidRPr="00E55CA1">
        <w:rPr>
          <w:lang w:val="es-ES_tradnl"/>
        </w:rPr>
        <w:t>El sesgo del ángulo de la antena central puede optimizarse de forma que la ganancia máxima de la antena central coincida con la altura más probable de un terminal de abonado a la distancia máxima desde el centro de la célula. Como alternativa, el sesgo del ángulo de elevación de la antena central puede estar definido por el usuario. Dado que un abonado en el extremo de una célula P</w:t>
      </w:r>
      <w:r w:rsidRPr="00E55CA1">
        <w:rPr>
          <w:lang w:val="es-ES_tradnl"/>
        </w:rPr>
        <w:noBreakHyphen/>
        <w:t>MP puede tener una altura agl que varíe en una gama considerable de valores, la antena central debe tener la ganancia máxima únicamente hacia una altura de antena de abonado a la distancia máxima de la célula. Al utilizar un modelo estadístico de alturas de antena, algunos abonados situados en el extremo de una célula pueden tener un margen insuficiente en condiciones de cielo despejado, a falta de toda interferencia espacio</w:t>
      </w:r>
      <w:r w:rsidRPr="00E55CA1">
        <w:rPr>
          <w:lang w:val="es-ES_tradnl"/>
        </w:rPr>
        <w:noBreakHyphen/>
        <w:t>Tierra. Si la antena central está sesgada apuntando hacia la altura de abonado más probable, puede minimizarse el porcentaje de abonados que tengan margen insuficiente en condiciones de cielo despejado. La altura de abonado más probable se calcula conforme a la distribución de probabilidades de alturas de antena para cada modelo de alturas de antena. El cálculo del ángulo de sesgo de la antena central para la ganancia óptima de ésta en el extremo de la célula se realiza mediante la expresión siguiente:</w:t>
      </w:r>
    </w:p>
    <w:p w:rsidR="00C770FE" w:rsidRPr="006B7AFE" w:rsidRDefault="002F1F6B" w:rsidP="00594475">
      <w:pPr>
        <w:pStyle w:val="Equation"/>
        <w:rPr>
          <w:lang w:val="es-ES_tradnl"/>
        </w:rPr>
      </w:pPr>
      <w:r w:rsidRPr="006B7AFE">
        <w:rPr>
          <w:lang w:val="es-ES_tradnl"/>
        </w:rPr>
        <w:tab/>
      </w:r>
      <w:r w:rsidRPr="006B7AFE">
        <w:rPr>
          <w:lang w:val="es-ES_tradnl"/>
        </w:rPr>
        <w:tab/>
      </w:r>
      <w:r w:rsidR="00C770FE" w:rsidRPr="00E55CA1">
        <w:sym w:font="Symbol" w:char="F06A"/>
      </w:r>
      <w:r w:rsidR="00C770FE" w:rsidRPr="006B7AFE">
        <w:rPr>
          <w:lang w:val="es-ES_tradnl"/>
        </w:rPr>
        <w:t>H</w:t>
      </w:r>
      <w:r w:rsidR="00C770FE" w:rsidRPr="006B7AFE">
        <w:rPr>
          <w:i/>
          <w:iCs/>
          <w:position w:val="-4"/>
          <w:sz w:val="20"/>
          <w:lang w:val="es-ES_tradnl"/>
        </w:rPr>
        <w:t>ub</w:t>
      </w:r>
      <w:r w:rsidR="00C770FE" w:rsidRPr="006B7AFE">
        <w:rPr>
          <w:lang w:val="es-ES_tradnl"/>
        </w:rPr>
        <w:t> </w:t>
      </w:r>
      <w:r w:rsidR="00594475" w:rsidRPr="00E55CA1">
        <w:rPr>
          <w:lang w:val="es-ES_tradnl"/>
        </w:rPr>
        <w:t>=</w:t>
      </w:r>
      <w:r w:rsidR="00C770FE" w:rsidRPr="006B7AFE">
        <w:rPr>
          <w:lang w:val="es-ES_tradnl"/>
        </w:rPr>
        <w:t> tg</w:t>
      </w:r>
      <w:r w:rsidR="00C770FE" w:rsidRPr="006B7AFE">
        <w:rPr>
          <w:position w:val="6"/>
          <w:sz w:val="20"/>
          <w:lang w:val="es-ES_tradnl"/>
        </w:rPr>
        <w:t>–1</w:t>
      </w:r>
      <w:r w:rsidR="00C770FE" w:rsidRPr="006B7AFE">
        <w:rPr>
          <w:lang w:val="es-ES_tradnl"/>
        </w:rPr>
        <w:t>((</w:t>
      </w:r>
      <w:r w:rsidR="00C770FE" w:rsidRPr="006B7AFE">
        <w:rPr>
          <w:i/>
          <w:iCs/>
          <w:lang w:val="es-ES_tradnl"/>
        </w:rPr>
        <w:t>h</w:t>
      </w:r>
      <w:r w:rsidR="00C770FE" w:rsidRPr="006B7AFE">
        <w:rPr>
          <w:i/>
          <w:iCs/>
          <w:position w:val="-4"/>
          <w:sz w:val="20"/>
          <w:lang w:val="es-ES_tradnl"/>
        </w:rPr>
        <w:t>Hub</w:t>
      </w:r>
      <w:r w:rsidR="00C770FE" w:rsidRPr="006B7AFE">
        <w:rPr>
          <w:lang w:val="es-ES_tradnl"/>
        </w:rPr>
        <w:t> – </w:t>
      </w:r>
      <w:r w:rsidR="00C770FE" w:rsidRPr="006B7AFE">
        <w:rPr>
          <w:i/>
          <w:iCs/>
          <w:lang w:val="es-ES_tradnl"/>
        </w:rPr>
        <w:t>h</w:t>
      </w:r>
      <w:r w:rsidR="00C770FE" w:rsidRPr="006B7AFE">
        <w:rPr>
          <w:i/>
          <w:iCs/>
          <w:position w:val="-4"/>
          <w:sz w:val="20"/>
          <w:lang w:val="es-ES_tradnl"/>
        </w:rPr>
        <w:t>sub</w:t>
      </w:r>
      <w:r w:rsidR="00C770FE" w:rsidRPr="006B7AFE">
        <w:rPr>
          <w:lang w:val="es-ES_tradnl"/>
        </w:rPr>
        <w:t>)/</w:t>
      </w:r>
      <w:r w:rsidR="00C770FE" w:rsidRPr="006B7AFE">
        <w:rPr>
          <w:i/>
          <w:iCs/>
          <w:lang w:val="es-ES_tradnl"/>
        </w:rPr>
        <w:t>R</w:t>
      </w:r>
      <w:r w:rsidR="00C770FE" w:rsidRPr="006B7AFE">
        <w:rPr>
          <w:i/>
          <w:iCs/>
          <w:position w:val="-4"/>
          <w:sz w:val="20"/>
          <w:lang w:val="es-ES_tradnl"/>
        </w:rPr>
        <w:t>máx</w:t>
      </w:r>
      <w:r w:rsidR="00C770FE" w:rsidRPr="006B7AFE">
        <w:rPr>
          <w:lang w:val="es-ES_tradnl"/>
        </w:rPr>
        <w:t>)</w:t>
      </w:r>
    </w:p>
    <w:p w:rsidR="00C770FE" w:rsidRPr="00E55CA1" w:rsidRDefault="00C770FE" w:rsidP="00C770FE">
      <w:pPr>
        <w:rPr>
          <w:lang w:val="es-ES_tradnl"/>
        </w:rPr>
      </w:pPr>
      <w:r w:rsidRPr="00E55CA1">
        <w:rPr>
          <w:lang w:val="es-ES_tradnl"/>
        </w:rPr>
        <w:t>donde:</w:t>
      </w:r>
    </w:p>
    <w:p w:rsidR="00C770FE" w:rsidRPr="00E55CA1" w:rsidRDefault="00C770FE" w:rsidP="00C770FE">
      <w:pPr>
        <w:pStyle w:val="Equationlegend"/>
        <w:rPr>
          <w:i/>
          <w:iCs/>
          <w:lang w:val="es-ES_tradnl"/>
        </w:rPr>
      </w:pPr>
      <w:r w:rsidRPr="00E55CA1">
        <w:rPr>
          <w:lang w:val="es-ES_tradnl"/>
        </w:rPr>
        <w:tab/>
      </w:r>
      <w:r w:rsidRPr="00E55CA1">
        <w:rPr>
          <w:i/>
          <w:iCs/>
          <w:lang w:val="es-ES_tradnl"/>
        </w:rPr>
        <w:t>hHub:</w:t>
      </w:r>
      <w:r w:rsidRPr="00A879BE">
        <w:tab/>
        <w:t>altura de la antena central sobre el nivel del suelo (m)</w:t>
      </w:r>
    </w:p>
    <w:p w:rsidR="00C770FE" w:rsidRPr="00E55CA1" w:rsidRDefault="00C770FE" w:rsidP="00C770FE">
      <w:pPr>
        <w:pStyle w:val="Equationlegend"/>
        <w:rPr>
          <w:lang w:val="es-ES_tradnl"/>
        </w:rPr>
      </w:pPr>
      <w:r w:rsidRPr="00E55CA1">
        <w:rPr>
          <w:i/>
          <w:iCs/>
          <w:lang w:val="es-ES_tradnl"/>
        </w:rPr>
        <w:tab/>
        <w:t>hsub</w:t>
      </w:r>
      <w:r w:rsidRPr="00E55CA1">
        <w:rPr>
          <w:lang w:val="es-ES_tradnl"/>
        </w:rPr>
        <w:t>:</w:t>
      </w:r>
      <w:r w:rsidRPr="00E55CA1">
        <w:rPr>
          <w:lang w:val="es-ES_tradnl"/>
        </w:rPr>
        <w:tab/>
        <w:t>altura más probable del abonado a la distancia Rmáx respecto a la antena central (m)</w:t>
      </w:r>
    </w:p>
    <w:p w:rsidR="00C770FE" w:rsidRPr="00E55CA1" w:rsidRDefault="00C770FE" w:rsidP="00C770FE">
      <w:pPr>
        <w:pStyle w:val="Equationlegend"/>
        <w:rPr>
          <w:lang w:val="es-ES_tradnl"/>
        </w:rPr>
      </w:pPr>
      <w:r w:rsidRPr="00E55CA1">
        <w:rPr>
          <w:lang w:val="es-ES_tradnl"/>
        </w:rPr>
        <w:tab/>
      </w:r>
      <w:r w:rsidRPr="00E55CA1">
        <w:rPr>
          <w:i/>
          <w:iCs/>
          <w:lang w:val="es-ES_tradnl"/>
        </w:rPr>
        <w:t>R</w:t>
      </w:r>
      <w:r w:rsidRPr="00E55CA1">
        <w:rPr>
          <w:i/>
          <w:iCs/>
          <w:position w:val="-4"/>
          <w:sz w:val="20"/>
          <w:lang w:val="es-ES_tradnl"/>
        </w:rPr>
        <w:t>máx</w:t>
      </w:r>
      <w:r w:rsidRPr="00E55CA1">
        <w:rPr>
          <w:sz w:val="12"/>
          <w:lang w:val="es-ES_tradnl"/>
        </w:rPr>
        <w:t> </w:t>
      </w:r>
      <w:r w:rsidRPr="00E55CA1">
        <w:rPr>
          <w:sz w:val="20"/>
          <w:lang w:val="es-ES_tradnl"/>
        </w:rPr>
        <w:t>:</w:t>
      </w:r>
      <w:r w:rsidRPr="00E55CA1">
        <w:rPr>
          <w:lang w:val="es-ES_tradnl"/>
        </w:rPr>
        <w:tab/>
        <w:t>distancia máxima de un abonado en una célula P</w:t>
      </w:r>
      <w:r w:rsidRPr="00E55CA1">
        <w:rPr>
          <w:lang w:val="es-ES_tradnl"/>
        </w:rPr>
        <w:noBreakHyphen/>
        <w:t>MP (m).</w:t>
      </w:r>
    </w:p>
    <w:p w:rsidR="00C770FE" w:rsidRPr="00E55CA1" w:rsidRDefault="00C770FE" w:rsidP="00A879BE">
      <w:pPr>
        <w:rPr>
          <w:lang w:val="es-ES_tradnl"/>
        </w:rPr>
      </w:pPr>
      <w:r w:rsidRPr="00E55CA1">
        <w:rPr>
          <w:lang w:val="es-ES_tradnl"/>
        </w:rPr>
        <w:lastRenderedPageBreak/>
        <w:t>La realización más simple de este modelo es aquélla en la que una antena central tiene simetría de</w:t>
      </w:r>
      <w:r w:rsidR="00A879BE">
        <w:rPr>
          <w:lang w:val="es-ES_tradnl"/>
        </w:rPr>
        <w:t> </w:t>
      </w:r>
      <w:r w:rsidRPr="00E55CA1">
        <w:rPr>
          <w:lang w:val="es-ES_tradnl"/>
        </w:rPr>
        <w:t>360</w:t>
      </w:r>
      <w:r w:rsidR="002F1F6B" w:rsidRPr="00E55CA1">
        <w:rPr>
          <w:lang w:val="es-ES_tradnl"/>
        </w:rPr>
        <w:t>º</w:t>
      </w:r>
      <w:r w:rsidRPr="00E55CA1">
        <w:rPr>
          <w:lang w:val="es-ES_tradnl"/>
        </w:rPr>
        <w:t>. Para las células P</w:t>
      </w:r>
      <w:r w:rsidRPr="00E55CA1">
        <w:rPr>
          <w:lang w:val="es-ES_tradnl"/>
        </w:rPr>
        <w:noBreakHyphen/>
        <w:t>MP con sectores individuales que tienen que tener ángulos de sesgo diferentes a fin de encajar eficazmente sus poblaciones de abonados respectivas, la metodología puede aplicarse individualmente a cada sector y pueden calcularse las estadísticas para toda la célula ponderando los resultados conforme al número de abonados en cada sector.</w:t>
      </w:r>
    </w:p>
    <w:p w:rsidR="00C770FE" w:rsidRPr="00E55CA1" w:rsidRDefault="00C770FE" w:rsidP="00C770FE">
      <w:pPr>
        <w:pStyle w:val="Heading2"/>
        <w:rPr>
          <w:lang w:val="es-ES_tradnl"/>
        </w:rPr>
      </w:pPr>
      <w:r w:rsidRPr="00E55CA1">
        <w:rPr>
          <w:lang w:val="es-ES_tradnl"/>
        </w:rPr>
        <w:t>4.3</w:t>
      </w:r>
      <w:r w:rsidRPr="00E55CA1">
        <w:rPr>
          <w:lang w:val="es-ES_tradnl"/>
        </w:rPr>
        <w:tab/>
        <w:t>Hipótesis para sistemas del servicio fijo P</w:t>
      </w:r>
      <w:r w:rsidRPr="00E55CA1">
        <w:rPr>
          <w:lang w:val="es-ES_tradnl"/>
        </w:rPr>
        <w:noBreakHyphen/>
        <w:t>P</w:t>
      </w:r>
    </w:p>
    <w:p w:rsidR="00C770FE" w:rsidRPr="00E55CA1" w:rsidRDefault="00C770FE" w:rsidP="00741A79">
      <w:pPr>
        <w:pStyle w:val="Heading3"/>
        <w:rPr>
          <w:lang w:val="es-ES_tradnl"/>
        </w:rPr>
      </w:pPr>
      <w:r w:rsidRPr="00E55CA1">
        <w:rPr>
          <w:lang w:val="es-ES_tradnl"/>
        </w:rPr>
        <w:t>4.3.1</w:t>
      </w:r>
      <w:r w:rsidRPr="00E55CA1">
        <w:rPr>
          <w:lang w:val="es-ES_tradnl"/>
        </w:rPr>
        <w:tab/>
        <w:t>Emplazamiento del receptor del servicio fijo</w:t>
      </w:r>
    </w:p>
    <w:p w:rsidR="00C770FE" w:rsidRDefault="00C770FE" w:rsidP="00741A79">
      <w:pPr>
        <w:rPr>
          <w:lang w:val="es-ES_tradnl"/>
        </w:rPr>
      </w:pPr>
      <w:r w:rsidRPr="00E55CA1">
        <w:rPr>
          <w:lang w:val="es-ES_tradnl"/>
        </w:rPr>
        <w:t>En la realización más simple de la metodología, se supone que una antena del servicio fijo tiene la misma probabilidad de estar situada</w:t>
      </w:r>
      <w:r>
        <w:rPr>
          <w:lang w:val="es-ES_tradnl"/>
        </w:rPr>
        <w:t xml:space="preserve"> en cualquier azimut para una distancia de salto y ángulo de elevación determinados. De forma alternativa, cuando se dispone de datos reales, pueden utilizarse los ángulos de azimut y de elevación de un trayecto del servicio fijo al examinar los enlaces caso a caso.</w:t>
      </w:r>
    </w:p>
    <w:p w:rsidR="00C770FE" w:rsidRDefault="00C770FE" w:rsidP="00741A79">
      <w:pPr>
        <w:pStyle w:val="Heading3"/>
        <w:rPr>
          <w:lang w:val="es-ES_tradnl"/>
        </w:rPr>
      </w:pPr>
      <w:r>
        <w:rPr>
          <w:lang w:val="es-ES_tradnl"/>
        </w:rPr>
        <w:t>4.3.2</w:t>
      </w:r>
      <w:r>
        <w:rPr>
          <w:lang w:val="es-ES_tradnl"/>
        </w:rPr>
        <w:tab/>
        <w:t>Distancia máxima del salto</w:t>
      </w:r>
    </w:p>
    <w:p w:rsidR="00C770FE" w:rsidRDefault="00C770FE" w:rsidP="00741A79">
      <w:pPr>
        <w:rPr>
          <w:lang w:val="es-ES_tradnl"/>
        </w:rPr>
      </w:pPr>
      <w:r>
        <w:rPr>
          <w:lang w:val="es-ES_tradnl"/>
        </w:rPr>
        <w:t xml:space="preserve">La distancia máxima posible del salto depende de factores geoclimáticos, así como de los parámetros de diseño del sistema del servicio fijo, tales como la disponibilidad diseñada, el umbral de la </w:t>
      </w:r>
      <w:r>
        <w:rPr>
          <w:i/>
          <w:iCs/>
          <w:lang w:val="es-ES_tradnl"/>
        </w:rPr>
        <w:t>C</w:t>
      </w:r>
      <w:r>
        <w:rPr>
          <w:lang w:val="es-ES_tradnl"/>
        </w:rPr>
        <w:t>/</w:t>
      </w:r>
      <w:r>
        <w:rPr>
          <w:i/>
          <w:iCs/>
          <w:lang w:val="es-ES_tradnl"/>
        </w:rPr>
        <w:t>N</w:t>
      </w:r>
      <w:r>
        <w:rPr>
          <w:lang w:val="es-ES_tradnl"/>
        </w:rPr>
        <w:t xml:space="preserve"> para un nivel determinado de la calidad en términos de la proporción de bits erróneos (BER) y el equipo de modulación empleado. El tamaño de la antena transmisora, la disponibilidad diseñada, el tipo de modulación, el factor de ruido del receptor y la anchura de banda del canal, junto con el límite máximo de potencia que se especifican en el § 4.1 e) tendrán el efecto de limitar la distancia máxima.</w:t>
      </w:r>
    </w:p>
    <w:p w:rsidR="00C770FE" w:rsidRDefault="00C770FE" w:rsidP="00741A79">
      <w:pPr>
        <w:pStyle w:val="Heading3"/>
        <w:rPr>
          <w:lang w:val="es-ES_tradnl"/>
        </w:rPr>
      </w:pPr>
      <w:r>
        <w:rPr>
          <w:lang w:val="es-ES_tradnl"/>
        </w:rPr>
        <w:t>4.3.3</w:t>
      </w:r>
      <w:r>
        <w:rPr>
          <w:lang w:val="es-ES_tradnl"/>
        </w:rPr>
        <w:tab/>
        <w:t>Diámetro mínimo/máximo de la antena</w:t>
      </w:r>
    </w:p>
    <w:p w:rsidR="00C770FE" w:rsidRDefault="00C770FE" w:rsidP="00741A79">
      <w:pPr>
        <w:rPr>
          <w:lang w:val="es-ES_tradnl"/>
        </w:rPr>
      </w:pPr>
      <w:r>
        <w:rPr>
          <w:lang w:val="es-ES_tradnl"/>
        </w:rPr>
        <w:t>La metodología puede aceptar cualquier tamaño de antena que se utilice típicamente en las bandas compartidas por encima de 17 GHz.</w:t>
      </w:r>
    </w:p>
    <w:p w:rsidR="00C770FE" w:rsidRDefault="00C770FE" w:rsidP="00741A79">
      <w:pPr>
        <w:pStyle w:val="Heading3"/>
        <w:rPr>
          <w:lang w:val="es-ES_tradnl"/>
        </w:rPr>
      </w:pPr>
      <w:r>
        <w:rPr>
          <w:lang w:val="es-ES_tradnl"/>
        </w:rPr>
        <w:t>4.3.4</w:t>
      </w:r>
      <w:r>
        <w:rPr>
          <w:lang w:val="es-ES_tradnl"/>
        </w:rPr>
        <w:tab/>
        <w:t>Modelo de altura de antena</w:t>
      </w:r>
    </w:p>
    <w:p w:rsidR="00C770FE" w:rsidRDefault="00C770FE" w:rsidP="00741A79">
      <w:pPr>
        <w:rPr>
          <w:lang w:val="es-ES_tradnl"/>
        </w:rPr>
      </w:pPr>
      <w:r>
        <w:rPr>
          <w:lang w:val="es-ES_tradnl"/>
        </w:rPr>
        <w:t>Los mismos modelos utilizados para las alturas de antena de abonado de los sistemas P</w:t>
      </w:r>
      <w:r>
        <w:rPr>
          <w:lang w:val="es-ES_tradnl"/>
        </w:rPr>
        <w:noBreakHyphen/>
        <w:t>MP pueden utilizarse para los modelos de altura de antena de receptores del servicio fijo P</w:t>
      </w:r>
      <w:r>
        <w:rPr>
          <w:lang w:val="es-ES_tradnl"/>
        </w:rPr>
        <w:noBreakHyphen/>
        <w:t>P. No obstante, dado que hay cierta preferencia en la selección de edificios altos en los que situar las antenas para las redes P</w:t>
      </w:r>
      <w:r>
        <w:rPr>
          <w:lang w:val="es-ES_tradnl"/>
        </w:rPr>
        <w:noBreakHyphen/>
        <w:t>P, pueden utilizarse, si se dispone de ellos, datos estadísticos de alturas de antena obtenidos de los bancos de datos de frecuencias nacionales.</w:t>
      </w:r>
    </w:p>
    <w:p w:rsidR="00C770FE" w:rsidRDefault="00C770FE" w:rsidP="00244027">
      <w:pPr>
        <w:rPr>
          <w:lang w:val="es-ES_tradnl"/>
        </w:rPr>
      </w:pPr>
      <w:r>
        <w:rPr>
          <w:lang w:val="es-ES_tradnl"/>
        </w:rPr>
        <w:t>En el caso de la implementación P-P de un sistema P</w:t>
      </w:r>
      <w:r>
        <w:rPr>
          <w:lang w:val="es-ES_tradnl"/>
        </w:rPr>
        <w:noBreakHyphen/>
        <w:t>MP o de una red en estrella o de una red P</w:t>
      </w:r>
      <w:r>
        <w:rPr>
          <w:lang w:val="es-ES_tradnl"/>
        </w:rPr>
        <w:noBreakHyphen/>
        <w:t>P simétrica, pueden utilizarse los mismos modelos utilizados para las alturas de antena de abonado de sistemas P</w:t>
      </w:r>
      <w:r>
        <w:rPr>
          <w:lang w:val="es-ES_tradnl"/>
        </w:rPr>
        <w:noBreakHyphen/>
        <w:t>MP para los modelos de alturas de antena de receptores del servicio fijo P</w:t>
      </w:r>
      <w:r>
        <w:rPr>
          <w:lang w:val="es-ES_tradnl"/>
        </w:rPr>
        <w:noBreakHyphen/>
        <w:t>P configurados en estrella.</w:t>
      </w:r>
    </w:p>
    <w:p w:rsidR="00C770FE" w:rsidRDefault="00C770FE" w:rsidP="00741A79">
      <w:pPr>
        <w:rPr>
          <w:lang w:val="es-ES_tradnl"/>
        </w:rPr>
      </w:pPr>
      <w:r>
        <w:rPr>
          <w:lang w:val="es-ES_tradnl"/>
        </w:rPr>
        <w:t xml:space="preserve">Véase que la diferencia en los umbrales asociada a la calidad a largo y corto plazo varía dependiendo del tipo de modulación que se utilice. Los enlaces que utilizan niveles superiores de modulación con umbrales mayores de la </w:t>
      </w:r>
      <w:r>
        <w:rPr>
          <w:i/>
          <w:iCs/>
          <w:lang w:val="es-ES_tradnl"/>
        </w:rPr>
        <w:t>C</w:t>
      </w:r>
      <w:r>
        <w:rPr>
          <w:lang w:val="es-ES_tradnl"/>
        </w:rPr>
        <w:t>/</w:t>
      </w:r>
      <w:r>
        <w:rPr>
          <w:i/>
          <w:iCs/>
          <w:lang w:val="es-ES_tradnl"/>
        </w:rPr>
        <w:t>N</w:t>
      </w:r>
      <w:r>
        <w:rPr>
          <w:lang w:val="es-ES_tradnl"/>
        </w:rPr>
        <w:t xml:space="preserve"> exigirán potencias de transmisión superiores en los enlaces para una distancia y anchura de banda del canal determinadas. Este hecho, junto con los límites en la potencia máxima de cualquier canal radioeléctrico especificados en el § 4.1 e), tendrá el efecto de limitar la distancia máxima de un enlace para una disponibilidad determinada o de reducir la disponibilidad que puede lograrse para una distancia dada.</w:t>
      </w:r>
    </w:p>
    <w:p w:rsidR="00C770FE" w:rsidRDefault="00C770FE" w:rsidP="00741A79">
      <w:pPr>
        <w:pStyle w:val="Heading1"/>
        <w:rPr>
          <w:lang w:val="es-ES_tradnl"/>
        </w:rPr>
      </w:pPr>
      <w:r>
        <w:rPr>
          <w:lang w:val="es-ES_tradnl"/>
        </w:rPr>
        <w:lastRenderedPageBreak/>
        <w:t>5</w:t>
      </w:r>
      <w:r>
        <w:rPr>
          <w:lang w:val="es-ES_tradnl"/>
        </w:rPr>
        <w:tab/>
        <w:t>Atenuación atmosférica en cielo despejado</w:t>
      </w:r>
    </w:p>
    <w:p w:rsidR="00C770FE" w:rsidRDefault="00C770FE" w:rsidP="00741A79">
      <w:pPr>
        <w:pStyle w:val="Heading2"/>
        <w:rPr>
          <w:lang w:val="es-ES_tradnl"/>
        </w:rPr>
      </w:pPr>
      <w:r>
        <w:rPr>
          <w:lang w:val="es-ES_tradnl"/>
        </w:rPr>
        <w:t>5.1</w:t>
      </w:r>
      <w:r>
        <w:rPr>
          <w:lang w:val="es-ES_tradnl"/>
        </w:rPr>
        <w:tab/>
        <w:t>Parámetros geoclimáticos y gamas aplicables</w:t>
      </w:r>
    </w:p>
    <w:p w:rsidR="00C770FE" w:rsidRDefault="00C770FE" w:rsidP="00741A79">
      <w:pPr>
        <w:rPr>
          <w:lang w:val="es-ES_tradnl"/>
        </w:rPr>
      </w:pPr>
      <w:r>
        <w:rPr>
          <w:lang w:val="es-ES_tradnl"/>
        </w:rPr>
        <w:t>Si se desea probar la sensibilidad de parámetros específicos de sistemas del servicio fijo y los factores geoclimáticos asociados respecto a la susceptibilidad a la interferencia, puede aplicarse paramétricamente la metodología en una amplia gama de parámetros del sistema y factores geoclimáticos.</w:t>
      </w:r>
    </w:p>
    <w:p w:rsidR="00C770FE" w:rsidRDefault="00C770FE" w:rsidP="00244027">
      <w:pPr>
        <w:rPr>
          <w:lang w:val="es-ES_tradnl"/>
        </w:rPr>
      </w:pPr>
      <w:r>
        <w:rPr>
          <w:lang w:val="es-ES_tradnl"/>
        </w:rPr>
        <w:t>Pueden considerarse dos posibles Recomendaciones UIT</w:t>
      </w:r>
      <w:r>
        <w:rPr>
          <w:lang w:val="es-ES_tradnl"/>
        </w:rPr>
        <w:noBreakHyphen/>
        <w:t>R para calcular las pérdidas debidas a la absorción atmosférica. La Recomendación UIT</w:t>
      </w:r>
      <w:r>
        <w:rPr>
          <w:lang w:val="es-ES_tradnl"/>
        </w:rPr>
        <w:noBreakHyphen/>
        <w:t>R P.676</w:t>
      </w:r>
      <w:r>
        <w:rPr>
          <w:lang w:val="es-ES_tradnl"/>
        </w:rPr>
        <w:noBreakHyphen/>
        <w:t>4, se puede utilizar sobre una base específica del emplazamiento para efectuar esta determinación, en los trayectos espacio</w:t>
      </w:r>
      <w:r>
        <w:rPr>
          <w:lang w:val="es-ES_tradnl"/>
        </w:rPr>
        <w:noBreakHyphen/>
        <w:t>Tierra, así como para el servicio fijo, utilizando el método del Anexo 2 de la Recomendación. La Recomendación</w:t>
      </w:r>
      <w:r w:rsidR="00244027">
        <w:rPr>
          <w:lang w:val="es-ES_tradnl"/>
        </w:rPr>
        <w:t xml:space="preserve"> </w:t>
      </w:r>
      <w:r>
        <w:rPr>
          <w:lang w:val="es-ES_tradnl"/>
        </w:rPr>
        <w:t>UIT</w:t>
      </w:r>
      <w:r>
        <w:rPr>
          <w:lang w:val="es-ES_tradnl"/>
        </w:rPr>
        <w:noBreakHyphen/>
        <w:t>R SF.1395, basándose en el Anexo 1 de dicha Recomendación UIT</w:t>
      </w:r>
      <w:r>
        <w:rPr>
          <w:lang w:val="es-ES_tradnl"/>
        </w:rPr>
        <w:noBreakHyphen/>
        <w:t>R P.676 y en la Recomendación UIT</w:t>
      </w:r>
      <w:r>
        <w:rPr>
          <w:lang w:val="es-ES_tradnl"/>
        </w:rPr>
        <w:noBreakHyphen/>
        <w:t>R P.835 da la atenuación mínima espacio</w:t>
      </w:r>
      <w:r>
        <w:rPr>
          <w:lang w:val="es-ES_tradnl"/>
        </w:rPr>
        <w:noBreakHyphen/>
        <w:t>Tierra en el mes más seco y se desarrolló para utilizarla en los estudios de compartición entre el SFS y el servicio fijo. El método de la atenuación espacio</w:t>
      </w:r>
      <w:r>
        <w:rPr>
          <w:lang w:val="es-ES_tradnl"/>
        </w:rPr>
        <w:noBreakHyphen/>
        <w:t>Tierra de la Recomendación UIT</w:t>
      </w:r>
      <w:r>
        <w:rPr>
          <w:lang w:val="es-ES_tradnl"/>
        </w:rPr>
        <w:noBreakHyphen/>
        <w:t>R P.676 requiere datos específicos del emplazamiento que están disponibles en otras Recomendaciones UIT</w:t>
      </w:r>
      <w:r>
        <w:rPr>
          <w:lang w:val="es-ES_tradnl"/>
        </w:rPr>
        <w:noBreakHyphen/>
        <w:t>R de la serie de propagación. El Cuadro 1 contiene valores representativos de los parámetros geoclimáticos necesarios para 13 ejemplos de emplazamientos. En el Cuadro 2 se enumeran los factores geoclimáticos necesarios para aplicar la Recomendación UIT</w:t>
      </w:r>
      <w:r>
        <w:rPr>
          <w:lang w:val="es-ES_tradnl"/>
        </w:rPr>
        <w:noBreakHyphen/>
        <w:t>R P.676 a los efectos del cálculo de la atenuación atmosférica.</w:t>
      </w:r>
    </w:p>
    <w:p w:rsidR="00C770FE" w:rsidRPr="00C770FE" w:rsidRDefault="00C770FE" w:rsidP="00741A79">
      <w:pPr>
        <w:pStyle w:val="TableNo"/>
        <w:rPr>
          <w:lang w:val="es-ES_tradnl"/>
        </w:rPr>
      </w:pPr>
      <w:r w:rsidRPr="00C770FE">
        <w:rPr>
          <w:lang w:val="es-ES_tradnl"/>
        </w:rPr>
        <w:t>CUADRO  1</w:t>
      </w:r>
    </w:p>
    <w:p w:rsidR="00C770FE" w:rsidRPr="00E55CA1" w:rsidRDefault="00C770FE" w:rsidP="008B3431">
      <w:pPr>
        <w:pStyle w:val="Tabletitle"/>
        <w:rPr>
          <w:lang w:val="es-ES_tradnl"/>
        </w:rPr>
      </w:pPr>
      <w:r w:rsidRPr="00E55CA1">
        <w:rPr>
          <w:lang w:val="es-ES_tradnl"/>
        </w:rPr>
        <w:t>Ejemplo de parámetros geoclimáticos específicos del emplazamiento que facilitan</w:t>
      </w:r>
      <w:r w:rsidR="008B3431">
        <w:rPr>
          <w:lang w:val="es-ES_tradnl"/>
        </w:rPr>
        <w:br/>
      </w:r>
      <w:r w:rsidRPr="00E55CA1">
        <w:rPr>
          <w:lang w:val="es-ES_tradnl"/>
        </w:rPr>
        <w:t>el análisis de la sensibilidad a la dfp de interferencia del SFS/servicio fijo</w:t>
      </w:r>
      <w:r w:rsidR="008B3431">
        <w:rPr>
          <w:lang w:val="es-ES_tradnl"/>
        </w:rPr>
        <w:br/>
      </w:r>
      <w:r w:rsidRPr="00E55CA1">
        <w:rPr>
          <w:lang w:val="es-ES_tradnl"/>
        </w:rPr>
        <w:t>espacio</w:t>
      </w:r>
      <w:r w:rsidRPr="00E55CA1">
        <w:rPr>
          <w:lang w:val="es-ES_tradnl"/>
        </w:rPr>
        <w:noBreakHyphen/>
        <w:t>Tierra respecto</w:t>
      </w:r>
      <w:r w:rsidR="008B3431">
        <w:rPr>
          <w:lang w:val="es-ES_tradnl"/>
        </w:rPr>
        <w:t xml:space="preserve"> </w:t>
      </w:r>
      <w:r w:rsidRPr="00E55CA1">
        <w:rPr>
          <w:lang w:val="es-ES_tradnl"/>
        </w:rPr>
        <w:t>al emplazamiento (latitud)</w:t>
      </w:r>
      <w:r w:rsidR="008B3431">
        <w:rPr>
          <w:lang w:val="es-ES_tradnl"/>
        </w:rPr>
        <w:br/>
      </w:r>
      <w:r w:rsidRPr="00E55CA1">
        <w:rPr>
          <w:lang w:val="es-ES_tradnl"/>
        </w:rPr>
        <w:t>y los parámetros geoclimáticos locales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733"/>
        <w:gridCol w:w="901"/>
        <w:gridCol w:w="1478"/>
        <w:gridCol w:w="567"/>
        <w:gridCol w:w="846"/>
        <w:gridCol w:w="621"/>
        <w:gridCol w:w="733"/>
        <w:gridCol w:w="733"/>
        <w:gridCol w:w="621"/>
        <w:gridCol w:w="621"/>
        <w:gridCol w:w="885"/>
        <w:gridCol w:w="16"/>
      </w:tblGrid>
      <w:tr w:rsidR="00C770FE" w:rsidRPr="00E55CA1" w:rsidTr="008B3431">
        <w:trPr>
          <w:jc w:val="center"/>
        </w:trPr>
        <w:tc>
          <w:tcPr>
            <w:tcW w:w="900" w:type="dxa"/>
            <w:tcBorders>
              <w:bottom w:val="single" w:sz="4" w:space="0" w:color="auto"/>
            </w:tcBorders>
            <w:vAlign w:val="center"/>
          </w:tcPr>
          <w:p w:rsidR="00C770FE" w:rsidRPr="00E55CA1" w:rsidRDefault="00C770FE" w:rsidP="00741A79">
            <w:pPr>
              <w:pStyle w:val="Tablehead"/>
              <w:rPr>
                <w:sz w:val="16"/>
                <w:szCs w:val="16"/>
                <w:lang w:val="es-ES_tradnl"/>
              </w:rPr>
            </w:pPr>
          </w:p>
        </w:tc>
        <w:tc>
          <w:tcPr>
            <w:tcW w:w="3112" w:type="dxa"/>
            <w:gridSpan w:val="3"/>
            <w:tcBorders>
              <w:bottom w:val="single" w:sz="4" w:space="0" w:color="auto"/>
            </w:tcBorders>
            <w:vAlign w:val="center"/>
          </w:tcPr>
          <w:p w:rsidR="00C770FE" w:rsidRPr="00E55CA1" w:rsidRDefault="00C770FE" w:rsidP="00741A79">
            <w:pPr>
              <w:pStyle w:val="Tablehead"/>
              <w:rPr>
                <w:sz w:val="16"/>
                <w:szCs w:val="16"/>
                <w:lang w:val="es-ES_tradnl"/>
              </w:rPr>
            </w:pPr>
            <w:r w:rsidRPr="00E55CA1">
              <w:rPr>
                <w:sz w:val="16"/>
                <w:szCs w:val="16"/>
                <w:lang w:val="es-ES_tradnl"/>
              </w:rPr>
              <w:t>Coordenadas del sistema del servicio fijo</w:t>
            </w:r>
          </w:p>
        </w:tc>
        <w:tc>
          <w:tcPr>
            <w:tcW w:w="567" w:type="dxa"/>
            <w:tcBorders>
              <w:bottom w:val="single" w:sz="4" w:space="0" w:color="auto"/>
            </w:tcBorders>
            <w:vAlign w:val="center"/>
          </w:tcPr>
          <w:p w:rsidR="00C770FE" w:rsidRPr="00E55CA1" w:rsidRDefault="00C770FE" w:rsidP="00741A79">
            <w:pPr>
              <w:pStyle w:val="Tablehead"/>
              <w:rPr>
                <w:sz w:val="16"/>
                <w:szCs w:val="16"/>
                <w:lang w:val="es-ES_tradnl"/>
              </w:rPr>
            </w:pPr>
          </w:p>
        </w:tc>
        <w:tc>
          <w:tcPr>
            <w:tcW w:w="5076" w:type="dxa"/>
            <w:gridSpan w:val="8"/>
            <w:tcBorders>
              <w:bottom w:val="single" w:sz="4" w:space="0" w:color="auto"/>
            </w:tcBorders>
            <w:vAlign w:val="center"/>
          </w:tcPr>
          <w:p w:rsidR="00C770FE" w:rsidRPr="00E55CA1" w:rsidRDefault="00C770FE" w:rsidP="00741A79">
            <w:pPr>
              <w:pStyle w:val="Tablehead"/>
              <w:rPr>
                <w:sz w:val="16"/>
                <w:szCs w:val="16"/>
                <w:lang w:val="es-ES_tradnl"/>
              </w:rPr>
            </w:pPr>
            <w:r w:rsidRPr="00E55CA1">
              <w:rPr>
                <w:sz w:val="16"/>
                <w:szCs w:val="16"/>
                <w:lang w:val="es-ES_tradnl"/>
              </w:rPr>
              <w:t>Parámetros invernales</w:t>
            </w:r>
            <w:r w:rsidRPr="00E55CA1">
              <w:rPr>
                <w:position w:val="6"/>
                <w:sz w:val="16"/>
                <w:szCs w:val="16"/>
                <w:lang w:val="es-ES_tradnl"/>
              </w:rPr>
              <w:t>(1)</w:t>
            </w:r>
          </w:p>
        </w:tc>
      </w:tr>
      <w:tr w:rsidR="00C770FE" w:rsidRPr="00E55CA1" w:rsidTr="008B3431">
        <w:trPr>
          <w:cantSplit/>
          <w:trHeight w:val="625"/>
          <w:jc w:val="center"/>
        </w:trPr>
        <w:tc>
          <w:tcPr>
            <w:tcW w:w="900" w:type="dxa"/>
            <w:tcBorders>
              <w:bottom w:val="single" w:sz="4" w:space="0" w:color="auto"/>
            </w:tcBorders>
            <w:vAlign w:val="center"/>
          </w:tcPr>
          <w:p w:rsidR="00C770FE" w:rsidRPr="00E55CA1" w:rsidRDefault="008B3431" w:rsidP="00741A79">
            <w:pPr>
              <w:pStyle w:val="Tablehead"/>
              <w:rPr>
                <w:bCs/>
                <w:sz w:val="16"/>
                <w:szCs w:val="16"/>
                <w:lang w:val="es-ES_tradnl"/>
              </w:rPr>
            </w:pPr>
            <w:r>
              <w:rPr>
                <w:bCs/>
                <w:sz w:val="16"/>
                <w:szCs w:val="16"/>
                <w:lang w:val="es-ES_tradnl"/>
              </w:rPr>
              <w:t>Empla-</w:t>
            </w:r>
            <w:r>
              <w:rPr>
                <w:bCs/>
                <w:sz w:val="16"/>
                <w:szCs w:val="16"/>
                <w:lang w:val="es-ES_tradnl"/>
              </w:rPr>
              <w:br/>
            </w:r>
            <w:r w:rsidR="00C770FE" w:rsidRPr="00E55CA1">
              <w:rPr>
                <w:bCs/>
                <w:sz w:val="16"/>
                <w:szCs w:val="16"/>
                <w:lang w:val="es-ES_tradnl"/>
              </w:rPr>
              <w:t>zamiento</w:t>
            </w:r>
          </w:p>
        </w:tc>
        <w:tc>
          <w:tcPr>
            <w:tcW w:w="733" w:type="dxa"/>
            <w:tcBorders>
              <w:bottom w:val="single" w:sz="4" w:space="0" w:color="auto"/>
            </w:tcBorders>
            <w:vAlign w:val="center"/>
          </w:tcPr>
          <w:p w:rsidR="00C770FE" w:rsidRPr="00E55CA1" w:rsidRDefault="00C770FE" w:rsidP="00822BB1">
            <w:pPr>
              <w:pStyle w:val="Tablehead"/>
              <w:rPr>
                <w:bCs/>
                <w:sz w:val="16"/>
                <w:szCs w:val="16"/>
                <w:lang w:val="es-ES_tradnl"/>
              </w:rPr>
            </w:pPr>
            <w:r w:rsidRPr="00E55CA1">
              <w:rPr>
                <w:bCs/>
                <w:sz w:val="16"/>
                <w:szCs w:val="16"/>
                <w:lang w:val="es-ES_tradnl"/>
              </w:rPr>
              <w:t>Latitud</w:t>
            </w:r>
            <w:r w:rsidRPr="00E55CA1">
              <w:rPr>
                <w:bCs/>
                <w:sz w:val="16"/>
                <w:szCs w:val="16"/>
                <w:lang w:val="es-ES_tradnl"/>
              </w:rPr>
              <w:br/>
              <w:t>(</w:t>
            </w:r>
            <w:r w:rsidR="002F1F6B" w:rsidRPr="00E55CA1">
              <w:rPr>
                <w:bCs/>
                <w:sz w:val="16"/>
                <w:szCs w:val="16"/>
                <w:lang w:val="es-ES_tradnl"/>
              </w:rPr>
              <w:t>+º</w:t>
            </w:r>
            <w:r w:rsidRPr="00E55CA1">
              <w:rPr>
                <w:bCs/>
                <w:sz w:val="16"/>
                <w:szCs w:val="16"/>
                <w:lang w:val="es-ES_tradnl"/>
              </w:rPr>
              <w:t>N)</w:t>
            </w:r>
          </w:p>
        </w:tc>
        <w:tc>
          <w:tcPr>
            <w:tcW w:w="901" w:type="dxa"/>
            <w:tcBorders>
              <w:bottom w:val="single" w:sz="4" w:space="0" w:color="auto"/>
            </w:tcBorders>
            <w:vAlign w:val="center"/>
          </w:tcPr>
          <w:p w:rsidR="00C770FE" w:rsidRPr="00E55CA1" w:rsidRDefault="00C770FE" w:rsidP="00822BB1">
            <w:pPr>
              <w:pStyle w:val="Tablehead"/>
              <w:rPr>
                <w:bCs/>
                <w:sz w:val="16"/>
                <w:szCs w:val="16"/>
              </w:rPr>
            </w:pPr>
            <w:r w:rsidRPr="00E55CA1">
              <w:rPr>
                <w:bCs/>
                <w:sz w:val="16"/>
                <w:szCs w:val="16"/>
              </w:rPr>
              <w:t>Longitud</w:t>
            </w:r>
            <w:r w:rsidRPr="00E55CA1">
              <w:rPr>
                <w:bCs/>
                <w:sz w:val="16"/>
                <w:szCs w:val="16"/>
              </w:rPr>
              <w:br/>
              <w:t>(</w:t>
            </w:r>
            <w:r w:rsidR="002F1F6B" w:rsidRPr="00E55CA1">
              <w:rPr>
                <w:bCs/>
                <w:sz w:val="16"/>
                <w:szCs w:val="16"/>
                <w:lang w:val="es-ES_tradnl"/>
              </w:rPr>
              <w:t>+º</w:t>
            </w:r>
            <w:r w:rsidRPr="00E55CA1">
              <w:rPr>
                <w:bCs/>
                <w:sz w:val="16"/>
                <w:szCs w:val="16"/>
              </w:rPr>
              <w:t>E)</w:t>
            </w:r>
          </w:p>
        </w:tc>
        <w:tc>
          <w:tcPr>
            <w:tcW w:w="1478" w:type="dxa"/>
            <w:tcBorders>
              <w:bottom w:val="single" w:sz="4" w:space="0" w:color="auto"/>
            </w:tcBorders>
            <w:vAlign w:val="center"/>
          </w:tcPr>
          <w:p w:rsidR="00C770FE" w:rsidRPr="00E55CA1" w:rsidRDefault="00C770FE" w:rsidP="00741A79">
            <w:pPr>
              <w:pStyle w:val="Tablehead"/>
              <w:rPr>
                <w:bCs/>
                <w:sz w:val="16"/>
                <w:szCs w:val="16"/>
              </w:rPr>
            </w:pPr>
            <w:r w:rsidRPr="00E55CA1">
              <w:rPr>
                <w:bCs/>
                <w:sz w:val="16"/>
                <w:szCs w:val="16"/>
              </w:rPr>
              <w:t>Emplazamiento</w:t>
            </w:r>
          </w:p>
        </w:tc>
        <w:tc>
          <w:tcPr>
            <w:tcW w:w="567" w:type="dxa"/>
            <w:tcBorders>
              <w:bottom w:val="single" w:sz="4" w:space="0" w:color="auto"/>
            </w:tcBorders>
            <w:vAlign w:val="center"/>
          </w:tcPr>
          <w:p w:rsidR="00C770FE" w:rsidRPr="00E55CA1" w:rsidRDefault="00C770FE" w:rsidP="00741A79">
            <w:pPr>
              <w:pStyle w:val="Tablehead"/>
              <w:rPr>
                <w:bCs/>
                <w:i/>
                <w:iCs/>
                <w:sz w:val="16"/>
                <w:szCs w:val="16"/>
              </w:rPr>
            </w:pPr>
            <w:r w:rsidRPr="00E55CA1">
              <w:rPr>
                <w:bCs/>
                <w:i/>
                <w:iCs/>
                <w:sz w:val="16"/>
                <w:szCs w:val="16"/>
              </w:rPr>
              <w:t>h</w:t>
            </w:r>
            <w:r w:rsidRPr="00E55CA1">
              <w:rPr>
                <w:bCs/>
                <w:i/>
                <w:iCs/>
                <w:position w:val="-4"/>
                <w:sz w:val="16"/>
                <w:szCs w:val="16"/>
              </w:rPr>
              <w:t>s</w:t>
            </w:r>
            <w:r w:rsidRPr="00E55CA1">
              <w:rPr>
                <w:bCs/>
                <w:i/>
                <w:iCs/>
                <w:sz w:val="16"/>
                <w:szCs w:val="16"/>
              </w:rPr>
              <w:br/>
            </w:r>
            <w:r w:rsidRPr="00E55CA1">
              <w:rPr>
                <w:bCs/>
                <w:sz w:val="16"/>
                <w:szCs w:val="16"/>
              </w:rPr>
              <w:t>(km)</w:t>
            </w:r>
          </w:p>
        </w:tc>
        <w:tc>
          <w:tcPr>
            <w:tcW w:w="846" w:type="dxa"/>
            <w:tcBorders>
              <w:bottom w:val="single" w:sz="4" w:space="0" w:color="auto"/>
            </w:tcBorders>
            <w:vAlign w:val="center"/>
          </w:tcPr>
          <w:p w:rsidR="00C770FE" w:rsidRPr="00E55CA1" w:rsidRDefault="00C770FE" w:rsidP="00741A79">
            <w:pPr>
              <w:pStyle w:val="Tablehead"/>
              <w:rPr>
                <w:bCs/>
                <w:i/>
                <w:iCs/>
                <w:sz w:val="16"/>
                <w:szCs w:val="16"/>
              </w:rPr>
            </w:pPr>
            <w:r w:rsidRPr="00E55CA1">
              <w:rPr>
                <w:bCs/>
                <w:i/>
                <w:iCs/>
                <w:sz w:val="16"/>
                <w:szCs w:val="16"/>
              </w:rPr>
              <w:t>P</w:t>
            </w:r>
            <w:r w:rsidRPr="00E55CA1">
              <w:rPr>
                <w:bCs/>
                <w:i/>
                <w:iCs/>
                <w:sz w:val="16"/>
                <w:szCs w:val="16"/>
              </w:rPr>
              <w:br/>
            </w:r>
            <w:r w:rsidRPr="00E55CA1">
              <w:rPr>
                <w:bCs/>
                <w:sz w:val="16"/>
                <w:szCs w:val="16"/>
              </w:rPr>
              <w:t>(hPa)</w:t>
            </w:r>
          </w:p>
        </w:tc>
        <w:tc>
          <w:tcPr>
            <w:tcW w:w="621" w:type="dxa"/>
            <w:tcBorders>
              <w:bottom w:val="single" w:sz="4" w:space="0" w:color="auto"/>
            </w:tcBorders>
            <w:vAlign w:val="center"/>
          </w:tcPr>
          <w:p w:rsidR="00C770FE" w:rsidRPr="00E55CA1" w:rsidRDefault="00C770FE" w:rsidP="00741A79">
            <w:pPr>
              <w:pStyle w:val="Tablehead"/>
              <w:rPr>
                <w:bCs/>
                <w:sz w:val="16"/>
                <w:szCs w:val="16"/>
              </w:rPr>
            </w:pPr>
            <w:r w:rsidRPr="00E55CA1">
              <w:rPr>
                <w:bCs/>
                <w:i/>
                <w:iCs/>
                <w:sz w:val="16"/>
                <w:szCs w:val="16"/>
              </w:rPr>
              <w:t>N</w:t>
            </w:r>
            <w:r w:rsidRPr="00E55CA1">
              <w:rPr>
                <w:bCs/>
                <w:position w:val="-4"/>
                <w:sz w:val="16"/>
                <w:szCs w:val="16"/>
              </w:rPr>
              <w:t>0</w:t>
            </w:r>
          </w:p>
        </w:tc>
        <w:tc>
          <w:tcPr>
            <w:tcW w:w="733" w:type="dxa"/>
            <w:tcBorders>
              <w:bottom w:val="single" w:sz="4" w:space="0" w:color="auto"/>
            </w:tcBorders>
            <w:vAlign w:val="center"/>
          </w:tcPr>
          <w:p w:rsidR="00C770FE" w:rsidRPr="00E55CA1" w:rsidRDefault="002F1F6B" w:rsidP="00741A79">
            <w:pPr>
              <w:pStyle w:val="Tablehead"/>
              <w:rPr>
                <w:bCs/>
                <w:sz w:val="16"/>
                <w:szCs w:val="16"/>
                <w:lang w:val="es-ES_tradnl"/>
              </w:rPr>
            </w:pPr>
            <w:r w:rsidRPr="00E55CA1">
              <w:rPr>
                <w:bCs/>
                <w:sz w:val="16"/>
                <w:szCs w:val="16"/>
              </w:rPr>
              <w:sym w:font="Symbol" w:char="F072"/>
            </w:r>
            <w:r w:rsidR="00C770FE" w:rsidRPr="00E55CA1">
              <w:rPr>
                <w:bCs/>
                <w:position w:val="-4"/>
                <w:sz w:val="16"/>
                <w:szCs w:val="16"/>
              </w:rPr>
              <w:t></w:t>
            </w:r>
            <w:r w:rsidR="00C770FE" w:rsidRPr="00E55CA1">
              <w:rPr>
                <w:bCs/>
                <w:sz w:val="16"/>
                <w:szCs w:val="16"/>
                <w:lang w:val="es-ES_tradnl"/>
              </w:rPr>
              <w:br/>
              <w:t>(g/m</w:t>
            </w:r>
            <w:r w:rsidR="00C770FE" w:rsidRPr="00E55CA1">
              <w:rPr>
                <w:bCs/>
                <w:position w:val="6"/>
                <w:sz w:val="16"/>
                <w:szCs w:val="16"/>
                <w:lang w:val="es-ES_tradnl"/>
              </w:rPr>
              <w:t>3</w:t>
            </w:r>
            <w:r w:rsidR="00C770FE" w:rsidRPr="00E55CA1">
              <w:rPr>
                <w:bCs/>
                <w:sz w:val="16"/>
                <w:szCs w:val="16"/>
                <w:lang w:val="es-ES_tradnl"/>
              </w:rPr>
              <w:t>)</w:t>
            </w:r>
          </w:p>
        </w:tc>
        <w:tc>
          <w:tcPr>
            <w:tcW w:w="733" w:type="dxa"/>
            <w:tcBorders>
              <w:bottom w:val="single" w:sz="4" w:space="0" w:color="auto"/>
            </w:tcBorders>
            <w:vAlign w:val="center"/>
          </w:tcPr>
          <w:p w:rsidR="00C770FE" w:rsidRPr="00E55CA1" w:rsidRDefault="00C770FE" w:rsidP="00741A79">
            <w:pPr>
              <w:pStyle w:val="Tablehead"/>
              <w:rPr>
                <w:bCs/>
                <w:i/>
                <w:iCs/>
                <w:sz w:val="16"/>
                <w:szCs w:val="16"/>
                <w:lang w:val="es-ES_tradnl"/>
              </w:rPr>
            </w:pPr>
            <w:r w:rsidRPr="00E55CA1">
              <w:rPr>
                <w:bCs/>
                <w:i/>
                <w:iCs/>
                <w:sz w:val="16"/>
                <w:szCs w:val="16"/>
                <w:lang w:val="es-ES_tradnl"/>
              </w:rPr>
              <w:t>T</w:t>
            </w:r>
            <w:r w:rsidRPr="00E55CA1">
              <w:rPr>
                <w:bCs/>
                <w:i/>
                <w:iCs/>
                <w:sz w:val="16"/>
                <w:szCs w:val="16"/>
                <w:lang w:val="es-ES_tradnl"/>
              </w:rPr>
              <w:br/>
            </w:r>
            <w:r w:rsidRPr="00E55CA1">
              <w:rPr>
                <w:bCs/>
                <w:sz w:val="16"/>
                <w:szCs w:val="16"/>
                <w:lang w:val="es-ES_tradnl"/>
              </w:rPr>
              <w:t>(K)</w:t>
            </w:r>
          </w:p>
        </w:tc>
        <w:tc>
          <w:tcPr>
            <w:tcW w:w="621" w:type="dxa"/>
            <w:tcBorders>
              <w:bottom w:val="single" w:sz="4" w:space="0" w:color="auto"/>
            </w:tcBorders>
            <w:vAlign w:val="center"/>
          </w:tcPr>
          <w:p w:rsidR="00C770FE" w:rsidRPr="00E55CA1" w:rsidRDefault="00C770FE" w:rsidP="002F1F6B">
            <w:pPr>
              <w:pStyle w:val="Tablehead"/>
              <w:rPr>
                <w:bCs/>
                <w:i/>
                <w:iCs/>
                <w:sz w:val="16"/>
                <w:szCs w:val="16"/>
                <w:lang w:val="es-ES_tradnl"/>
              </w:rPr>
            </w:pPr>
            <w:r w:rsidRPr="00E55CA1">
              <w:rPr>
                <w:bCs/>
                <w:i/>
                <w:iCs/>
                <w:sz w:val="16"/>
                <w:szCs w:val="16"/>
                <w:lang w:val="es-ES_tradnl"/>
              </w:rPr>
              <w:t>T</w:t>
            </w:r>
            <w:r w:rsidRPr="00E55CA1">
              <w:rPr>
                <w:bCs/>
                <w:i/>
                <w:iCs/>
                <w:sz w:val="16"/>
                <w:szCs w:val="16"/>
                <w:lang w:val="es-ES_tradnl"/>
              </w:rPr>
              <w:br/>
            </w:r>
            <w:r w:rsidRPr="00E55CA1">
              <w:rPr>
                <w:bCs/>
                <w:sz w:val="16"/>
                <w:szCs w:val="16"/>
                <w:lang w:val="es-ES_tradnl"/>
              </w:rPr>
              <w:t>(</w:t>
            </w:r>
            <w:r w:rsidR="002F1F6B" w:rsidRPr="00E55CA1">
              <w:rPr>
                <w:bCs/>
                <w:sz w:val="16"/>
                <w:szCs w:val="16"/>
                <w:lang w:val="es-ES_tradnl"/>
              </w:rPr>
              <w:t>º</w:t>
            </w:r>
            <w:r w:rsidRPr="00E55CA1">
              <w:rPr>
                <w:bCs/>
                <w:sz w:val="16"/>
                <w:szCs w:val="16"/>
                <w:lang w:val="es-ES_tradnl"/>
              </w:rPr>
              <w:t>C)</w:t>
            </w:r>
          </w:p>
        </w:tc>
        <w:tc>
          <w:tcPr>
            <w:tcW w:w="621" w:type="dxa"/>
            <w:tcBorders>
              <w:bottom w:val="single" w:sz="4" w:space="0" w:color="auto"/>
            </w:tcBorders>
            <w:vAlign w:val="center"/>
          </w:tcPr>
          <w:p w:rsidR="00C770FE" w:rsidRPr="00E55CA1" w:rsidRDefault="00C770FE" w:rsidP="00741A79">
            <w:pPr>
              <w:pStyle w:val="Tablehead"/>
              <w:rPr>
                <w:bCs/>
                <w:i/>
                <w:iCs/>
                <w:sz w:val="16"/>
                <w:szCs w:val="16"/>
                <w:lang w:val="es-ES_tradnl"/>
              </w:rPr>
            </w:pPr>
            <w:r w:rsidRPr="00E55CA1">
              <w:rPr>
                <w:bCs/>
                <w:i/>
                <w:iCs/>
                <w:sz w:val="16"/>
                <w:szCs w:val="16"/>
                <w:lang w:val="es-ES_tradnl"/>
              </w:rPr>
              <w:t>h</w:t>
            </w:r>
            <w:r w:rsidRPr="00E55CA1">
              <w:rPr>
                <w:bCs/>
                <w:i/>
                <w:iCs/>
                <w:position w:val="-4"/>
                <w:sz w:val="16"/>
                <w:szCs w:val="16"/>
                <w:lang w:val="es-ES_tradnl"/>
              </w:rPr>
              <w:t>R</w:t>
            </w:r>
            <w:r w:rsidRPr="00E55CA1">
              <w:rPr>
                <w:bCs/>
                <w:i/>
                <w:iCs/>
                <w:sz w:val="16"/>
                <w:szCs w:val="16"/>
                <w:lang w:val="es-ES_tradnl"/>
              </w:rPr>
              <w:br/>
            </w:r>
            <w:r w:rsidRPr="00E55CA1">
              <w:rPr>
                <w:bCs/>
                <w:sz w:val="16"/>
                <w:szCs w:val="16"/>
                <w:lang w:val="es-ES_tradnl"/>
              </w:rPr>
              <w:t>(km)</w:t>
            </w:r>
          </w:p>
        </w:tc>
        <w:tc>
          <w:tcPr>
            <w:tcW w:w="901" w:type="dxa"/>
            <w:gridSpan w:val="2"/>
            <w:tcBorders>
              <w:bottom w:val="single" w:sz="4" w:space="0" w:color="auto"/>
            </w:tcBorders>
            <w:vAlign w:val="center"/>
          </w:tcPr>
          <w:p w:rsidR="00C770FE" w:rsidRPr="00E55CA1" w:rsidRDefault="00C770FE" w:rsidP="00741A79">
            <w:pPr>
              <w:pStyle w:val="Tablehead"/>
              <w:rPr>
                <w:bCs/>
                <w:sz w:val="16"/>
                <w:szCs w:val="16"/>
                <w:lang w:val="en-GB"/>
              </w:rPr>
            </w:pPr>
            <w:r w:rsidRPr="00E55CA1">
              <w:rPr>
                <w:bCs/>
                <w:i/>
                <w:iCs/>
                <w:sz w:val="16"/>
                <w:szCs w:val="16"/>
                <w:lang w:val="en-GB"/>
              </w:rPr>
              <w:t>R</w:t>
            </w:r>
            <w:r w:rsidRPr="00E55CA1">
              <w:rPr>
                <w:bCs/>
                <w:position w:val="-4"/>
                <w:sz w:val="16"/>
                <w:szCs w:val="16"/>
                <w:lang w:val="en-GB"/>
              </w:rPr>
              <w:t>0,01</w:t>
            </w:r>
            <w:r w:rsidRPr="00E55CA1">
              <w:rPr>
                <w:bCs/>
                <w:sz w:val="16"/>
                <w:szCs w:val="16"/>
                <w:lang w:val="en-GB"/>
              </w:rPr>
              <w:br/>
              <w:t>(mm/h)</w:t>
            </w:r>
          </w:p>
        </w:tc>
      </w:tr>
      <w:tr w:rsidR="00C770FE" w:rsidRPr="00E55CA1" w:rsidTr="008B3431">
        <w:trPr>
          <w:jc w:val="center"/>
        </w:trPr>
        <w:tc>
          <w:tcPr>
            <w:tcW w:w="900" w:type="dxa"/>
          </w:tcPr>
          <w:p w:rsidR="00C770FE" w:rsidRPr="00E55CA1" w:rsidRDefault="00C770FE" w:rsidP="00741A79">
            <w:pPr>
              <w:pStyle w:val="Tabletext"/>
              <w:jc w:val="center"/>
              <w:rPr>
                <w:sz w:val="16"/>
                <w:szCs w:val="16"/>
                <w:lang w:val="es-ES_tradnl"/>
              </w:rPr>
            </w:pPr>
            <w:r w:rsidRPr="00E55CA1">
              <w:rPr>
                <w:sz w:val="16"/>
                <w:szCs w:val="16"/>
                <w:lang w:val="es-ES_tradnl"/>
              </w:rPr>
              <w:t>01</w:t>
            </w:r>
          </w:p>
        </w:tc>
        <w:tc>
          <w:tcPr>
            <w:tcW w:w="733" w:type="dxa"/>
          </w:tcPr>
          <w:p w:rsidR="00C770FE" w:rsidRPr="00E55CA1" w:rsidRDefault="00C770FE" w:rsidP="00741A79">
            <w:pPr>
              <w:pStyle w:val="Tabletext"/>
              <w:jc w:val="center"/>
              <w:rPr>
                <w:sz w:val="16"/>
                <w:szCs w:val="16"/>
                <w:lang w:val="es-ES_tradnl"/>
              </w:rPr>
            </w:pPr>
            <w:r w:rsidRPr="00E55CA1">
              <w:rPr>
                <w:sz w:val="16"/>
                <w:szCs w:val="16"/>
                <w:lang w:val="es-ES_tradnl"/>
              </w:rPr>
              <w:sym w:font="Symbol" w:char="F02D"/>
            </w:r>
            <w:r w:rsidRPr="00E55CA1">
              <w:rPr>
                <w:sz w:val="16"/>
                <w:szCs w:val="16"/>
                <w:lang w:val="es-ES_tradnl"/>
              </w:rPr>
              <w:t>60</w:t>
            </w:r>
          </w:p>
        </w:tc>
        <w:tc>
          <w:tcPr>
            <w:tcW w:w="901" w:type="dxa"/>
          </w:tcPr>
          <w:p w:rsidR="00C770FE" w:rsidRPr="00E55CA1" w:rsidRDefault="00C770FE" w:rsidP="00741A79">
            <w:pPr>
              <w:pStyle w:val="Tabletext"/>
              <w:jc w:val="center"/>
              <w:rPr>
                <w:sz w:val="16"/>
                <w:szCs w:val="16"/>
                <w:lang w:val="es-ES_tradnl"/>
              </w:rPr>
            </w:pPr>
            <w:r w:rsidRPr="00E55CA1">
              <w:rPr>
                <w:sz w:val="16"/>
                <w:szCs w:val="16"/>
                <w:lang w:val="es-ES_tradnl"/>
              </w:rPr>
              <w:sym w:font="Symbol" w:char="F02D"/>
            </w:r>
            <w:r w:rsidRPr="00E55CA1">
              <w:rPr>
                <w:sz w:val="16"/>
                <w:szCs w:val="16"/>
                <w:lang w:val="es-ES_tradnl"/>
              </w:rPr>
              <w:t>56,0</w:t>
            </w:r>
          </w:p>
        </w:tc>
        <w:tc>
          <w:tcPr>
            <w:tcW w:w="1478" w:type="dxa"/>
          </w:tcPr>
          <w:p w:rsidR="00C770FE" w:rsidRPr="00E55CA1" w:rsidRDefault="00C770FE" w:rsidP="00741A79">
            <w:pPr>
              <w:pStyle w:val="Tabletext"/>
              <w:rPr>
                <w:sz w:val="16"/>
                <w:szCs w:val="16"/>
                <w:lang w:val="es-ES_tradnl"/>
              </w:rPr>
            </w:pPr>
            <w:r w:rsidRPr="00E55CA1">
              <w:rPr>
                <w:sz w:val="16"/>
                <w:szCs w:val="16"/>
                <w:lang w:val="es-ES_tradnl"/>
              </w:rPr>
              <w:t>Antártica</w:t>
            </w:r>
          </w:p>
        </w:tc>
        <w:tc>
          <w:tcPr>
            <w:tcW w:w="567" w:type="dxa"/>
          </w:tcPr>
          <w:p w:rsidR="00C770FE" w:rsidRPr="00E55CA1" w:rsidRDefault="00C770FE" w:rsidP="00741A79">
            <w:pPr>
              <w:pStyle w:val="Tabletext"/>
              <w:jc w:val="center"/>
              <w:rPr>
                <w:sz w:val="16"/>
                <w:szCs w:val="16"/>
                <w:lang w:val="es-ES_tradnl"/>
              </w:rPr>
            </w:pPr>
            <w:r w:rsidRPr="00E55CA1">
              <w:rPr>
                <w:sz w:val="16"/>
                <w:szCs w:val="16"/>
                <w:lang w:val="es-ES_tradnl"/>
              </w:rPr>
              <w:t>0,01</w:t>
            </w:r>
          </w:p>
        </w:tc>
        <w:tc>
          <w:tcPr>
            <w:tcW w:w="846" w:type="dxa"/>
          </w:tcPr>
          <w:p w:rsidR="00C770FE" w:rsidRPr="00E55CA1" w:rsidRDefault="00C770FE" w:rsidP="00741A79">
            <w:pPr>
              <w:pStyle w:val="Tabletext"/>
              <w:jc w:val="center"/>
              <w:rPr>
                <w:sz w:val="16"/>
                <w:szCs w:val="16"/>
                <w:lang w:val="es-ES_tradnl"/>
              </w:rPr>
            </w:pPr>
            <w:r w:rsidRPr="00E55CA1">
              <w:rPr>
                <w:sz w:val="16"/>
                <w:szCs w:val="16"/>
                <w:lang w:val="es-ES_tradnl"/>
              </w:rPr>
              <w:t>1 010,8</w:t>
            </w:r>
          </w:p>
        </w:tc>
        <w:tc>
          <w:tcPr>
            <w:tcW w:w="621" w:type="dxa"/>
          </w:tcPr>
          <w:p w:rsidR="00C770FE" w:rsidRPr="00E55CA1" w:rsidRDefault="00C770FE" w:rsidP="00741A79">
            <w:pPr>
              <w:pStyle w:val="Tabletext"/>
              <w:jc w:val="center"/>
              <w:rPr>
                <w:sz w:val="16"/>
                <w:szCs w:val="16"/>
                <w:lang w:val="es-ES_tradnl"/>
              </w:rPr>
            </w:pPr>
            <w:r w:rsidRPr="00E55CA1">
              <w:rPr>
                <w:sz w:val="16"/>
                <w:szCs w:val="16"/>
                <w:lang w:val="es-ES_tradnl"/>
              </w:rPr>
              <w:t>302</w:t>
            </w:r>
          </w:p>
        </w:tc>
        <w:tc>
          <w:tcPr>
            <w:tcW w:w="733" w:type="dxa"/>
          </w:tcPr>
          <w:p w:rsidR="00C770FE" w:rsidRPr="00E55CA1" w:rsidRDefault="00C770FE" w:rsidP="00741A79">
            <w:pPr>
              <w:pStyle w:val="Tabletext"/>
              <w:jc w:val="center"/>
              <w:rPr>
                <w:sz w:val="16"/>
                <w:szCs w:val="16"/>
                <w:lang w:val="es-ES_tradnl"/>
              </w:rPr>
            </w:pPr>
            <w:r w:rsidRPr="00E55CA1">
              <w:rPr>
                <w:sz w:val="16"/>
                <w:szCs w:val="16"/>
                <w:lang w:val="es-ES_tradnl"/>
              </w:rPr>
              <w:t>3</w:t>
            </w:r>
          </w:p>
        </w:tc>
        <w:tc>
          <w:tcPr>
            <w:tcW w:w="733" w:type="dxa"/>
          </w:tcPr>
          <w:p w:rsidR="00C770FE" w:rsidRPr="00E55CA1" w:rsidRDefault="00C770FE" w:rsidP="00741A79">
            <w:pPr>
              <w:pStyle w:val="Tabletext"/>
              <w:jc w:val="center"/>
              <w:rPr>
                <w:sz w:val="16"/>
                <w:szCs w:val="16"/>
                <w:lang w:val="es-ES_tradnl"/>
              </w:rPr>
            </w:pPr>
            <w:r w:rsidRPr="00E55CA1">
              <w:rPr>
                <w:sz w:val="16"/>
                <w:szCs w:val="16"/>
                <w:lang w:val="es-ES_tradnl"/>
              </w:rPr>
              <w:t>270,9</w:t>
            </w:r>
          </w:p>
        </w:tc>
        <w:tc>
          <w:tcPr>
            <w:tcW w:w="621" w:type="dxa"/>
          </w:tcPr>
          <w:p w:rsidR="00C770FE" w:rsidRPr="00E55CA1" w:rsidRDefault="00C770FE" w:rsidP="00741A79">
            <w:pPr>
              <w:pStyle w:val="Tabletext"/>
              <w:jc w:val="center"/>
              <w:rPr>
                <w:sz w:val="16"/>
                <w:szCs w:val="16"/>
                <w:lang w:val="es-ES_tradnl"/>
              </w:rPr>
            </w:pPr>
            <w:r w:rsidRPr="00E55CA1">
              <w:rPr>
                <w:sz w:val="16"/>
                <w:szCs w:val="16"/>
                <w:lang w:val="es-ES_tradnl"/>
              </w:rPr>
              <w:sym w:font="Symbol" w:char="F02D"/>
            </w:r>
            <w:r w:rsidRPr="00E55CA1">
              <w:rPr>
                <w:sz w:val="16"/>
                <w:szCs w:val="16"/>
                <w:lang w:val="es-ES_tradnl"/>
              </w:rPr>
              <w:t>2,2</w:t>
            </w:r>
          </w:p>
        </w:tc>
        <w:tc>
          <w:tcPr>
            <w:tcW w:w="621" w:type="dxa"/>
          </w:tcPr>
          <w:p w:rsidR="00C770FE" w:rsidRPr="00E55CA1" w:rsidRDefault="00C770FE" w:rsidP="00741A79">
            <w:pPr>
              <w:pStyle w:val="Tabletext"/>
              <w:jc w:val="center"/>
              <w:rPr>
                <w:sz w:val="16"/>
                <w:szCs w:val="16"/>
                <w:lang w:val="es-ES_tradnl"/>
              </w:rPr>
            </w:pPr>
            <w:r w:rsidRPr="00E55CA1">
              <w:rPr>
                <w:sz w:val="16"/>
                <w:szCs w:val="16"/>
                <w:lang w:val="es-ES_tradnl"/>
              </w:rPr>
              <w:t>1,01</w:t>
            </w:r>
          </w:p>
        </w:tc>
        <w:tc>
          <w:tcPr>
            <w:tcW w:w="901" w:type="dxa"/>
            <w:gridSpan w:val="2"/>
          </w:tcPr>
          <w:p w:rsidR="00C770FE" w:rsidRPr="00E55CA1" w:rsidRDefault="00C770FE" w:rsidP="00741A79">
            <w:pPr>
              <w:pStyle w:val="Tabletext"/>
              <w:jc w:val="center"/>
              <w:rPr>
                <w:sz w:val="16"/>
                <w:szCs w:val="16"/>
                <w:lang w:val="es-ES_tradnl"/>
              </w:rPr>
            </w:pPr>
            <w:r w:rsidRPr="00E55CA1">
              <w:rPr>
                <w:sz w:val="16"/>
                <w:szCs w:val="16"/>
                <w:lang w:val="es-ES_tradnl"/>
              </w:rPr>
              <w:t>16,2</w:t>
            </w:r>
          </w:p>
        </w:tc>
      </w:tr>
      <w:tr w:rsidR="00C770FE" w:rsidRPr="00E55CA1" w:rsidTr="008B3431">
        <w:trPr>
          <w:jc w:val="center"/>
        </w:trPr>
        <w:tc>
          <w:tcPr>
            <w:tcW w:w="900" w:type="dxa"/>
          </w:tcPr>
          <w:p w:rsidR="00C770FE" w:rsidRPr="00E55CA1" w:rsidRDefault="00C770FE" w:rsidP="00741A79">
            <w:pPr>
              <w:pStyle w:val="Tabletext"/>
              <w:jc w:val="center"/>
              <w:rPr>
                <w:sz w:val="16"/>
                <w:szCs w:val="16"/>
                <w:lang w:val="es-ES_tradnl"/>
              </w:rPr>
            </w:pPr>
            <w:r w:rsidRPr="00E55CA1">
              <w:rPr>
                <w:sz w:val="16"/>
                <w:szCs w:val="16"/>
                <w:lang w:val="es-ES_tradnl"/>
              </w:rPr>
              <w:t>02</w:t>
            </w:r>
          </w:p>
        </w:tc>
        <w:tc>
          <w:tcPr>
            <w:tcW w:w="733" w:type="dxa"/>
          </w:tcPr>
          <w:p w:rsidR="00C770FE" w:rsidRPr="00E55CA1" w:rsidRDefault="00C770FE" w:rsidP="00741A79">
            <w:pPr>
              <w:pStyle w:val="Tabletext"/>
              <w:jc w:val="center"/>
              <w:rPr>
                <w:sz w:val="16"/>
                <w:szCs w:val="16"/>
                <w:lang w:val="es-ES_tradnl"/>
              </w:rPr>
            </w:pPr>
            <w:r w:rsidRPr="00E55CA1">
              <w:rPr>
                <w:sz w:val="16"/>
                <w:szCs w:val="16"/>
                <w:lang w:val="es-ES_tradnl"/>
              </w:rPr>
              <w:sym w:font="Symbol" w:char="F02D"/>
            </w:r>
            <w:r w:rsidRPr="00E55CA1">
              <w:rPr>
                <w:sz w:val="16"/>
                <w:szCs w:val="16"/>
                <w:lang w:val="es-ES_tradnl"/>
              </w:rPr>
              <w:t>45</w:t>
            </w:r>
          </w:p>
        </w:tc>
        <w:tc>
          <w:tcPr>
            <w:tcW w:w="901" w:type="dxa"/>
          </w:tcPr>
          <w:p w:rsidR="00C770FE" w:rsidRPr="00E55CA1" w:rsidRDefault="00C770FE" w:rsidP="00741A79">
            <w:pPr>
              <w:pStyle w:val="Tabletext"/>
              <w:jc w:val="center"/>
              <w:rPr>
                <w:sz w:val="16"/>
                <w:szCs w:val="16"/>
                <w:lang w:val="es-ES_tradnl"/>
              </w:rPr>
            </w:pPr>
            <w:r w:rsidRPr="00E55CA1">
              <w:rPr>
                <w:sz w:val="16"/>
                <w:szCs w:val="16"/>
                <w:lang w:val="es-ES_tradnl"/>
              </w:rPr>
              <w:sym w:font="Symbol" w:char="F02D"/>
            </w:r>
            <w:r w:rsidRPr="00E55CA1">
              <w:rPr>
                <w:sz w:val="16"/>
                <w:szCs w:val="16"/>
                <w:lang w:val="es-ES_tradnl"/>
              </w:rPr>
              <w:t>70,0</w:t>
            </w:r>
          </w:p>
        </w:tc>
        <w:tc>
          <w:tcPr>
            <w:tcW w:w="1478" w:type="dxa"/>
          </w:tcPr>
          <w:p w:rsidR="00C770FE" w:rsidRPr="00E55CA1" w:rsidRDefault="00C770FE" w:rsidP="00741A79">
            <w:pPr>
              <w:pStyle w:val="Tabletext"/>
              <w:rPr>
                <w:sz w:val="16"/>
                <w:szCs w:val="16"/>
                <w:lang w:val="es-ES_tradnl"/>
              </w:rPr>
            </w:pPr>
            <w:r w:rsidRPr="00E55CA1">
              <w:rPr>
                <w:sz w:val="16"/>
                <w:szCs w:val="16"/>
                <w:lang w:val="es-ES_tradnl"/>
              </w:rPr>
              <w:t>América del Sur</w:t>
            </w:r>
          </w:p>
        </w:tc>
        <w:tc>
          <w:tcPr>
            <w:tcW w:w="567" w:type="dxa"/>
          </w:tcPr>
          <w:p w:rsidR="00C770FE" w:rsidRPr="00E55CA1" w:rsidRDefault="00C770FE" w:rsidP="00741A79">
            <w:pPr>
              <w:pStyle w:val="Tabletext"/>
              <w:jc w:val="center"/>
              <w:rPr>
                <w:sz w:val="16"/>
                <w:szCs w:val="16"/>
                <w:lang w:val="es-ES_tradnl"/>
              </w:rPr>
            </w:pPr>
            <w:r w:rsidRPr="00E55CA1">
              <w:rPr>
                <w:sz w:val="16"/>
                <w:szCs w:val="16"/>
                <w:lang w:val="es-ES_tradnl"/>
              </w:rPr>
              <w:t>0,50</w:t>
            </w:r>
          </w:p>
        </w:tc>
        <w:tc>
          <w:tcPr>
            <w:tcW w:w="846" w:type="dxa"/>
          </w:tcPr>
          <w:p w:rsidR="00C770FE" w:rsidRPr="00E55CA1" w:rsidRDefault="00C770FE" w:rsidP="00741A79">
            <w:pPr>
              <w:pStyle w:val="Tabletext"/>
              <w:jc w:val="center"/>
              <w:rPr>
                <w:sz w:val="16"/>
                <w:szCs w:val="16"/>
                <w:lang w:val="es-ES_tradnl"/>
              </w:rPr>
            </w:pPr>
            <w:r w:rsidRPr="00E55CA1">
              <w:rPr>
                <w:sz w:val="16"/>
                <w:szCs w:val="16"/>
                <w:lang w:val="es-ES_tradnl"/>
              </w:rPr>
              <w:t>1 018,9</w:t>
            </w:r>
          </w:p>
        </w:tc>
        <w:tc>
          <w:tcPr>
            <w:tcW w:w="621" w:type="dxa"/>
          </w:tcPr>
          <w:p w:rsidR="00C770FE" w:rsidRPr="00E55CA1" w:rsidRDefault="00C770FE" w:rsidP="00741A79">
            <w:pPr>
              <w:pStyle w:val="Tabletext"/>
              <w:jc w:val="center"/>
              <w:rPr>
                <w:sz w:val="16"/>
                <w:szCs w:val="16"/>
                <w:lang w:val="es-ES_tradnl"/>
              </w:rPr>
            </w:pPr>
            <w:r w:rsidRPr="00E55CA1">
              <w:rPr>
                <w:sz w:val="16"/>
                <w:szCs w:val="16"/>
                <w:lang w:val="es-ES_tradnl"/>
              </w:rPr>
              <w:t>295</w:t>
            </w:r>
          </w:p>
        </w:tc>
        <w:tc>
          <w:tcPr>
            <w:tcW w:w="733" w:type="dxa"/>
          </w:tcPr>
          <w:p w:rsidR="00C770FE" w:rsidRPr="00E55CA1" w:rsidRDefault="00C770FE" w:rsidP="00741A79">
            <w:pPr>
              <w:pStyle w:val="Tabletext"/>
              <w:jc w:val="center"/>
              <w:rPr>
                <w:sz w:val="16"/>
                <w:szCs w:val="16"/>
                <w:lang w:val="es-ES_tradnl"/>
              </w:rPr>
            </w:pPr>
            <w:r w:rsidRPr="00E55CA1">
              <w:rPr>
                <w:sz w:val="16"/>
                <w:szCs w:val="16"/>
                <w:lang w:val="es-ES_tradnl"/>
              </w:rPr>
              <w:t>2</w:t>
            </w:r>
          </w:p>
        </w:tc>
        <w:tc>
          <w:tcPr>
            <w:tcW w:w="733" w:type="dxa"/>
          </w:tcPr>
          <w:p w:rsidR="00C770FE" w:rsidRPr="00E55CA1" w:rsidRDefault="00C770FE" w:rsidP="00741A79">
            <w:pPr>
              <w:pStyle w:val="Tabletext"/>
              <w:jc w:val="center"/>
              <w:rPr>
                <w:sz w:val="16"/>
                <w:szCs w:val="16"/>
                <w:lang w:val="es-ES_tradnl"/>
              </w:rPr>
            </w:pPr>
            <w:r w:rsidRPr="00E55CA1">
              <w:rPr>
                <w:sz w:val="16"/>
                <w:szCs w:val="16"/>
                <w:lang w:val="es-ES_tradnl"/>
              </w:rPr>
              <w:t>279,5</w:t>
            </w:r>
          </w:p>
        </w:tc>
        <w:tc>
          <w:tcPr>
            <w:tcW w:w="621" w:type="dxa"/>
          </w:tcPr>
          <w:p w:rsidR="00C770FE" w:rsidRPr="00E55CA1" w:rsidRDefault="00C770FE" w:rsidP="00741A79">
            <w:pPr>
              <w:pStyle w:val="Tabletext"/>
              <w:jc w:val="center"/>
              <w:rPr>
                <w:sz w:val="16"/>
                <w:szCs w:val="16"/>
                <w:lang w:val="es-ES_tradnl"/>
              </w:rPr>
            </w:pPr>
            <w:r w:rsidRPr="00E55CA1">
              <w:rPr>
                <w:sz w:val="16"/>
                <w:szCs w:val="16"/>
                <w:lang w:val="es-ES_tradnl"/>
              </w:rPr>
              <w:t>6,3</w:t>
            </w:r>
          </w:p>
        </w:tc>
        <w:tc>
          <w:tcPr>
            <w:tcW w:w="621" w:type="dxa"/>
          </w:tcPr>
          <w:p w:rsidR="00C770FE" w:rsidRPr="00E55CA1" w:rsidRDefault="00C770FE" w:rsidP="00741A79">
            <w:pPr>
              <w:pStyle w:val="Tabletext"/>
              <w:jc w:val="center"/>
              <w:rPr>
                <w:sz w:val="16"/>
                <w:szCs w:val="16"/>
                <w:lang w:val="es-ES_tradnl"/>
              </w:rPr>
            </w:pPr>
            <w:r w:rsidRPr="00E55CA1">
              <w:rPr>
                <w:sz w:val="16"/>
                <w:szCs w:val="16"/>
                <w:lang w:val="es-ES_tradnl"/>
              </w:rPr>
              <w:t>2,39</w:t>
            </w:r>
          </w:p>
        </w:tc>
        <w:tc>
          <w:tcPr>
            <w:tcW w:w="901" w:type="dxa"/>
            <w:gridSpan w:val="2"/>
          </w:tcPr>
          <w:p w:rsidR="00C770FE" w:rsidRPr="00E55CA1" w:rsidRDefault="00C770FE" w:rsidP="00741A79">
            <w:pPr>
              <w:pStyle w:val="Tabletext"/>
              <w:jc w:val="center"/>
              <w:rPr>
                <w:sz w:val="16"/>
                <w:szCs w:val="16"/>
                <w:lang w:val="es-ES_tradnl"/>
              </w:rPr>
            </w:pPr>
            <w:r w:rsidRPr="00E55CA1">
              <w:rPr>
                <w:sz w:val="16"/>
                <w:szCs w:val="16"/>
                <w:lang w:val="es-ES_tradnl"/>
              </w:rPr>
              <w:t>10,8</w:t>
            </w:r>
          </w:p>
        </w:tc>
      </w:tr>
      <w:tr w:rsidR="00C770FE" w:rsidRPr="00E55CA1" w:rsidTr="008B3431">
        <w:trPr>
          <w:jc w:val="center"/>
        </w:trPr>
        <w:tc>
          <w:tcPr>
            <w:tcW w:w="900" w:type="dxa"/>
          </w:tcPr>
          <w:p w:rsidR="00C770FE" w:rsidRPr="00E55CA1" w:rsidRDefault="00C770FE" w:rsidP="00741A79">
            <w:pPr>
              <w:pStyle w:val="Tabletext"/>
              <w:jc w:val="center"/>
              <w:rPr>
                <w:sz w:val="16"/>
                <w:szCs w:val="16"/>
                <w:lang w:val="es-ES_tradnl"/>
              </w:rPr>
            </w:pPr>
            <w:r w:rsidRPr="00E55CA1">
              <w:rPr>
                <w:sz w:val="16"/>
                <w:szCs w:val="16"/>
                <w:lang w:val="es-ES_tradnl"/>
              </w:rPr>
              <w:t>03</w:t>
            </w:r>
          </w:p>
        </w:tc>
        <w:tc>
          <w:tcPr>
            <w:tcW w:w="733" w:type="dxa"/>
          </w:tcPr>
          <w:p w:rsidR="00C770FE" w:rsidRPr="00E55CA1" w:rsidRDefault="00C770FE" w:rsidP="00741A79">
            <w:pPr>
              <w:pStyle w:val="Tabletext"/>
              <w:jc w:val="center"/>
              <w:rPr>
                <w:sz w:val="16"/>
                <w:szCs w:val="16"/>
                <w:lang w:val="es-ES_tradnl"/>
              </w:rPr>
            </w:pPr>
            <w:r w:rsidRPr="00E55CA1">
              <w:rPr>
                <w:sz w:val="16"/>
                <w:szCs w:val="16"/>
                <w:lang w:val="es-ES_tradnl"/>
              </w:rPr>
              <w:sym w:font="Symbol" w:char="F02D"/>
            </w:r>
            <w:r w:rsidRPr="00E55CA1">
              <w:rPr>
                <w:sz w:val="16"/>
                <w:szCs w:val="16"/>
                <w:lang w:val="es-ES_tradnl"/>
              </w:rPr>
              <w:t>30</w:t>
            </w:r>
          </w:p>
        </w:tc>
        <w:tc>
          <w:tcPr>
            <w:tcW w:w="901" w:type="dxa"/>
          </w:tcPr>
          <w:p w:rsidR="00C770FE" w:rsidRPr="00E55CA1" w:rsidRDefault="00C770FE" w:rsidP="00741A79">
            <w:pPr>
              <w:pStyle w:val="Tabletext"/>
              <w:jc w:val="center"/>
              <w:rPr>
                <w:sz w:val="16"/>
                <w:szCs w:val="16"/>
                <w:lang w:val="es-ES_tradnl"/>
              </w:rPr>
            </w:pPr>
            <w:r w:rsidRPr="00E55CA1">
              <w:rPr>
                <w:sz w:val="16"/>
                <w:szCs w:val="16"/>
                <w:lang w:val="es-ES_tradnl"/>
              </w:rPr>
              <w:t>30,5</w:t>
            </w:r>
          </w:p>
        </w:tc>
        <w:tc>
          <w:tcPr>
            <w:tcW w:w="1478" w:type="dxa"/>
          </w:tcPr>
          <w:p w:rsidR="00C770FE" w:rsidRPr="00E55CA1" w:rsidRDefault="00C770FE" w:rsidP="00741A79">
            <w:pPr>
              <w:pStyle w:val="Tabletext"/>
              <w:rPr>
                <w:sz w:val="16"/>
                <w:szCs w:val="16"/>
                <w:lang w:val="es-ES_tradnl"/>
              </w:rPr>
            </w:pPr>
            <w:r w:rsidRPr="00E55CA1">
              <w:rPr>
                <w:sz w:val="16"/>
                <w:szCs w:val="16"/>
                <w:lang w:val="es-ES_tradnl"/>
              </w:rPr>
              <w:t>República Sudafricana</w:t>
            </w:r>
          </w:p>
        </w:tc>
        <w:tc>
          <w:tcPr>
            <w:tcW w:w="567" w:type="dxa"/>
          </w:tcPr>
          <w:p w:rsidR="00C770FE" w:rsidRPr="00E55CA1" w:rsidRDefault="00C770FE" w:rsidP="00741A79">
            <w:pPr>
              <w:pStyle w:val="Tabletext"/>
              <w:jc w:val="center"/>
              <w:rPr>
                <w:sz w:val="16"/>
                <w:szCs w:val="16"/>
                <w:lang w:val="es-ES_tradnl"/>
              </w:rPr>
            </w:pPr>
            <w:r w:rsidRPr="00E55CA1">
              <w:rPr>
                <w:sz w:val="16"/>
                <w:szCs w:val="16"/>
                <w:lang w:val="es-ES_tradnl"/>
              </w:rPr>
              <w:t>0,50</w:t>
            </w:r>
          </w:p>
        </w:tc>
        <w:tc>
          <w:tcPr>
            <w:tcW w:w="846" w:type="dxa"/>
          </w:tcPr>
          <w:p w:rsidR="00C770FE" w:rsidRPr="00E55CA1" w:rsidRDefault="00C770FE" w:rsidP="00741A79">
            <w:pPr>
              <w:pStyle w:val="Tabletext"/>
              <w:jc w:val="center"/>
              <w:rPr>
                <w:sz w:val="16"/>
                <w:szCs w:val="16"/>
                <w:lang w:val="es-ES_tradnl"/>
              </w:rPr>
            </w:pPr>
            <w:r w:rsidRPr="00E55CA1">
              <w:rPr>
                <w:sz w:val="16"/>
                <w:szCs w:val="16"/>
                <w:lang w:val="es-ES_tradnl"/>
              </w:rPr>
              <w:t>1 018,9</w:t>
            </w:r>
          </w:p>
        </w:tc>
        <w:tc>
          <w:tcPr>
            <w:tcW w:w="621" w:type="dxa"/>
          </w:tcPr>
          <w:p w:rsidR="00C770FE" w:rsidRPr="00E55CA1" w:rsidRDefault="00C770FE" w:rsidP="00741A79">
            <w:pPr>
              <w:pStyle w:val="Tabletext"/>
              <w:jc w:val="center"/>
              <w:rPr>
                <w:sz w:val="16"/>
                <w:szCs w:val="16"/>
                <w:lang w:val="es-ES_tradnl"/>
              </w:rPr>
            </w:pPr>
            <w:r w:rsidRPr="00E55CA1">
              <w:rPr>
                <w:sz w:val="16"/>
                <w:szCs w:val="16"/>
                <w:lang w:val="es-ES_tradnl"/>
              </w:rPr>
              <w:t>307</w:t>
            </w:r>
          </w:p>
        </w:tc>
        <w:tc>
          <w:tcPr>
            <w:tcW w:w="733" w:type="dxa"/>
          </w:tcPr>
          <w:p w:rsidR="00C770FE" w:rsidRPr="00E55CA1" w:rsidRDefault="00C770FE" w:rsidP="00741A79">
            <w:pPr>
              <w:pStyle w:val="Tabletext"/>
              <w:jc w:val="center"/>
              <w:rPr>
                <w:sz w:val="16"/>
                <w:szCs w:val="16"/>
                <w:lang w:val="es-ES_tradnl"/>
              </w:rPr>
            </w:pPr>
            <w:r w:rsidRPr="00E55CA1">
              <w:rPr>
                <w:sz w:val="16"/>
                <w:szCs w:val="16"/>
                <w:lang w:val="es-ES_tradnl"/>
              </w:rPr>
              <w:t>6</w:t>
            </w:r>
          </w:p>
        </w:tc>
        <w:tc>
          <w:tcPr>
            <w:tcW w:w="733" w:type="dxa"/>
          </w:tcPr>
          <w:p w:rsidR="00C770FE" w:rsidRPr="00E55CA1" w:rsidRDefault="00C770FE" w:rsidP="00741A79">
            <w:pPr>
              <w:pStyle w:val="Tabletext"/>
              <w:jc w:val="center"/>
              <w:rPr>
                <w:sz w:val="16"/>
                <w:szCs w:val="16"/>
                <w:lang w:val="es-ES_tradnl"/>
              </w:rPr>
            </w:pPr>
            <w:r w:rsidRPr="00E55CA1">
              <w:rPr>
                <w:sz w:val="16"/>
                <w:szCs w:val="16"/>
                <w:lang w:val="es-ES_tradnl"/>
              </w:rPr>
              <w:t>290,9</w:t>
            </w:r>
          </w:p>
        </w:tc>
        <w:tc>
          <w:tcPr>
            <w:tcW w:w="621" w:type="dxa"/>
          </w:tcPr>
          <w:p w:rsidR="00C770FE" w:rsidRPr="00E55CA1" w:rsidRDefault="00C770FE" w:rsidP="00741A79">
            <w:pPr>
              <w:pStyle w:val="Tabletext"/>
              <w:jc w:val="center"/>
              <w:rPr>
                <w:sz w:val="16"/>
                <w:szCs w:val="16"/>
                <w:lang w:val="es-ES_tradnl"/>
              </w:rPr>
            </w:pPr>
            <w:r w:rsidRPr="00E55CA1">
              <w:rPr>
                <w:sz w:val="16"/>
                <w:szCs w:val="16"/>
                <w:lang w:val="es-ES_tradnl"/>
              </w:rPr>
              <w:t>17,7</w:t>
            </w:r>
          </w:p>
        </w:tc>
        <w:tc>
          <w:tcPr>
            <w:tcW w:w="621" w:type="dxa"/>
          </w:tcPr>
          <w:p w:rsidR="00C770FE" w:rsidRPr="00E55CA1" w:rsidRDefault="00C770FE" w:rsidP="00741A79">
            <w:pPr>
              <w:pStyle w:val="Tabletext"/>
              <w:jc w:val="center"/>
              <w:rPr>
                <w:sz w:val="16"/>
                <w:szCs w:val="16"/>
                <w:lang w:val="es-ES_tradnl"/>
              </w:rPr>
            </w:pPr>
            <w:r w:rsidRPr="00E55CA1">
              <w:rPr>
                <w:sz w:val="16"/>
                <w:szCs w:val="16"/>
                <w:lang w:val="es-ES_tradnl"/>
              </w:rPr>
              <w:t>4,36</w:t>
            </w:r>
          </w:p>
        </w:tc>
        <w:tc>
          <w:tcPr>
            <w:tcW w:w="901" w:type="dxa"/>
            <w:gridSpan w:val="2"/>
          </w:tcPr>
          <w:p w:rsidR="00C770FE" w:rsidRPr="00E55CA1" w:rsidRDefault="00C770FE" w:rsidP="00741A79">
            <w:pPr>
              <w:pStyle w:val="Tabletext"/>
              <w:jc w:val="center"/>
              <w:rPr>
                <w:sz w:val="16"/>
                <w:szCs w:val="16"/>
                <w:lang w:val="es-ES_tradnl"/>
              </w:rPr>
            </w:pPr>
            <w:r w:rsidRPr="00E55CA1">
              <w:rPr>
                <w:sz w:val="16"/>
                <w:szCs w:val="16"/>
                <w:lang w:val="es-ES_tradnl"/>
              </w:rPr>
              <w:t>59,2</w:t>
            </w:r>
          </w:p>
        </w:tc>
      </w:tr>
      <w:tr w:rsidR="00C770FE" w:rsidRPr="00E55CA1" w:rsidTr="008B3431">
        <w:trPr>
          <w:jc w:val="center"/>
        </w:trPr>
        <w:tc>
          <w:tcPr>
            <w:tcW w:w="900" w:type="dxa"/>
          </w:tcPr>
          <w:p w:rsidR="00C770FE" w:rsidRPr="00E55CA1" w:rsidRDefault="00C770FE" w:rsidP="00741A79">
            <w:pPr>
              <w:pStyle w:val="Tabletext"/>
              <w:jc w:val="center"/>
              <w:rPr>
                <w:sz w:val="16"/>
                <w:szCs w:val="16"/>
                <w:lang w:val="es-ES_tradnl"/>
              </w:rPr>
            </w:pPr>
            <w:r w:rsidRPr="00E55CA1">
              <w:rPr>
                <w:sz w:val="16"/>
                <w:szCs w:val="16"/>
                <w:lang w:val="es-ES_tradnl"/>
              </w:rPr>
              <w:t>04</w:t>
            </w:r>
          </w:p>
        </w:tc>
        <w:tc>
          <w:tcPr>
            <w:tcW w:w="733" w:type="dxa"/>
          </w:tcPr>
          <w:p w:rsidR="00C770FE" w:rsidRPr="00E55CA1" w:rsidRDefault="00C770FE" w:rsidP="00741A79">
            <w:pPr>
              <w:pStyle w:val="Tabletext"/>
              <w:jc w:val="center"/>
              <w:rPr>
                <w:sz w:val="16"/>
                <w:szCs w:val="16"/>
                <w:lang w:val="es-ES_tradnl"/>
              </w:rPr>
            </w:pPr>
            <w:r w:rsidRPr="00E55CA1">
              <w:rPr>
                <w:sz w:val="16"/>
                <w:szCs w:val="16"/>
                <w:lang w:val="es-ES_tradnl"/>
              </w:rPr>
              <w:sym w:font="Symbol" w:char="F02D"/>
            </w:r>
            <w:r w:rsidRPr="00E55CA1">
              <w:rPr>
                <w:sz w:val="16"/>
                <w:szCs w:val="16"/>
                <w:lang w:val="es-ES_tradnl"/>
              </w:rPr>
              <w:t>15</w:t>
            </w:r>
          </w:p>
        </w:tc>
        <w:tc>
          <w:tcPr>
            <w:tcW w:w="901" w:type="dxa"/>
          </w:tcPr>
          <w:p w:rsidR="00C770FE" w:rsidRPr="00E55CA1" w:rsidRDefault="00C770FE" w:rsidP="00741A79">
            <w:pPr>
              <w:pStyle w:val="Tabletext"/>
              <w:jc w:val="center"/>
              <w:rPr>
                <w:sz w:val="16"/>
                <w:szCs w:val="16"/>
                <w:lang w:val="es-ES_tradnl"/>
              </w:rPr>
            </w:pPr>
            <w:r w:rsidRPr="00E55CA1">
              <w:rPr>
                <w:sz w:val="16"/>
                <w:szCs w:val="16"/>
                <w:lang w:val="es-ES_tradnl"/>
              </w:rPr>
              <w:sym w:font="Symbol" w:char="F02D"/>
            </w:r>
            <w:r w:rsidRPr="00E55CA1">
              <w:rPr>
                <w:sz w:val="16"/>
                <w:szCs w:val="16"/>
                <w:lang w:val="es-ES_tradnl"/>
              </w:rPr>
              <w:t>48,0</w:t>
            </w:r>
          </w:p>
        </w:tc>
        <w:tc>
          <w:tcPr>
            <w:tcW w:w="1478" w:type="dxa"/>
          </w:tcPr>
          <w:p w:rsidR="00C770FE" w:rsidRPr="00E55CA1" w:rsidRDefault="00C770FE" w:rsidP="00741A79">
            <w:pPr>
              <w:pStyle w:val="Tabletext"/>
              <w:rPr>
                <w:sz w:val="16"/>
                <w:szCs w:val="16"/>
                <w:lang w:val="es-ES_tradnl"/>
              </w:rPr>
            </w:pPr>
            <w:r w:rsidRPr="00E55CA1">
              <w:rPr>
                <w:sz w:val="16"/>
                <w:szCs w:val="16"/>
                <w:lang w:val="es-ES_tradnl"/>
              </w:rPr>
              <w:t>Brasil (Este)</w:t>
            </w:r>
          </w:p>
        </w:tc>
        <w:tc>
          <w:tcPr>
            <w:tcW w:w="567" w:type="dxa"/>
          </w:tcPr>
          <w:p w:rsidR="00C770FE" w:rsidRPr="00E55CA1" w:rsidRDefault="00C770FE" w:rsidP="00741A79">
            <w:pPr>
              <w:pStyle w:val="Tabletext"/>
              <w:jc w:val="center"/>
              <w:rPr>
                <w:sz w:val="16"/>
                <w:szCs w:val="16"/>
                <w:lang w:val="es-ES_tradnl"/>
              </w:rPr>
            </w:pPr>
            <w:r w:rsidRPr="00E55CA1">
              <w:rPr>
                <w:sz w:val="16"/>
                <w:szCs w:val="16"/>
                <w:lang w:val="es-ES_tradnl"/>
              </w:rPr>
              <w:t>0,50</w:t>
            </w:r>
          </w:p>
        </w:tc>
        <w:tc>
          <w:tcPr>
            <w:tcW w:w="846" w:type="dxa"/>
          </w:tcPr>
          <w:p w:rsidR="00C770FE" w:rsidRPr="00E55CA1" w:rsidRDefault="00C770FE" w:rsidP="00741A79">
            <w:pPr>
              <w:pStyle w:val="Tabletext"/>
              <w:jc w:val="center"/>
              <w:rPr>
                <w:sz w:val="16"/>
                <w:szCs w:val="16"/>
                <w:lang w:val="es-ES_tradnl"/>
              </w:rPr>
            </w:pPr>
            <w:r w:rsidRPr="00E55CA1">
              <w:rPr>
                <w:sz w:val="16"/>
                <w:szCs w:val="16"/>
                <w:lang w:val="es-ES_tradnl"/>
              </w:rPr>
              <w:t>1 012</w:t>
            </w:r>
          </w:p>
        </w:tc>
        <w:tc>
          <w:tcPr>
            <w:tcW w:w="621" w:type="dxa"/>
          </w:tcPr>
          <w:p w:rsidR="00C770FE" w:rsidRPr="00E55CA1" w:rsidRDefault="00C770FE" w:rsidP="00741A79">
            <w:pPr>
              <w:pStyle w:val="Tabletext"/>
              <w:jc w:val="center"/>
              <w:rPr>
                <w:sz w:val="16"/>
                <w:szCs w:val="16"/>
                <w:lang w:val="es-ES_tradnl"/>
              </w:rPr>
            </w:pPr>
            <w:r w:rsidRPr="00E55CA1">
              <w:rPr>
                <w:sz w:val="16"/>
                <w:szCs w:val="16"/>
                <w:lang w:val="es-ES_tradnl"/>
              </w:rPr>
              <w:t>329</w:t>
            </w:r>
          </w:p>
        </w:tc>
        <w:tc>
          <w:tcPr>
            <w:tcW w:w="733" w:type="dxa"/>
          </w:tcPr>
          <w:p w:rsidR="00C770FE" w:rsidRPr="00E55CA1" w:rsidRDefault="00C770FE" w:rsidP="00741A79">
            <w:pPr>
              <w:pStyle w:val="Tabletext"/>
              <w:jc w:val="center"/>
              <w:rPr>
                <w:sz w:val="16"/>
                <w:szCs w:val="16"/>
                <w:lang w:val="es-ES_tradnl"/>
              </w:rPr>
            </w:pPr>
            <w:r w:rsidRPr="00E55CA1">
              <w:rPr>
                <w:sz w:val="16"/>
                <w:szCs w:val="16"/>
                <w:lang w:val="es-ES_tradnl"/>
              </w:rPr>
              <w:t>10</w:t>
            </w:r>
          </w:p>
        </w:tc>
        <w:tc>
          <w:tcPr>
            <w:tcW w:w="733" w:type="dxa"/>
          </w:tcPr>
          <w:p w:rsidR="00C770FE" w:rsidRPr="00E55CA1" w:rsidRDefault="00C770FE" w:rsidP="00741A79">
            <w:pPr>
              <w:pStyle w:val="Tabletext"/>
              <w:jc w:val="center"/>
              <w:rPr>
                <w:sz w:val="16"/>
                <w:szCs w:val="16"/>
                <w:lang w:val="es-ES_tradnl"/>
              </w:rPr>
            </w:pPr>
            <w:r w:rsidRPr="00E55CA1">
              <w:rPr>
                <w:sz w:val="16"/>
                <w:szCs w:val="16"/>
                <w:lang w:val="es-ES_tradnl"/>
              </w:rPr>
              <w:t>297,1</w:t>
            </w:r>
          </w:p>
        </w:tc>
        <w:tc>
          <w:tcPr>
            <w:tcW w:w="621" w:type="dxa"/>
          </w:tcPr>
          <w:p w:rsidR="00C770FE" w:rsidRPr="00E55CA1" w:rsidRDefault="00C770FE" w:rsidP="00741A79">
            <w:pPr>
              <w:pStyle w:val="Tabletext"/>
              <w:jc w:val="center"/>
              <w:rPr>
                <w:sz w:val="16"/>
                <w:szCs w:val="16"/>
                <w:lang w:val="es-ES_tradnl"/>
              </w:rPr>
            </w:pPr>
            <w:r w:rsidRPr="00E55CA1">
              <w:rPr>
                <w:sz w:val="16"/>
                <w:szCs w:val="16"/>
                <w:lang w:val="es-ES_tradnl"/>
              </w:rPr>
              <w:t>23,9</w:t>
            </w:r>
          </w:p>
        </w:tc>
        <w:tc>
          <w:tcPr>
            <w:tcW w:w="621" w:type="dxa"/>
          </w:tcPr>
          <w:p w:rsidR="00C770FE" w:rsidRPr="00E55CA1" w:rsidRDefault="00C770FE" w:rsidP="00741A79">
            <w:pPr>
              <w:pStyle w:val="Tabletext"/>
              <w:jc w:val="center"/>
              <w:rPr>
                <w:sz w:val="16"/>
                <w:szCs w:val="16"/>
                <w:lang w:val="es-ES_tradnl"/>
              </w:rPr>
            </w:pPr>
            <w:r w:rsidRPr="00E55CA1">
              <w:rPr>
                <w:sz w:val="16"/>
                <w:szCs w:val="16"/>
                <w:lang w:val="es-ES_tradnl"/>
              </w:rPr>
              <w:t>4,81</w:t>
            </w:r>
          </w:p>
        </w:tc>
        <w:tc>
          <w:tcPr>
            <w:tcW w:w="901" w:type="dxa"/>
            <w:gridSpan w:val="2"/>
          </w:tcPr>
          <w:p w:rsidR="00C770FE" w:rsidRPr="00E55CA1" w:rsidRDefault="00C770FE" w:rsidP="00741A79">
            <w:pPr>
              <w:pStyle w:val="Tabletext"/>
              <w:jc w:val="center"/>
              <w:rPr>
                <w:sz w:val="16"/>
                <w:szCs w:val="16"/>
                <w:lang w:val="es-ES_tradnl"/>
              </w:rPr>
            </w:pPr>
            <w:r w:rsidRPr="00E55CA1">
              <w:rPr>
                <w:sz w:val="16"/>
                <w:szCs w:val="16"/>
                <w:lang w:val="es-ES_tradnl"/>
              </w:rPr>
              <w:t>96,4</w:t>
            </w:r>
          </w:p>
        </w:tc>
      </w:tr>
      <w:tr w:rsidR="00C770FE" w:rsidRPr="00E55CA1" w:rsidTr="008B3431">
        <w:trPr>
          <w:jc w:val="center"/>
        </w:trPr>
        <w:tc>
          <w:tcPr>
            <w:tcW w:w="900" w:type="dxa"/>
          </w:tcPr>
          <w:p w:rsidR="00C770FE" w:rsidRPr="00E55CA1" w:rsidRDefault="00C770FE" w:rsidP="00741A79">
            <w:pPr>
              <w:pStyle w:val="Tabletext"/>
              <w:jc w:val="center"/>
              <w:rPr>
                <w:sz w:val="16"/>
                <w:szCs w:val="16"/>
                <w:lang w:val="es-ES_tradnl"/>
              </w:rPr>
            </w:pPr>
            <w:r w:rsidRPr="00E55CA1">
              <w:rPr>
                <w:sz w:val="16"/>
                <w:szCs w:val="16"/>
                <w:lang w:val="es-ES_tradnl"/>
              </w:rPr>
              <w:t>05</w:t>
            </w:r>
          </w:p>
        </w:tc>
        <w:tc>
          <w:tcPr>
            <w:tcW w:w="733" w:type="dxa"/>
          </w:tcPr>
          <w:p w:rsidR="00C770FE" w:rsidRPr="00E55CA1" w:rsidRDefault="00C770FE" w:rsidP="00741A79">
            <w:pPr>
              <w:pStyle w:val="Tabletext"/>
              <w:jc w:val="center"/>
              <w:rPr>
                <w:sz w:val="16"/>
                <w:szCs w:val="16"/>
                <w:lang w:val="es-ES_tradnl"/>
              </w:rPr>
            </w:pPr>
            <w:r w:rsidRPr="00E55CA1">
              <w:rPr>
                <w:sz w:val="16"/>
                <w:szCs w:val="16"/>
                <w:lang w:val="es-ES_tradnl"/>
              </w:rPr>
              <w:t>0</w:t>
            </w:r>
          </w:p>
        </w:tc>
        <w:tc>
          <w:tcPr>
            <w:tcW w:w="901" w:type="dxa"/>
          </w:tcPr>
          <w:p w:rsidR="00C770FE" w:rsidRPr="00E55CA1" w:rsidRDefault="00C770FE" w:rsidP="00741A79">
            <w:pPr>
              <w:pStyle w:val="Tabletext"/>
              <w:jc w:val="center"/>
              <w:rPr>
                <w:sz w:val="16"/>
                <w:szCs w:val="16"/>
                <w:lang w:val="es-ES_tradnl"/>
              </w:rPr>
            </w:pPr>
            <w:r w:rsidRPr="00E55CA1">
              <w:rPr>
                <w:sz w:val="16"/>
                <w:szCs w:val="16"/>
                <w:lang w:val="es-ES_tradnl"/>
              </w:rPr>
              <w:t>100,0</w:t>
            </w:r>
          </w:p>
        </w:tc>
        <w:tc>
          <w:tcPr>
            <w:tcW w:w="1478" w:type="dxa"/>
          </w:tcPr>
          <w:p w:rsidR="00C770FE" w:rsidRPr="00E55CA1" w:rsidRDefault="00C770FE" w:rsidP="00741A79">
            <w:pPr>
              <w:pStyle w:val="Tabletext"/>
              <w:rPr>
                <w:sz w:val="16"/>
                <w:szCs w:val="16"/>
                <w:lang w:val="es-ES_tradnl"/>
              </w:rPr>
            </w:pPr>
            <w:r w:rsidRPr="00E55CA1">
              <w:rPr>
                <w:sz w:val="16"/>
                <w:szCs w:val="16"/>
                <w:lang w:val="es-ES_tradnl"/>
              </w:rPr>
              <w:t>Indonesia</w:t>
            </w:r>
          </w:p>
        </w:tc>
        <w:tc>
          <w:tcPr>
            <w:tcW w:w="567" w:type="dxa"/>
          </w:tcPr>
          <w:p w:rsidR="00C770FE" w:rsidRPr="00E55CA1" w:rsidRDefault="00C770FE" w:rsidP="00741A79">
            <w:pPr>
              <w:pStyle w:val="Tabletext"/>
              <w:jc w:val="center"/>
              <w:rPr>
                <w:sz w:val="16"/>
                <w:szCs w:val="16"/>
                <w:lang w:val="es-ES_tradnl"/>
              </w:rPr>
            </w:pPr>
            <w:r w:rsidRPr="00E55CA1">
              <w:rPr>
                <w:sz w:val="16"/>
                <w:szCs w:val="16"/>
                <w:lang w:val="es-ES_tradnl"/>
              </w:rPr>
              <w:t>0,01</w:t>
            </w:r>
          </w:p>
        </w:tc>
        <w:tc>
          <w:tcPr>
            <w:tcW w:w="846" w:type="dxa"/>
          </w:tcPr>
          <w:p w:rsidR="00C770FE" w:rsidRPr="00E55CA1" w:rsidRDefault="00C770FE" w:rsidP="00741A79">
            <w:pPr>
              <w:pStyle w:val="Tabletext"/>
              <w:jc w:val="center"/>
              <w:rPr>
                <w:sz w:val="16"/>
                <w:szCs w:val="16"/>
                <w:lang w:val="es-ES_tradnl"/>
              </w:rPr>
            </w:pPr>
            <w:r w:rsidRPr="00E55CA1">
              <w:rPr>
                <w:sz w:val="16"/>
                <w:szCs w:val="16"/>
                <w:lang w:val="es-ES_tradnl"/>
              </w:rPr>
              <w:t>1 012</w:t>
            </w:r>
          </w:p>
        </w:tc>
        <w:tc>
          <w:tcPr>
            <w:tcW w:w="621" w:type="dxa"/>
          </w:tcPr>
          <w:p w:rsidR="00C770FE" w:rsidRPr="00E55CA1" w:rsidRDefault="00C770FE" w:rsidP="00741A79">
            <w:pPr>
              <w:pStyle w:val="Tabletext"/>
              <w:jc w:val="center"/>
              <w:rPr>
                <w:sz w:val="16"/>
                <w:szCs w:val="16"/>
                <w:lang w:val="es-ES_tradnl"/>
              </w:rPr>
            </w:pPr>
            <w:r w:rsidRPr="00E55CA1">
              <w:rPr>
                <w:sz w:val="16"/>
                <w:szCs w:val="16"/>
                <w:lang w:val="es-ES_tradnl"/>
              </w:rPr>
              <w:t>389</w:t>
            </w:r>
          </w:p>
        </w:tc>
        <w:tc>
          <w:tcPr>
            <w:tcW w:w="733" w:type="dxa"/>
          </w:tcPr>
          <w:p w:rsidR="00C770FE" w:rsidRPr="00E55CA1" w:rsidRDefault="00C770FE" w:rsidP="00741A79">
            <w:pPr>
              <w:pStyle w:val="Tabletext"/>
              <w:jc w:val="center"/>
              <w:rPr>
                <w:sz w:val="16"/>
                <w:szCs w:val="16"/>
                <w:lang w:val="es-ES_tradnl"/>
              </w:rPr>
            </w:pPr>
            <w:r w:rsidRPr="00E55CA1">
              <w:rPr>
                <w:sz w:val="16"/>
                <w:szCs w:val="16"/>
                <w:lang w:val="es-ES_tradnl"/>
              </w:rPr>
              <w:t>22</w:t>
            </w:r>
          </w:p>
        </w:tc>
        <w:tc>
          <w:tcPr>
            <w:tcW w:w="733" w:type="dxa"/>
          </w:tcPr>
          <w:p w:rsidR="00C770FE" w:rsidRPr="00E55CA1" w:rsidRDefault="00C770FE" w:rsidP="00741A79">
            <w:pPr>
              <w:pStyle w:val="Tabletext"/>
              <w:jc w:val="center"/>
              <w:rPr>
                <w:sz w:val="16"/>
                <w:szCs w:val="16"/>
                <w:lang w:val="es-ES_tradnl"/>
              </w:rPr>
            </w:pPr>
            <w:r w:rsidRPr="00E55CA1">
              <w:rPr>
                <w:sz w:val="16"/>
                <w:szCs w:val="16"/>
                <w:lang w:val="es-ES_tradnl"/>
              </w:rPr>
              <w:t>299,7</w:t>
            </w:r>
          </w:p>
        </w:tc>
        <w:tc>
          <w:tcPr>
            <w:tcW w:w="621" w:type="dxa"/>
          </w:tcPr>
          <w:p w:rsidR="00C770FE" w:rsidRPr="00E55CA1" w:rsidRDefault="00C770FE" w:rsidP="00741A79">
            <w:pPr>
              <w:pStyle w:val="Tabletext"/>
              <w:jc w:val="center"/>
              <w:rPr>
                <w:sz w:val="16"/>
                <w:szCs w:val="16"/>
                <w:lang w:val="es-ES_tradnl"/>
              </w:rPr>
            </w:pPr>
            <w:r w:rsidRPr="00E55CA1">
              <w:rPr>
                <w:sz w:val="16"/>
                <w:szCs w:val="16"/>
                <w:lang w:val="es-ES_tradnl"/>
              </w:rPr>
              <w:t>26,6</w:t>
            </w:r>
          </w:p>
        </w:tc>
        <w:tc>
          <w:tcPr>
            <w:tcW w:w="621" w:type="dxa"/>
          </w:tcPr>
          <w:p w:rsidR="00C770FE" w:rsidRPr="00E55CA1" w:rsidRDefault="00C770FE" w:rsidP="00741A79">
            <w:pPr>
              <w:pStyle w:val="Tabletext"/>
              <w:jc w:val="center"/>
              <w:rPr>
                <w:sz w:val="16"/>
                <w:szCs w:val="16"/>
                <w:lang w:val="es-ES_tradnl"/>
              </w:rPr>
            </w:pPr>
            <w:r w:rsidRPr="00E55CA1">
              <w:rPr>
                <w:sz w:val="16"/>
                <w:szCs w:val="16"/>
                <w:lang w:val="es-ES_tradnl"/>
              </w:rPr>
              <w:t>4,91</w:t>
            </w:r>
          </w:p>
        </w:tc>
        <w:tc>
          <w:tcPr>
            <w:tcW w:w="901" w:type="dxa"/>
            <w:gridSpan w:val="2"/>
          </w:tcPr>
          <w:p w:rsidR="00C770FE" w:rsidRPr="00E55CA1" w:rsidRDefault="00C770FE" w:rsidP="00741A79">
            <w:pPr>
              <w:pStyle w:val="Tabletext"/>
              <w:jc w:val="center"/>
              <w:rPr>
                <w:sz w:val="16"/>
                <w:szCs w:val="16"/>
                <w:lang w:val="es-ES_tradnl"/>
              </w:rPr>
            </w:pPr>
            <w:r w:rsidRPr="00E55CA1">
              <w:rPr>
                <w:sz w:val="16"/>
                <w:szCs w:val="16"/>
                <w:lang w:val="es-ES_tradnl"/>
              </w:rPr>
              <w:t>119,7</w:t>
            </w:r>
          </w:p>
        </w:tc>
      </w:tr>
      <w:tr w:rsidR="00C770FE" w:rsidRPr="00E55CA1" w:rsidTr="008B3431">
        <w:trPr>
          <w:jc w:val="center"/>
        </w:trPr>
        <w:tc>
          <w:tcPr>
            <w:tcW w:w="900" w:type="dxa"/>
          </w:tcPr>
          <w:p w:rsidR="00C770FE" w:rsidRPr="00E55CA1" w:rsidRDefault="00C770FE" w:rsidP="00741A79">
            <w:pPr>
              <w:pStyle w:val="Tabletext"/>
              <w:jc w:val="center"/>
              <w:rPr>
                <w:sz w:val="16"/>
                <w:szCs w:val="16"/>
                <w:lang w:val="es-ES_tradnl"/>
              </w:rPr>
            </w:pPr>
            <w:r w:rsidRPr="00E55CA1">
              <w:rPr>
                <w:sz w:val="16"/>
                <w:szCs w:val="16"/>
                <w:lang w:val="es-ES_tradnl"/>
              </w:rPr>
              <w:t>06</w:t>
            </w:r>
          </w:p>
        </w:tc>
        <w:tc>
          <w:tcPr>
            <w:tcW w:w="733" w:type="dxa"/>
          </w:tcPr>
          <w:p w:rsidR="00C770FE" w:rsidRPr="00E55CA1" w:rsidRDefault="00C770FE" w:rsidP="00741A79">
            <w:pPr>
              <w:pStyle w:val="Tabletext"/>
              <w:jc w:val="center"/>
              <w:rPr>
                <w:sz w:val="16"/>
                <w:szCs w:val="16"/>
                <w:lang w:val="es-ES_tradnl"/>
              </w:rPr>
            </w:pPr>
            <w:r w:rsidRPr="00E55CA1">
              <w:rPr>
                <w:sz w:val="16"/>
                <w:szCs w:val="16"/>
                <w:lang w:val="es-ES_tradnl"/>
              </w:rPr>
              <w:t>15</w:t>
            </w:r>
          </w:p>
        </w:tc>
        <w:tc>
          <w:tcPr>
            <w:tcW w:w="901" w:type="dxa"/>
          </w:tcPr>
          <w:p w:rsidR="00C770FE" w:rsidRPr="00E55CA1" w:rsidRDefault="00C770FE" w:rsidP="00741A79">
            <w:pPr>
              <w:pStyle w:val="Tabletext"/>
              <w:jc w:val="center"/>
              <w:rPr>
                <w:sz w:val="16"/>
                <w:szCs w:val="16"/>
                <w:lang w:val="es-ES_tradnl"/>
              </w:rPr>
            </w:pPr>
            <w:r w:rsidRPr="00E55CA1">
              <w:rPr>
                <w:sz w:val="16"/>
                <w:szCs w:val="16"/>
                <w:lang w:val="es-ES_tradnl"/>
              </w:rPr>
              <w:t>102,5</w:t>
            </w:r>
          </w:p>
        </w:tc>
        <w:tc>
          <w:tcPr>
            <w:tcW w:w="1478" w:type="dxa"/>
          </w:tcPr>
          <w:p w:rsidR="00C770FE" w:rsidRPr="00E55CA1" w:rsidRDefault="00C770FE" w:rsidP="00741A79">
            <w:pPr>
              <w:pStyle w:val="Tabletext"/>
              <w:rPr>
                <w:sz w:val="16"/>
                <w:szCs w:val="16"/>
                <w:lang w:val="es-ES_tradnl"/>
              </w:rPr>
            </w:pPr>
            <w:r w:rsidRPr="00E55CA1">
              <w:rPr>
                <w:sz w:val="16"/>
                <w:szCs w:val="16"/>
                <w:lang w:val="es-ES_tradnl"/>
              </w:rPr>
              <w:t>Asia Sudoriental</w:t>
            </w:r>
          </w:p>
        </w:tc>
        <w:tc>
          <w:tcPr>
            <w:tcW w:w="567" w:type="dxa"/>
          </w:tcPr>
          <w:p w:rsidR="00C770FE" w:rsidRPr="00E55CA1" w:rsidRDefault="00C770FE" w:rsidP="00741A79">
            <w:pPr>
              <w:pStyle w:val="Tabletext"/>
              <w:jc w:val="center"/>
              <w:rPr>
                <w:sz w:val="16"/>
                <w:szCs w:val="16"/>
                <w:lang w:val="es-ES_tradnl"/>
              </w:rPr>
            </w:pPr>
            <w:r w:rsidRPr="00E55CA1">
              <w:rPr>
                <w:sz w:val="16"/>
                <w:szCs w:val="16"/>
                <w:lang w:val="es-ES_tradnl"/>
              </w:rPr>
              <w:t>0,20</w:t>
            </w:r>
          </w:p>
        </w:tc>
        <w:tc>
          <w:tcPr>
            <w:tcW w:w="846" w:type="dxa"/>
          </w:tcPr>
          <w:p w:rsidR="00C770FE" w:rsidRPr="00E55CA1" w:rsidRDefault="00C770FE" w:rsidP="00741A79">
            <w:pPr>
              <w:pStyle w:val="Tabletext"/>
              <w:jc w:val="center"/>
              <w:rPr>
                <w:sz w:val="16"/>
                <w:szCs w:val="16"/>
                <w:lang w:val="es-ES_tradnl"/>
              </w:rPr>
            </w:pPr>
            <w:r w:rsidRPr="00E55CA1">
              <w:rPr>
                <w:sz w:val="16"/>
                <w:szCs w:val="16"/>
                <w:lang w:val="es-ES_tradnl"/>
              </w:rPr>
              <w:t>1 012</w:t>
            </w:r>
          </w:p>
        </w:tc>
        <w:tc>
          <w:tcPr>
            <w:tcW w:w="621" w:type="dxa"/>
          </w:tcPr>
          <w:p w:rsidR="00C770FE" w:rsidRPr="00E55CA1" w:rsidRDefault="00C770FE" w:rsidP="00741A79">
            <w:pPr>
              <w:pStyle w:val="Tabletext"/>
              <w:jc w:val="center"/>
              <w:rPr>
                <w:sz w:val="16"/>
                <w:szCs w:val="16"/>
                <w:lang w:val="es-ES_tradnl"/>
              </w:rPr>
            </w:pPr>
            <w:r w:rsidRPr="00E55CA1">
              <w:rPr>
                <w:sz w:val="16"/>
                <w:szCs w:val="16"/>
                <w:lang w:val="es-ES_tradnl"/>
              </w:rPr>
              <w:t>360</w:t>
            </w:r>
          </w:p>
        </w:tc>
        <w:tc>
          <w:tcPr>
            <w:tcW w:w="733" w:type="dxa"/>
          </w:tcPr>
          <w:p w:rsidR="00C770FE" w:rsidRPr="00E55CA1" w:rsidRDefault="00C770FE" w:rsidP="00741A79">
            <w:pPr>
              <w:pStyle w:val="Tabletext"/>
              <w:jc w:val="center"/>
              <w:rPr>
                <w:sz w:val="16"/>
                <w:szCs w:val="16"/>
                <w:lang w:val="es-ES_tradnl"/>
              </w:rPr>
            </w:pPr>
            <w:r w:rsidRPr="00E55CA1">
              <w:rPr>
                <w:sz w:val="16"/>
                <w:szCs w:val="16"/>
                <w:lang w:val="es-ES_tradnl"/>
              </w:rPr>
              <w:t>16</w:t>
            </w:r>
          </w:p>
        </w:tc>
        <w:tc>
          <w:tcPr>
            <w:tcW w:w="733" w:type="dxa"/>
          </w:tcPr>
          <w:p w:rsidR="00C770FE" w:rsidRPr="00E55CA1" w:rsidRDefault="00C770FE" w:rsidP="00741A79">
            <w:pPr>
              <w:pStyle w:val="Tabletext"/>
              <w:jc w:val="center"/>
              <w:rPr>
                <w:sz w:val="16"/>
                <w:szCs w:val="16"/>
                <w:lang w:val="es-ES_tradnl"/>
              </w:rPr>
            </w:pPr>
            <w:r w:rsidRPr="00E55CA1">
              <w:rPr>
                <w:sz w:val="16"/>
                <w:szCs w:val="16"/>
                <w:lang w:val="es-ES_tradnl"/>
              </w:rPr>
              <w:t>294,6</w:t>
            </w:r>
          </w:p>
        </w:tc>
        <w:tc>
          <w:tcPr>
            <w:tcW w:w="621" w:type="dxa"/>
          </w:tcPr>
          <w:p w:rsidR="00C770FE" w:rsidRPr="00E55CA1" w:rsidRDefault="00C770FE" w:rsidP="00741A79">
            <w:pPr>
              <w:pStyle w:val="Tabletext"/>
              <w:jc w:val="center"/>
              <w:rPr>
                <w:sz w:val="16"/>
                <w:szCs w:val="16"/>
                <w:lang w:val="es-ES_tradnl"/>
              </w:rPr>
            </w:pPr>
            <w:r w:rsidRPr="00E55CA1">
              <w:rPr>
                <w:sz w:val="16"/>
                <w:szCs w:val="16"/>
                <w:lang w:val="es-ES_tradnl"/>
              </w:rPr>
              <w:t>21,5</w:t>
            </w:r>
          </w:p>
        </w:tc>
        <w:tc>
          <w:tcPr>
            <w:tcW w:w="621" w:type="dxa"/>
          </w:tcPr>
          <w:p w:rsidR="00C770FE" w:rsidRPr="00E55CA1" w:rsidRDefault="00C770FE" w:rsidP="00741A79">
            <w:pPr>
              <w:pStyle w:val="Tabletext"/>
              <w:jc w:val="center"/>
              <w:rPr>
                <w:sz w:val="16"/>
                <w:szCs w:val="16"/>
                <w:lang w:val="es-ES_tradnl"/>
              </w:rPr>
            </w:pPr>
            <w:r w:rsidRPr="00E55CA1">
              <w:rPr>
                <w:sz w:val="16"/>
                <w:szCs w:val="16"/>
                <w:lang w:val="es-ES_tradnl"/>
              </w:rPr>
              <w:t>5,07</w:t>
            </w:r>
          </w:p>
        </w:tc>
        <w:tc>
          <w:tcPr>
            <w:tcW w:w="901" w:type="dxa"/>
            <w:gridSpan w:val="2"/>
          </w:tcPr>
          <w:p w:rsidR="00C770FE" w:rsidRPr="00E55CA1" w:rsidRDefault="00C770FE" w:rsidP="00741A79">
            <w:pPr>
              <w:pStyle w:val="Tabletext"/>
              <w:jc w:val="center"/>
              <w:rPr>
                <w:sz w:val="16"/>
                <w:szCs w:val="16"/>
                <w:lang w:val="es-ES_tradnl"/>
              </w:rPr>
            </w:pPr>
            <w:r w:rsidRPr="00E55CA1">
              <w:rPr>
                <w:sz w:val="16"/>
                <w:szCs w:val="16"/>
                <w:lang w:val="es-ES_tradnl"/>
              </w:rPr>
              <w:t>96,2</w:t>
            </w:r>
          </w:p>
        </w:tc>
      </w:tr>
      <w:tr w:rsidR="00C770FE" w:rsidRPr="00E55CA1" w:rsidTr="008B3431">
        <w:trPr>
          <w:jc w:val="center"/>
        </w:trPr>
        <w:tc>
          <w:tcPr>
            <w:tcW w:w="900" w:type="dxa"/>
          </w:tcPr>
          <w:p w:rsidR="00C770FE" w:rsidRPr="00E55CA1" w:rsidRDefault="00C770FE" w:rsidP="00741A79">
            <w:pPr>
              <w:pStyle w:val="Tabletext"/>
              <w:jc w:val="center"/>
              <w:rPr>
                <w:sz w:val="16"/>
                <w:szCs w:val="16"/>
                <w:lang w:val="es-ES_tradnl"/>
              </w:rPr>
            </w:pPr>
            <w:r w:rsidRPr="00E55CA1">
              <w:rPr>
                <w:sz w:val="16"/>
                <w:szCs w:val="16"/>
                <w:lang w:val="es-ES_tradnl"/>
              </w:rPr>
              <w:t>07</w:t>
            </w:r>
          </w:p>
        </w:tc>
        <w:tc>
          <w:tcPr>
            <w:tcW w:w="733" w:type="dxa"/>
          </w:tcPr>
          <w:p w:rsidR="00C770FE" w:rsidRPr="00E55CA1" w:rsidRDefault="00C770FE" w:rsidP="00741A79">
            <w:pPr>
              <w:pStyle w:val="Tabletext"/>
              <w:jc w:val="center"/>
              <w:rPr>
                <w:sz w:val="16"/>
                <w:szCs w:val="16"/>
                <w:lang w:val="es-ES_tradnl"/>
              </w:rPr>
            </w:pPr>
            <w:r w:rsidRPr="00E55CA1">
              <w:rPr>
                <w:sz w:val="16"/>
                <w:szCs w:val="16"/>
                <w:lang w:val="es-ES_tradnl"/>
              </w:rPr>
              <w:t>15</w:t>
            </w:r>
          </w:p>
        </w:tc>
        <w:tc>
          <w:tcPr>
            <w:tcW w:w="901" w:type="dxa"/>
          </w:tcPr>
          <w:p w:rsidR="00C770FE" w:rsidRPr="00E55CA1" w:rsidRDefault="00C770FE" w:rsidP="00741A79">
            <w:pPr>
              <w:pStyle w:val="Tabletext"/>
              <w:jc w:val="center"/>
              <w:rPr>
                <w:sz w:val="16"/>
                <w:szCs w:val="16"/>
                <w:lang w:val="es-ES_tradnl"/>
              </w:rPr>
            </w:pPr>
            <w:r w:rsidRPr="00E55CA1">
              <w:rPr>
                <w:sz w:val="16"/>
                <w:szCs w:val="16"/>
                <w:lang w:val="es-ES_tradnl"/>
              </w:rPr>
              <w:t>50,0</w:t>
            </w:r>
          </w:p>
        </w:tc>
        <w:tc>
          <w:tcPr>
            <w:tcW w:w="1478" w:type="dxa"/>
          </w:tcPr>
          <w:p w:rsidR="00C770FE" w:rsidRPr="00E55CA1" w:rsidRDefault="00C770FE" w:rsidP="00741A79">
            <w:pPr>
              <w:pStyle w:val="Tabletext"/>
              <w:rPr>
                <w:sz w:val="16"/>
                <w:szCs w:val="16"/>
                <w:lang w:val="es-ES_tradnl"/>
              </w:rPr>
            </w:pPr>
            <w:r w:rsidRPr="00E55CA1">
              <w:rPr>
                <w:sz w:val="16"/>
                <w:szCs w:val="16"/>
                <w:lang w:val="es-ES_tradnl"/>
              </w:rPr>
              <w:t>Oriente Medio</w:t>
            </w:r>
          </w:p>
        </w:tc>
        <w:tc>
          <w:tcPr>
            <w:tcW w:w="567" w:type="dxa"/>
          </w:tcPr>
          <w:p w:rsidR="00C770FE" w:rsidRPr="00E55CA1" w:rsidRDefault="00C770FE" w:rsidP="00741A79">
            <w:pPr>
              <w:pStyle w:val="Tabletext"/>
              <w:jc w:val="center"/>
              <w:rPr>
                <w:sz w:val="16"/>
                <w:szCs w:val="16"/>
                <w:lang w:val="es-ES_tradnl"/>
              </w:rPr>
            </w:pPr>
            <w:r w:rsidRPr="00E55CA1">
              <w:rPr>
                <w:sz w:val="16"/>
                <w:szCs w:val="16"/>
                <w:lang w:val="es-ES_tradnl"/>
              </w:rPr>
              <w:t>0,15</w:t>
            </w:r>
          </w:p>
        </w:tc>
        <w:tc>
          <w:tcPr>
            <w:tcW w:w="846" w:type="dxa"/>
          </w:tcPr>
          <w:p w:rsidR="00C770FE" w:rsidRPr="00E55CA1" w:rsidRDefault="00C770FE" w:rsidP="00741A79">
            <w:pPr>
              <w:pStyle w:val="Tabletext"/>
              <w:jc w:val="center"/>
              <w:rPr>
                <w:sz w:val="16"/>
                <w:szCs w:val="16"/>
                <w:lang w:val="es-ES_tradnl"/>
              </w:rPr>
            </w:pPr>
            <w:r w:rsidRPr="00E55CA1">
              <w:rPr>
                <w:sz w:val="16"/>
                <w:szCs w:val="16"/>
                <w:lang w:val="es-ES_tradnl"/>
              </w:rPr>
              <w:t>1 012</w:t>
            </w:r>
          </w:p>
        </w:tc>
        <w:tc>
          <w:tcPr>
            <w:tcW w:w="621" w:type="dxa"/>
          </w:tcPr>
          <w:p w:rsidR="00C770FE" w:rsidRPr="00E55CA1" w:rsidRDefault="00C770FE" w:rsidP="00741A79">
            <w:pPr>
              <w:pStyle w:val="Tabletext"/>
              <w:jc w:val="center"/>
              <w:rPr>
                <w:sz w:val="16"/>
                <w:szCs w:val="16"/>
                <w:lang w:val="es-ES_tradnl"/>
              </w:rPr>
            </w:pPr>
            <w:r w:rsidRPr="00E55CA1">
              <w:rPr>
                <w:sz w:val="16"/>
                <w:szCs w:val="16"/>
                <w:lang w:val="es-ES_tradnl"/>
              </w:rPr>
              <w:t>353</w:t>
            </w:r>
          </w:p>
        </w:tc>
        <w:tc>
          <w:tcPr>
            <w:tcW w:w="733" w:type="dxa"/>
          </w:tcPr>
          <w:p w:rsidR="00C770FE" w:rsidRPr="00E55CA1" w:rsidRDefault="00C770FE" w:rsidP="00741A79">
            <w:pPr>
              <w:pStyle w:val="Tabletext"/>
              <w:jc w:val="center"/>
              <w:rPr>
                <w:sz w:val="16"/>
                <w:szCs w:val="16"/>
                <w:lang w:val="es-ES_tradnl"/>
              </w:rPr>
            </w:pPr>
            <w:r w:rsidRPr="00E55CA1">
              <w:rPr>
                <w:sz w:val="16"/>
                <w:szCs w:val="16"/>
                <w:lang w:val="es-ES_tradnl"/>
              </w:rPr>
              <w:t>15</w:t>
            </w:r>
          </w:p>
        </w:tc>
        <w:tc>
          <w:tcPr>
            <w:tcW w:w="733" w:type="dxa"/>
          </w:tcPr>
          <w:p w:rsidR="00C770FE" w:rsidRPr="00E55CA1" w:rsidRDefault="00C770FE" w:rsidP="00741A79">
            <w:pPr>
              <w:pStyle w:val="Tabletext"/>
              <w:jc w:val="center"/>
              <w:rPr>
                <w:sz w:val="16"/>
                <w:szCs w:val="16"/>
                <w:lang w:val="es-ES_tradnl"/>
              </w:rPr>
            </w:pPr>
            <w:r w:rsidRPr="00E55CA1">
              <w:rPr>
                <w:sz w:val="16"/>
                <w:szCs w:val="16"/>
                <w:lang w:val="es-ES_tradnl"/>
              </w:rPr>
              <w:t>295,1</w:t>
            </w:r>
          </w:p>
        </w:tc>
        <w:tc>
          <w:tcPr>
            <w:tcW w:w="621" w:type="dxa"/>
          </w:tcPr>
          <w:p w:rsidR="00C770FE" w:rsidRPr="00E55CA1" w:rsidRDefault="00C770FE" w:rsidP="00741A79">
            <w:pPr>
              <w:pStyle w:val="Tabletext"/>
              <w:jc w:val="center"/>
              <w:rPr>
                <w:sz w:val="16"/>
                <w:szCs w:val="16"/>
                <w:lang w:val="es-ES_tradnl"/>
              </w:rPr>
            </w:pPr>
            <w:r w:rsidRPr="00E55CA1">
              <w:rPr>
                <w:sz w:val="16"/>
                <w:szCs w:val="16"/>
                <w:lang w:val="es-ES_tradnl"/>
              </w:rPr>
              <w:t>21,9</w:t>
            </w:r>
          </w:p>
        </w:tc>
        <w:tc>
          <w:tcPr>
            <w:tcW w:w="621" w:type="dxa"/>
          </w:tcPr>
          <w:p w:rsidR="00C770FE" w:rsidRPr="00E55CA1" w:rsidRDefault="00C770FE" w:rsidP="00741A79">
            <w:pPr>
              <w:pStyle w:val="Tabletext"/>
              <w:jc w:val="center"/>
              <w:rPr>
                <w:sz w:val="16"/>
                <w:szCs w:val="16"/>
                <w:lang w:val="es-ES_tradnl"/>
              </w:rPr>
            </w:pPr>
            <w:r w:rsidRPr="00E55CA1">
              <w:rPr>
                <w:sz w:val="16"/>
                <w:szCs w:val="16"/>
                <w:lang w:val="es-ES_tradnl"/>
              </w:rPr>
              <w:t>4,75</w:t>
            </w:r>
          </w:p>
        </w:tc>
        <w:tc>
          <w:tcPr>
            <w:tcW w:w="901" w:type="dxa"/>
            <w:gridSpan w:val="2"/>
          </w:tcPr>
          <w:p w:rsidR="00C770FE" w:rsidRPr="00E55CA1" w:rsidRDefault="00C770FE" w:rsidP="00741A79">
            <w:pPr>
              <w:pStyle w:val="Tabletext"/>
              <w:jc w:val="center"/>
              <w:rPr>
                <w:sz w:val="16"/>
                <w:szCs w:val="16"/>
                <w:lang w:val="es-ES_tradnl"/>
              </w:rPr>
            </w:pPr>
            <w:r w:rsidRPr="00E55CA1">
              <w:rPr>
                <w:sz w:val="16"/>
                <w:szCs w:val="16"/>
                <w:lang w:val="es-ES_tradnl"/>
              </w:rPr>
              <w:t>17,1</w:t>
            </w:r>
          </w:p>
        </w:tc>
      </w:tr>
      <w:tr w:rsidR="00C770FE" w:rsidRPr="00E55CA1" w:rsidTr="008B3431">
        <w:trPr>
          <w:jc w:val="center"/>
        </w:trPr>
        <w:tc>
          <w:tcPr>
            <w:tcW w:w="900" w:type="dxa"/>
          </w:tcPr>
          <w:p w:rsidR="00C770FE" w:rsidRPr="00E55CA1" w:rsidRDefault="00C770FE" w:rsidP="00741A79">
            <w:pPr>
              <w:pStyle w:val="Tabletext"/>
              <w:jc w:val="center"/>
              <w:rPr>
                <w:sz w:val="16"/>
                <w:szCs w:val="16"/>
                <w:lang w:val="es-ES_tradnl"/>
              </w:rPr>
            </w:pPr>
            <w:r w:rsidRPr="00E55CA1">
              <w:rPr>
                <w:sz w:val="16"/>
                <w:szCs w:val="16"/>
                <w:lang w:val="es-ES_tradnl"/>
              </w:rPr>
              <w:t>08</w:t>
            </w:r>
          </w:p>
        </w:tc>
        <w:tc>
          <w:tcPr>
            <w:tcW w:w="733" w:type="dxa"/>
          </w:tcPr>
          <w:p w:rsidR="00C770FE" w:rsidRPr="00E55CA1" w:rsidRDefault="00C770FE" w:rsidP="00741A79">
            <w:pPr>
              <w:pStyle w:val="Tabletext"/>
              <w:jc w:val="center"/>
              <w:rPr>
                <w:sz w:val="16"/>
                <w:szCs w:val="16"/>
                <w:lang w:val="es-ES_tradnl"/>
              </w:rPr>
            </w:pPr>
            <w:r w:rsidRPr="00E55CA1">
              <w:rPr>
                <w:sz w:val="16"/>
                <w:szCs w:val="16"/>
                <w:lang w:val="es-ES_tradnl"/>
              </w:rPr>
              <w:t>30</w:t>
            </w:r>
          </w:p>
        </w:tc>
        <w:tc>
          <w:tcPr>
            <w:tcW w:w="901" w:type="dxa"/>
          </w:tcPr>
          <w:p w:rsidR="00C770FE" w:rsidRPr="00E55CA1" w:rsidRDefault="00C770FE" w:rsidP="00741A79">
            <w:pPr>
              <w:pStyle w:val="Tabletext"/>
              <w:jc w:val="center"/>
              <w:rPr>
                <w:sz w:val="16"/>
                <w:szCs w:val="16"/>
                <w:lang w:val="es-ES_tradnl"/>
              </w:rPr>
            </w:pPr>
            <w:r w:rsidRPr="00E55CA1">
              <w:rPr>
                <w:sz w:val="16"/>
                <w:szCs w:val="16"/>
                <w:lang w:val="es-ES_tradnl"/>
              </w:rPr>
              <w:sym w:font="Symbol" w:char="F02D"/>
            </w:r>
            <w:r w:rsidRPr="00E55CA1">
              <w:rPr>
                <w:sz w:val="16"/>
                <w:szCs w:val="16"/>
                <w:lang w:val="es-ES_tradnl"/>
              </w:rPr>
              <w:t>91,5</w:t>
            </w:r>
          </w:p>
        </w:tc>
        <w:tc>
          <w:tcPr>
            <w:tcW w:w="1478" w:type="dxa"/>
          </w:tcPr>
          <w:p w:rsidR="00C770FE" w:rsidRPr="00E55CA1" w:rsidRDefault="00C770FE" w:rsidP="008B3431">
            <w:pPr>
              <w:pStyle w:val="Tabletext"/>
              <w:jc w:val="left"/>
              <w:rPr>
                <w:sz w:val="16"/>
                <w:szCs w:val="16"/>
                <w:lang w:val="es-ES_tradnl"/>
              </w:rPr>
            </w:pPr>
            <w:r w:rsidRPr="00E55CA1">
              <w:rPr>
                <w:sz w:val="16"/>
                <w:szCs w:val="16"/>
                <w:lang w:val="es-ES_tradnl"/>
              </w:rPr>
              <w:t>Estados Unidos de América (Sur)</w:t>
            </w:r>
          </w:p>
        </w:tc>
        <w:tc>
          <w:tcPr>
            <w:tcW w:w="567" w:type="dxa"/>
          </w:tcPr>
          <w:p w:rsidR="00C770FE" w:rsidRPr="00E55CA1" w:rsidRDefault="00C770FE" w:rsidP="00741A79">
            <w:pPr>
              <w:pStyle w:val="Tabletext"/>
              <w:jc w:val="center"/>
              <w:rPr>
                <w:sz w:val="16"/>
                <w:szCs w:val="16"/>
                <w:lang w:val="es-ES_tradnl"/>
              </w:rPr>
            </w:pPr>
            <w:r w:rsidRPr="00E55CA1">
              <w:rPr>
                <w:sz w:val="16"/>
                <w:szCs w:val="16"/>
                <w:lang w:val="es-ES_tradnl"/>
              </w:rPr>
              <w:t>0,01</w:t>
            </w:r>
          </w:p>
        </w:tc>
        <w:tc>
          <w:tcPr>
            <w:tcW w:w="846" w:type="dxa"/>
          </w:tcPr>
          <w:p w:rsidR="00C770FE" w:rsidRPr="00E55CA1" w:rsidRDefault="00C770FE" w:rsidP="00741A79">
            <w:pPr>
              <w:pStyle w:val="Tabletext"/>
              <w:jc w:val="center"/>
              <w:rPr>
                <w:sz w:val="16"/>
                <w:szCs w:val="16"/>
                <w:lang w:val="es-ES_tradnl"/>
              </w:rPr>
            </w:pPr>
            <w:r w:rsidRPr="00E55CA1">
              <w:rPr>
                <w:sz w:val="16"/>
                <w:szCs w:val="16"/>
                <w:lang w:val="es-ES_tradnl"/>
              </w:rPr>
              <w:t>1 018,9</w:t>
            </w:r>
          </w:p>
        </w:tc>
        <w:tc>
          <w:tcPr>
            <w:tcW w:w="621" w:type="dxa"/>
          </w:tcPr>
          <w:p w:rsidR="00C770FE" w:rsidRPr="00E55CA1" w:rsidRDefault="00C770FE" w:rsidP="00741A79">
            <w:pPr>
              <w:pStyle w:val="Tabletext"/>
              <w:jc w:val="center"/>
              <w:rPr>
                <w:sz w:val="16"/>
                <w:szCs w:val="16"/>
                <w:lang w:val="es-ES_tradnl"/>
              </w:rPr>
            </w:pPr>
            <w:r w:rsidRPr="00E55CA1">
              <w:rPr>
                <w:sz w:val="16"/>
                <w:szCs w:val="16"/>
                <w:lang w:val="es-ES_tradnl"/>
              </w:rPr>
              <w:t>338</w:t>
            </w:r>
          </w:p>
        </w:tc>
        <w:tc>
          <w:tcPr>
            <w:tcW w:w="733" w:type="dxa"/>
          </w:tcPr>
          <w:p w:rsidR="00C770FE" w:rsidRPr="00E55CA1" w:rsidRDefault="00C770FE" w:rsidP="00741A79">
            <w:pPr>
              <w:pStyle w:val="Tabletext"/>
              <w:jc w:val="center"/>
              <w:rPr>
                <w:sz w:val="16"/>
                <w:szCs w:val="16"/>
                <w:lang w:val="es-ES_tradnl"/>
              </w:rPr>
            </w:pPr>
            <w:r w:rsidRPr="00E55CA1">
              <w:rPr>
                <w:sz w:val="16"/>
                <w:szCs w:val="16"/>
                <w:lang w:val="es-ES_tradnl"/>
              </w:rPr>
              <w:t>10</w:t>
            </w:r>
          </w:p>
        </w:tc>
        <w:tc>
          <w:tcPr>
            <w:tcW w:w="733" w:type="dxa"/>
          </w:tcPr>
          <w:p w:rsidR="00C770FE" w:rsidRPr="00E55CA1" w:rsidRDefault="00C770FE" w:rsidP="00741A79">
            <w:pPr>
              <w:pStyle w:val="Tabletext"/>
              <w:jc w:val="center"/>
              <w:rPr>
                <w:sz w:val="16"/>
                <w:szCs w:val="16"/>
                <w:lang w:val="es-ES_tradnl"/>
              </w:rPr>
            </w:pPr>
            <w:r w:rsidRPr="00E55CA1">
              <w:rPr>
                <w:sz w:val="16"/>
                <w:szCs w:val="16"/>
                <w:lang w:val="es-ES_tradnl"/>
              </w:rPr>
              <w:t>285,3</w:t>
            </w:r>
          </w:p>
        </w:tc>
        <w:tc>
          <w:tcPr>
            <w:tcW w:w="621" w:type="dxa"/>
          </w:tcPr>
          <w:p w:rsidR="00C770FE" w:rsidRPr="00E55CA1" w:rsidRDefault="00C770FE" w:rsidP="00741A79">
            <w:pPr>
              <w:pStyle w:val="Tabletext"/>
              <w:jc w:val="center"/>
              <w:rPr>
                <w:sz w:val="16"/>
                <w:szCs w:val="16"/>
                <w:lang w:val="es-ES_tradnl"/>
              </w:rPr>
            </w:pPr>
            <w:r w:rsidRPr="00E55CA1">
              <w:rPr>
                <w:sz w:val="16"/>
                <w:szCs w:val="16"/>
                <w:lang w:val="es-ES_tradnl"/>
              </w:rPr>
              <w:t>12,1</w:t>
            </w:r>
          </w:p>
        </w:tc>
        <w:tc>
          <w:tcPr>
            <w:tcW w:w="621" w:type="dxa"/>
          </w:tcPr>
          <w:p w:rsidR="00C770FE" w:rsidRPr="00E55CA1" w:rsidRDefault="00C770FE" w:rsidP="00741A79">
            <w:pPr>
              <w:pStyle w:val="Tabletext"/>
              <w:jc w:val="center"/>
              <w:rPr>
                <w:sz w:val="16"/>
                <w:szCs w:val="16"/>
                <w:lang w:val="es-ES_tradnl"/>
              </w:rPr>
            </w:pPr>
            <w:r w:rsidRPr="00E55CA1">
              <w:rPr>
                <w:sz w:val="16"/>
                <w:szCs w:val="16"/>
                <w:lang w:val="es-ES_tradnl"/>
              </w:rPr>
              <w:t>4,58</w:t>
            </w:r>
          </w:p>
        </w:tc>
        <w:tc>
          <w:tcPr>
            <w:tcW w:w="901" w:type="dxa"/>
            <w:gridSpan w:val="2"/>
          </w:tcPr>
          <w:p w:rsidR="00C770FE" w:rsidRPr="00E55CA1" w:rsidRDefault="00C770FE" w:rsidP="00741A79">
            <w:pPr>
              <w:pStyle w:val="Tabletext"/>
              <w:jc w:val="center"/>
              <w:rPr>
                <w:sz w:val="16"/>
                <w:szCs w:val="16"/>
                <w:lang w:val="es-ES_tradnl"/>
              </w:rPr>
            </w:pPr>
            <w:r w:rsidRPr="00E55CA1">
              <w:rPr>
                <w:sz w:val="16"/>
                <w:szCs w:val="16"/>
                <w:lang w:val="es-ES_tradnl"/>
              </w:rPr>
              <w:t>83,7</w:t>
            </w:r>
          </w:p>
        </w:tc>
      </w:tr>
      <w:tr w:rsidR="00C770FE" w:rsidRPr="00E55CA1" w:rsidTr="008B3431">
        <w:trPr>
          <w:jc w:val="center"/>
        </w:trPr>
        <w:tc>
          <w:tcPr>
            <w:tcW w:w="900" w:type="dxa"/>
          </w:tcPr>
          <w:p w:rsidR="00C770FE" w:rsidRPr="00E55CA1" w:rsidRDefault="00C770FE" w:rsidP="00741A79">
            <w:pPr>
              <w:pStyle w:val="Tabletext"/>
              <w:jc w:val="center"/>
              <w:rPr>
                <w:sz w:val="16"/>
                <w:szCs w:val="16"/>
                <w:lang w:val="es-ES_tradnl"/>
              </w:rPr>
            </w:pPr>
            <w:r w:rsidRPr="00E55CA1">
              <w:rPr>
                <w:sz w:val="16"/>
                <w:szCs w:val="16"/>
                <w:lang w:val="es-ES_tradnl"/>
              </w:rPr>
              <w:t>09</w:t>
            </w:r>
          </w:p>
        </w:tc>
        <w:tc>
          <w:tcPr>
            <w:tcW w:w="733" w:type="dxa"/>
          </w:tcPr>
          <w:p w:rsidR="00C770FE" w:rsidRPr="00E55CA1" w:rsidRDefault="00C770FE" w:rsidP="00741A79">
            <w:pPr>
              <w:pStyle w:val="Tabletext"/>
              <w:jc w:val="center"/>
              <w:rPr>
                <w:sz w:val="16"/>
                <w:szCs w:val="16"/>
                <w:lang w:val="es-ES_tradnl"/>
              </w:rPr>
            </w:pPr>
            <w:r w:rsidRPr="00E55CA1">
              <w:rPr>
                <w:sz w:val="16"/>
                <w:szCs w:val="16"/>
                <w:lang w:val="es-ES_tradnl"/>
              </w:rPr>
              <w:t>30</w:t>
            </w:r>
          </w:p>
        </w:tc>
        <w:tc>
          <w:tcPr>
            <w:tcW w:w="901" w:type="dxa"/>
          </w:tcPr>
          <w:p w:rsidR="00C770FE" w:rsidRPr="00E55CA1" w:rsidRDefault="00C770FE" w:rsidP="00741A79">
            <w:pPr>
              <w:pStyle w:val="Tabletext"/>
              <w:jc w:val="center"/>
              <w:rPr>
                <w:sz w:val="16"/>
                <w:szCs w:val="16"/>
                <w:lang w:val="es-ES_tradnl"/>
              </w:rPr>
            </w:pPr>
            <w:r w:rsidRPr="00E55CA1">
              <w:rPr>
                <w:sz w:val="16"/>
                <w:szCs w:val="16"/>
                <w:lang w:val="es-ES_tradnl"/>
              </w:rPr>
              <w:t>120,0</w:t>
            </w:r>
          </w:p>
        </w:tc>
        <w:tc>
          <w:tcPr>
            <w:tcW w:w="1478" w:type="dxa"/>
          </w:tcPr>
          <w:p w:rsidR="00C770FE" w:rsidRPr="00E55CA1" w:rsidRDefault="00C770FE" w:rsidP="00741A79">
            <w:pPr>
              <w:pStyle w:val="Tabletext"/>
              <w:rPr>
                <w:sz w:val="16"/>
                <w:szCs w:val="16"/>
                <w:lang w:val="es-ES_tradnl"/>
              </w:rPr>
            </w:pPr>
            <w:r w:rsidRPr="00E55CA1">
              <w:rPr>
                <w:sz w:val="16"/>
                <w:szCs w:val="16"/>
                <w:lang w:val="es-ES_tradnl"/>
              </w:rPr>
              <w:t>China</w:t>
            </w:r>
          </w:p>
        </w:tc>
        <w:tc>
          <w:tcPr>
            <w:tcW w:w="567" w:type="dxa"/>
          </w:tcPr>
          <w:p w:rsidR="00C770FE" w:rsidRPr="00E55CA1" w:rsidRDefault="00C770FE" w:rsidP="00741A79">
            <w:pPr>
              <w:pStyle w:val="Tabletext"/>
              <w:jc w:val="center"/>
              <w:rPr>
                <w:sz w:val="16"/>
                <w:szCs w:val="16"/>
                <w:lang w:val="es-ES_tradnl"/>
              </w:rPr>
            </w:pPr>
            <w:r w:rsidRPr="00E55CA1">
              <w:rPr>
                <w:sz w:val="16"/>
                <w:szCs w:val="16"/>
                <w:lang w:val="es-ES_tradnl"/>
              </w:rPr>
              <w:t>0,10</w:t>
            </w:r>
          </w:p>
        </w:tc>
        <w:tc>
          <w:tcPr>
            <w:tcW w:w="846" w:type="dxa"/>
          </w:tcPr>
          <w:p w:rsidR="00C770FE" w:rsidRPr="00E55CA1" w:rsidRDefault="00C770FE" w:rsidP="00741A79">
            <w:pPr>
              <w:pStyle w:val="Tabletext"/>
              <w:jc w:val="center"/>
              <w:rPr>
                <w:sz w:val="16"/>
                <w:szCs w:val="16"/>
                <w:lang w:val="es-ES_tradnl"/>
              </w:rPr>
            </w:pPr>
            <w:r w:rsidRPr="00E55CA1">
              <w:rPr>
                <w:sz w:val="16"/>
                <w:szCs w:val="16"/>
                <w:lang w:val="es-ES_tradnl"/>
              </w:rPr>
              <w:t>1 018,9</w:t>
            </w:r>
          </w:p>
        </w:tc>
        <w:tc>
          <w:tcPr>
            <w:tcW w:w="621" w:type="dxa"/>
          </w:tcPr>
          <w:p w:rsidR="00C770FE" w:rsidRPr="00E55CA1" w:rsidRDefault="00C770FE" w:rsidP="00741A79">
            <w:pPr>
              <w:pStyle w:val="Tabletext"/>
              <w:jc w:val="center"/>
              <w:rPr>
                <w:sz w:val="16"/>
                <w:szCs w:val="16"/>
                <w:lang w:val="es-ES_tradnl"/>
              </w:rPr>
            </w:pPr>
            <w:r w:rsidRPr="00E55CA1">
              <w:rPr>
                <w:sz w:val="16"/>
                <w:szCs w:val="16"/>
                <w:lang w:val="es-ES_tradnl"/>
              </w:rPr>
              <w:t>324</w:t>
            </w:r>
          </w:p>
        </w:tc>
        <w:tc>
          <w:tcPr>
            <w:tcW w:w="733" w:type="dxa"/>
          </w:tcPr>
          <w:p w:rsidR="00C770FE" w:rsidRPr="00E55CA1" w:rsidRDefault="00C770FE" w:rsidP="00741A79">
            <w:pPr>
              <w:pStyle w:val="Tabletext"/>
              <w:jc w:val="center"/>
              <w:rPr>
                <w:sz w:val="16"/>
                <w:szCs w:val="16"/>
                <w:lang w:val="es-ES_tradnl"/>
              </w:rPr>
            </w:pPr>
            <w:r w:rsidRPr="00E55CA1">
              <w:rPr>
                <w:sz w:val="16"/>
                <w:szCs w:val="16"/>
                <w:lang w:val="es-ES_tradnl"/>
              </w:rPr>
              <w:t>6,5</w:t>
            </w:r>
          </w:p>
        </w:tc>
        <w:tc>
          <w:tcPr>
            <w:tcW w:w="733" w:type="dxa"/>
          </w:tcPr>
          <w:p w:rsidR="00C770FE" w:rsidRPr="00E55CA1" w:rsidRDefault="00C770FE" w:rsidP="00741A79">
            <w:pPr>
              <w:pStyle w:val="Tabletext"/>
              <w:jc w:val="center"/>
              <w:rPr>
                <w:sz w:val="16"/>
                <w:szCs w:val="16"/>
                <w:lang w:val="es-ES_tradnl"/>
              </w:rPr>
            </w:pPr>
            <w:r w:rsidRPr="00E55CA1">
              <w:rPr>
                <w:sz w:val="16"/>
                <w:szCs w:val="16"/>
                <w:lang w:val="es-ES_tradnl"/>
              </w:rPr>
              <w:t>279,0</w:t>
            </w:r>
          </w:p>
        </w:tc>
        <w:tc>
          <w:tcPr>
            <w:tcW w:w="621" w:type="dxa"/>
          </w:tcPr>
          <w:p w:rsidR="00C770FE" w:rsidRPr="00E55CA1" w:rsidRDefault="00C770FE" w:rsidP="00741A79">
            <w:pPr>
              <w:pStyle w:val="Tabletext"/>
              <w:jc w:val="center"/>
              <w:rPr>
                <w:sz w:val="16"/>
                <w:szCs w:val="16"/>
                <w:lang w:val="es-ES_tradnl"/>
              </w:rPr>
            </w:pPr>
            <w:r w:rsidRPr="00E55CA1">
              <w:rPr>
                <w:sz w:val="16"/>
                <w:szCs w:val="16"/>
                <w:lang w:val="es-ES_tradnl"/>
              </w:rPr>
              <w:t>5,8</w:t>
            </w:r>
          </w:p>
        </w:tc>
        <w:tc>
          <w:tcPr>
            <w:tcW w:w="621" w:type="dxa"/>
          </w:tcPr>
          <w:p w:rsidR="00C770FE" w:rsidRPr="00E55CA1" w:rsidRDefault="00C770FE" w:rsidP="00741A79">
            <w:pPr>
              <w:pStyle w:val="Tabletext"/>
              <w:jc w:val="center"/>
              <w:rPr>
                <w:sz w:val="16"/>
                <w:szCs w:val="16"/>
                <w:lang w:val="es-ES_tradnl"/>
              </w:rPr>
            </w:pPr>
            <w:r w:rsidRPr="00E55CA1">
              <w:rPr>
                <w:sz w:val="16"/>
                <w:szCs w:val="16"/>
                <w:lang w:val="es-ES_tradnl"/>
              </w:rPr>
              <w:t>5,06</w:t>
            </w:r>
          </w:p>
        </w:tc>
        <w:tc>
          <w:tcPr>
            <w:tcW w:w="901" w:type="dxa"/>
            <w:gridSpan w:val="2"/>
          </w:tcPr>
          <w:p w:rsidR="00C770FE" w:rsidRPr="00E55CA1" w:rsidRDefault="00C770FE" w:rsidP="00741A79">
            <w:pPr>
              <w:pStyle w:val="Tabletext"/>
              <w:jc w:val="center"/>
              <w:rPr>
                <w:sz w:val="16"/>
                <w:szCs w:val="16"/>
                <w:lang w:val="es-ES_tradnl"/>
              </w:rPr>
            </w:pPr>
            <w:r w:rsidRPr="00E55CA1">
              <w:rPr>
                <w:sz w:val="16"/>
                <w:szCs w:val="16"/>
                <w:lang w:val="es-ES_tradnl"/>
              </w:rPr>
              <w:t>50,3</w:t>
            </w:r>
          </w:p>
        </w:tc>
      </w:tr>
      <w:tr w:rsidR="00C770FE" w:rsidRPr="00E55CA1" w:rsidTr="008B3431">
        <w:trPr>
          <w:jc w:val="center"/>
        </w:trPr>
        <w:tc>
          <w:tcPr>
            <w:tcW w:w="900" w:type="dxa"/>
          </w:tcPr>
          <w:p w:rsidR="00C770FE" w:rsidRPr="00E55CA1" w:rsidRDefault="00C770FE" w:rsidP="00741A79">
            <w:pPr>
              <w:pStyle w:val="Tabletext"/>
              <w:jc w:val="center"/>
              <w:rPr>
                <w:sz w:val="16"/>
                <w:szCs w:val="16"/>
                <w:lang w:val="es-ES_tradnl"/>
              </w:rPr>
            </w:pPr>
            <w:r w:rsidRPr="00E55CA1">
              <w:rPr>
                <w:sz w:val="16"/>
                <w:szCs w:val="16"/>
                <w:lang w:val="es-ES_tradnl"/>
              </w:rPr>
              <w:t>10</w:t>
            </w:r>
          </w:p>
        </w:tc>
        <w:tc>
          <w:tcPr>
            <w:tcW w:w="733" w:type="dxa"/>
          </w:tcPr>
          <w:p w:rsidR="00C770FE" w:rsidRPr="00E55CA1" w:rsidRDefault="00C770FE" w:rsidP="00741A79">
            <w:pPr>
              <w:pStyle w:val="Tabletext"/>
              <w:jc w:val="center"/>
              <w:rPr>
                <w:sz w:val="16"/>
                <w:szCs w:val="16"/>
                <w:lang w:val="es-ES_tradnl"/>
              </w:rPr>
            </w:pPr>
            <w:r w:rsidRPr="00E55CA1">
              <w:rPr>
                <w:sz w:val="16"/>
                <w:szCs w:val="16"/>
                <w:lang w:val="es-ES_tradnl"/>
              </w:rPr>
              <w:t>45</w:t>
            </w:r>
          </w:p>
        </w:tc>
        <w:tc>
          <w:tcPr>
            <w:tcW w:w="901" w:type="dxa"/>
          </w:tcPr>
          <w:p w:rsidR="00C770FE" w:rsidRPr="00E55CA1" w:rsidRDefault="00C770FE" w:rsidP="00741A79">
            <w:pPr>
              <w:pStyle w:val="Tabletext"/>
              <w:jc w:val="center"/>
              <w:rPr>
                <w:sz w:val="16"/>
                <w:szCs w:val="16"/>
                <w:lang w:val="es-ES_tradnl"/>
              </w:rPr>
            </w:pPr>
            <w:r w:rsidRPr="00E55CA1">
              <w:rPr>
                <w:sz w:val="16"/>
                <w:szCs w:val="16"/>
                <w:lang w:val="es-ES_tradnl"/>
              </w:rPr>
              <w:t>6,0</w:t>
            </w:r>
          </w:p>
        </w:tc>
        <w:tc>
          <w:tcPr>
            <w:tcW w:w="1478" w:type="dxa"/>
          </w:tcPr>
          <w:p w:rsidR="00C770FE" w:rsidRPr="00E55CA1" w:rsidRDefault="00C770FE" w:rsidP="00741A79">
            <w:pPr>
              <w:pStyle w:val="Tabletext"/>
              <w:rPr>
                <w:sz w:val="16"/>
                <w:szCs w:val="16"/>
                <w:lang w:val="es-ES_tradnl"/>
              </w:rPr>
            </w:pPr>
            <w:r w:rsidRPr="00E55CA1">
              <w:rPr>
                <w:sz w:val="16"/>
                <w:szCs w:val="16"/>
                <w:lang w:val="es-ES_tradnl"/>
              </w:rPr>
              <w:t>Europa Occidenta</w:t>
            </w:r>
            <w:r w:rsidR="008B3431">
              <w:rPr>
                <w:sz w:val="16"/>
                <w:szCs w:val="16"/>
                <w:lang w:val="es-ES_tradnl"/>
              </w:rPr>
              <w:t>l</w:t>
            </w:r>
          </w:p>
        </w:tc>
        <w:tc>
          <w:tcPr>
            <w:tcW w:w="567" w:type="dxa"/>
          </w:tcPr>
          <w:p w:rsidR="00C770FE" w:rsidRPr="00E55CA1" w:rsidRDefault="00C770FE" w:rsidP="00741A79">
            <w:pPr>
              <w:pStyle w:val="Tabletext"/>
              <w:jc w:val="center"/>
              <w:rPr>
                <w:sz w:val="16"/>
                <w:szCs w:val="16"/>
                <w:lang w:val="es-ES_tradnl"/>
              </w:rPr>
            </w:pPr>
            <w:r w:rsidRPr="00E55CA1">
              <w:rPr>
                <w:sz w:val="16"/>
                <w:szCs w:val="16"/>
                <w:lang w:val="es-ES_tradnl"/>
              </w:rPr>
              <w:t>0,30</w:t>
            </w:r>
          </w:p>
        </w:tc>
        <w:tc>
          <w:tcPr>
            <w:tcW w:w="846" w:type="dxa"/>
          </w:tcPr>
          <w:p w:rsidR="00C770FE" w:rsidRPr="00E55CA1" w:rsidRDefault="00C770FE" w:rsidP="00741A79">
            <w:pPr>
              <w:pStyle w:val="Tabletext"/>
              <w:jc w:val="center"/>
              <w:rPr>
                <w:sz w:val="16"/>
                <w:szCs w:val="16"/>
                <w:lang w:val="es-ES_tradnl"/>
              </w:rPr>
            </w:pPr>
            <w:r w:rsidRPr="00E55CA1">
              <w:rPr>
                <w:sz w:val="16"/>
                <w:szCs w:val="16"/>
                <w:lang w:val="es-ES_tradnl"/>
              </w:rPr>
              <w:t>1 018,9</w:t>
            </w:r>
          </w:p>
        </w:tc>
        <w:tc>
          <w:tcPr>
            <w:tcW w:w="621" w:type="dxa"/>
          </w:tcPr>
          <w:p w:rsidR="00C770FE" w:rsidRPr="00E55CA1" w:rsidRDefault="00C770FE" w:rsidP="00741A79">
            <w:pPr>
              <w:pStyle w:val="Tabletext"/>
              <w:jc w:val="center"/>
              <w:rPr>
                <w:sz w:val="16"/>
                <w:szCs w:val="16"/>
                <w:lang w:val="es-ES_tradnl"/>
              </w:rPr>
            </w:pPr>
            <w:r w:rsidRPr="00E55CA1">
              <w:rPr>
                <w:sz w:val="16"/>
                <w:szCs w:val="16"/>
                <w:lang w:val="es-ES_tradnl"/>
              </w:rPr>
              <w:t>315</w:t>
            </w:r>
          </w:p>
        </w:tc>
        <w:tc>
          <w:tcPr>
            <w:tcW w:w="733" w:type="dxa"/>
          </w:tcPr>
          <w:p w:rsidR="00C770FE" w:rsidRPr="00E55CA1" w:rsidRDefault="00C770FE" w:rsidP="00741A79">
            <w:pPr>
              <w:pStyle w:val="Tabletext"/>
              <w:jc w:val="center"/>
              <w:rPr>
                <w:sz w:val="16"/>
                <w:szCs w:val="16"/>
                <w:lang w:val="es-ES_tradnl"/>
              </w:rPr>
            </w:pPr>
            <w:r w:rsidRPr="00E55CA1">
              <w:rPr>
                <w:sz w:val="16"/>
                <w:szCs w:val="16"/>
                <w:lang w:val="es-ES_tradnl"/>
              </w:rPr>
              <w:t>4,5</w:t>
            </w:r>
          </w:p>
        </w:tc>
        <w:tc>
          <w:tcPr>
            <w:tcW w:w="733" w:type="dxa"/>
          </w:tcPr>
          <w:p w:rsidR="00C770FE" w:rsidRPr="00E55CA1" w:rsidRDefault="00C770FE" w:rsidP="00741A79">
            <w:pPr>
              <w:pStyle w:val="Tabletext"/>
              <w:jc w:val="center"/>
              <w:rPr>
                <w:sz w:val="16"/>
                <w:szCs w:val="16"/>
                <w:lang w:val="es-ES_tradnl"/>
              </w:rPr>
            </w:pPr>
            <w:r w:rsidRPr="00E55CA1">
              <w:rPr>
                <w:sz w:val="16"/>
                <w:szCs w:val="16"/>
                <w:lang w:val="es-ES_tradnl"/>
              </w:rPr>
              <w:t>275,7</w:t>
            </w:r>
          </w:p>
        </w:tc>
        <w:tc>
          <w:tcPr>
            <w:tcW w:w="621" w:type="dxa"/>
          </w:tcPr>
          <w:p w:rsidR="00C770FE" w:rsidRPr="00E55CA1" w:rsidRDefault="00C770FE" w:rsidP="00741A79">
            <w:pPr>
              <w:pStyle w:val="Tabletext"/>
              <w:jc w:val="center"/>
              <w:rPr>
                <w:sz w:val="16"/>
                <w:szCs w:val="16"/>
                <w:lang w:val="es-ES_tradnl"/>
              </w:rPr>
            </w:pPr>
            <w:r w:rsidRPr="00E55CA1">
              <w:rPr>
                <w:sz w:val="16"/>
                <w:szCs w:val="16"/>
                <w:lang w:val="es-ES_tradnl"/>
              </w:rPr>
              <w:t>2,6</w:t>
            </w:r>
          </w:p>
        </w:tc>
        <w:tc>
          <w:tcPr>
            <w:tcW w:w="621" w:type="dxa"/>
          </w:tcPr>
          <w:p w:rsidR="00C770FE" w:rsidRPr="00E55CA1" w:rsidRDefault="00C770FE" w:rsidP="00741A79">
            <w:pPr>
              <w:pStyle w:val="Tabletext"/>
              <w:jc w:val="center"/>
              <w:rPr>
                <w:sz w:val="16"/>
                <w:szCs w:val="16"/>
                <w:lang w:val="es-ES_tradnl"/>
              </w:rPr>
            </w:pPr>
            <w:r w:rsidRPr="00E55CA1">
              <w:rPr>
                <w:sz w:val="16"/>
                <w:szCs w:val="16"/>
                <w:lang w:val="es-ES_tradnl"/>
              </w:rPr>
              <w:t>3,18</w:t>
            </w:r>
          </w:p>
        </w:tc>
        <w:tc>
          <w:tcPr>
            <w:tcW w:w="901" w:type="dxa"/>
            <w:gridSpan w:val="2"/>
          </w:tcPr>
          <w:p w:rsidR="00C770FE" w:rsidRPr="00E55CA1" w:rsidRDefault="00C770FE" w:rsidP="00741A79">
            <w:pPr>
              <w:pStyle w:val="Tabletext"/>
              <w:jc w:val="center"/>
              <w:rPr>
                <w:sz w:val="16"/>
                <w:szCs w:val="16"/>
                <w:lang w:val="es-ES_tradnl"/>
              </w:rPr>
            </w:pPr>
            <w:r w:rsidRPr="00E55CA1">
              <w:rPr>
                <w:sz w:val="16"/>
                <w:szCs w:val="16"/>
                <w:lang w:val="es-ES_tradnl"/>
              </w:rPr>
              <w:t>24,7</w:t>
            </w:r>
          </w:p>
        </w:tc>
      </w:tr>
      <w:tr w:rsidR="00C770FE" w:rsidRPr="00E55CA1" w:rsidTr="008B3431">
        <w:trPr>
          <w:jc w:val="center"/>
        </w:trPr>
        <w:tc>
          <w:tcPr>
            <w:tcW w:w="900" w:type="dxa"/>
          </w:tcPr>
          <w:p w:rsidR="00C770FE" w:rsidRPr="00E55CA1" w:rsidRDefault="00C770FE" w:rsidP="00741A79">
            <w:pPr>
              <w:pStyle w:val="Tabletext"/>
              <w:jc w:val="center"/>
              <w:rPr>
                <w:sz w:val="16"/>
                <w:szCs w:val="16"/>
                <w:lang w:val="es-ES_tradnl"/>
              </w:rPr>
            </w:pPr>
            <w:r w:rsidRPr="00E55CA1">
              <w:rPr>
                <w:sz w:val="16"/>
                <w:szCs w:val="16"/>
                <w:lang w:val="es-ES_tradnl"/>
              </w:rPr>
              <w:t>11</w:t>
            </w:r>
          </w:p>
        </w:tc>
        <w:tc>
          <w:tcPr>
            <w:tcW w:w="733" w:type="dxa"/>
          </w:tcPr>
          <w:p w:rsidR="00C770FE" w:rsidRPr="00E55CA1" w:rsidRDefault="00C770FE" w:rsidP="00741A79">
            <w:pPr>
              <w:pStyle w:val="Tabletext"/>
              <w:jc w:val="center"/>
              <w:rPr>
                <w:sz w:val="16"/>
                <w:szCs w:val="16"/>
                <w:lang w:val="es-ES_tradnl"/>
              </w:rPr>
            </w:pPr>
            <w:r w:rsidRPr="00E55CA1">
              <w:rPr>
                <w:sz w:val="16"/>
                <w:szCs w:val="16"/>
                <w:lang w:val="es-ES_tradnl"/>
              </w:rPr>
              <w:t>45</w:t>
            </w:r>
          </w:p>
        </w:tc>
        <w:tc>
          <w:tcPr>
            <w:tcW w:w="901" w:type="dxa"/>
          </w:tcPr>
          <w:p w:rsidR="00C770FE" w:rsidRPr="00E55CA1" w:rsidRDefault="00C770FE" w:rsidP="00741A79">
            <w:pPr>
              <w:pStyle w:val="Tabletext"/>
              <w:jc w:val="center"/>
              <w:rPr>
                <w:sz w:val="16"/>
                <w:szCs w:val="16"/>
                <w:lang w:val="es-ES_tradnl"/>
              </w:rPr>
            </w:pPr>
            <w:r w:rsidRPr="00E55CA1">
              <w:rPr>
                <w:sz w:val="16"/>
                <w:szCs w:val="16"/>
                <w:lang w:val="es-ES_tradnl"/>
              </w:rPr>
              <w:sym w:font="Symbol" w:char="F02D"/>
            </w:r>
            <w:r w:rsidRPr="00E55CA1">
              <w:rPr>
                <w:sz w:val="16"/>
                <w:szCs w:val="16"/>
                <w:lang w:val="es-ES_tradnl"/>
              </w:rPr>
              <w:t>67,5</w:t>
            </w:r>
          </w:p>
        </w:tc>
        <w:tc>
          <w:tcPr>
            <w:tcW w:w="1478" w:type="dxa"/>
          </w:tcPr>
          <w:p w:rsidR="00C770FE" w:rsidRPr="00E55CA1" w:rsidRDefault="00C770FE" w:rsidP="008B3431">
            <w:pPr>
              <w:pStyle w:val="Tabletext"/>
              <w:jc w:val="left"/>
              <w:rPr>
                <w:sz w:val="16"/>
                <w:szCs w:val="16"/>
                <w:lang w:val="es-ES_tradnl"/>
              </w:rPr>
            </w:pPr>
            <w:r w:rsidRPr="00E55CA1">
              <w:rPr>
                <w:sz w:val="16"/>
                <w:szCs w:val="16"/>
                <w:lang w:val="es-ES_tradnl"/>
              </w:rPr>
              <w:t>Estados Unidos de</w:t>
            </w:r>
            <w:r w:rsidR="008B3431">
              <w:rPr>
                <w:sz w:val="16"/>
                <w:szCs w:val="16"/>
                <w:lang w:val="es-ES_tradnl"/>
              </w:rPr>
              <w:t> </w:t>
            </w:r>
            <w:r w:rsidRPr="00E55CA1">
              <w:rPr>
                <w:sz w:val="16"/>
                <w:szCs w:val="16"/>
                <w:lang w:val="es-ES_tradnl"/>
              </w:rPr>
              <w:t>América (Nororiental)</w:t>
            </w:r>
          </w:p>
        </w:tc>
        <w:tc>
          <w:tcPr>
            <w:tcW w:w="567" w:type="dxa"/>
          </w:tcPr>
          <w:p w:rsidR="00C770FE" w:rsidRPr="00E55CA1" w:rsidRDefault="00C770FE" w:rsidP="00741A79">
            <w:pPr>
              <w:pStyle w:val="Tabletext"/>
              <w:jc w:val="center"/>
              <w:rPr>
                <w:sz w:val="16"/>
                <w:szCs w:val="16"/>
                <w:lang w:val="es-ES_tradnl"/>
              </w:rPr>
            </w:pPr>
            <w:r w:rsidRPr="00E55CA1">
              <w:rPr>
                <w:sz w:val="16"/>
                <w:szCs w:val="16"/>
                <w:lang w:val="es-ES_tradnl"/>
              </w:rPr>
              <w:t>0,01</w:t>
            </w:r>
          </w:p>
        </w:tc>
        <w:tc>
          <w:tcPr>
            <w:tcW w:w="846" w:type="dxa"/>
          </w:tcPr>
          <w:p w:rsidR="00C770FE" w:rsidRPr="00E55CA1" w:rsidRDefault="00C770FE" w:rsidP="00741A79">
            <w:pPr>
              <w:pStyle w:val="Tabletext"/>
              <w:jc w:val="center"/>
              <w:rPr>
                <w:sz w:val="16"/>
                <w:szCs w:val="16"/>
                <w:lang w:val="es-ES_tradnl"/>
              </w:rPr>
            </w:pPr>
            <w:r w:rsidRPr="00E55CA1">
              <w:rPr>
                <w:sz w:val="16"/>
                <w:szCs w:val="16"/>
                <w:lang w:val="es-ES_tradnl"/>
              </w:rPr>
              <w:t>1 018,9</w:t>
            </w:r>
          </w:p>
        </w:tc>
        <w:tc>
          <w:tcPr>
            <w:tcW w:w="621" w:type="dxa"/>
          </w:tcPr>
          <w:p w:rsidR="00C770FE" w:rsidRPr="00E55CA1" w:rsidRDefault="00C770FE" w:rsidP="00741A79">
            <w:pPr>
              <w:pStyle w:val="Tabletext"/>
              <w:jc w:val="center"/>
              <w:rPr>
                <w:sz w:val="16"/>
                <w:szCs w:val="16"/>
                <w:lang w:val="es-ES_tradnl"/>
              </w:rPr>
            </w:pPr>
            <w:r w:rsidRPr="00E55CA1">
              <w:rPr>
                <w:sz w:val="16"/>
                <w:szCs w:val="16"/>
                <w:lang w:val="es-ES_tradnl"/>
              </w:rPr>
              <w:t>314</w:t>
            </w:r>
          </w:p>
        </w:tc>
        <w:tc>
          <w:tcPr>
            <w:tcW w:w="733" w:type="dxa"/>
          </w:tcPr>
          <w:p w:rsidR="00C770FE" w:rsidRPr="00E55CA1" w:rsidRDefault="00C770FE" w:rsidP="00741A79">
            <w:pPr>
              <w:pStyle w:val="Tabletext"/>
              <w:jc w:val="center"/>
              <w:rPr>
                <w:sz w:val="16"/>
                <w:szCs w:val="16"/>
                <w:lang w:val="es-ES_tradnl"/>
              </w:rPr>
            </w:pPr>
            <w:r w:rsidRPr="00E55CA1">
              <w:rPr>
                <w:sz w:val="16"/>
                <w:szCs w:val="16"/>
                <w:lang w:val="es-ES_tradnl"/>
              </w:rPr>
              <w:t>5</w:t>
            </w:r>
          </w:p>
        </w:tc>
        <w:tc>
          <w:tcPr>
            <w:tcW w:w="733" w:type="dxa"/>
          </w:tcPr>
          <w:p w:rsidR="00C770FE" w:rsidRPr="00E55CA1" w:rsidRDefault="00C770FE" w:rsidP="00741A79">
            <w:pPr>
              <w:pStyle w:val="Tabletext"/>
              <w:jc w:val="center"/>
              <w:rPr>
                <w:sz w:val="16"/>
                <w:szCs w:val="16"/>
                <w:lang w:val="es-ES_tradnl"/>
              </w:rPr>
            </w:pPr>
            <w:r w:rsidRPr="00E55CA1">
              <w:rPr>
                <w:sz w:val="16"/>
                <w:szCs w:val="16"/>
                <w:lang w:val="es-ES_tradnl"/>
              </w:rPr>
              <w:t>279,6</w:t>
            </w:r>
          </w:p>
        </w:tc>
        <w:tc>
          <w:tcPr>
            <w:tcW w:w="621" w:type="dxa"/>
          </w:tcPr>
          <w:p w:rsidR="00C770FE" w:rsidRPr="00E55CA1" w:rsidRDefault="00C770FE" w:rsidP="00741A79">
            <w:pPr>
              <w:pStyle w:val="Tabletext"/>
              <w:jc w:val="center"/>
              <w:rPr>
                <w:sz w:val="16"/>
                <w:szCs w:val="16"/>
                <w:lang w:val="es-ES_tradnl"/>
              </w:rPr>
            </w:pPr>
            <w:r w:rsidRPr="00E55CA1">
              <w:rPr>
                <w:sz w:val="16"/>
                <w:szCs w:val="16"/>
                <w:lang w:val="es-ES_tradnl"/>
              </w:rPr>
              <w:t>6,5</w:t>
            </w:r>
          </w:p>
        </w:tc>
        <w:tc>
          <w:tcPr>
            <w:tcW w:w="621" w:type="dxa"/>
          </w:tcPr>
          <w:p w:rsidR="00C770FE" w:rsidRPr="00E55CA1" w:rsidRDefault="00C770FE" w:rsidP="00741A79">
            <w:pPr>
              <w:pStyle w:val="Tabletext"/>
              <w:jc w:val="center"/>
              <w:rPr>
                <w:sz w:val="16"/>
                <w:szCs w:val="16"/>
                <w:lang w:val="es-ES_tradnl"/>
              </w:rPr>
            </w:pPr>
            <w:r w:rsidRPr="00E55CA1">
              <w:rPr>
                <w:sz w:val="16"/>
                <w:szCs w:val="16"/>
                <w:lang w:val="es-ES_tradnl"/>
              </w:rPr>
              <w:t>3,64</w:t>
            </w:r>
          </w:p>
        </w:tc>
        <w:tc>
          <w:tcPr>
            <w:tcW w:w="901" w:type="dxa"/>
            <w:gridSpan w:val="2"/>
          </w:tcPr>
          <w:p w:rsidR="00C770FE" w:rsidRPr="00E55CA1" w:rsidRDefault="00C770FE" w:rsidP="00741A79">
            <w:pPr>
              <w:pStyle w:val="Tabletext"/>
              <w:jc w:val="center"/>
              <w:rPr>
                <w:sz w:val="16"/>
                <w:szCs w:val="16"/>
                <w:lang w:val="es-ES_tradnl"/>
              </w:rPr>
            </w:pPr>
            <w:r w:rsidRPr="00E55CA1">
              <w:rPr>
                <w:sz w:val="16"/>
                <w:szCs w:val="16"/>
                <w:lang w:val="es-ES_tradnl"/>
              </w:rPr>
              <w:t>32,6</w:t>
            </w:r>
          </w:p>
        </w:tc>
      </w:tr>
      <w:tr w:rsidR="00C770FE" w:rsidTr="008B3431">
        <w:trPr>
          <w:jc w:val="center"/>
        </w:trPr>
        <w:tc>
          <w:tcPr>
            <w:tcW w:w="900" w:type="dxa"/>
          </w:tcPr>
          <w:p w:rsidR="00C770FE" w:rsidRPr="00741A79" w:rsidRDefault="00C770FE" w:rsidP="00741A79">
            <w:pPr>
              <w:pStyle w:val="Tabletext"/>
              <w:jc w:val="center"/>
              <w:rPr>
                <w:sz w:val="16"/>
                <w:szCs w:val="16"/>
                <w:lang w:val="es-ES_tradnl"/>
              </w:rPr>
            </w:pPr>
            <w:r w:rsidRPr="00741A79">
              <w:rPr>
                <w:sz w:val="16"/>
                <w:szCs w:val="16"/>
                <w:lang w:val="es-ES_tradnl"/>
              </w:rPr>
              <w:t>12</w:t>
            </w:r>
          </w:p>
        </w:tc>
        <w:tc>
          <w:tcPr>
            <w:tcW w:w="733" w:type="dxa"/>
          </w:tcPr>
          <w:p w:rsidR="00C770FE" w:rsidRPr="00741A79" w:rsidRDefault="00C770FE" w:rsidP="00741A79">
            <w:pPr>
              <w:pStyle w:val="Tabletext"/>
              <w:jc w:val="center"/>
              <w:rPr>
                <w:sz w:val="16"/>
                <w:szCs w:val="16"/>
                <w:lang w:val="es-ES_tradnl"/>
              </w:rPr>
            </w:pPr>
            <w:r w:rsidRPr="00741A79">
              <w:rPr>
                <w:sz w:val="16"/>
                <w:szCs w:val="16"/>
                <w:lang w:val="es-ES_tradnl"/>
              </w:rPr>
              <w:t>60</w:t>
            </w:r>
          </w:p>
        </w:tc>
        <w:tc>
          <w:tcPr>
            <w:tcW w:w="901" w:type="dxa"/>
          </w:tcPr>
          <w:p w:rsidR="00C770FE" w:rsidRPr="00741A79" w:rsidRDefault="00C770FE" w:rsidP="00741A79">
            <w:pPr>
              <w:pStyle w:val="Tabletext"/>
              <w:jc w:val="center"/>
              <w:rPr>
                <w:sz w:val="16"/>
                <w:szCs w:val="16"/>
                <w:lang w:val="es-ES_tradnl"/>
              </w:rPr>
            </w:pPr>
            <w:r w:rsidRPr="00741A79">
              <w:rPr>
                <w:sz w:val="16"/>
                <w:szCs w:val="16"/>
                <w:lang w:val="es-ES_tradnl"/>
              </w:rPr>
              <w:t>18,8</w:t>
            </w:r>
          </w:p>
        </w:tc>
        <w:tc>
          <w:tcPr>
            <w:tcW w:w="1478" w:type="dxa"/>
          </w:tcPr>
          <w:p w:rsidR="00C770FE" w:rsidRPr="00741A79" w:rsidRDefault="00C770FE" w:rsidP="00741A79">
            <w:pPr>
              <w:pStyle w:val="Tabletext"/>
              <w:rPr>
                <w:sz w:val="16"/>
                <w:szCs w:val="16"/>
                <w:lang w:val="es-ES_tradnl"/>
              </w:rPr>
            </w:pPr>
            <w:r w:rsidRPr="00741A79">
              <w:rPr>
                <w:sz w:val="16"/>
                <w:szCs w:val="16"/>
                <w:lang w:val="es-ES_tradnl"/>
              </w:rPr>
              <w:t>Escandinava</w:t>
            </w:r>
          </w:p>
        </w:tc>
        <w:tc>
          <w:tcPr>
            <w:tcW w:w="567" w:type="dxa"/>
          </w:tcPr>
          <w:p w:rsidR="00C770FE" w:rsidRPr="00741A79" w:rsidRDefault="00C770FE" w:rsidP="00741A79">
            <w:pPr>
              <w:pStyle w:val="Tabletext"/>
              <w:jc w:val="center"/>
              <w:rPr>
                <w:sz w:val="16"/>
                <w:szCs w:val="16"/>
                <w:lang w:val="es-ES_tradnl"/>
              </w:rPr>
            </w:pPr>
            <w:r w:rsidRPr="00741A79">
              <w:rPr>
                <w:sz w:val="16"/>
                <w:szCs w:val="16"/>
                <w:lang w:val="es-ES_tradnl"/>
              </w:rPr>
              <w:t>0,01</w:t>
            </w:r>
          </w:p>
        </w:tc>
        <w:tc>
          <w:tcPr>
            <w:tcW w:w="846" w:type="dxa"/>
          </w:tcPr>
          <w:p w:rsidR="00C770FE" w:rsidRPr="00741A79" w:rsidRDefault="00C770FE" w:rsidP="00741A79">
            <w:pPr>
              <w:pStyle w:val="Tabletext"/>
              <w:jc w:val="center"/>
              <w:rPr>
                <w:sz w:val="16"/>
                <w:szCs w:val="16"/>
                <w:lang w:val="es-ES_tradnl"/>
              </w:rPr>
            </w:pPr>
            <w:r w:rsidRPr="00741A79">
              <w:rPr>
                <w:sz w:val="16"/>
                <w:szCs w:val="16"/>
                <w:lang w:val="es-ES_tradnl"/>
              </w:rPr>
              <w:t>1</w:t>
            </w:r>
            <w:r w:rsidRPr="00741A79">
              <w:rPr>
                <w:rFonts w:ascii="Tms Rmn" w:hAnsi="Tms Rmn"/>
                <w:sz w:val="16"/>
                <w:szCs w:val="16"/>
                <w:lang w:val="es-ES_tradnl"/>
              </w:rPr>
              <w:t> </w:t>
            </w:r>
            <w:r w:rsidRPr="00741A79">
              <w:rPr>
                <w:sz w:val="16"/>
                <w:szCs w:val="16"/>
                <w:lang w:val="es-ES_tradnl"/>
              </w:rPr>
              <w:t>010,8</w:t>
            </w:r>
          </w:p>
        </w:tc>
        <w:tc>
          <w:tcPr>
            <w:tcW w:w="621" w:type="dxa"/>
          </w:tcPr>
          <w:p w:rsidR="00C770FE" w:rsidRPr="00741A79" w:rsidRDefault="00C770FE" w:rsidP="00741A79">
            <w:pPr>
              <w:pStyle w:val="Tabletext"/>
              <w:jc w:val="center"/>
              <w:rPr>
                <w:sz w:val="16"/>
                <w:szCs w:val="16"/>
                <w:lang w:val="es-ES_tradnl"/>
              </w:rPr>
            </w:pPr>
            <w:r w:rsidRPr="00741A79">
              <w:rPr>
                <w:sz w:val="16"/>
                <w:szCs w:val="16"/>
                <w:lang w:val="es-ES_tradnl"/>
              </w:rPr>
              <w:t>313</w:t>
            </w:r>
          </w:p>
        </w:tc>
        <w:tc>
          <w:tcPr>
            <w:tcW w:w="733" w:type="dxa"/>
          </w:tcPr>
          <w:p w:rsidR="00C770FE" w:rsidRPr="00741A79" w:rsidRDefault="00C770FE" w:rsidP="00741A79">
            <w:pPr>
              <w:pStyle w:val="Tabletext"/>
              <w:jc w:val="center"/>
              <w:rPr>
                <w:sz w:val="16"/>
                <w:szCs w:val="16"/>
                <w:lang w:val="es-ES_tradnl"/>
              </w:rPr>
            </w:pPr>
            <w:r w:rsidRPr="00741A79">
              <w:rPr>
                <w:sz w:val="16"/>
                <w:szCs w:val="16"/>
                <w:lang w:val="es-ES_tradnl"/>
              </w:rPr>
              <w:t>3</w:t>
            </w:r>
          </w:p>
        </w:tc>
        <w:tc>
          <w:tcPr>
            <w:tcW w:w="733" w:type="dxa"/>
          </w:tcPr>
          <w:p w:rsidR="00C770FE" w:rsidRPr="00741A79" w:rsidRDefault="00C770FE" w:rsidP="00741A79">
            <w:pPr>
              <w:pStyle w:val="Tabletext"/>
              <w:jc w:val="center"/>
              <w:rPr>
                <w:sz w:val="16"/>
                <w:szCs w:val="16"/>
                <w:lang w:val="es-ES_tradnl"/>
              </w:rPr>
            </w:pPr>
            <w:r w:rsidRPr="00741A79">
              <w:rPr>
                <w:sz w:val="16"/>
                <w:szCs w:val="16"/>
                <w:lang w:val="es-ES_tradnl"/>
              </w:rPr>
              <w:t>267,5</w:t>
            </w:r>
          </w:p>
        </w:tc>
        <w:tc>
          <w:tcPr>
            <w:tcW w:w="621" w:type="dxa"/>
          </w:tcPr>
          <w:p w:rsidR="00C770FE" w:rsidRPr="00741A79" w:rsidRDefault="00C770FE" w:rsidP="00741A79">
            <w:pPr>
              <w:pStyle w:val="Tabletext"/>
              <w:jc w:val="center"/>
              <w:rPr>
                <w:sz w:val="16"/>
                <w:szCs w:val="16"/>
                <w:lang w:val="es-ES_tradnl"/>
              </w:rPr>
            </w:pPr>
            <w:r w:rsidRPr="00741A79">
              <w:rPr>
                <w:sz w:val="16"/>
                <w:szCs w:val="16"/>
                <w:lang w:val="es-ES_tradnl"/>
              </w:rPr>
              <w:sym w:font="Symbol" w:char="F02D"/>
            </w:r>
            <w:r w:rsidRPr="00741A79">
              <w:rPr>
                <w:sz w:val="16"/>
                <w:szCs w:val="16"/>
                <w:lang w:val="es-ES_tradnl"/>
              </w:rPr>
              <w:t>5,7</w:t>
            </w:r>
          </w:p>
        </w:tc>
        <w:tc>
          <w:tcPr>
            <w:tcW w:w="621" w:type="dxa"/>
          </w:tcPr>
          <w:p w:rsidR="00C770FE" w:rsidRPr="00741A79" w:rsidRDefault="00C770FE" w:rsidP="00741A79">
            <w:pPr>
              <w:pStyle w:val="Tabletext"/>
              <w:jc w:val="center"/>
              <w:rPr>
                <w:sz w:val="16"/>
                <w:szCs w:val="16"/>
                <w:lang w:val="es-ES_tradnl"/>
              </w:rPr>
            </w:pPr>
            <w:r w:rsidRPr="00741A79">
              <w:rPr>
                <w:sz w:val="16"/>
                <w:szCs w:val="16"/>
                <w:lang w:val="es-ES_tradnl"/>
              </w:rPr>
              <w:t>2,16</w:t>
            </w:r>
          </w:p>
        </w:tc>
        <w:tc>
          <w:tcPr>
            <w:tcW w:w="901" w:type="dxa"/>
            <w:gridSpan w:val="2"/>
          </w:tcPr>
          <w:p w:rsidR="00C770FE" w:rsidRPr="00741A79" w:rsidRDefault="00C770FE" w:rsidP="00741A79">
            <w:pPr>
              <w:pStyle w:val="Tabletext"/>
              <w:jc w:val="center"/>
              <w:rPr>
                <w:sz w:val="16"/>
                <w:szCs w:val="16"/>
                <w:lang w:val="es-ES_tradnl"/>
              </w:rPr>
            </w:pPr>
            <w:r w:rsidRPr="00741A79">
              <w:rPr>
                <w:sz w:val="16"/>
                <w:szCs w:val="16"/>
                <w:lang w:val="es-ES_tradnl"/>
              </w:rPr>
              <w:t>21,5</w:t>
            </w:r>
          </w:p>
        </w:tc>
      </w:tr>
      <w:tr w:rsidR="00C770FE" w:rsidTr="008B3431">
        <w:trPr>
          <w:jc w:val="center"/>
        </w:trPr>
        <w:tc>
          <w:tcPr>
            <w:tcW w:w="900" w:type="dxa"/>
            <w:tcBorders>
              <w:bottom w:val="single" w:sz="4" w:space="0" w:color="auto"/>
            </w:tcBorders>
          </w:tcPr>
          <w:p w:rsidR="00C770FE" w:rsidRPr="00741A79" w:rsidRDefault="00C770FE" w:rsidP="00741A79">
            <w:pPr>
              <w:pStyle w:val="Tabletext"/>
              <w:jc w:val="center"/>
              <w:rPr>
                <w:sz w:val="16"/>
                <w:szCs w:val="16"/>
                <w:lang w:val="es-ES_tradnl"/>
              </w:rPr>
            </w:pPr>
            <w:r w:rsidRPr="00741A79">
              <w:rPr>
                <w:sz w:val="16"/>
                <w:szCs w:val="16"/>
                <w:lang w:val="es-ES_tradnl"/>
              </w:rPr>
              <w:t>13</w:t>
            </w:r>
          </w:p>
        </w:tc>
        <w:tc>
          <w:tcPr>
            <w:tcW w:w="733" w:type="dxa"/>
            <w:tcBorders>
              <w:bottom w:val="single" w:sz="4" w:space="0" w:color="auto"/>
            </w:tcBorders>
          </w:tcPr>
          <w:p w:rsidR="00C770FE" w:rsidRPr="00741A79" w:rsidRDefault="00C770FE" w:rsidP="00741A79">
            <w:pPr>
              <w:pStyle w:val="Tabletext"/>
              <w:jc w:val="center"/>
              <w:rPr>
                <w:sz w:val="16"/>
                <w:szCs w:val="16"/>
                <w:lang w:val="es-ES_tradnl"/>
              </w:rPr>
            </w:pPr>
            <w:r w:rsidRPr="00741A79">
              <w:rPr>
                <w:sz w:val="16"/>
                <w:szCs w:val="16"/>
                <w:lang w:val="es-ES_tradnl"/>
              </w:rPr>
              <w:t>60</w:t>
            </w:r>
          </w:p>
        </w:tc>
        <w:tc>
          <w:tcPr>
            <w:tcW w:w="901" w:type="dxa"/>
            <w:tcBorders>
              <w:bottom w:val="single" w:sz="4" w:space="0" w:color="auto"/>
            </w:tcBorders>
          </w:tcPr>
          <w:p w:rsidR="00C770FE" w:rsidRPr="00741A79" w:rsidRDefault="00C770FE" w:rsidP="00741A79">
            <w:pPr>
              <w:pStyle w:val="Tabletext"/>
              <w:jc w:val="center"/>
              <w:rPr>
                <w:sz w:val="16"/>
                <w:szCs w:val="16"/>
                <w:lang w:val="es-ES_tradnl"/>
              </w:rPr>
            </w:pPr>
            <w:r w:rsidRPr="00741A79">
              <w:rPr>
                <w:sz w:val="16"/>
                <w:szCs w:val="16"/>
                <w:lang w:val="es-ES_tradnl"/>
              </w:rPr>
              <w:t>30,5</w:t>
            </w:r>
          </w:p>
        </w:tc>
        <w:tc>
          <w:tcPr>
            <w:tcW w:w="1478" w:type="dxa"/>
            <w:tcBorders>
              <w:bottom w:val="single" w:sz="4" w:space="0" w:color="auto"/>
            </w:tcBorders>
          </w:tcPr>
          <w:p w:rsidR="00C770FE" w:rsidRPr="00741A79" w:rsidRDefault="00C770FE" w:rsidP="00741A79">
            <w:pPr>
              <w:pStyle w:val="Tabletext"/>
              <w:rPr>
                <w:sz w:val="16"/>
                <w:szCs w:val="16"/>
                <w:lang w:val="es-ES_tradnl"/>
              </w:rPr>
            </w:pPr>
            <w:r w:rsidRPr="00741A79">
              <w:rPr>
                <w:sz w:val="16"/>
                <w:szCs w:val="16"/>
                <w:lang w:val="es-ES_tradnl"/>
              </w:rPr>
              <w:t>Báltico</w:t>
            </w:r>
          </w:p>
        </w:tc>
        <w:tc>
          <w:tcPr>
            <w:tcW w:w="567" w:type="dxa"/>
            <w:tcBorders>
              <w:bottom w:val="single" w:sz="4" w:space="0" w:color="auto"/>
            </w:tcBorders>
          </w:tcPr>
          <w:p w:rsidR="00C770FE" w:rsidRPr="00741A79" w:rsidRDefault="00C770FE" w:rsidP="00741A79">
            <w:pPr>
              <w:pStyle w:val="Tabletext"/>
              <w:jc w:val="center"/>
              <w:rPr>
                <w:sz w:val="16"/>
                <w:szCs w:val="16"/>
                <w:lang w:val="es-ES_tradnl"/>
              </w:rPr>
            </w:pPr>
            <w:r w:rsidRPr="00741A79">
              <w:rPr>
                <w:sz w:val="16"/>
                <w:szCs w:val="16"/>
                <w:lang w:val="es-ES_tradnl"/>
              </w:rPr>
              <w:t>0,01</w:t>
            </w:r>
          </w:p>
        </w:tc>
        <w:tc>
          <w:tcPr>
            <w:tcW w:w="846" w:type="dxa"/>
            <w:tcBorders>
              <w:bottom w:val="single" w:sz="4" w:space="0" w:color="auto"/>
            </w:tcBorders>
          </w:tcPr>
          <w:p w:rsidR="00C770FE" w:rsidRPr="00741A79" w:rsidRDefault="00C770FE" w:rsidP="00741A79">
            <w:pPr>
              <w:pStyle w:val="Tabletext"/>
              <w:jc w:val="center"/>
              <w:rPr>
                <w:sz w:val="16"/>
                <w:szCs w:val="16"/>
                <w:lang w:val="es-ES_tradnl"/>
              </w:rPr>
            </w:pPr>
            <w:r w:rsidRPr="00741A79">
              <w:rPr>
                <w:sz w:val="16"/>
                <w:szCs w:val="16"/>
                <w:lang w:val="es-ES_tradnl"/>
              </w:rPr>
              <w:t>1</w:t>
            </w:r>
            <w:r w:rsidRPr="00741A79">
              <w:rPr>
                <w:rFonts w:ascii="Tms Rmn" w:hAnsi="Tms Rmn"/>
                <w:sz w:val="16"/>
                <w:szCs w:val="16"/>
                <w:lang w:val="es-ES_tradnl"/>
              </w:rPr>
              <w:t> </w:t>
            </w:r>
            <w:r w:rsidRPr="00741A79">
              <w:rPr>
                <w:sz w:val="16"/>
                <w:szCs w:val="16"/>
                <w:lang w:val="es-ES_tradnl"/>
              </w:rPr>
              <w:t>010,8</w:t>
            </w:r>
          </w:p>
        </w:tc>
        <w:tc>
          <w:tcPr>
            <w:tcW w:w="621" w:type="dxa"/>
            <w:tcBorders>
              <w:bottom w:val="single" w:sz="4" w:space="0" w:color="auto"/>
            </w:tcBorders>
          </w:tcPr>
          <w:p w:rsidR="00C770FE" w:rsidRPr="00741A79" w:rsidRDefault="00C770FE" w:rsidP="00741A79">
            <w:pPr>
              <w:pStyle w:val="Tabletext"/>
              <w:jc w:val="center"/>
              <w:rPr>
                <w:sz w:val="16"/>
                <w:szCs w:val="16"/>
                <w:lang w:val="es-ES_tradnl"/>
              </w:rPr>
            </w:pPr>
            <w:r w:rsidRPr="00741A79">
              <w:rPr>
                <w:sz w:val="16"/>
                <w:szCs w:val="16"/>
                <w:lang w:val="es-ES_tradnl"/>
              </w:rPr>
              <w:t>310</w:t>
            </w:r>
          </w:p>
        </w:tc>
        <w:tc>
          <w:tcPr>
            <w:tcW w:w="733" w:type="dxa"/>
            <w:tcBorders>
              <w:bottom w:val="single" w:sz="4" w:space="0" w:color="auto"/>
            </w:tcBorders>
          </w:tcPr>
          <w:p w:rsidR="00C770FE" w:rsidRPr="00741A79" w:rsidRDefault="00C770FE" w:rsidP="00741A79">
            <w:pPr>
              <w:pStyle w:val="Tabletext"/>
              <w:jc w:val="center"/>
              <w:rPr>
                <w:sz w:val="16"/>
                <w:szCs w:val="16"/>
                <w:lang w:val="es-ES_tradnl"/>
              </w:rPr>
            </w:pPr>
            <w:r w:rsidRPr="00741A79">
              <w:rPr>
                <w:sz w:val="16"/>
                <w:szCs w:val="16"/>
                <w:lang w:val="es-ES_tradnl"/>
              </w:rPr>
              <w:t>1,5</w:t>
            </w:r>
          </w:p>
        </w:tc>
        <w:tc>
          <w:tcPr>
            <w:tcW w:w="733" w:type="dxa"/>
            <w:tcBorders>
              <w:bottom w:val="single" w:sz="4" w:space="0" w:color="auto"/>
            </w:tcBorders>
          </w:tcPr>
          <w:p w:rsidR="00C770FE" w:rsidRPr="00741A79" w:rsidRDefault="00C770FE" w:rsidP="00741A79">
            <w:pPr>
              <w:pStyle w:val="Tabletext"/>
              <w:jc w:val="center"/>
              <w:rPr>
                <w:sz w:val="16"/>
                <w:szCs w:val="16"/>
                <w:lang w:val="es-ES_tradnl"/>
              </w:rPr>
            </w:pPr>
            <w:r w:rsidRPr="00741A79">
              <w:rPr>
                <w:sz w:val="16"/>
                <w:szCs w:val="16"/>
                <w:lang w:val="es-ES_tradnl"/>
              </w:rPr>
              <w:t>261,7</w:t>
            </w:r>
          </w:p>
        </w:tc>
        <w:tc>
          <w:tcPr>
            <w:tcW w:w="621" w:type="dxa"/>
            <w:tcBorders>
              <w:bottom w:val="single" w:sz="4" w:space="0" w:color="auto"/>
            </w:tcBorders>
          </w:tcPr>
          <w:p w:rsidR="00C770FE" w:rsidRPr="00741A79" w:rsidRDefault="00C770FE" w:rsidP="00741A79">
            <w:pPr>
              <w:pStyle w:val="Tabletext"/>
              <w:jc w:val="center"/>
              <w:rPr>
                <w:sz w:val="16"/>
                <w:szCs w:val="16"/>
                <w:lang w:val="es-ES_tradnl"/>
              </w:rPr>
            </w:pPr>
            <w:r w:rsidRPr="00741A79">
              <w:rPr>
                <w:sz w:val="16"/>
                <w:szCs w:val="16"/>
                <w:lang w:val="es-ES_tradnl"/>
              </w:rPr>
              <w:sym w:font="Symbol" w:char="F02D"/>
            </w:r>
            <w:r w:rsidRPr="00741A79">
              <w:rPr>
                <w:sz w:val="16"/>
                <w:szCs w:val="16"/>
                <w:lang w:val="es-ES_tradnl"/>
              </w:rPr>
              <w:t>11,4</w:t>
            </w:r>
          </w:p>
        </w:tc>
        <w:tc>
          <w:tcPr>
            <w:tcW w:w="621" w:type="dxa"/>
            <w:tcBorders>
              <w:bottom w:val="single" w:sz="4" w:space="0" w:color="auto"/>
            </w:tcBorders>
          </w:tcPr>
          <w:p w:rsidR="00C770FE" w:rsidRPr="00741A79" w:rsidRDefault="00C770FE" w:rsidP="00741A79">
            <w:pPr>
              <w:pStyle w:val="Tabletext"/>
              <w:jc w:val="center"/>
              <w:rPr>
                <w:sz w:val="16"/>
                <w:szCs w:val="16"/>
                <w:lang w:val="es-ES_tradnl"/>
              </w:rPr>
            </w:pPr>
            <w:r w:rsidRPr="00741A79">
              <w:rPr>
                <w:sz w:val="16"/>
                <w:szCs w:val="16"/>
                <w:lang w:val="es-ES_tradnl"/>
              </w:rPr>
              <w:t>2,44</w:t>
            </w:r>
          </w:p>
        </w:tc>
        <w:tc>
          <w:tcPr>
            <w:tcW w:w="901" w:type="dxa"/>
            <w:gridSpan w:val="2"/>
            <w:tcBorders>
              <w:bottom w:val="single" w:sz="4" w:space="0" w:color="auto"/>
            </w:tcBorders>
          </w:tcPr>
          <w:p w:rsidR="00C770FE" w:rsidRPr="00741A79" w:rsidRDefault="00C770FE" w:rsidP="00741A79">
            <w:pPr>
              <w:pStyle w:val="Tabletext"/>
              <w:jc w:val="center"/>
              <w:rPr>
                <w:sz w:val="16"/>
                <w:szCs w:val="16"/>
                <w:lang w:val="es-ES_tradnl"/>
              </w:rPr>
            </w:pPr>
            <w:r w:rsidRPr="00741A79">
              <w:rPr>
                <w:sz w:val="16"/>
                <w:szCs w:val="16"/>
                <w:lang w:val="es-ES_tradnl"/>
              </w:rPr>
              <w:t>25,3</w:t>
            </w:r>
          </w:p>
        </w:tc>
      </w:tr>
      <w:tr w:rsidR="00C770FE" w:rsidRPr="006B7AFE" w:rsidTr="008B3431">
        <w:trPr>
          <w:gridAfter w:val="1"/>
          <w:wAfter w:w="16" w:type="dxa"/>
          <w:jc w:val="center"/>
        </w:trPr>
        <w:tc>
          <w:tcPr>
            <w:tcW w:w="9639" w:type="dxa"/>
            <w:gridSpan w:val="12"/>
            <w:tcBorders>
              <w:left w:val="nil"/>
              <w:bottom w:val="nil"/>
              <w:right w:val="nil"/>
            </w:tcBorders>
          </w:tcPr>
          <w:p w:rsidR="00C770FE" w:rsidRPr="006A75D8" w:rsidRDefault="00C770FE" w:rsidP="006A75D8">
            <w:pPr>
              <w:pStyle w:val="Tablelegend"/>
              <w:rPr>
                <w:sz w:val="16"/>
                <w:szCs w:val="16"/>
                <w:lang w:val="es-ES_tradnl"/>
              </w:rPr>
            </w:pPr>
            <w:r w:rsidRPr="006A75D8">
              <w:rPr>
                <w:sz w:val="16"/>
                <w:szCs w:val="16"/>
                <w:lang w:val="es-ES_tradnl"/>
              </w:rPr>
              <w:t>NOTA – Las temperaturas están calculadas a partir de otros parámetros que se dan.</w:t>
            </w:r>
          </w:p>
          <w:p w:rsidR="00C770FE" w:rsidRPr="006A75D8" w:rsidRDefault="00C770FE" w:rsidP="006A75D8">
            <w:pPr>
              <w:pStyle w:val="Tablelegend"/>
              <w:rPr>
                <w:sz w:val="16"/>
                <w:szCs w:val="16"/>
                <w:lang w:val="es-ES_tradnl"/>
              </w:rPr>
            </w:pPr>
            <w:r w:rsidRPr="006A75D8">
              <w:rPr>
                <w:position w:val="6"/>
                <w:sz w:val="16"/>
                <w:szCs w:val="16"/>
                <w:lang w:val="es-ES"/>
              </w:rPr>
              <w:t>(1)</w:t>
            </w:r>
            <w:r w:rsidR="00741A79" w:rsidRPr="006A75D8">
              <w:rPr>
                <w:sz w:val="16"/>
                <w:szCs w:val="16"/>
                <w:lang w:val="es-ES"/>
              </w:rPr>
              <w:tab/>
            </w:r>
            <w:r w:rsidRPr="006A75D8">
              <w:rPr>
                <w:sz w:val="16"/>
                <w:szCs w:val="16"/>
                <w:lang w:val="es-ES"/>
              </w:rPr>
              <w:t xml:space="preserve"> Estos parámetros geoclimáticos se definen en el Cuadro 2.</w:t>
            </w:r>
          </w:p>
        </w:tc>
      </w:tr>
    </w:tbl>
    <w:p w:rsidR="00C770FE" w:rsidRDefault="00C770FE" w:rsidP="00741A79">
      <w:pPr>
        <w:pStyle w:val="TableNo"/>
        <w:rPr>
          <w:lang w:val="es-ES_tradnl"/>
        </w:rPr>
      </w:pPr>
      <w:r>
        <w:rPr>
          <w:lang w:val="es-ES_tradnl"/>
        </w:rPr>
        <w:lastRenderedPageBreak/>
        <w:t>CUADRO  2</w:t>
      </w:r>
    </w:p>
    <w:p w:rsidR="00C770FE" w:rsidRDefault="00C770FE" w:rsidP="00C770FE">
      <w:pPr>
        <w:pStyle w:val="Tabletitle"/>
        <w:rPr>
          <w:lang w:val="es-ES_tradnl"/>
        </w:rPr>
      </w:pPr>
      <w:r>
        <w:rPr>
          <w:lang w:val="es-ES_tradnl"/>
        </w:rPr>
        <w:t>Parámetros geoclimáticos</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6236"/>
        <w:gridCol w:w="1701"/>
      </w:tblGrid>
      <w:tr w:rsidR="008B3431" w:rsidTr="0008259E">
        <w:trPr>
          <w:jc w:val="center"/>
        </w:trPr>
        <w:tc>
          <w:tcPr>
            <w:tcW w:w="1701" w:type="dxa"/>
          </w:tcPr>
          <w:p w:rsidR="008B3431" w:rsidRPr="00822BB1" w:rsidRDefault="008B3431" w:rsidP="008B3431">
            <w:pPr>
              <w:pStyle w:val="Tablehead"/>
            </w:pPr>
            <w:r>
              <w:rPr>
                <w:lang w:val="es-ES_tradnl"/>
              </w:rPr>
              <w:t>Símbolo</w:t>
            </w:r>
          </w:p>
        </w:tc>
        <w:tc>
          <w:tcPr>
            <w:tcW w:w="6236" w:type="dxa"/>
          </w:tcPr>
          <w:p w:rsidR="008B3431" w:rsidRPr="00822BB1" w:rsidRDefault="008B3431" w:rsidP="008B3431">
            <w:pPr>
              <w:pStyle w:val="Tablehead"/>
            </w:pPr>
            <w:r>
              <w:rPr>
                <w:lang w:val="es-ES_tradnl"/>
              </w:rPr>
              <w:t>Parámetro</w:t>
            </w:r>
          </w:p>
        </w:tc>
        <w:tc>
          <w:tcPr>
            <w:tcW w:w="1701" w:type="dxa"/>
          </w:tcPr>
          <w:p w:rsidR="008B3431" w:rsidRPr="00822BB1" w:rsidRDefault="008B3431" w:rsidP="008B3431">
            <w:pPr>
              <w:pStyle w:val="Tablehead"/>
            </w:pPr>
            <w:r>
              <w:rPr>
                <w:lang w:val="es-ES_tradnl"/>
              </w:rPr>
              <w:t>Unidades</w:t>
            </w:r>
          </w:p>
        </w:tc>
      </w:tr>
      <w:tr w:rsidR="00C770FE" w:rsidTr="0008259E">
        <w:trPr>
          <w:jc w:val="center"/>
        </w:trPr>
        <w:tc>
          <w:tcPr>
            <w:tcW w:w="1701" w:type="dxa"/>
          </w:tcPr>
          <w:p w:rsidR="00C770FE" w:rsidRPr="00822BB1" w:rsidRDefault="00741A79" w:rsidP="00822BB1">
            <w:pPr>
              <w:pStyle w:val="Tabletext"/>
              <w:jc w:val="center"/>
            </w:pPr>
            <w:r w:rsidRPr="00822BB1">
              <w:sym w:font="Symbol" w:char="F06C"/>
            </w:r>
          </w:p>
        </w:tc>
        <w:tc>
          <w:tcPr>
            <w:tcW w:w="6236" w:type="dxa"/>
          </w:tcPr>
          <w:p w:rsidR="00C770FE" w:rsidRPr="00822BB1" w:rsidRDefault="00C770FE" w:rsidP="00822BB1">
            <w:pPr>
              <w:pStyle w:val="Tabletext"/>
              <w:jc w:val="left"/>
            </w:pPr>
            <w:r w:rsidRPr="00822BB1">
              <w:t>Latitud de la célula P</w:t>
            </w:r>
            <w:r w:rsidRPr="00822BB1">
              <w:noBreakHyphen/>
              <w:t>MP</w:t>
            </w:r>
          </w:p>
        </w:tc>
        <w:tc>
          <w:tcPr>
            <w:tcW w:w="1701" w:type="dxa"/>
          </w:tcPr>
          <w:p w:rsidR="00C770FE" w:rsidRPr="00822BB1" w:rsidRDefault="009845B5" w:rsidP="00822BB1">
            <w:pPr>
              <w:pStyle w:val="Tabletext"/>
              <w:jc w:val="center"/>
            </w:pPr>
            <w:r>
              <w:t>+°N/–°S</w:t>
            </w:r>
          </w:p>
        </w:tc>
      </w:tr>
      <w:tr w:rsidR="00C770FE" w:rsidTr="0008259E">
        <w:trPr>
          <w:jc w:val="center"/>
        </w:trPr>
        <w:tc>
          <w:tcPr>
            <w:tcW w:w="1701" w:type="dxa"/>
          </w:tcPr>
          <w:p w:rsidR="00C770FE" w:rsidRPr="00822BB1" w:rsidRDefault="00741A79" w:rsidP="00822BB1">
            <w:pPr>
              <w:pStyle w:val="Tabletext"/>
              <w:jc w:val="center"/>
            </w:pPr>
            <w:r w:rsidRPr="00822BB1">
              <w:sym w:font="Symbol" w:char="F072"/>
            </w:r>
          </w:p>
        </w:tc>
        <w:tc>
          <w:tcPr>
            <w:tcW w:w="6236" w:type="dxa"/>
          </w:tcPr>
          <w:p w:rsidR="00C770FE" w:rsidRPr="00822BB1" w:rsidRDefault="00C770FE" w:rsidP="00822BB1">
            <w:pPr>
              <w:pStyle w:val="Tabletext"/>
              <w:jc w:val="left"/>
            </w:pPr>
            <w:r w:rsidRPr="00822BB1">
              <w:t>Densidad del vapor de agua</w:t>
            </w:r>
          </w:p>
        </w:tc>
        <w:tc>
          <w:tcPr>
            <w:tcW w:w="1701" w:type="dxa"/>
          </w:tcPr>
          <w:p w:rsidR="00C770FE" w:rsidRPr="00822BB1" w:rsidRDefault="00C770FE" w:rsidP="00822BB1">
            <w:pPr>
              <w:pStyle w:val="Tabletext"/>
              <w:jc w:val="center"/>
            </w:pPr>
            <w:r w:rsidRPr="00822BB1">
              <w:t>g/m3</w:t>
            </w:r>
          </w:p>
        </w:tc>
      </w:tr>
      <w:tr w:rsidR="00C770FE" w:rsidTr="0008259E">
        <w:trPr>
          <w:jc w:val="center"/>
        </w:trPr>
        <w:tc>
          <w:tcPr>
            <w:tcW w:w="1701" w:type="dxa"/>
          </w:tcPr>
          <w:p w:rsidR="00C770FE" w:rsidRPr="00822BB1" w:rsidRDefault="00C770FE" w:rsidP="00822BB1">
            <w:pPr>
              <w:pStyle w:val="Tabletext"/>
              <w:jc w:val="center"/>
            </w:pPr>
            <w:r w:rsidRPr="00822BB1">
              <w:t>P</w:t>
            </w:r>
          </w:p>
        </w:tc>
        <w:tc>
          <w:tcPr>
            <w:tcW w:w="6236" w:type="dxa"/>
          </w:tcPr>
          <w:p w:rsidR="00C770FE" w:rsidRPr="00822BB1" w:rsidRDefault="00C770FE" w:rsidP="00822BB1">
            <w:pPr>
              <w:pStyle w:val="Tabletext"/>
              <w:jc w:val="left"/>
            </w:pPr>
            <w:r w:rsidRPr="00822BB1">
              <w:t>Presión atmosférica (0 m amsl)</w:t>
            </w:r>
          </w:p>
        </w:tc>
        <w:tc>
          <w:tcPr>
            <w:tcW w:w="1701" w:type="dxa"/>
          </w:tcPr>
          <w:p w:rsidR="00C770FE" w:rsidRPr="00822BB1" w:rsidRDefault="00C770FE" w:rsidP="00822BB1">
            <w:pPr>
              <w:pStyle w:val="Tabletext"/>
              <w:jc w:val="center"/>
            </w:pPr>
            <w:r w:rsidRPr="00822BB1">
              <w:t>hPa</w:t>
            </w:r>
          </w:p>
        </w:tc>
      </w:tr>
      <w:tr w:rsidR="00C770FE" w:rsidTr="0008259E">
        <w:trPr>
          <w:jc w:val="center"/>
        </w:trPr>
        <w:tc>
          <w:tcPr>
            <w:tcW w:w="1701" w:type="dxa"/>
          </w:tcPr>
          <w:p w:rsidR="00C770FE" w:rsidRPr="00822BB1" w:rsidRDefault="00C770FE" w:rsidP="00822BB1">
            <w:pPr>
              <w:pStyle w:val="Tabletext"/>
              <w:jc w:val="center"/>
            </w:pPr>
            <w:r w:rsidRPr="00822BB1">
              <w:t>N</w:t>
            </w:r>
            <w:r w:rsidRPr="009845B5">
              <w:rPr>
                <w:vertAlign w:val="subscript"/>
              </w:rPr>
              <w:t>0</w:t>
            </w:r>
          </w:p>
        </w:tc>
        <w:tc>
          <w:tcPr>
            <w:tcW w:w="6236" w:type="dxa"/>
          </w:tcPr>
          <w:p w:rsidR="00C770FE" w:rsidRPr="00822BB1" w:rsidRDefault="00C770FE" w:rsidP="00822BB1">
            <w:pPr>
              <w:pStyle w:val="Tabletext"/>
              <w:jc w:val="left"/>
            </w:pPr>
            <w:r w:rsidRPr="00822BB1">
              <w:t>Índice de refracción radioeléctrica</w:t>
            </w:r>
          </w:p>
        </w:tc>
        <w:tc>
          <w:tcPr>
            <w:tcW w:w="1701" w:type="dxa"/>
          </w:tcPr>
          <w:p w:rsidR="00C770FE" w:rsidRPr="00822BB1" w:rsidRDefault="00C770FE" w:rsidP="00822BB1">
            <w:pPr>
              <w:pStyle w:val="Tabletext"/>
              <w:jc w:val="center"/>
            </w:pPr>
          </w:p>
        </w:tc>
      </w:tr>
      <w:tr w:rsidR="00C770FE" w:rsidTr="0008259E">
        <w:trPr>
          <w:jc w:val="center"/>
        </w:trPr>
        <w:tc>
          <w:tcPr>
            <w:tcW w:w="1701" w:type="dxa"/>
          </w:tcPr>
          <w:p w:rsidR="00C770FE" w:rsidRPr="00822BB1" w:rsidRDefault="00C770FE" w:rsidP="00822BB1">
            <w:pPr>
              <w:pStyle w:val="Tabletext"/>
              <w:jc w:val="center"/>
            </w:pPr>
            <w:r w:rsidRPr="00822BB1">
              <w:t>hR</w:t>
            </w:r>
          </w:p>
        </w:tc>
        <w:tc>
          <w:tcPr>
            <w:tcW w:w="6236" w:type="dxa"/>
          </w:tcPr>
          <w:p w:rsidR="00C770FE" w:rsidRPr="00822BB1" w:rsidRDefault="00C770FE" w:rsidP="0008259E">
            <w:pPr>
              <w:pStyle w:val="Tabletext"/>
              <w:jc w:val="left"/>
            </w:pPr>
            <w:r w:rsidRPr="00822BB1">
              <w:t>Altura de la lluvia amsl determinada a partir de la Recomendación</w:t>
            </w:r>
            <w:r w:rsidR="0008259E">
              <w:t xml:space="preserve"> </w:t>
            </w:r>
            <w:r w:rsidRPr="00822BB1">
              <w:t>UIT</w:t>
            </w:r>
            <w:r w:rsidRPr="00822BB1">
              <w:noBreakHyphen/>
              <w:t>R P.839</w:t>
            </w:r>
          </w:p>
        </w:tc>
        <w:tc>
          <w:tcPr>
            <w:tcW w:w="1701" w:type="dxa"/>
          </w:tcPr>
          <w:p w:rsidR="00C770FE" w:rsidRPr="00822BB1" w:rsidRDefault="00C770FE" w:rsidP="00822BB1">
            <w:pPr>
              <w:pStyle w:val="Tabletext"/>
              <w:jc w:val="center"/>
            </w:pPr>
            <w:r w:rsidRPr="00822BB1">
              <w:t>km</w:t>
            </w:r>
          </w:p>
        </w:tc>
      </w:tr>
      <w:tr w:rsidR="00C770FE" w:rsidTr="0008259E">
        <w:trPr>
          <w:jc w:val="center"/>
        </w:trPr>
        <w:tc>
          <w:tcPr>
            <w:tcW w:w="1701" w:type="dxa"/>
          </w:tcPr>
          <w:p w:rsidR="00C770FE" w:rsidRPr="00822BB1" w:rsidRDefault="00C770FE" w:rsidP="00822BB1">
            <w:pPr>
              <w:pStyle w:val="Tabletext"/>
              <w:jc w:val="center"/>
            </w:pPr>
            <w:r w:rsidRPr="00822BB1">
              <w:t>R</w:t>
            </w:r>
            <w:r w:rsidRPr="009845B5">
              <w:rPr>
                <w:vertAlign w:val="subscript"/>
              </w:rPr>
              <w:t>0,01</w:t>
            </w:r>
          </w:p>
        </w:tc>
        <w:tc>
          <w:tcPr>
            <w:tcW w:w="6236" w:type="dxa"/>
          </w:tcPr>
          <w:p w:rsidR="00C770FE" w:rsidRPr="00822BB1" w:rsidRDefault="00C770FE" w:rsidP="00822BB1">
            <w:pPr>
              <w:pStyle w:val="Tabletext"/>
              <w:jc w:val="left"/>
            </w:pPr>
            <w:r w:rsidRPr="00822BB1">
              <w:t>Intensidad de la lluvia (rebasada durante el 0,01% del tiempo)</w:t>
            </w:r>
          </w:p>
        </w:tc>
        <w:tc>
          <w:tcPr>
            <w:tcW w:w="1701" w:type="dxa"/>
          </w:tcPr>
          <w:p w:rsidR="00C770FE" w:rsidRPr="00822BB1" w:rsidRDefault="00C770FE" w:rsidP="00822BB1">
            <w:pPr>
              <w:pStyle w:val="Tabletext"/>
              <w:jc w:val="center"/>
            </w:pPr>
            <w:r w:rsidRPr="00822BB1">
              <w:t>mm/h</w:t>
            </w:r>
          </w:p>
        </w:tc>
      </w:tr>
      <w:tr w:rsidR="00C770FE" w:rsidTr="0008259E">
        <w:trPr>
          <w:jc w:val="center"/>
        </w:trPr>
        <w:tc>
          <w:tcPr>
            <w:tcW w:w="1701" w:type="dxa"/>
          </w:tcPr>
          <w:p w:rsidR="00C770FE" w:rsidRPr="00822BB1" w:rsidRDefault="00741A79" w:rsidP="00822BB1">
            <w:pPr>
              <w:pStyle w:val="Tabletext"/>
              <w:jc w:val="center"/>
            </w:pPr>
            <w:r w:rsidRPr="00822BB1">
              <w:sym w:font="Symbol" w:char="F07A"/>
            </w:r>
          </w:p>
        </w:tc>
        <w:tc>
          <w:tcPr>
            <w:tcW w:w="6236" w:type="dxa"/>
          </w:tcPr>
          <w:p w:rsidR="00C770FE" w:rsidRPr="00822BB1" w:rsidRDefault="00C770FE" w:rsidP="00822BB1">
            <w:pPr>
              <w:pStyle w:val="Tabletext"/>
              <w:jc w:val="left"/>
            </w:pPr>
            <w:r w:rsidRPr="00822BB1">
              <w:t>Longitud</w:t>
            </w:r>
          </w:p>
        </w:tc>
        <w:tc>
          <w:tcPr>
            <w:tcW w:w="1701" w:type="dxa"/>
          </w:tcPr>
          <w:p w:rsidR="00C770FE" w:rsidRPr="00822BB1" w:rsidRDefault="009845B5" w:rsidP="00822BB1">
            <w:pPr>
              <w:pStyle w:val="Tabletext"/>
              <w:jc w:val="center"/>
            </w:pPr>
            <w:r>
              <w:rPr>
                <w:lang w:val="es-ES"/>
              </w:rPr>
              <w:t>+°E/–°W</w:t>
            </w:r>
          </w:p>
        </w:tc>
      </w:tr>
    </w:tbl>
    <w:p w:rsidR="00C770FE" w:rsidRDefault="00C770FE" w:rsidP="00741A79">
      <w:pPr>
        <w:pStyle w:val="Tablefin"/>
      </w:pPr>
    </w:p>
    <w:p w:rsidR="0008259E" w:rsidRPr="0008259E" w:rsidRDefault="0008259E" w:rsidP="0008259E">
      <w:pPr>
        <w:rPr>
          <w:lang w:val="en-GB"/>
        </w:rPr>
      </w:pPr>
    </w:p>
    <w:p w:rsidR="00C770FE" w:rsidRPr="00E55CA1" w:rsidRDefault="00C770FE" w:rsidP="00741A79">
      <w:pPr>
        <w:rPr>
          <w:lang w:val="es-ES_tradnl"/>
        </w:rPr>
      </w:pPr>
      <w:r w:rsidRPr="00E55CA1">
        <w:rPr>
          <w:lang w:val="es-ES_tradnl"/>
        </w:rPr>
        <w:t>Debe señalarse que algunos de los parámetros están relacionados entre sí. En el § 5.2 figura una lista de estos parámetros interrelacionados.</w:t>
      </w:r>
    </w:p>
    <w:p w:rsidR="00C770FE" w:rsidRPr="00E55CA1" w:rsidRDefault="00C770FE" w:rsidP="00741A79">
      <w:pPr>
        <w:pStyle w:val="Heading2"/>
        <w:rPr>
          <w:lang w:val="es-ES_tradnl"/>
        </w:rPr>
      </w:pPr>
      <w:r w:rsidRPr="00E55CA1">
        <w:rPr>
          <w:lang w:val="es-ES_tradnl"/>
        </w:rPr>
        <w:t>5.2</w:t>
      </w:r>
      <w:r w:rsidRPr="00E55CA1">
        <w:rPr>
          <w:lang w:val="es-ES_tradnl"/>
        </w:rPr>
        <w:tab/>
        <w:t>Densidad del vapor de agua, presión atmosférica e índice de refracción radioeléctrica</w:t>
      </w:r>
    </w:p>
    <w:p w:rsidR="00C770FE" w:rsidRPr="00E55CA1" w:rsidRDefault="00C770FE" w:rsidP="00244027">
      <w:pPr>
        <w:rPr>
          <w:lang w:val="es-ES_tradnl"/>
        </w:rPr>
      </w:pPr>
      <w:r w:rsidRPr="00E55CA1">
        <w:rPr>
          <w:lang w:val="es-ES_tradnl"/>
        </w:rPr>
        <w:t>Dado que el modelo específico del emplazamiento que se indica en la Recomendación</w:t>
      </w:r>
      <w:r w:rsidR="00A879BE">
        <w:rPr>
          <w:lang w:val="es-ES_tradnl"/>
        </w:rPr>
        <w:t xml:space="preserve"> </w:t>
      </w:r>
      <w:r w:rsidRPr="00E55CA1">
        <w:rPr>
          <w:lang w:val="es-ES_tradnl"/>
        </w:rPr>
        <w:t>UIT</w:t>
      </w:r>
      <w:r w:rsidRPr="00E55CA1">
        <w:rPr>
          <w:lang w:val="es-ES_tradnl"/>
        </w:rPr>
        <w:noBreakHyphen/>
        <w:t>R P.676 es de aplicación compleja para calcular la atenuación atmosférica en trayectos oblicuos, se ofrecen a continuación detalles sobre la implementación de este modelo. La</w:t>
      </w:r>
      <w:r w:rsidR="00A879BE">
        <w:rPr>
          <w:lang w:val="es-ES_tradnl"/>
        </w:rPr>
        <w:t xml:space="preserve"> </w:t>
      </w:r>
      <w:r w:rsidRPr="00E55CA1">
        <w:rPr>
          <w:lang w:val="es-ES_tradnl"/>
        </w:rPr>
        <w:t>Recomendación</w:t>
      </w:r>
      <w:r w:rsidR="00A879BE">
        <w:rPr>
          <w:lang w:val="es-ES_tradnl"/>
        </w:rPr>
        <w:t xml:space="preserve"> </w:t>
      </w:r>
      <w:r w:rsidRPr="00E55CA1">
        <w:rPr>
          <w:lang w:val="es-ES_tradnl"/>
        </w:rPr>
        <w:t>UIT</w:t>
      </w:r>
      <w:r w:rsidRPr="00E55CA1">
        <w:rPr>
          <w:lang w:val="es-ES_tradnl"/>
        </w:rPr>
        <w:noBreakHyphen/>
        <w:t>R SF.1395 contiene los detalles relativos a la aplicación de este modelo. Los parámetros de densidad de vapor del agua, presión atmosférica, temperatura e índice de refracción radioeléctrica están relacionados entre sí mediante la Recomendación UIT</w:t>
      </w:r>
      <w:r w:rsidRPr="00E55CA1">
        <w:rPr>
          <w:lang w:val="es-ES_tradnl"/>
        </w:rPr>
        <w:noBreakHyphen/>
        <w:t>R P.453</w:t>
      </w:r>
      <w:r w:rsidRPr="00E55CA1">
        <w:rPr>
          <w:lang w:val="es-ES_tradnl"/>
        </w:rPr>
        <w:noBreakHyphen/>
        <w:t>7. Al aplicar el método de la Recomendación</w:t>
      </w:r>
      <w:r w:rsidR="00244027">
        <w:rPr>
          <w:lang w:val="es-ES_tradnl"/>
        </w:rPr>
        <w:t xml:space="preserve"> </w:t>
      </w:r>
      <w:r w:rsidRPr="00E55CA1">
        <w:rPr>
          <w:lang w:val="es-ES_tradnl"/>
        </w:rPr>
        <w:t>UIT</w:t>
      </w:r>
      <w:r w:rsidRPr="00E55CA1">
        <w:rPr>
          <w:lang w:val="es-ES_tradnl"/>
        </w:rPr>
        <w:noBreakHyphen/>
        <w:t>R P.676 sólo se utiliza en la lista de parámetros geoclimáticos específicos del Cuadro 1</w:t>
      </w:r>
      <w:r w:rsidR="00D8156D" w:rsidRPr="00E55CA1">
        <w:rPr>
          <w:rStyle w:val="FootnoteReference"/>
          <w:lang w:val="es-ES_tradnl"/>
        </w:rPr>
        <w:footnoteReference w:id="3"/>
      </w:r>
      <w:r w:rsidRPr="00E55CA1">
        <w:rPr>
          <w:lang w:val="es-ES_tradnl"/>
        </w:rPr>
        <w:t xml:space="preserve"> el parámetro de presión atmosférica que presenta la variabilidad mínima a nivel mundial de todos los parámetros de la Recomendación</w:t>
      </w:r>
      <w:r w:rsidR="003F13B6">
        <w:rPr>
          <w:lang w:val="es-ES_tradnl"/>
        </w:rPr>
        <w:t xml:space="preserve"> </w:t>
      </w:r>
      <w:r w:rsidRPr="00E55CA1">
        <w:rPr>
          <w:lang w:val="es-ES_tradnl"/>
        </w:rPr>
        <w:t>UIT</w:t>
      </w:r>
      <w:r w:rsidRPr="00E55CA1">
        <w:rPr>
          <w:lang w:val="es-ES_tradnl"/>
        </w:rPr>
        <w:noBreakHyphen/>
        <w:t>R SF.1395. Esto se hace por simplicidad. Si se dispone de datos locales más precisos pueden utilizarse en su lugar.</w:t>
      </w:r>
    </w:p>
    <w:p w:rsidR="00C770FE" w:rsidRDefault="00C770FE" w:rsidP="0008259E">
      <w:pPr>
        <w:rPr>
          <w:lang w:val="es-ES_tradnl"/>
        </w:rPr>
      </w:pPr>
      <w:r w:rsidRPr="00E55CA1">
        <w:rPr>
          <w:lang w:val="es-ES_tradnl"/>
        </w:rPr>
        <w:t xml:space="preserve">La densidad del vapor de agua, </w:t>
      </w:r>
      <w:r w:rsidR="002F1F6B" w:rsidRPr="00E55CA1">
        <w:rPr>
          <w:lang w:val="es-ES_tradnl"/>
        </w:rPr>
        <w:sym w:font="Symbol" w:char="F072"/>
      </w:r>
      <w:r w:rsidRPr="00E55CA1">
        <w:rPr>
          <w:lang w:val="es-ES_tradnl"/>
        </w:rPr>
        <w:t xml:space="preserve">, y el índice de refracción radioeléctrica medio, </w:t>
      </w:r>
      <w:r w:rsidRPr="00E55CA1">
        <w:rPr>
          <w:i/>
          <w:iCs/>
          <w:lang w:val="es-ES_tradnl"/>
        </w:rPr>
        <w:t>N</w:t>
      </w:r>
      <w:r w:rsidRPr="00E55CA1">
        <w:rPr>
          <w:position w:val="-4"/>
          <w:sz w:val="20"/>
          <w:lang w:val="es-ES_tradnl"/>
        </w:rPr>
        <w:t>0</w:t>
      </w:r>
      <w:r w:rsidRPr="00E55CA1">
        <w:rPr>
          <w:lang w:val="es-ES_tradnl"/>
        </w:rPr>
        <w:t>, vienen determinados en los mapas mundiales de las Recomendaciones</w:t>
      </w:r>
      <w:r w:rsidR="0008259E">
        <w:rPr>
          <w:lang w:val="es-ES_tradnl"/>
        </w:rPr>
        <w:t xml:space="preserve"> </w:t>
      </w:r>
      <w:r w:rsidRPr="00E55CA1">
        <w:rPr>
          <w:lang w:val="es-ES_tradnl"/>
        </w:rPr>
        <w:t>UIT</w:t>
      </w:r>
      <w:r w:rsidRPr="00E55CA1">
        <w:rPr>
          <w:lang w:val="es-ES_tradnl"/>
        </w:rPr>
        <w:noBreakHyphen/>
        <w:t>R</w:t>
      </w:r>
      <w:r w:rsidR="0008259E">
        <w:rPr>
          <w:lang w:val="es-ES_tradnl"/>
        </w:rPr>
        <w:t> </w:t>
      </w:r>
      <w:r w:rsidRPr="00E55CA1">
        <w:rPr>
          <w:lang w:val="es-ES_tradnl"/>
        </w:rPr>
        <w:t>P.836</w:t>
      </w:r>
      <w:r w:rsidR="0008259E">
        <w:rPr>
          <w:lang w:val="es-ES_tradnl"/>
        </w:rPr>
        <w:t xml:space="preserve"> </w:t>
      </w:r>
      <w:r w:rsidRPr="00E55CA1">
        <w:rPr>
          <w:lang w:val="es-ES_tradnl"/>
        </w:rPr>
        <w:t>y</w:t>
      </w:r>
      <w:r w:rsidR="0008259E">
        <w:rPr>
          <w:lang w:val="es-ES_tradnl"/>
        </w:rPr>
        <w:t xml:space="preserve"> </w:t>
      </w:r>
      <w:r w:rsidRPr="00E55CA1">
        <w:rPr>
          <w:lang w:val="es-ES_tradnl"/>
        </w:rPr>
        <w:t xml:space="preserve">UIT-R P.453, respectivamente. Se utilizan los valores de febrero (invernales) de </w:t>
      </w:r>
      <w:r w:rsidR="002F1F6B" w:rsidRPr="00E55CA1">
        <w:rPr>
          <w:lang w:val="es-ES_tradnl"/>
        </w:rPr>
        <w:sym w:font="Symbol" w:char="F072"/>
      </w:r>
      <w:r w:rsidR="0008259E">
        <w:rPr>
          <w:lang w:val="es-ES_tradnl"/>
        </w:rPr>
        <w:t xml:space="preserve"> </w:t>
      </w:r>
      <w:r w:rsidRPr="00E55CA1">
        <w:rPr>
          <w:lang w:val="es-ES_tradnl"/>
        </w:rPr>
        <w:t>y</w:t>
      </w:r>
      <w:r w:rsidR="0008259E">
        <w:rPr>
          <w:lang w:val="es-ES_tradnl"/>
        </w:rPr>
        <w:t xml:space="preserve"> </w:t>
      </w:r>
      <w:r w:rsidRPr="00E55CA1">
        <w:rPr>
          <w:i/>
          <w:iCs/>
          <w:lang w:val="es-ES_tradnl"/>
        </w:rPr>
        <w:t>N</w:t>
      </w:r>
      <w:r w:rsidRPr="00E55CA1">
        <w:rPr>
          <w:position w:val="-4"/>
          <w:sz w:val="20"/>
          <w:lang w:val="es-ES_tradnl"/>
        </w:rPr>
        <w:t>0</w:t>
      </w:r>
      <w:r w:rsidRPr="00E55CA1">
        <w:rPr>
          <w:lang w:val="es-ES_tradnl"/>
        </w:rPr>
        <w:t xml:space="preserve"> para el Hemisferio Norte (y los valores de julio (invernales) para el Hemisferio Sur) pues son los que arrojan valores mínimos de la atenuación atmosférica gaseosa (</w:t>
      </w:r>
      <w:r w:rsidR="00594475" w:rsidRPr="00E55CA1">
        <w:rPr>
          <w:lang w:val="es-ES_tradnl"/>
        </w:rPr>
        <w:sym w:font="Symbol" w:char="F067"/>
      </w:r>
      <w:r w:rsidRPr="00E55CA1">
        <w:rPr>
          <w:lang w:val="es-ES_tradnl"/>
        </w:rPr>
        <w:t> (dB/km)) en el trayecto, en la dirección de la interferencia. Los valores invernales de las atenuaciones atmosféricas calculadas se aplican en los trayectos deseados (terrenal) e interferente (desde el satélite). Como la temperatura es función de la densidad del vapor de agua, de la presión atmosférica y del índice de refracc</w:t>
      </w:r>
      <w:r w:rsidR="00E55CA1">
        <w:rPr>
          <w:lang w:val="es-ES_tradnl"/>
        </w:rPr>
        <w:t>ión radioeléctrica, puede calcu</w:t>
      </w:r>
      <w:r>
        <w:rPr>
          <w:lang w:val="es-ES_tradnl"/>
        </w:rPr>
        <w:t>larse a partir de los otros parámetros. La temperatura, junto con la densidad del vapor de agua,</w:t>
      </w:r>
      <w:r w:rsidR="0008259E">
        <w:rPr>
          <w:lang w:val="es-ES_tradnl"/>
        </w:rPr>
        <w:t xml:space="preserve"> </w:t>
      </w:r>
      <w:r w:rsidR="0008259E" w:rsidRPr="00E55CA1">
        <w:rPr>
          <w:lang w:val="es-ES_tradnl"/>
        </w:rPr>
        <w:sym w:font="Symbol" w:char="F072"/>
      </w:r>
      <w:r>
        <w:rPr>
          <w:lang w:val="es-ES_tradnl"/>
        </w:rPr>
        <w:t xml:space="preserve">, y la presión atmosférica, </w:t>
      </w:r>
      <w:r>
        <w:rPr>
          <w:i/>
          <w:iCs/>
          <w:lang w:val="es-ES_tradnl"/>
        </w:rPr>
        <w:t>P</w:t>
      </w:r>
      <w:r>
        <w:rPr>
          <w:lang w:val="es-ES_tradnl"/>
        </w:rPr>
        <w:t>, se utilizan para calcular la atenuación debida a los gases atmosféricos en los trayectos deseado y de interferencia, utilizando la Recomendación UIT</w:t>
      </w:r>
      <w:r w:rsidR="008B3431">
        <w:rPr>
          <w:lang w:val="es-ES_tradnl"/>
        </w:rPr>
        <w:noBreakHyphen/>
      </w:r>
      <w:r>
        <w:rPr>
          <w:lang w:val="es-ES_tradnl"/>
        </w:rPr>
        <w:t>R</w:t>
      </w:r>
      <w:r w:rsidR="008B3431">
        <w:rPr>
          <w:lang w:val="es-ES_tradnl"/>
        </w:rPr>
        <w:t> </w:t>
      </w:r>
      <w:r>
        <w:rPr>
          <w:lang w:val="es-ES_tradnl"/>
        </w:rPr>
        <w:t>P.676.</w:t>
      </w:r>
      <w:r w:rsidR="008B3431">
        <w:rPr>
          <w:lang w:val="es-ES_tradnl"/>
        </w:rPr>
        <w:t xml:space="preserve"> </w:t>
      </w:r>
      <w:r>
        <w:rPr>
          <w:lang w:val="es-ES_tradnl"/>
        </w:rPr>
        <w:t xml:space="preserve">La expresión utilizada en la ecuación (1) para calcular la temperatura se obtiene de las ecuaciones (1) </w:t>
      </w:r>
      <w:r>
        <w:rPr>
          <w:lang w:val="es-ES_tradnl"/>
        </w:rPr>
        <w:lastRenderedPageBreak/>
        <w:t>a</w:t>
      </w:r>
      <w:r w:rsidR="0008259E">
        <w:rPr>
          <w:lang w:val="es-ES_tradnl"/>
        </w:rPr>
        <w:t> </w:t>
      </w:r>
      <w:r>
        <w:rPr>
          <w:lang w:val="es-ES_tradnl"/>
        </w:rPr>
        <w:t>(9) de la Recomendación UIT-R P.453. Se utilizan mapas mundiales adecuados de las temperaturas mensuales medias anuales mínima y máxima para verificar las temperaturas.</w:t>
      </w:r>
    </w:p>
    <w:p w:rsidR="0008259E" w:rsidRDefault="0008259E" w:rsidP="0008259E">
      <w:pPr>
        <w:pStyle w:val="Blanc"/>
      </w:pPr>
    </w:p>
    <w:p w:rsidR="00C770FE" w:rsidRDefault="00C770FE" w:rsidP="00290CA2">
      <w:pPr>
        <w:pStyle w:val="Equation"/>
        <w:rPr>
          <w:lang w:val="es-ES_tradnl"/>
        </w:rPr>
      </w:pPr>
      <w:r>
        <w:rPr>
          <w:lang w:val="es-ES_tradnl"/>
        </w:rPr>
        <w:tab/>
      </w:r>
      <w:r>
        <w:rPr>
          <w:lang w:val="es-ES_tradnl"/>
        </w:rPr>
        <w:tab/>
      </w:r>
      <w:r w:rsidR="00244027" w:rsidRPr="00244027">
        <w:rPr>
          <w:position w:val="-34"/>
          <w:lang w:val="es-ES_tradnl"/>
        </w:rPr>
        <w:object w:dxaOrig="378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9.6pt;height:36pt" o:ole="" fillcolor="window">
            <v:imagedata r:id="rId15" o:title=""/>
          </v:shape>
          <o:OLEObject Type="Embed" ProgID="Equation.3" ShapeID="_x0000_i1025" DrawAspect="Content" ObjectID="_1368531398" r:id="rId16"/>
        </w:object>
      </w:r>
      <w:r>
        <w:rPr>
          <w:lang w:val="es-ES_tradnl"/>
        </w:rPr>
        <w:tab/>
        <w:t>(1)</w:t>
      </w:r>
    </w:p>
    <w:p w:rsidR="0008259E" w:rsidRDefault="0008259E" w:rsidP="0008259E">
      <w:pPr>
        <w:pStyle w:val="Blanc"/>
      </w:pPr>
    </w:p>
    <w:p w:rsidR="00C770FE" w:rsidRDefault="00C770FE" w:rsidP="00290CA2">
      <w:pPr>
        <w:rPr>
          <w:lang w:val="es-ES_tradnl"/>
        </w:rPr>
      </w:pPr>
      <w:r>
        <w:rPr>
          <w:lang w:val="es-ES_tradnl"/>
        </w:rPr>
        <w:t>donde:</w:t>
      </w:r>
    </w:p>
    <w:p w:rsidR="00C770FE" w:rsidRPr="00290CA2" w:rsidRDefault="00C770FE" w:rsidP="00290CA2">
      <w:pPr>
        <w:pStyle w:val="Equationlegend"/>
        <w:rPr>
          <w:lang w:val="es-ES_tradnl"/>
        </w:rPr>
      </w:pPr>
      <w:r w:rsidRPr="006B7AFE">
        <w:rPr>
          <w:lang w:val="es-ES_tradnl"/>
        </w:rPr>
        <w:tab/>
      </w:r>
      <w:r w:rsidR="00290CA2" w:rsidRPr="00290CA2">
        <w:rPr>
          <w:i/>
          <w:iCs/>
        </w:rPr>
        <w:sym w:font="Symbol" w:char="F072"/>
      </w:r>
      <w:r w:rsidRPr="00290CA2">
        <w:rPr>
          <w:lang w:val="es-ES_tradnl"/>
        </w:rPr>
        <w:t>:</w:t>
      </w:r>
      <w:r w:rsidRPr="00290CA2">
        <w:rPr>
          <w:lang w:val="es-ES_tradnl"/>
        </w:rPr>
        <w:tab/>
        <w:t>densidad del vapor de agua (g/m3)</w:t>
      </w:r>
    </w:p>
    <w:p w:rsidR="00C770FE" w:rsidRPr="00290CA2" w:rsidRDefault="00C770FE" w:rsidP="00290CA2">
      <w:pPr>
        <w:pStyle w:val="Equationlegend"/>
        <w:rPr>
          <w:lang w:val="es-ES_tradnl"/>
        </w:rPr>
      </w:pPr>
      <w:r w:rsidRPr="00290CA2">
        <w:rPr>
          <w:lang w:val="es-ES_tradnl"/>
        </w:rPr>
        <w:tab/>
      </w:r>
      <w:r w:rsidRPr="00290CA2">
        <w:rPr>
          <w:i/>
          <w:iCs/>
          <w:lang w:val="es-ES_tradnl"/>
        </w:rPr>
        <w:t>P</w:t>
      </w:r>
      <w:r w:rsidRPr="00290CA2">
        <w:rPr>
          <w:lang w:val="es-ES_tradnl"/>
        </w:rPr>
        <w:t>:</w:t>
      </w:r>
      <w:r w:rsidRPr="00290CA2">
        <w:rPr>
          <w:lang w:val="es-ES_tradnl"/>
        </w:rPr>
        <w:tab/>
        <w:t>presión atmosférica (hPa)</w:t>
      </w:r>
    </w:p>
    <w:p w:rsidR="00C770FE" w:rsidRPr="00290CA2" w:rsidRDefault="00C770FE" w:rsidP="00290CA2">
      <w:pPr>
        <w:pStyle w:val="Equationlegend"/>
        <w:rPr>
          <w:lang w:val="es-ES_tradnl"/>
        </w:rPr>
      </w:pPr>
      <w:r w:rsidRPr="00290CA2">
        <w:rPr>
          <w:lang w:val="es-ES_tradnl"/>
        </w:rPr>
        <w:tab/>
      </w:r>
      <w:r w:rsidRPr="00290CA2">
        <w:rPr>
          <w:i/>
          <w:iCs/>
          <w:lang w:val="es-ES_tradnl"/>
        </w:rPr>
        <w:t>N</w:t>
      </w:r>
      <w:r w:rsidRPr="00290CA2">
        <w:rPr>
          <w:i/>
          <w:iCs/>
          <w:vertAlign w:val="subscript"/>
          <w:lang w:val="es-ES_tradnl"/>
        </w:rPr>
        <w:t>0</w:t>
      </w:r>
      <w:r w:rsidRPr="00290CA2">
        <w:rPr>
          <w:lang w:val="es-ES_tradnl"/>
        </w:rPr>
        <w:t>:</w:t>
      </w:r>
      <w:r w:rsidRPr="00290CA2">
        <w:rPr>
          <w:lang w:val="es-ES_tradnl"/>
        </w:rPr>
        <w:tab/>
        <w:t>índice de refracción radioeléctrica</w:t>
      </w:r>
    </w:p>
    <w:p w:rsidR="00C770FE" w:rsidRPr="00290CA2" w:rsidRDefault="00C770FE" w:rsidP="00290CA2">
      <w:pPr>
        <w:pStyle w:val="Equationlegend"/>
        <w:rPr>
          <w:lang w:val="es-ES_tradnl"/>
        </w:rPr>
      </w:pPr>
      <w:r w:rsidRPr="00290CA2">
        <w:rPr>
          <w:lang w:val="es-ES_tradnl"/>
        </w:rPr>
        <w:tab/>
      </w:r>
      <w:r w:rsidRPr="00290CA2">
        <w:rPr>
          <w:i/>
          <w:iCs/>
          <w:lang w:val="es-ES_tradnl"/>
        </w:rPr>
        <w:t>hs</w:t>
      </w:r>
      <w:r w:rsidRPr="00290CA2">
        <w:rPr>
          <w:lang w:val="es-ES_tradnl"/>
        </w:rPr>
        <w:t>:</w:t>
      </w:r>
      <w:r w:rsidRPr="00290CA2">
        <w:rPr>
          <w:lang w:val="es-ES_tradnl"/>
        </w:rPr>
        <w:tab/>
        <w:t>altura de la superficie de la Tierra sobre el nivel del mar (km).</w:t>
      </w:r>
    </w:p>
    <w:p w:rsidR="00C770FE" w:rsidRDefault="00C770FE" w:rsidP="002F1F6B">
      <w:pPr>
        <w:rPr>
          <w:lang w:val="es-ES_tradnl"/>
        </w:rPr>
      </w:pPr>
      <w:r>
        <w:rPr>
          <w:lang w:val="es-ES_tradnl"/>
        </w:rPr>
        <w:t xml:space="preserve">El valor </w:t>
      </w:r>
      <w:r w:rsidR="002F1F6B" w:rsidRPr="00594475">
        <w:rPr>
          <w:lang w:val="es-ES_tradnl"/>
        </w:rPr>
        <w:sym w:font="Symbol" w:char="F072"/>
      </w:r>
      <w:r>
        <w:rPr>
          <w:lang w:val="es-ES_tradnl"/>
        </w:rPr>
        <w:t xml:space="preserve"> de la densidad del vapor de agua utilizado en la ecuación (1) es el valor teórico al nivel del mar, que se calcula de la siguiente manera:</w:t>
      </w:r>
    </w:p>
    <w:p w:rsidR="0008259E" w:rsidRDefault="0008259E" w:rsidP="0008259E">
      <w:pPr>
        <w:pStyle w:val="Blanc"/>
      </w:pPr>
    </w:p>
    <w:p w:rsidR="00C770FE" w:rsidRDefault="00C770FE" w:rsidP="00290CA2">
      <w:pPr>
        <w:pStyle w:val="Equation"/>
        <w:rPr>
          <w:lang w:val="es-ES_tradnl"/>
        </w:rPr>
      </w:pPr>
      <w:r>
        <w:rPr>
          <w:lang w:val="es-ES_tradnl"/>
        </w:rPr>
        <w:tab/>
      </w:r>
      <w:r>
        <w:rPr>
          <w:lang w:val="es-ES_tradnl"/>
        </w:rPr>
        <w:tab/>
      </w:r>
      <w:r w:rsidR="00244027" w:rsidRPr="00244027">
        <w:rPr>
          <w:position w:val="-12"/>
          <w:lang w:val="es-ES_tradnl"/>
        </w:rPr>
        <w:object w:dxaOrig="1920" w:dyaOrig="360">
          <v:shape id="_x0000_i1026" type="#_x0000_t75" style="width:95.4pt;height:18.6pt" o:ole="">
            <v:imagedata r:id="rId17" o:title=""/>
          </v:shape>
          <o:OLEObject Type="Embed" ProgID="Equation.3" ShapeID="_x0000_i1026" DrawAspect="Content" ObjectID="_1368531399" r:id="rId18"/>
        </w:object>
      </w:r>
      <w:r>
        <w:rPr>
          <w:lang w:val="es-ES_tradnl"/>
        </w:rPr>
        <w:tab/>
        <w:t>(2)</w:t>
      </w:r>
    </w:p>
    <w:p w:rsidR="0008259E" w:rsidRDefault="0008259E" w:rsidP="0008259E">
      <w:pPr>
        <w:pStyle w:val="Blanc"/>
      </w:pPr>
    </w:p>
    <w:p w:rsidR="00C770FE" w:rsidRDefault="00C770FE" w:rsidP="0008259E">
      <w:pPr>
        <w:rPr>
          <w:lang w:val="es-ES_tradnl"/>
        </w:rPr>
      </w:pPr>
      <w:r>
        <w:rPr>
          <w:lang w:val="es-ES_tradnl"/>
        </w:rPr>
        <w:t xml:space="preserve">donde </w:t>
      </w:r>
      <w:r>
        <w:rPr>
          <w:lang w:val="es-ES_tradnl"/>
        </w:rPr>
        <w:sym w:font="Symbol" w:char="F072"/>
      </w:r>
      <w:r>
        <w:rPr>
          <w:position w:val="-4"/>
          <w:sz w:val="20"/>
          <w:lang w:val="es-ES_tradnl"/>
        </w:rPr>
        <w:t>1</w:t>
      </w:r>
      <w:r>
        <w:rPr>
          <w:lang w:val="es-ES_tradnl"/>
        </w:rPr>
        <w:t xml:space="preserve"> es el valor correspondiente a la altitud </w:t>
      </w:r>
      <w:r>
        <w:rPr>
          <w:i/>
          <w:lang w:val="es-ES_tradnl"/>
        </w:rPr>
        <w:t>h</w:t>
      </w:r>
      <w:r>
        <w:rPr>
          <w:i/>
          <w:iCs/>
          <w:position w:val="-4"/>
          <w:sz w:val="20"/>
          <w:lang w:val="es-ES_tradnl"/>
        </w:rPr>
        <w:t>s</w:t>
      </w:r>
      <w:r>
        <w:rPr>
          <w:lang w:val="es-ES_tradnl"/>
        </w:rPr>
        <w:t xml:space="preserve"> de la estación en cuestión y se supone que la altura equivalente de la densidad del vapor de agua es de 2</w:t>
      </w:r>
      <w:r w:rsidR="0008259E">
        <w:rPr>
          <w:lang w:val="es-ES_tradnl"/>
        </w:rPr>
        <w:t> </w:t>
      </w:r>
      <w:r>
        <w:rPr>
          <w:lang w:val="es-ES_tradnl"/>
        </w:rPr>
        <w:t>km (véase la Recomen</w:t>
      </w:r>
      <w:r w:rsidR="00290CA2">
        <w:rPr>
          <w:lang w:val="es-ES_tradnl"/>
        </w:rPr>
        <w:t xml:space="preserve">dación </w:t>
      </w:r>
      <w:r>
        <w:rPr>
          <w:lang w:val="es-ES_tradnl"/>
        </w:rPr>
        <w:t>UIT</w:t>
      </w:r>
      <w:r>
        <w:rPr>
          <w:lang w:val="es-ES_tradnl"/>
        </w:rPr>
        <w:noBreakHyphen/>
        <w:t>R P.835).</w:t>
      </w:r>
    </w:p>
    <w:p w:rsidR="00C770FE" w:rsidRDefault="00C770FE" w:rsidP="003F13B6">
      <w:pPr>
        <w:rPr>
          <w:lang w:val="es-ES_tradnl"/>
        </w:rPr>
      </w:pPr>
      <w:r>
        <w:rPr>
          <w:lang w:val="es-ES_tradnl"/>
        </w:rPr>
        <w:t xml:space="preserve">Aunque el índice de refracción radioeléctrica, </w:t>
      </w:r>
      <w:r>
        <w:rPr>
          <w:i/>
          <w:iCs/>
          <w:lang w:val="es-ES_tradnl"/>
        </w:rPr>
        <w:t>N</w:t>
      </w:r>
      <w:r>
        <w:rPr>
          <w:position w:val="-4"/>
          <w:sz w:val="20"/>
          <w:lang w:val="es-ES_tradnl"/>
        </w:rPr>
        <w:t>0</w:t>
      </w:r>
      <w:r>
        <w:rPr>
          <w:lang w:val="es-ES_tradnl"/>
        </w:rPr>
        <w:t>, no es necesario para el cálculo de la atenuación debida a los gases atmosféricos utilizando el método aproximado del Anexo</w:t>
      </w:r>
      <w:r w:rsidR="003F13B6">
        <w:rPr>
          <w:lang w:val="es-ES_tradnl"/>
        </w:rPr>
        <w:t> </w:t>
      </w:r>
      <w:r>
        <w:rPr>
          <w:lang w:val="es-ES_tradnl"/>
        </w:rPr>
        <w:t>2 de la Recomendación</w:t>
      </w:r>
      <w:r w:rsidR="0008259E">
        <w:rPr>
          <w:lang w:val="es-ES_tradnl"/>
        </w:rPr>
        <w:t xml:space="preserve"> </w:t>
      </w:r>
      <w:r>
        <w:rPr>
          <w:lang w:val="es-ES_tradnl"/>
        </w:rPr>
        <w:t>UIT</w:t>
      </w:r>
      <w:r>
        <w:rPr>
          <w:lang w:val="es-ES_tradnl"/>
        </w:rPr>
        <w:noBreakHyphen/>
        <w:t>R P.676, se utiliza para calcular la temperatura junto con los valores agrupados en bandas de latitud de la presión atmosférica y los valores locales de la densidad del vapor de agua. Con ello se asegura que la temperatura calculada utilizando la Recomendación UIT</w:t>
      </w:r>
      <w:r>
        <w:rPr>
          <w:lang w:val="es-ES_tradnl"/>
        </w:rPr>
        <w:noBreakHyphen/>
        <w:t>R P.453 es congruente con los valores de la presión y de la densidad del vapor de agua.</w:t>
      </w:r>
    </w:p>
    <w:p w:rsidR="00C770FE" w:rsidRDefault="00C770FE" w:rsidP="00290CA2">
      <w:pPr>
        <w:pStyle w:val="Heading2"/>
        <w:rPr>
          <w:lang w:val="es-ES_tradnl"/>
        </w:rPr>
      </w:pPr>
      <w:r>
        <w:rPr>
          <w:lang w:val="es-ES_tradnl"/>
        </w:rPr>
        <w:t>5.3</w:t>
      </w:r>
      <w:r>
        <w:rPr>
          <w:lang w:val="es-ES_tradnl"/>
        </w:rPr>
        <w:tab/>
        <w:t>Análisis de la repercusión de los efectos relacionados con la propagación</w:t>
      </w:r>
    </w:p>
    <w:p w:rsidR="00C770FE" w:rsidRDefault="00C770FE" w:rsidP="0008259E">
      <w:pPr>
        <w:rPr>
          <w:lang w:val="es-ES_tradnl"/>
        </w:rPr>
      </w:pPr>
      <w:r>
        <w:rPr>
          <w:lang w:val="es-ES_tradnl"/>
        </w:rPr>
        <w:t>Las pérdidas del trayecto debidas a los gases atmosféricos se calculan sobre la base de los valores de febrero (invierno) de la densidad del vapor de agua y de esta manera el análisis da valores prudentes (mínimos) de la atenuación atmosférica, lo que lleva a estimaciones superiores de la interferencia. En la mayor parte de las demás épocas del año, la atenuación debido a los gases atmosféricos será mayor que la del mes más desfavorable. Así pues, el efecto neto de la interferencia a largo plazo en los sistemas del servicio fijo P-MP y P-P será inferior a los niveles de degradación de la calidad calculados utilizando valores mínimos de la atenuación debida a los gases atmosféricos de invierno.</w:t>
      </w:r>
    </w:p>
    <w:p w:rsidR="00C770FE" w:rsidRDefault="00C770FE" w:rsidP="002F1F6B">
      <w:pPr>
        <w:rPr>
          <w:lang w:val="es-ES_tradnl"/>
        </w:rPr>
      </w:pPr>
      <w:r>
        <w:rPr>
          <w:lang w:val="es-ES_tradnl"/>
        </w:rPr>
        <w:t>En todo entorno operativo real, la atenuación debida a la vegetación y a las estructuras artificiales es inevitable. El nivel de la interferencia en el trayecto interferente desde el arco en la OSG será inferior al calculado en este análisis, pues es probable que una parte del arco esté bloqueada a la visión de la antena receptora. En la práctica, un abonado del servicio fijo que esté expuesto plenamente al arco de la OSG recibirá una contribución predominante de la interferencia de un solo satélite y contribuciones inferiores de los satélites adyacentes que están separados por 2</w:t>
      </w:r>
      <w:r w:rsidR="002F1F6B">
        <w:rPr>
          <w:lang w:val="es-ES_tradnl"/>
        </w:rPr>
        <w:t>º</w:t>
      </w:r>
      <w:r>
        <w:rPr>
          <w:lang w:val="es-ES_tradnl"/>
        </w:rPr>
        <w:t xml:space="preserve"> o más. De esta manera, el nivel de la interferencia recibida realmente será función de la parte del arco de la OSG sometida al bloqueo.</w:t>
      </w:r>
    </w:p>
    <w:p w:rsidR="00C770FE" w:rsidRPr="00E55CA1" w:rsidRDefault="00C770FE" w:rsidP="00290CA2">
      <w:pPr>
        <w:pStyle w:val="Heading1"/>
        <w:rPr>
          <w:lang w:val="es-ES_tradnl"/>
        </w:rPr>
      </w:pPr>
      <w:r w:rsidRPr="00E55CA1">
        <w:rPr>
          <w:lang w:val="es-ES_tradnl"/>
        </w:rPr>
        <w:lastRenderedPageBreak/>
        <w:t>6</w:t>
      </w:r>
      <w:r w:rsidRPr="00E55CA1">
        <w:rPr>
          <w:lang w:val="es-ES_tradnl"/>
        </w:rPr>
        <w:tab/>
        <w:t>Sistema y cálculos de interferencia</w:t>
      </w:r>
    </w:p>
    <w:p w:rsidR="00C770FE" w:rsidRDefault="00C770FE" w:rsidP="00D82979">
      <w:pPr>
        <w:rPr>
          <w:lang w:val="es-ES_tradnl"/>
        </w:rPr>
      </w:pPr>
      <w:r w:rsidRPr="00E55CA1">
        <w:rPr>
          <w:lang w:val="es-ES_tradnl"/>
        </w:rPr>
        <w:t xml:space="preserve">Los cálculos de esta metodología comparan la </w:t>
      </w:r>
      <w:r w:rsidR="00D82979" w:rsidRPr="00594475">
        <w:rPr>
          <w:i/>
          <w:iCs/>
          <w:lang w:val="es-ES_tradnl"/>
        </w:rPr>
        <w:t>C</w:t>
      </w:r>
      <w:r w:rsidR="00D82979" w:rsidRPr="00594475">
        <w:rPr>
          <w:lang w:val="es-ES_tradnl"/>
        </w:rPr>
        <w:t>/(</w:t>
      </w:r>
      <w:r w:rsidR="00D82979" w:rsidRPr="00594475">
        <w:rPr>
          <w:i/>
          <w:iCs/>
          <w:lang w:val="es-ES_tradnl"/>
        </w:rPr>
        <w:t>N</w:t>
      </w:r>
      <w:r w:rsidR="00D82979" w:rsidRPr="00594475">
        <w:rPr>
          <w:lang w:val="es-ES_tradnl"/>
        </w:rPr>
        <w:t> + </w:t>
      </w:r>
      <w:r w:rsidR="00D82979" w:rsidRPr="00594475">
        <w:rPr>
          <w:i/>
          <w:iCs/>
          <w:lang w:val="es-ES_tradnl"/>
        </w:rPr>
        <w:t>I</w:t>
      </w:r>
      <w:r w:rsidR="00D82979" w:rsidRPr="00594475">
        <w:rPr>
          <w:sz w:val="12"/>
          <w:lang w:val="es-ES_tradnl"/>
        </w:rPr>
        <w:t> </w:t>
      </w:r>
      <w:r w:rsidR="00D82979" w:rsidRPr="00594475">
        <w:rPr>
          <w:lang w:val="es-ES_tradnl"/>
        </w:rPr>
        <w:t>)</w:t>
      </w:r>
      <w:r w:rsidR="00D82979">
        <w:rPr>
          <w:lang w:val="es-ES_tradnl"/>
        </w:rPr>
        <w:t xml:space="preserve"> </w:t>
      </w:r>
      <w:r w:rsidRPr="00E55CA1">
        <w:rPr>
          <w:lang w:val="es-ES_tradnl"/>
        </w:rPr>
        <w:t xml:space="preserve">recibida con el umbral de la </w:t>
      </w:r>
      <w:r w:rsidRPr="00E55CA1">
        <w:rPr>
          <w:i/>
          <w:iCs/>
          <w:lang w:val="es-ES_tradnl"/>
        </w:rPr>
        <w:t>C</w:t>
      </w:r>
      <w:r w:rsidRPr="00E55CA1">
        <w:rPr>
          <w:lang w:val="es-ES_tradnl"/>
        </w:rPr>
        <w:t>/</w:t>
      </w:r>
      <w:r w:rsidRPr="00E55CA1">
        <w:rPr>
          <w:i/>
          <w:iCs/>
          <w:lang w:val="es-ES_tradnl"/>
        </w:rPr>
        <w:t>N</w:t>
      </w:r>
      <w:r w:rsidRPr="00E55CA1">
        <w:rPr>
          <w:lang w:val="es-ES_tradnl"/>
        </w:rPr>
        <w:t xml:space="preserve"> del receptor para evaluar el potencial de interferencia, en vez del criterio de la relación </w:t>
      </w:r>
      <w:r w:rsidRPr="00E55CA1">
        <w:rPr>
          <w:i/>
          <w:iCs/>
          <w:lang w:val="es-ES_tradnl"/>
        </w:rPr>
        <w:t>I</w:t>
      </w:r>
      <w:r w:rsidRPr="00E55CA1">
        <w:rPr>
          <w:lang w:val="es-ES_tradnl"/>
        </w:rPr>
        <w:t>/</w:t>
      </w:r>
      <w:r w:rsidRPr="00E55CA1">
        <w:rPr>
          <w:i/>
          <w:iCs/>
          <w:lang w:val="es-ES_tradnl"/>
        </w:rPr>
        <w:t>N</w:t>
      </w:r>
      <w:r w:rsidRPr="00E55CA1">
        <w:rPr>
          <w:lang w:val="es-ES_tradnl"/>
        </w:rPr>
        <w:t>. Como la interferencia que se origina en los satélites OSG tiene carácter de larga duración y un nivel constante en condiciones de cielo despejado, la repercusión de la disponibilidad a largo</w:t>
      </w:r>
      <w:r>
        <w:rPr>
          <w:lang w:val="es-ES_tradnl"/>
        </w:rPr>
        <w:t xml:space="preserve"> plazo se mide por el porcentaje de tiempo en que el sistema del servicio fijo funciona con una BER peor que la del umbral de la BER a largo plazo en un año medio, en presencia de interferencia.</w:t>
      </w:r>
    </w:p>
    <w:p w:rsidR="00C770FE" w:rsidRPr="00E55CA1" w:rsidRDefault="00C770FE" w:rsidP="00C770FE">
      <w:pPr>
        <w:pStyle w:val="Heading2"/>
        <w:rPr>
          <w:lang w:val="es-ES_tradnl"/>
        </w:rPr>
      </w:pPr>
      <w:r w:rsidRPr="00E55CA1">
        <w:rPr>
          <w:lang w:val="es-ES_tradnl"/>
        </w:rPr>
        <w:t>6.1</w:t>
      </w:r>
      <w:r w:rsidRPr="00E55CA1">
        <w:rPr>
          <w:lang w:val="es-ES_tradnl"/>
        </w:rPr>
        <w:tab/>
        <w:t>Cálculos del margen requerido</w:t>
      </w:r>
    </w:p>
    <w:p w:rsidR="00C770FE" w:rsidRPr="00E55CA1" w:rsidRDefault="00C770FE" w:rsidP="00D82979">
      <w:pPr>
        <w:rPr>
          <w:lang w:val="es-ES_tradnl"/>
        </w:rPr>
      </w:pPr>
      <w:r w:rsidRPr="00E55CA1">
        <w:rPr>
          <w:lang w:val="es-ES_tradnl"/>
        </w:rPr>
        <w:t xml:space="preserve">El nivel máximo de la portadora recibida en una anchura de banda de referencia de 1 MHz, </w:t>
      </w:r>
      <w:r w:rsidRPr="00E55CA1">
        <w:rPr>
          <w:i/>
          <w:lang w:val="es-ES_tradnl"/>
        </w:rPr>
        <w:t>P</w:t>
      </w:r>
      <w:r w:rsidR="00D82979" w:rsidRPr="00E55CA1">
        <w:rPr>
          <w:i/>
          <w:iCs/>
          <w:position w:val="-4"/>
          <w:sz w:val="20"/>
          <w:lang w:val="es-ES_tradnl"/>
        </w:rPr>
        <w:t>Rx</w:t>
      </w:r>
      <w:r w:rsidRPr="00E55CA1">
        <w:rPr>
          <w:lang w:val="es-ES_tradnl"/>
        </w:rPr>
        <w:t>, en el receptor del servicio fijo, en condiciones de cielo despejado es:</w:t>
      </w:r>
    </w:p>
    <w:p w:rsidR="0008259E" w:rsidRDefault="0008259E" w:rsidP="0008259E">
      <w:pPr>
        <w:pStyle w:val="Blanc"/>
      </w:pPr>
    </w:p>
    <w:p w:rsidR="00C770FE" w:rsidRPr="00E55CA1" w:rsidRDefault="00C770FE" w:rsidP="00290CA2">
      <w:pPr>
        <w:pStyle w:val="Equation"/>
        <w:rPr>
          <w:lang w:val="es-ES_tradnl"/>
        </w:rPr>
      </w:pPr>
      <w:r w:rsidRPr="00E55CA1">
        <w:rPr>
          <w:lang w:val="es-ES_tradnl"/>
        </w:rPr>
        <w:tab/>
      </w:r>
      <w:r w:rsidRPr="00E55CA1">
        <w:rPr>
          <w:lang w:val="es-ES_tradnl"/>
        </w:rPr>
        <w:tab/>
      </w:r>
      <w:r w:rsidR="00244027" w:rsidRPr="00244027">
        <w:rPr>
          <w:position w:val="-14"/>
          <w:lang w:val="es-ES_tradnl"/>
        </w:rPr>
        <w:object w:dxaOrig="6100" w:dyaOrig="380">
          <v:shape id="_x0000_i1027" type="#_x0000_t75" style="width:304.8pt;height:19.2pt" o:ole="" fillcolor="window">
            <v:imagedata r:id="rId19" o:title=""/>
          </v:shape>
          <o:OLEObject Type="Embed" ProgID="Equation.3" ShapeID="_x0000_i1027" DrawAspect="Content" ObjectID="_1368531400" r:id="rId20"/>
        </w:object>
      </w:r>
      <w:r w:rsidRPr="00E55CA1">
        <w:rPr>
          <w:lang w:val="es-ES_tradnl"/>
        </w:rPr>
        <w:tab/>
        <w:t>(3)</w:t>
      </w:r>
    </w:p>
    <w:p w:rsidR="0008259E" w:rsidRDefault="0008259E" w:rsidP="0008259E">
      <w:pPr>
        <w:pStyle w:val="Blanc"/>
      </w:pPr>
    </w:p>
    <w:p w:rsidR="00C770FE" w:rsidRPr="00E55CA1" w:rsidRDefault="00C770FE" w:rsidP="00290CA2">
      <w:pPr>
        <w:rPr>
          <w:lang w:val="es-ES_tradnl"/>
        </w:rPr>
      </w:pPr>
      <w:r w:rsidRPr="00E55CA1">
        <w:rPr>
          <w:lang w:val="es-ES_tradnl"/>
        </w:rPr>
        <w:t>donde:</w:t>
      </w:r>
    </w:p>
    <w:p w:rsidR="00C770FE" w:rsidRPr="00E55CA1" w:rsidRDefault="00C770FE" w:rsidP="00290CA2">
      <w:pPr>
        <w:pStyle w:val="Equationlegend"/>
        <w:rPr>
          <w:lang w:val="es-ES_tradnl"/>
        </w:rPr>
      </w:pPr>
      <w:r w:rsidRPr="00E55CA1">
        <w:rPr>
          <w:lang w:val="es-ES_tradnl"/>
        </w:rPr>
        <w:tab/>
      </w:r>
      <w:r w:rsidRPr="00E55CA1">
        <w:rPr>
          <w:i/>
          <w:iCs/>
          <w:lang w:val="es-ES_tradnl"/>
        </w:rPr>
        <w:t>P</w:t>
      </w:r>
      <w:r w:rsidRPr="00E55CA1">
        <w:rPr>
          <w:i/>
          <w:iCs/>
          <w:position w:val="-4"/>
          <w:sz w:val="20"/>
          <w:lang w:val="es-ES_tradnl"/>
        </w:rPr>
        <w:t>Tx</w:t>
      </w:r>
      <w:r w:rsidRPr="00E55CA1">
        <w:rPr>
          <w:sz w:val="12"/>
          <w:lang w:val="es-ES_tradnl"/>
        </w:rPr>
        <w:t> </w:t>
      </w:r>
      <w:r w:rsidRPr="00E55CA1">
        <w:rPr>
          <w:sz w:val="20"/>
          <w:lang w:val="es-ES_tradnl"/>
        </w:rPr>
        <w:t>:</w:t>
      </w:r>
      <w:r w:rsidRPr="00E55CA1">
        <w:rPr>
          <w:lang w:val="es-ES_tradnl"/>
        </w:rPr>
        <w:tab/>
        <w:t>potencia del transmisor en la anchura de banda de referencia (dB(W/MHz))</w:t>
      </w:r>
    </w:p>
    <w:p w:rsidR="00C770FE" w:rsidRPr="00E55CA1" w:rsidRDefault="00C770FE" w:rsidP="00290CA2">
      <w:pPr>
        <w:pStyle w:val="Equationlegend"/>
        <w:rPr>
          <w:lang w:val="es-ES_tradnl"/>
        </w:rPr>
      </w:pPr>
      <w:r w:rsidRPr="00E55CA1">
        <w:rPr>
          <w:lang w:val="es-ES_tradnl"/>
        </w:rPr>
        <w:tab/>
      </w:r>
      <w:r w:rsidRPr="00E55CA1">
        <w:rPr>
          <w:i/>
          <w:iCs/>
          <w:lang w:val="es-ES_tradnl"/>
        </w:rPr>
        <w:t>G</w:t>
      </w:r>
      <w:r w:rsidRPr="00E55CA1">
        <w:rPr>
          <w:i/>
          <w:iCs/>
          <w:position w:val="-4"/>
          <w:sz w:val="20"/>
          <w:lang w:val="es-ES_tradnl"/>
        </w:rPr>
        <w:t>Tx</w:t>
      </w:r>
      <w:r w:rsidRPr="00E55CA1">
        <w:rPr>
          <w:sz w:val="12"/>
          <w:lang w:val="es-ES_tradnl"/>
        </w:rPr>
        <w:t> </w:t>
      </w:r>
      <w:r w:rsidRPr="00E55CA1">
        <w:rPr>
          <w:sz w:val="20"/>
          <w:lang w:val="es-ES_tradnl"/>
        </w:rPr>
        <w:t>:</w:t>
      </w:r>
      <w:r w:rsidRPr="00E55CA1">
        <w:rPr>
          <w:lang w:val="es-ES_tradnl"/>
        </w:rPr>
        <w:tab/>
        <w:t>ganancia máxima de la antena transmisora del servicio fijo (dBi)</w:t>
      </w:r>
    </w:p>
    <w:p w:rsidR="00C770FE" w:rsidRPr="00E55CA1" w:rsidRDefault="00C770FE" w:rsidP="00290CA2">
      <w:pPr>
        <w:pStyle w:val="Equationlegend"/>
        <w:rPr>
          <w:lang w:val="es-ES_tradnl"/>
        </w:rPr>
      </w:pPr>
      <w:r w:rsidRPr="00E55CA1">
        <w:rPr>
          <w:lang w:val="es-ES_tradnl"/>
        </w:rPr>
        <w:tab/>
      </w:r>
      <w:r w:rsidRPr="00E55CA1">
        <w:rPr>
          <w:i/>
          <w:iCs/>
          <w:lang w:val="es-ES_tradnl"/>
        </w:rPr>
        <w:t>G</w:t>
      </w:r>
      <w:r w:rsidRPr="00E55CA1">
        <w:rPr>
          <w:i/>
          <w:iCs/>
          <w:position w:val="-4"/>
          <w:sz w:val="20"/>
          <w:lang w:val="es-ES_tradnl"/>
        </w:rPr>
        <w:t>Rx</w:t>
      </w:r>
      <w:r w:rsidRPr="00E55CA1">
        <w:rPr>
          <w:sz w:val="12"/>
          <w:lang w:val="es-ES_tradnl"/>
        </w:rPr>
        <w:t> </w:t>
      </w:r>
      <w:r w:rsidRPr="00E55CA1">
        <w:rPr>
          <w:sz w:val="20"/>
          <w:lang w:val="es-ES_tradnl"/>
        </w:rPr>
        <w:t>:</w:t>
      </w:r>
      <w:r w:rsidRPr="00E55CA1">
        <w:rPr>
          <w:lang w:val="es-ES_tradnl"/>
        </w:rPr>
        <w:tab/>
        <w:t>ganancia máxima de la antena receptora del servicio fijo (dBi)</w:t>
      </w:r>
    </w:p>
    <w:p w:rsidR="00C770FE" w:rsidRPr="00E55CA1" w:rsidRDefault="00C770FE" w:rsidP="00290CA2">
      <w:pPr>
        <w:pStyle w:val="Equationlegend"/>
        <w:rPr>
          <w:lang w:val="es-ES_tradnl"/>
        </w:rPr>
      </w:pPr>
      <w:r w:rsidRPr="00E55CA1">
        <w:rPr>
          <w:lang w:val="es-ES_tradnl"/>
        </w:rPr>
        <w:tab/>
      </w:r>
      <w:r w:rsidRPr="00E55CA1">
        <w:rPr>
          <w:i/>
          <w:iCs/>
          <w:lang w:val="es-ES_tradnl"/>
        </w:rPr>
        <w:t>L</w:t>
      </w:r>
      <w:r w:rsidRPr="00E55CA1">
        <w:rPr>
          <w:i/>
          <w:iCs/>
          <w:position w:val="-4"/>
          <w:sz w:val="20"/>
          <w:lang w:val="es-ES_tradnl"/>
        </w:rPr>
        <w:t>FS</w:t>
      </w:r>
      <w:r w:rsidRPr="00E55CA1">
        <w:rPr>
          <w:sz w:val="12"/>
          <w:lang w:val="es-ES_tradnl"/>
        </w:rPr>
        <w:t> </w:t>
      </w:r>
      <w:r w:rsidRPr="00E55CA1">
        <w:rPr>
          <w:sz w:val="20"/>
          <w:lang w:val="es-ES_tradnl"/>
        </w:rPr>
        <w:t>:</w:t>
      </w:r>
      <w:r w:rsidRPr="00E55CA1">
        <w:rPr>
          <w:lang w:val="es-ES_tradnl"/>
        </w:rPr>
        <w:tab/>
        <w:t>pérdidas en el espacio libre desde la antena transmisora a la antena receptora (dB)</w:t>
      </w:r>
    </w:p>
    <w:p w:rsidR="00C770FE" w:rsidRPr="00E55CA1" w:rsidRDefault="00C770FE" w:rsidP="00290CA2">
      <w:pPr>
        <w:pStyle w:val="Equationlegend"/>
        <w:rPr>
          <w:lang w:val="es-ES_tradnl"/>
        </w:rPr>
      </w:pPr>
      <w:r w:rsidRPr="00E55CA1">
        <w:rPr>
          <w:lang w:val="es-ES_tradnl"/>
        </w:rPr>
        <w:tab/>
      </w:r>
      <w:r w:rsidRPr="00E55CA1">
        <w:rPr>
          <w:i/>
          <w:iCs/>
          <w:lang w:val="es-ES_tradnl"/>
        </w:rPr>
        <w:t>L</w:t>
      </w:r>
      <w:r w:rsidRPr="00E55CA1">
        <w:rPr>
          <w:i/>
          <w:iCs/>
          <w:position w:val="-4"/>
          <w:sz w:val="20"/>
          <w:lang w:val="es-ES_tradnl"/>
        </w:rPr>
        <w:t>Atm_t</w:t>
      </w:r>
      <w:r w:rsidRPr="00E55CA1">
        <w:rPr>
          <w:sz w:val="12"/>
          <w:lang w:val="es-ES_tradnl"/>
        </w:rPr>
        <w:t> </w:t>
      </w:r>
      <w:r w:rsidRPr="00E55CA1">
        <w:rPr>
          <w:sz w:val="20"/>
          <w:lang w:val="es-ES_tradnl"/>
        </w:rPr>
        <w:t>:</w:t>
      </w:r>
      <w:r w:rsidRPr="00E55CA1">
        <w:rPr>
          <w:lang w:val="es-ES_tradnl"/>
        </w:rPr>
        <w:tab/>
        <w:t>pérdidas debidas a los gases atmosféricos en el trayecto terrenal deseado:</w:t>
      </w:r>
    </w:p>
    <w:p w:rsidR="00C770FE" w:rsidRPr="008F4DD5" w:rsidRDefault="00D82979" w:rsidP="00D82979">
      <w:pPr>
        <w:pStyle w:val="enumlev3"/>
        <w:tabs>
          <w:tab w:val="left" w:pos="2268"/>
        </w:tabs>
        <w:ind w:left="2268" w:hanging="1077"/>
      </w:pPr>
      <w:r>
        <w:tab/>
      </w:r>
      <w:r w:rsidR="00C770FE" w:rsidRPr="008F4DD5">
        <w:tab/>
        <w:t>–</w:t>
      </w:r>
      <w:r w:rsidR="00C770FE" w:rsidRPr="008F4DD5">
        <w:tab/>
        <w:t>LAtm_t para un sistema P</w:t>
      </w:r>
      <w:r w:rsidR="00C770FE" w:rsidRPr="008F4DD5">
        <w:noBreakHyphen/>
        <w:t xml:space="preserve">MP se calcula a la altura mínima de la antena, agl, pues ésta representa el caso más desfavorable en el que </w:t>
      </w:r>
      <w:r w:rsidR="00C770FE" w:rsidRPr="008F4DD5">
        <w:sym w:font="Symbol" w:char="F072"/>
      </w:r>
      <w:r w:rsidR="00C770FE" w:rsidRPr="008F4DD5">
        <w:t xml:space="preserve"> sea máxima y la longitud del trayecto sea la más larga, y</w:t>
      </w:r>
    </w:p>
    <w:p w:rsidR="00C770FE" w:rsidRPr="008F4DD5" w:rsidRDefault="00D82979" w:rsidP="00D82979">
      <w:pPr>
        <w:pStyle w:val="enumlev3"/>
        <w:tabs>
          <w:tab w:val="left" w:pos="2268"/>
        </w:tabs>
        <w:ind w:left="2268" w:hanging="1077"/>
      </w:pPr>
      <w:r>
        <w:tab/>
      </w:r>
      <w:r w:rsidR="00C770FE" w:rsidRPr="008F4DD5">
        <w:tab/>
        <w:t>–</w:t>
      </w:r>
      <w:r w:rsidR="00C770FE" w:rsidRPr="008F4DD5">
        <w:tab/>
        <w:t>LAtm_t para un sistema P-P se calcula a la altura media del trayecto sobre el nivel medio del mar, amsl.</w:t>
      </w:r>
    </w:p>
    <w:p w:rsidR="00C770FE" w:rsidRPr="00E55CA1" w:rsidRDefault="00C770FE" w:rsidP="00D82979">
      <w:pPr>
        <w:rPr>
          <w:lang w:val="es-ES_tradnl"/>
        </w:rPr>
      </w:pPr>
      <w:r w:rsidRPr="00E55CA1">
        <w:rPr>
          <w:lang w:val="es-ES_tradnl"/>
        </w:rPr>
        <w:t xml:space="preserve">Un enlace del servicio fijo se diseña de manera que la relación entre </w:t>
      </w:r>
      <w:r w:rsidR="00D82979" w:rsidRPr="00594475">
        <w:rPr>
          <w:i/>
          <w:iCs/>
          <w:lang w:val="es-ES_tradnl"/>
        </w:rPr>
        <w:t>C</w:t>
      </w:r>
      <w:r w:rsidR="00D82979" w:rsidRPr="00594475">
        <w:rPr>
          <w:lang w:val="es-ES_tradnl"/>
        </w:rPr>
        <w:t>/(</w:t>
      </w:r>
      <w:r w:rsidR="00D82979" w:rsidRPr="00594475">
        <w:rPr>
          <w:i/>
          <w:iCs/>
          <w:lang w:val="es-ES_tradnl"/>
        </w:rPr>
        <w:t>N</w:t>
      </w:r>
      <w:r w:rsidR="00D82979" w:rsidRPr="00594475">
        <w:rPr>
          <w:lang w:val="es-ES_tradnl"/>
        </w:rPr>
        <w:t> + </w:t>
      </w:r>
      <w:r w:rsidR="00D82979" w:rsidRPr="00594475">
        <w:rPr>
          <w:i/>
          <w:iCs/>
          <w:lang w:val="es-ES_tradnl"/>
        </w:rPr>
        <w:t>I</w:t>
      </w:r>
      <w:r w:rsidR="00D82979" w:rsidRPr="00594475">
        <w:rPr>
          <w:sz w:val="12"/>
          <w:lang w:val="es-ES_tradnl"/>
        </w:rPr>
        <w:t> </w:t>
      </w:r>
      <w:r w:rsidR="00D82979" w:rsidRPr="00594475">
        <w:rPr>
          <w:lang w:val="es-ES_tradnl"/>
        </w:rPr>
        <w:t>)</w:t>
      </w:r>
      <w:r w:rsidR="00D82979">
        <w:rPr>
          <w:lang w:val="es-ES_tradnl"/>
        </w:rPr>
        <w:t xml:space="preserve"> </w:t>
      </w:r>
      <w:r w:rsidRPr="00E55CA1">
        <w:rPr>
          <w:lang w:val="es-ES_tradnl"/>
        </w:rPr>
        <w:t xml:space="preserve">recibidos sea igual o superior al umbral de la </w:t>
      </w:r>
      <w:r w:rsidRPr="00E55CA1">
        <w:rPr>
          <w:i/>
          <w:iCs/>
          <w:lang w:val="es-ES_tradnl"/>
        </w:rPr>
        <w:t>C</w:t>
      </w:r>
      <w:r w:rsidRPr="00E55CA1">
        <w:rPr>
          <w:lang w:val="es-ES_tradnl"/>
        </w:rPr>
        <w:t>/</w:t>
      </w:r>
      <w:r w:rsidRPr="00E55CA1">
        <w:rPr>
          <w:i/>
          <w:iCs/>
          <w:lang w:val="es-ES_tradnl"/>
        </w:rPr>
        <w:t>N</w:t>
      </w:r>
      <w:r w:rsidRPr="00E55CA1">
        <w:rPr>
          <w:lang w:val="es-ES_tradnl"/>
        </w:rPr>
        <w:t xml:space="preserve"> del receptor, correspondiente al criterio de calidad de la BER a largo plazo. El margen requerido del sistema para el desvanecimiento debido a la lluvia con el que se pretende que un receptor reciba la señal deseada a un nivel determinado de la </w:t>
      </w:r>
      <w:r w:rsidRPr="00E55CA1">
        <w:rPr>
          <w:i/>
          <w:iCs/>
          <w:lang w:val="es-ES_tradnl"/>
        </w:rPr>
        <w:t>C</w:t>
      </w:r>
      <w:r w:rsidRPr="00E55CA1">
        <w:rPr>
          <w:lang w:val="es-ES_tradnl"/>
        </w:rPr>
        <w:t>/</w:t>
      </w:r>
      <w:r w:rsidRPr="00E55CA1">
        <w:rPr>
          <w:i/>
          <w:iCs/>
          <w:lang w:val="es-ES_tradnl"/>
        </w:rPr>
        <w:t>N</w:t>
      </w:r>
      <w:r w:rsidRPr="00E55CA1">
        <w:rPr>
          <w:lang w:val="es-ES_tradnl"/>
        </w:rPr>
        <w:t xml:space="preserve"> (correspondiente a un umbral deseado de calidad de la BER) con la disponibilidad de diseño del 100% – </w:t>
      </w:r>
      <w:r w:rsidRPr="00E55CA1">
        <w:rPr>
          <w:i/>
          <w:lang w:val="es-ES_tradnl"/>
        </w:rPr>
        <w:t>p</w:t>
      </w:r>
      <w:r w:rsidRPr="00E55CA1">
        <w:rPr>
          <w:i/>
          <w:iCs/>
          <w:position w:val="-4"/>
          <w:sz w:val="20"/>
          <w:lang w:val="es-ES_tradnl"/>
        </w:rPr>
        <w:t>D</w:t>
      </w:r>
      <w:r w:rsidRPr="00E55CA1">
        <w:rPr>
          <w:lang w:val="es-ES_tradnl"/>
        </w:rPr>
        <w:t xml:space="preserve"> (%), viene dado por:</w:t>
      </w:r>
    </w:p>
    <w:p w:rsidR="0008259E" w:rsidRDefault="0008259E" w:rsidP="0008259E">
      <w:pPr>
        <w:pStyle w:val="Blanc"/>
      </w:pPr>
    </w:p>
    <w:p w:rsidR="00C770FE" w:rsidRPr="00E55CA1" w:rsidRDefault="00C770FE" w:rsidP="00290CA2">
      <w:pPr>
        <w:pStyle w:val="Equation"/>
        <w:rPr>
          <w:lang w:val="es-ES_tradnl"/>
        </w:rPr>
      </w:pPr>
      <w:r w:rsidRPr="00E55CA1">
        <w:rPr>
          <w:lang w:val="es-ES_tradnl"/>
        </w:rPr>
        <w:tab/>
      </w:r>
      <w:r w:rsidRPr="00E55CA1">
        <w:rPr>
          <w:lang w:val="es-ES_tradnl"/>
        </w:rPr>
        <w:tab/>
      </w:r>
      <w:r w:rsidR="00244027" w:rsidRPr="00244027">
        <w:rPr>
          <w:position w:val="-14"/>
          <w:lang w:val="es-ES_tradnl"/>
        </w:rPr>
        <w:object w:dxaOrig="2980" w:dyaOrig="380">
          <v:shape id="_x0000_i1028" type="#_x0000_t75" style="width:148.2pt;height:19.2pt" o:ole="" fillcolor="window">
            <v:imagedata r:id="rId21" o:title=""/>
          </v:shape>
          <o:OLEObject Type="Embed" ProgID="Equation.3" ShapeID="_x0000_i1028" DrawAspect="Content" ObjectID="_1368531401" r:id="rId22"/>
        </w:object>
      </w:r>
      <w:r w:rsidRPr="00E55CA1">
        <w:rPr>
          <w:lang w:val="es-ES_tradnl"/>
        </w:rPr>
        <w:tab/>
        <w:t>(4)</w:t>
      </w:r>
    </w:p>
    <w:p w:rsidR="0008259E" w:rsidRDefault="0008259E" w:rsidP="0008259E">
      <w:pPr>
        <w:pStyle w:val="Blanc"/>
      </w:pPr>
    </w:p>
    <w:p w:rsidR="00C770FE" w:rsidRPr="00E55CA1" w:rsidRDefault="00C770FE" w:rsidP="00290CA2">
      <w:pPr>
        <w:rPr>
          <w:lang w:val="es-ES_tradnl"/>
        </w:rPr>
      </w:pPr>
      <w:r w:rsidRPr="00E55CA1">
        <w:rPr>
          <w:lang w:val="es-ES_tradnl"/>
        </w:rPr>
        <w:t xml:space="preserve">donde </w:t>
      </w:r>
      <w:r w:rsidRPr="00E55CA1">
        <w:rPr>
          <w:i/>
          <w:iCs/>
          <w:lang w:val="es-ES_tradnl"/>
        </w:rPr>
        <w:t>A</w:t>
      </w:r>
      <w:r w:rsidRPr="00E55CA1">
        <w:rPr>
          <w:i/>
          <w:iCs/>
          <w:position w:val="-4"/>
          <w:sz w:val="20"/>
          <w:lang w:val="es-ES_tradnl"/>
        </w:rPr>
        <w:t>p</w:t>
      </w:r>
      <w:r w:rsidRPr="00E55CA1">
        <w:rPr>
          <w:lang w:val="es-ES_tradnl"/>
        </w:rPr>
        <w:t>(</w:t>
      </w:r>
      <w:r w:rsidRPr="00E55CA1">
        <w:rPr>
          <w:sz w:val="20"/>
          <w:lang w:val="es-ES_tradnl"/>
        </w:rPr>
        <w:t> </w:t>
      </w:r>
      <w:r w:rsidRPr="00E55CA1">
        <w:rPr>
          <w:i/>
          <w:iCs/>
          <w:lang w:val="es-ES_tradnl"/>
        </w:rPr>
        <w:t>p</w:t>
      </w:r>
      <w:r w:rsidRPr="00E55CA1">
        <w:rPr>
          <w:i/>
          <w:iCs/>
          <w:position w:val="-4"/>
          <w:sz w:val="20"/>
          <w:lang w:val="es-ES_tradnl"/>
        </w:rPr>
        <w:t>D</w:t>
      </w:r>
      <w:r w:rsidRPr="00E55CA1">
        <w:rPr>
          <w:lang w:val="es-ES_tradnl"/>
        </w:rPr>
        <w:t xml:space="preserve">) es el desvanecimiento debido a la lluvia rebasado durante el </w:t>
      </w:r>
      <w:r w:rsidRPr="00E55CA1">
        <w:rPr>
          <w:i/>
          <w:iCs/>
          <w:lang w:val="es-ES_tradnl"/>
        </w:rPr>
        <w:t>p</w:t>
      </w:r>
      <w:r w:rsidRPr="00E55CA1">
        <w:rPr>
          <w:i/>
          <w:iCs/>
          <w:position w:val="-4"/>
          <w:sz w:val="20"/>
          <w:lang w:val="es-ES_tradnl"/>
        </w:rPr>
        <w:t>D</w:t>
      </w:r>
      <w:r w:rsidRPr="00E55CA1">
        <w:rPr>
          <w:lang w:val="es-ES_tradnl"/>
        </w:rPr>
        <w:t>% más desfavorable del tiempo que se determina conforme al § 2.4 de la Recomendación UIT</w:t>
      </w:r>
      <w:r w:rsidRPr="00E55CA1">
        <w:rPr>
          <w:lang w:val="es-ES_tradnl"/>
        </w:rPr>
        <w:noBreakHyphen/>
        <w:t>R P.530</w:t>
      </w:r>
      <w:r w:rsidRPr="00E55CA1">
        <w:rPr>
          <w:lang w:val="es-ES_tradnl"/>
        </w:rPr>
        <w:noBreakHyphen/>
        <w:t>8.</w:t>
      </w:r>
    </w:p>
    <w:p w:rsidR="00C770FE" w:rsidRPr="00E55CA1" w:rsidRDefault="00C770FE" w:rsidP="00290CA2">
      <w:pPr>
        <w:rPr>
          <w:lang w:val="es-ES_tradnl"/>
        </w:rPr>
      </w:pPr>
      <w:r w:rsidRPr="00E55CA1">
        <w:rPr>
          <w:lang w:val="es-ES_tradnl"/>
        </w:rPr>
        <w:t>En muchos sistemas P-P la utilización del control automático de la potencia de transmisión (ATPC) puede permitir el funcionamiento con márgenes de desvanecimiento inferiores, para la misma disponibilidad. Esta metodología no sirve actualmente para enlaces P</w:t>
      </w:r>
      <w:r w:rsidRPr="00E55CA1">
        <w:rPr>
          <w:lang w:val="es-ES_tradnl"/>
        </w:rPr>
        <w:noBreakHyphen/>
        <w:t>P que aplican el ATPC.</w:t>
      </w:r>
    </w:p>
    <w:p w:rsidR="00C770FE" w:rsidRPr="00E55CA1" w:rsidRDefault="00C770FE" w:rsidP="00290CA2">
      <w:pPr>
        <w:pStyle w:val="Heading3"/>
        <w:rPr>
          <w:lang w:val="es-ES_tradnl"/>
        </w:rPr>
      </w:pPr>
      <w:r w:rsidRPr="00E55CA1">
        <w:rPr>
          <w:lang w:val="es-ES_tradnl"/>
        </w:rPr>
        <w:lastRenderedPageBreak/>
        <w:t>6.1.1</w:t>
      </w:r>
      <w:r w:rsidRPr="00E55CA1">
        <w:rPr>
          <w:lang w:val="es-ES_tradnl"/>
        </w:rPr>
        <w:tab/>
        <w:t>Determinación de la interferencia interior al servicio (incluyendo la interior al sistema) y de la interferencia entre servicios</w:t>
      </w:r>
    </w:p>
    <w:p w:rsidR="00C770FE" w:rsidRPr="00E55CA1" w:rsidRDefault="00C770FE" w:rsidP="0008259E">
      <w:pPr>
        <w:keepNext/>
        <w:keepLines/>
        <w:rPr>
          <w:lang w:val="es-ES_tradnl"/>
        </w:rPr>
      </w:pPr>
      <w:r w:rsidRPr="00E55CA1">
        <w:rPr>
          <w:lang w:val="es-ES_tradnl"/>
        </w:rPr>
        <w:t>En condiciones de cielo despejado, el ruido total, incluyendo la interferencia entre servicios, viene dado por la siguiente ecuación:</w:t>
      </w:r>
    </w:p>
    <w:p w:rsidR="0008259E" w:rsidRDefault="0008259E" w:rsidP="0008259E">
      <w:pPr>
        <w:pStyle w:val="Blanc"/>
      </w:pPr>
    </w:p>
    <w:p w:rsidR="00C770FE" w:rsidRPr="00E55CA1" w:rsidRDefault="00244027" w:rsidP="00290CA2">
      <w:pPr>
        <w:pStyle w:val="Equation"/>
        <w:rPr>
          <w:lang w:val="es-ES_tradnl"/>
        </w:rPr>
      </w:pPr>
      <w:r>
        <w:rPr>
          <w:lang w:val="es-ES_tradnl"/>
        </w:rPr>
        <w:tab/>
      </w:r>
      <w:r w:rsidRPr="00244027">
        <w:rPr>
          <w:position w:val="-12"/>
          <w:lang w:val="es-ES_tradnl"/>
        </w:rPr>
        <w:object w:dxaOrig="8180" w:dyaOrig="460">
          <v:shape id="_x0000_i1029" type="#_x0000_t75" style="width:409.2pt;height:23.4pt" o:ole="">
            <v:imagedata r:id="rId23" o:title=""/>
          </v:shape>
          <o:OLEObject Type="Embed" ProgID="Equation.3" ShapeID="_x0000_i1029" DrawAspect="Content" ObjectID="_1368531402" r:id="rId24"/>
        </w:object>
      </w:r>
      <w:r w:rsidR="00C770FE" w:rsidRPr="00E55CA1">
        <w:rPr>
          <w:lang w:val="es-ES_tradnl"/>
        </w:rPr>
        <w:tab/>
        <w:t>(5)</w:t>
      </w:r>
    </w:p>
    <w:p w:rsidR="0008259E" w:rsidRDefault="0008259E" w:rsidP="0008259E">
      <w:pPr>
        <w:pStyle w:val="Blanc"/>
      </w:pPr>
    </w:p>
    <w:p w:rsidR="00C770FE" w:rsidRPr="00E55CA1" w:rsidRDefault="00C770FE" w:rsidP="00290CA2">
      <w:pPr>
        <w:rPr>
          <w:lang w:val="es-ES_tradnl"/>
        </w:rPr>
      </w:pPr>
      <w:r w:rsidRPr="00E55CA1">
        <w:rPr>
          <w:lang w:val="es-ES_tradnl"/>
        </w:rPr>
        <w:t>donde:</w:t>
      </w:r>
    </w:p>
    <w:p w:rsidR="00C770FE" w:rsidRPr="00290CA2" w:rsidRDefault="00C770FE" w:rsidP="0008259E">
      <w:pPr>
        <w:rPr>
          <w:lang w:val="es-ES_tradnl"/>
        </w:rPr>
      </w:pPr>
      <w:r w:rsidRPr="00290CA2">
        <w:rPr>
          <w:i/>
          <w:lang w:val="es-ES_tradnl"/>
        </w:rPr>
        <w:t>N</w:t>
      </w:r>
      <w:r w:rsidRPr="0008259E">
        <w:rPr>
          <w:i/>
          <w:iCs/>
          <w:vertAlign w:val="subscript"/>
        </w:rPr>
        <w:t>Thermal</w:t>
      </w:r>
      <w:r w:rsidRPr="00290CA2">
        <w:rPr>
          <w:lang w:val="es-ES_tradnl"/>
        </w:rPr>
        <w:t xml:space="preserve"> es el ruido térmico del sistema en una anchura de banda de referencia de 1 MHz en un receptor determinado del servicio fijo que se calcula conforme al procedimiento descrito en el § 6.5, dado lo siguiente:</w:t>
      </w:r>
    </w:p>
    <w:p w:rsidR="00C770FE" w:rsidRPr="006B7AFE" w:rsidRDefault="00C770FE" w:rsidP="00290CA2">
      <w:pPr>
        <w:pStyle w:val="enumlev1"/>
        <w:rPr>
          <w:lang w:val="es-ES_tradnl"/>
        </w:rPr>
      </w:pPr>
      <w:r w:rsidRPr="006B7AFE">
        <w:rPr>
          <w:lang w:val="es-ES_tradnl"/>
        </w:rPr>
        <w:t>–</w:t>
      </w:r>
      <w:r w:rsidRPr="006B7AFE">
        <w:rPr>
          <w:lang w:val="es-ES_tradnl"/>
        </w:rPr>
        <w:tab/>
        <w:t>factor del ruido del receptor, F, y pérdidas del alimentador, LF,</w:t>
      </w:r>
    </w:p>
    <w:p w:rsidR="00C770FE" w:rsidRPr="006B7AFE" w:rsidRDefault="00C770FE" w:rsidP="00290CA2">
      <w:pPr>
        <w:pStyle w:val="enumlev1"/>
        <w:rPr>
          <w:lang w:val="es-ES_tradnl"/>
        </w:rPr>
      </w:pPr>
      <w:r w:rsidRPr="006B7AFE">
        <w:rPr>
          <w:lang w:val="es-ES_tradnl"/>
        </w:rPr>
        <w:t>–</w:t>
      </w:r>
      <w:r w:rsidRPr="006B7AFE">
        <w:rPr>
          <w:lang w:val="es-ES_tradnl"/>
        </w:rPr>
        <w:tab/>
        <w:t>ángulo de elevación de la antena de recepción del servicio fijo,</w:t>
      </w:r>
    </w:p>
    <w:p w:rsidR="00C770FE" w:rsidRPr="006B7AFE" w:rsidRDefault="00C770FE" w:rsidP="00290CA2">
      <w:pPr>
        <w:pStyle w:val="enumlev1"/>
        <w:rPr>
          <w:lang w:val="es-ES_tradnl"/>
        </w:rPr>
      </w:pPr>
      <w:r w:rsidRPr="006B7AFE">
        <w:rPr>
          <w:lang w:val="es-ES_tradnl"/>
        </w:rPr>
        <w:t>–</w:t>
      </w:r>
      <w:r w:rsidRPr="006B7AFE">
        <w:rPr>
          <w:lang w:val="es-ES_tradnl"/>
        </w:rPr>
        <w:tab/>
        <w:t>absorción atmosférica en todo el trayecto oblicuo a través de la atmósfera, y</w:t>
      </w:r>
    </w:p>
    <w:p w:rsidR="00C770FE" w:rsidRDefault="00C770FE" w:rsidP="00290CA2">
      <w:pPr>
        <w:rPr>
          <w:lang w:val="es-ES_tradnl"/>
        </w:rPr>
      </w:pPr>
      <w:r>
        <w:rPr>
          <w:lang w:val="es-ES_tradnl"/>
        </w:rPr>
        <w:t xml:space="preserve">siendo </w:t>
      </w:r>
      <w:r>
        <w:rPr>
          <w:i/>
          <w:iCs/>
          <w:lang w:val="es-ES_tradnl"/>
        </w:rPr>
        <w:t>I</w:t>
      </w:r>
      <w:r w:rsidRPr="0008259E">
        <w:rPr>
          <w:i/>
          <w:iCs/>
          <w:vertAlign w:val="subscript"/>
        </w:rPr>
        <w:t>Intra CS</w:t>
      </w:r>
      <w:r>
        <w:rPr>
          <w:lang w:val="es-ES_tradnl"/>
        </w:rPr>
        <w:t xml:space="preserve"> la interferencia interior al servicio, incluyendo la interferencia interior al sistema, procedentes de todos los demás transmisores del servicio fijo, en condiciones de cielo despejado. En el caso de ambos sistemas P</w:t>
      </w:r>
      <w:r>
        <w:rPr>
          <w:lang w:val="es-ES_tradnl"/>
        </w:rPr>
        <w:noBreakHyphen/>
        <w:t>P y P</w:t>
      </w:r>
      <w:r>
        <w:rPr>
          <w:lang w:val="es-ES_tradnl"/>
        </w:rPr>
        <w:noBreakHyphen/>
        <w:t>MP se supone, a los efectos de la aplicación de la metodología del § 6.1.1.1, que la interferencia interior al servicio se propaga a lo largo de trayecto</w:t>
      </w:r>
      <w:r w:rsidR="0008259E">
        <w:rPr>
          <w:lang w:val="es-ES_tradnl"/>
        </w:rPr>
        <w:t>s horizontales.</w:t>
      </w:r>
    </w:p>
    <w:p w:rsidR="00C770FE" w:rsidRDefault="00C770FE" w:rsidP="00290CA2">
      <w:pPr>
        <w:rPr>
          <w:lang w:val="es-ES_tradnl"/>
        </w:rPr>
      </w:pPr>
      <w:r>
        <w:rPr>
          <w:lang w:val="es-ES_tradnl"/>
        </w:rPr>
        <w:t xml:space="preserve">El nivel de la interferencia interior al servicio, </w:t>
      </w:r>
      <w:r>
        <w:rPr>
          <w:i/>
          <w:lang w:val="es-ES_tradnl"/>
        </w:rPr>
        <w:t>I</w:t>
      </w:r>
      <w:r>
        <w:rPr>
          <w:i/>
          <w:iCs/>
          <w:position w:val="-4"/>
          <w:sz w:val="20"/>
          <w:lang w:val="es-ES_tradnl"/>
        </w:rPr>
        <w:t>Intra</w:t>
      </w:r>
      <w:r>
        <w:rPr>
          <w:lang w:val="es-ES_tradnl"/>
        </w:rPr>
        <w:t xml:space="preserve">, en un receptor del servicio fijo puede fijarse en un nivel que provoque un aumento del ruido total en dicho receptor mediante una atribución especificada del usuario de </w:t>
      </w:r>
      <w:r>
        <w:rPr>
          <w:i/>
          <w:lang w:val="es-ES_tradnl"/>
        </w:rPr>
        <w:t>Y</w:t>
      </w:r>
      <w:r>
        <w:rPr>
          <w:lang w:val="es-ES_tradnl"/>
        </w:rPr>
        <w:t xml:space="preserve"> (dB) por encima del ruido térmico del sistema. Alternativamente, la atribución de la interferencia interior al servicio en condiciones de cielo despejado puede fijarse en términos de la relación entre la interferencia interior al servicio y el ruido térmico, y la interferencia interior al servicio puede calcularse directamente. A menos que se genere un modelo específico del despliegue del servicio fijo para calcular la interferencia interior al servicio en cada receptor del servicio fijo de un sistema P</w:t>
      </w:r>
      <w:r>
        <w:rPr>
          <w:lang w:val="es-ES_tradnl"/>
        </w:rPr>
        <w:noBreakHyphen/>
        <w:t>MP o P</w:t>
      </w:r>
      <w:r>
        <w:rPr>
          <w:lang w:val="es-ES_tradnl"/>
        </w:rPr>
        <w:noBreakHyphen/>
        <w:t>P</w:t>
      </w:r>
      <w:r w:rsidRPr="00822BB1">
        <w:t>,</w:t>
      </w:r>
      <w:r>
        <w:rPr>
          <w:lang w:val="es-ES_tradnl"/>
        </w:rPr>
        <w:t xml:space="preserve"> puede utilizarse la metodología del § 6.1.1.1.</w:t>
      </w:r>
    </w:p>
    <w:p w:rsidR="00C770FE" w:rsidRPr="00E55CA1" w:rsidRDefault="00C770FE" w:rsidP="00290CA2">
      <w:pPr>
        <w:rPr>
          <w:lang w:val="es-ES_tradnl"/>
        </w:rPr>
      </w:pPr>
      <w:r>
        <w:rPr>
          <w:i/>
          <w:iCs/>
          <w:lang w:val="es-ES_tradnl"/>
        </w:rPr>
        <w:t>I</w:t>
      </w:r>
      <w:r>
        <w:rPr>
          <w:i/>
          <w:iCs/>
          <w:position w:val="-4"/>
          <w:sz w:val="20"/>
          <w:lang w:val="es-ES_tradnl"/>
        </w:rPr>
        <w:t>Inter</w:t>
      </w:r>
      <w:r>
        <w:rPr>
          <w:lang w:val="es-ES_tradnl"/>
        </w:rPr>
        <w:t xml:space="preserve"> es la interferencia entre servicios procedente del SFS. El nivel de la interferencia entre sistemas, </w:t>
      </w:r>
      <w:r>
        <w:rPr>
          <w:i/>
          <w:lang w:val="es-ES_tradnl"/>
        </w:rPr>
        <w:t>I</w:t>
      </w:r>
      <w:r>
        <w:rPr>
          <w:i/>
          <w:iCs/>
          <w:position w:val="-4"/>
          <w:sz w:val="20"/>
          <w:lang w:val="es-ES_tradnl"/>
        </w:rPr>
        <w:t>Inter</w:t>
      </w:r>
      <w:r>
        <w:rPr>
          <w:lang w:val="es-ES_tradnl"/>
        </w:rPr>
        <w:t xml:space="preserve">, en un receptor del servicio fijo puede fijarse a un nivel que provoque un aumento del ruido total en dicho receptor mediante una atribución especificada de usuario de </w:t>
      </w:r>
      <w:r>
        <w:rPr>
          <w:i/>
          <w:iCs/>
          <w:lang w:val="es-ES_tradnl"/>
        </w:rPr>
        <w:t>Z</w:t>
      </w:r>
      <w:r>
        <w:rPr>
          <w:lang w:val="es-ES_tradnl"/>
        </w:rPr>
        <w:t xml:space="preserve"> (dB) por </w:t>
      </w:r>
      <w:r w:rsidRPr="00E55CA1">
        <w:rPr>
          <w:lang w:val="es-ES_tradnl"/>
        </w:rPr>
        <w:t>encima del ruido térmico del sistema. Se supone que la atribución de la interferencia entre sistemas es constante respecto al ruido térmico en condiciones de desvanecimiento debido a la lluvia y de cielo despejado.</w:t>
      </w:r>
    </w:p>
    <w:p w:rsidR="00C770FE" w:rsidRPr="00E55CA1" w:rsidRDefault="00C770FE" w:rsidP="00290CA2">
      <w:pPr>
        <w:pStyle w:val="Heading4"/>
        <w:rPr>
          <w:lang w:val="es-ES_tradnl"/>
        </w:rPr>
      </w:pPr>
      <w:r w:rsidRPr="00E55CA1">
        <w:rPr>
          <w:lang w:val="es-ES_tradnl"/>
        </w:rPr>
        <w:t>6.1.1.1</w:t>
      </w:r>
      <w:r w:rsidRPr="00E55CA1">
        <w:rPr>
          <w:lang w:val="es-ES_tradnl"/>
        </w:rPr>
        <w:tab/>
        <w:t>Interferencia interior al servicio (incluyendo la interior al sistema) en los receptores del servicio fijo</w:t>
      </w:r>
    </w:p>
    <w:p w:rsidR="00C770FE" w:rsidRPr="00E55CA1" w:rsidRDefault="00C770FE" w:rsidP="002F1F6B">
      <w:pPr>
        <w:rPr>
          <w:lang w:val="es-ES_tradnl"/>
        </w:rPr>
      </w:pPr>
      <w:r w:rsidRPr="00E55CA1">
        <w:rPr>
          <w:lang w:val="es-ES_tradnl"/>
        </w:rPr>
        <w:t xml:space="preserve">El nivel de la interferencia interior al servicio, </w:t>
      </w:r>
      <w:r w:rsidRPr="00E55CA1">
        <w:rPr>
          <w:i/>
          <w:iCs/>
          <w:lang w:val="es-ES_tradnl"/>
        </w:rPr>
        <w:t>I</w:t>
      </w:r>
      <w:r w:rsidRPr="00E55CA1">
        <w:rPr>
          <w:i/>
          <w:iCs/>
          <w:position w:val="-4"/>
          <w:sz w:val="20"/>
          <w:lang w:val="es-ES_tradnl"/>
        </w:rPr>
        <w:t>Intra</w:t>
      </w:r>
      <w:r w:rsidRPr="00E55CA1">
        <w:rPr>
          <w:position w:val="-4"/>
          <w:sz w:val="20"/>
          <w:lang w:val="es-ES_tradnl"/>
        </w:rPr>
        <w:t> 0</w:t>
      </w:r>
      <w:r w:rsidRPr="00E55CA1">
        <w:rPr>
          <w:lang w:val="es-ES_tradnl"/>
        </w:rPr>
        <w:t>,</w:t>
      </w:r>
      <w:r w:rsidRPr="00E55CA1">
        <w:rPr>
          <w:sz w:val="32"/>
          <w:lang w:val="es-ES_tradnl"/>
        </w:rPr>
        <w:t xml:space="preserve"> </w:t>
      </w:r>
      <w:r w:rsidRPr="00E55CA1">
        <w:rPr>
          <w:lang w:val="es-ES_tradnl"/>
        </w:rPr>
        <w:t>en un receptor de abonado de referencia de un sistema P</w:t>
      </w:r>
      <w:r w:rsidRPr="00E55CA1">
        <w:rPr>
          <w:lang w:val="es-ES_tradnl"/>
        </w:rPr>
        <w:noBreakHyphen/>
        <w:t>MP o P</w:t>
      </w:r>
      <w:r w:rsidRPr="00E55CA1">
        <w:rPr>
          <w:lang w:val="es-ES_tradnl"/>
        </w:rPr>
        <w:noBreakHyphen/>
        <w:t xml:space="preserve">P con un ángulo de elevación </w:t>
      </w:r>
      <w:r w:rsidR="002F1F6B" w:rsidRPr="00E55CA1">
        <w:rPr>
          <w:lang w:val="es-ES_tradnl"/>
        </w:rPr>
        <w:sym w:font="Symbol" w:char="F065"/>
      </w:r>
      <w:r w:rsidRPr="00E55CA1">
        <w:rPr>
          <w:position w:val="-4"/>
          <w:sz w:val="20"/>
          <w:lang w:val="es-ES_tradnl"/>
        </w:rPr>
        <w:t>0</w:t>
      </w:r>
      <w:r w:rsidRPr="00E55CA1">
        <w:rPr>
          <w:lang w:val="es-ES_tradnl"/>
        </w:rPr>
        <w:t xml:space="preserve">, se fija a un nivel que provoque un aumento del ruido térmico en un receptor con el radio máximo mediante un valor especificado de usuario de </w:t>
      </w:r>
      <w:r w:rsidRPr="00E55CA1">
        <w:rPr>
          <w:i/>
          <w:iCs/>
          <w:lang w:val="es-ES_tradnl"/>
        </w:rPr>
        <w:t>Y</w:t>
      </w:r>
      <w:r w:rsidRPr="00E55CA1">
        <w:rPr>
          <w:b/>
          <w:bCs/>
          <w:i/>
          <w:iCs/>
          <w:lang w:val="es-ES_tradnl"/>
        </w:rPr>
        <w:t> </w:t>
      </w:r>
      <w:r w:rsidRPr="00E55CA1">
        <w:rPr>
          <w:lang w:val="es-ES_tradnl"/>
        </w:rPr>
        <w:t xml:space="preserve">(dB). El nivel de interferencia entre servicios, </w:t>
      </w:r>
      <w:r w:rsidRPr="00E55CA1">
        <w:rPr>
          <w:i/>
          <w:iCs/>
          <w:lang w:val="es-ES_tradnl"/>
        </w:rPr>
        <w:t>I</w:t>
      </w:r>
      <w:r w:rsidRPr="00E55CA1">
        <w:rPr>
          <w:i/>
          <w:iCs/>
          <w:position w:val="-4"/>
          <w:sz w:val="20"/>
          <w:lang w:val="es-ES_tradnl"/>
        </w:rPr>
        <w:t>Inter</w:t>
      </w:r>
      <w:r w:rsidRPr="00E55CA1">
        <w:rPr>
          <w:i/>
          <w:iCs/>
          <w:lang w:val="es-ES_tradnl"/>
        </w:rPr>
        <w:t>,</w:t>
      </w:r>
      <w:r w:rsidRPr="00E55CA1">
        <w:rPr>
          <w:lang w:val="es-ES_tradnl"/>
        </w:rPr>
        <w:t xml:space="preserve"> en un receptor de abonado de un sistema P</w:t>
      </w:r>
      <w:r w:rsidRPr="00E55CA1">
        <w:rPr>
          <w:lang w:val="es-ES_tradnl"/>
        </w:rPr>
        <w:noBreakHyphen/>
        <w:t>MP o P</w:t>
      </w:r>
      <w:r w:rsidRPr="00E55CA1">
        <w:rPr>
          <w:lang w:val="es-ES_tradnl"/>
        </w:rPr>
        <w:noBreakHyphen/>
        <w:t xml:space="preserve">P puede fijarse a un nivel que provoque un aumento del ruido térmico en un receptor mediante una atribución especificada de usuario de </w:t>
      </w:r>
      <w:r w:rsidRPr="00E55CA1">
        <w:rPr>
          <w:i/>
          <w:iCs/>
          <w:lang w:val="es-ES_tradnl"/>
        </w:rPr>
        <w:t>Z</w:t>
      </w:r>
      <w:r w:rsidRPr="00E55CA1">
        <w:rPr>
          <w:lang w:val="es-ES_tradnl"/>
        </w:rPr>
        <w:t xml:space="preserve"> (dB). El nivel de la interferencia interior al servicio recibida por este receptor de referencia en la anchura de banda de referencia se calcula utilizando la ecuación (6):</w:t>
      </w:r>
    </w:p>
    <w:p w:rsidR="0008259E" w:rsidRDefault="0008259E" w:rsidP="0008259E">
      <w:pPr>
        <w:pStyle w:val="Blanc"/>
      </w:pPr>
    </w:p>
    <w:p w:rsidR="00C770FE" w:rsidRPr="00E55CA1" w:rsidRDefault="00C770FE" w:rsidP="00290CA2">
      <w:pPr>
        <w:pStyle w:val="Equation"/>
        <w:rPr>
          <w:lang w:val="es-ES_tradnl"/>
        </w:rPr>
      </w:pPr>
      <w:r w:rsidRPr="0008259E">
        <w:tab/>
      </w:r>
      <w:r w:rsidRPr="0008259E">
        <w:tab/>
      </w:r>
      <w:r w:rsidR="00244027" w:rsidRPr="00244027">
        <w:rPr>
          <w:position w:val="-16"/>
          <w:lang w:val="es-ES_tradnl"/>
        </w:rPr>
        <w:object w:dxaOrig="6020" w:dyaOrig="460">
          <v:shape id="_x0000_i1030" type="#_x0000_t75" style="width:301.2pt;height:23.4pt" o:ole="">
            <v:imagedata r:id="rId25" o:title=""/>
          </v:shape>
          <o:OLEObject Type="Embed" ProgID="Equation.3" ShapeID="_x0000_i1030" DrawAspect="Content" ObjectID="_1368531403" r:id="rId26"/>
        </w:object>
      </w:r>
      <w:r w:rsidRPr="00E55CA1">
        <w:rPr>
          <w:lang w:val="es-ES_tradnl"/>
        </w:rPr>
        <w:tab/>
        <w:t>(6)</w:t>
      </w:r>
    </w:p>
    <w:p w:rsidR="00C770FE" w:rsidRPr="00E55CA1" w:rsidRDefault="00C770FE" w:rsidP="00290CA2">
      <w:pPr>
        <w:rPr>
          <w:lang w:val="es-ES_tradnl"/>
        </w:rPr>
      </w:pPr>
      <w:r w:rsidRPr="00E55CA1">
        <w:rPr>
          <w:lang w:val="es-ES_tradnl"/>
        </w:rPr>
        <w:lastRenderedPageBreak/>
        <w:t>Para todos los demás abonados, el nivel de la interferencia se calcula en relación con la interferencia interior al servicio recibida por el abonado de referencia, utilizando la ecuación (7):</w:t>
      </w:r>
    </w:p>
    <w:p w:rsidR="0008259E" w:rsidRDefault="0008259E" w:rsidP="0008259E">
      <w:pPr>
        <w:pStyle w:val="Blanc"/>
      </w:pPr>
    </w:p>
    <w:p w:rsidR="00C770FE" w:rsidRPr="00E55CA1" w:rsidRDefault="00C770FE" w:rsidP="00290CA2">
      <w:pPr>
        <w:pStyle w:val="Equation"/>
        <w:rPr>
          <w:lang w:val="es-ES_tradnl"/>
        </w:rPr>
      </w:pPr>
      <w:r w:rsidRPr="00E55CA1">
        <w:rPr>
          <w:lang w:val="es-ES_tradnl"/>
        </w:rPr>
        <w:tab/>
      </w:r>
      <w:r w:rsidRPr="00E55CA1">
        <w:rPr>
          <w:lang w:val="es-ES_tradnl"/>
        </w:rPr>
        <w:tab/>
      </w:r>
      <w:r w:rsidR="00244027" w:rsidRPr="00244027">
        <w:rPr>
          <w:position w:val="-16"/>
          <w:lang w:val="es-ES_tradnl"/>
        </w:rPr>
        <w:object w:dxaOrig="5520" w:dyaOrig="400">
          <v:shape id="_x0000_i1031" type="#_x0000_t75" style="width:276pt;height:20.4pt" o:ole="" fillcolor="window">
            <v:imagedata r:id="rId27" o:title=""/>
          </v:shape>
          <o:OLEObject Type="Embed" ProgID="Equation.3" ShapeID="_x0000_i1031" DrawAspect="Content" ObjectID="_1368531404" r:id="rId28"/>
        </w:object>
      </w:r>
      <w:r w:rsidRPr="00E55CA1">
        <w:rPr>
          <w:lang w:val="es-ES_tradnl"/>
        </w:rPr>
        <w:tab/>
        <w:t>(7)</w:t>
      </w:r>
    </w:p>
    <w:p w:rsidR="00C770FE" w:rsidRPr="00E55CA1" w:rsidRDefault="00C770FE" w:rsidP="00290CA2">
      <w:pPr>
        <w:rPr>
          <w:lang w:val="es-ES_tradnl"/>
        </w:rPr>
      </w:pPr>
      <w:r w:rsidRPr="00E55CA1">
        <w:rPr>
          <w:lang w:val="es-ES_tradnl"/>
        </w:rPr>
        <w:t>donde:</w:t>
      </w:r>
    </w:p>
    <w:p w:rsidR="00C770FE" w:rsidRPr="00E55CA1" w:rsidRDefault="00C770FE" w:rsidP="00290CA2">
      <w:pPr>
        <w:pStyle w:val="Equationlegend"/>
        <w:rPr>
          <w:lang w:val="es-ES_tradnl"/>
        </w:rPr>
      </w:pPr>
      <w:r w:rsidRPr="006B7AFE">
        <w:rPr>
          <w:lang w:val="es-ES_tradnl"/>
        </w:rPr>
        <w:tab/>
      </w:r>
      <w:r w:rsidRPr="00E55CA1">
        <w:rPr>
          <w:i/>
          <w:iCs/>
          <w:lang w:val="es-ES_tradnl"/>
        </w:rPr>
        <w:t>i</w:t>
      </w:r>
      <w:r w:rsidRPr="00E55CA1">
        <w:rPr>
          <w:lang w:val="es-ES_tradnl"/>
        </w:rPr>
        <w:t>:</w:t>
      </w:r>
      <w:r w:rsidRPr="00E55CA1">
        <w:rPr>
          <w:lang w:val="es-ES_tradnl"/>
        </w:rPr>
        <w:tab/>
        <w:t>valor índice del receptor i</w:t>
      </w:r>
      <w:r w:rsidRPr="00E55CA1">
        <w:rPr>
          <w:lang w:val="es-ES_tradnl"/>
        </w:rPr>
        <w:noBreakHyphen/>
        <w:t>ésimo</w:t>
      </w:r>
    </w:p>
    <w:p w:rsidR="00C770FE" w:rsidRPr="00290CA2" w:rsidRDefault="00C770FE" w:rsidP="00290CA2">
      <w:pPr>
        <w:pStyle w:val="Equationlegend"/>
        <w:rPr>
          <w:lang w:val="es-ES_tradnl"/>
        </w:rPr>
      </w:pPr>
      <w:r w:rsidRPr="00E55CA1">
        <w:rPr>
          <w:lang w:val="es-ES_tradnl"/>
        </w:rPr>
        <w:tab/>
      </w:r>
      <w:r w:rsidRPr="00E55CA1">
        <w:rPr>
          <w:i/>
          <w:iCs/>
          <w:lang w:val="es-ES_tradnl"/>
        </w:rPr>
        <w:t>n</w:t>
      </w:r>
      <w:r w:rsidRPr="00E55CA1">
        <w:rPr>
          <w:lang w:val="es-ES_tradnl"/>
        </w:rPr>
        <w:t>:</w:t>
      </w:r>
      <w:r w:rsidRPr="00E55CA1">
        <w:rPr>
          <w:lang w:val="es-ES_tradnl"/>
        </w:rPr>
        <w:tab/>
        <w:t>número total de receptores</w:t>
      </w:r>
      <w:r w:rsidRPr="00290CA2">
        <w:rPr>
          <w:lang w:val="es-ES_tradnl"/>
        </w:rPr>
        <w:t xml:space="preserve"> posibles</w:t>
      </w:r>
    </w:p>
    <w:p w:rsidR="00C770FE" w:rsidRPr="00E55CA1" w:rsidRDefault="00C770FE" w:rsidP="002F1F6B">
      <w:pPr>
        <w:pStyle w:val="Equationlegend"/>
        <w:rPr>
          <w:lang w:val="es-ES_tradnl"/>
        </w:rPr>
      </w:pPr>
      <w:r w:rsidRPr="00E55CA1">
        <w:rPr>
          <w:lang w:val="es-ES_tradnl"/>
        </w:rPr>
        <w:tab/>
      </w:r>
      <w:r w:rsidRPr="00E55CA1">
        <w:rPr>
          <w:i/>
          <w:iCs/>
          <w:lang w:val="es-ES_tradnl"/>
        </w:rPr>
        <w:t>G</w:t>
      </w:r>
      <w:r w:rsidRPr="00E55CA1">
        <w:rPr>
          <w:lang w:val="es-ES_tradnl"/>
        </w:rPr>
        <w:t>(</w:t>
      </w:r>
      <w:r w:rsidR="002F1F6B" w:rsidRPr="00E55CA1">
        <w:rPr>
          <w:lang w:val="es-ES_tradnl"/>
        </w:rPr>
        <w:sym w:font="Symbol" w:char="F065"/>
      </w:r>
      <w:r w:rsidRPr="00E55CA1">
        <w:rPr>
          <w:position w:val="-4"/>
          <w:sz w:val="20"/>
          <w:lang w:val="es-ES_tradnl"/>
        </w:rPr>
        <w:t>0</w:t>
      </w:r>
      <w:r w:rsidRPr="00E55CA1">
        <w:rPr>
          <w:lang w:val="es-ES_tradnl"/>
        </w:rPr>
        <w:t>)</w:t>
      </w:r>
      <w:r w:rsidRPr="00E55CA1">
        <w:rPr>
          <w:sz w:val="12"/>
          <w:lang w:val="es-ES_tradnl"/>
        </w:rPr>
        <w:t> </w:t>
      </w:r>
      <w:r w:rsidRPr="00E55CA1">
        <w:rPr>
          <w:sz w:val="20"/>
          <w:lang w:val="es-ES_tradnl"/>
        </w:rPr>
        <w:t>:</w:t>
      </w:r>
      <w:r w:rsidRPr="00E55CA1">
        <w:rPr>
          <w:lang w:val="es-ES_tradnl"/>
        </w:rPr>
        <w:tab/>
        <w:t>ganancia de la antena receptora del abonado de referencia hacia el horizonte (dBi)</w:t>
      </w:r>
    </w:p>
    <w:p w:rsidR="00C770FE" w:rsidRPr="00E55CA1" w:rsidRDefault="00C770FE" w:rsidP="002F1F6B">
      <w:pPr>
        <w:pStyle w:val="Equationlegend"/>
        <w:rPr>
          <w:lang w:val="es-ES_tradnl"/>
        </w:rPr>
      </w:pPr>
      <w:r w:rsidRPr="00E55CA1">
        <w:rPr>
          <w:i/>
          <w:lang w:val="es-ES_tradnl"/>
        </w:rPr>
        <w:tab/>
      </w:r>
      <w:r w:rsidRPr="00E55CA1">
        <w:rPr>
          <w:i/>
          <w:iCs/>
          <w:lang w:val="es-ES_tradnl"/>
        </w:rPr>
        <w:t>G</w:t>
      </w:r>
      <w:r w:rsidRPr="00E55CA1">
        <w:rPr>
          <w:lang w:val="es-ES_tradnl"/>
        </w:rPr>
        <w:t>(</w:t>
      </w:r>
      <w:r w:rsidR="002F1F6B" w:rsidRPr="00E55CA1">
        <w:rPr>
          <w:lang w:val="es-ES_tradnl"/>
        </w:rPr>
        <w:sym w:font="Symbol" w:char="F065"/>
      </w:r>
      <w:r w:rsidRPr="00E55CA1">
        <w:rPr>
          <w:i/>
          <w:iCs/>
          <w:position w:val="-4"/>
          <w:sz w:val="20"/>
          <w:lang w:val="es-ES_tradnl"/>
        </w:rPr>
        <w:t>i</w:t>
      </w:r>
      <w:r w:rsidRPr="00E55CA1">
        <w:rPr>
          <w:lang w:val="es-ES_tradnl"/>
        </w:rPr>
        <w:t>)</w:t>
      </w:r>
      <w:r w:rsidRPr="00E55CA1">
        <w:rPr>
          <w:sz w:val="12"/>
          <w:lang w:val="es-ES_tradnl"/>
        </w:rPr>
        <w:t> </w:t>
      </w:r>
      <w:r w:rsidRPr="00E55CA1">
        <w:rPr>
          <w:sz w:val="20"/>
          <w:lang w:val="es-ES_tradnl"/>
        </w:rPr>
        <w:t>:</w:t>
      </w:r>
      <w:r w:rsidRPr="00E55CA1">
        <w:rPr>
          <w:lang w:val="es-ES_tradnl"/>
        </w:rPr>
        <w:tab/>
        <w:t xml:space="preserve">ganancia de la antena receptora del abonado </w:t>
      </w:r>
      <w:r w:rsidRPr="00E55CA1">
        <w:rPr>
          <w:i/>
          <w:iCs/>
          <w:lang w:val="es-ES_tradnl"/>
        </w:rPr>
        <w:t>i</w:t>
      </w:r>
      <w:r w:rsidRPr="00E55CA1">
        <w:rPr>
          <w:lang w:val="es-ES_tradnl"/>
        </w:rPr>
        <w:noBreakHyphen/>
        <w:t>ésimo hacia el horizonte (dBi)</w:t>
      </w:r>
    </w:p>
    <w:p w:rsidR="00C770FE" w:rsidRPr="00E55CA1" w:rsidRDefault="00C770FE" w:rsidP="002F1F6B">
      <w:pPr>
        <w:pStyle w:val="Equationlegend"/>
        <w:rPr>
          <w:i/>
          <w:lang w:val="es-ES_tradnl"/>
        </w:rPr>
      </w:pPr>
      <w:r w:rsidRPr="00E55CA1">
        <w:rPr>
          <w:i/>
          <w:lang w:val="es-ES_tradnl"/>
        </w:rPr>
        <w:tab/>
      </w:r>
      <w:r w:rsidR="002F1F6B" w:rsidRPr="00E55CA1">
        <w:rPr>
          <w:lang w:val="es-ES_tradnl"/>
        </w:rPr>
        <w:sym w:font="Symbol" w:char="F065"/>
      </w:r>
      <w:r w:rsidRPr="00E55CA1">
        <w:rPr>
          <w:position w:val="-4"/>
          <w:sz w:val="20"/>
          <w:lang w:val="es-ES_tradnl"/>
        </w:rPr>
        <w:t>0</w:t>
      </w:r>
      <w:r w:rsidRPr="00E55CA1">
        <w:rPr>
          <w:sz w:val="12"/>
          <w:lang w:val="es-ES_tradnl"/>
        </w:rPr>
        <w:t> </w:t>
      </w:r>
      <w:r w:rsidRPr="00E55CA1">
        <w:rPr>
          <w:sz w:val="20"/>
          <w:lang w:val="es-ES_tradnl"/>
        </w:rPr>
        <w:t>:</w:t>
      </w:r>
      <w:r w:rsidRPr="00E55CA1">
        <w:rPr>
          <w:lang w:val="es-ES_tradnl"/>
        </w:rPr>
        <w:tab/>
        <w:t>ángulo de elevación de la línea que une el abonado de referencia con la antena transmisora del servicio fijo (grados)</w:t>
      </w:r>
    </w:p>
    <w:p w:rsidR="00C770FE" w:rsidRPr="00E55CA1" w:rsidRDefault="00C770FE" w:rsidP="002F1F6B">
      <w:pPr>
        <w:pStyle w:val="Equationlegend"/>
        <w:rPr>
          <w:lang w:val="es-ES_tradnl"/>
        </w:rPr>
      </w:pPr>
      <w:r w:rsidRPr="00E55CA1">
        <w:rPr>
          <w:i/>
          <w:lang w:val="es-ES_tradnl"/>
        </w:rPr>
        <w:tab/>
      </w:r>
      <w:r w:rsidR="002F1F6B" w:rsidRPr="00E55CA1">
        <w:rPr>
          <w:lang w:val="es-ES_tradnl"/>
        </w:rPr>
        <w:sym w:font="Symbol" w:char="F065"/>
      </w:r>
      <w:r w:rsidRPr="00E55CA1">
        <w:rPr>
          <w:i/>
          <w:iCs/>
          <w:position w:val="-4"/>
          <w:sz w:val="20"/>
          <w:lang w:val="es-ES_tradnl"/>
        </w:rPr>
        <w:t>i</w:t>
      </w:r>
      <w:r w:rsidRPr="00E55CA1">
        <w:rPr>
          <w:sz w:val="12"/>
          <w:lang w:val="es-ES_tradnl"/>
        </w:rPr>
        <w:t> </w:t>
      </w:r>
      <w:r w:rsidRPr="00E55CA1">
        <w:rPr>
          <w:sz w:val="20"/>
          <w:lang w:val="es-ES_tradnl"/>
        </w:rPr>
        <w:t>:</w:t>
      </w:r>
      <w:r w:rsidRPr="00E55CA1">
        <w:rPr>
          <w:lang w:val="es-ES_tradnl"/>
        </w:rPr>
        <w:tab/>
        <w:t xml:space="preserve">ángulo de elevación de la línea que une el abonado </w:t>
      </w:r>
      <w:r w:rsidRPr="00E55CA1">
        <w:rPr>
          <w:i/>
          <w:iCs/>
          <w:lang w:val="es-ES_tradnl"/>
        </w:rPr>
        <w:t>i</w:t>
      </w:r>
      <w:r w:rsidRPr="00E55CA1">
        <w:rPr>
          <w:lang w:val="es-ES_tradnl"/>
        </w:rPr>
        <w:noBreakHyphen/>
        <w:t xml:space="preserve">ésimo y la antena </w:t>
      </w:r>
      <w:r w:rsidR="00496CD3" w:rsidRPr="00E55CA1">
        <w:rPr>
          <w:lang w:val="es-ES_tradnl"/>
        </w:rPr>
        <w:t>transmisora</w:t>
      </w:r>
      <w:r w:rsidRPr="00E55CA1">
        <w:rPr>
          <w:lang w:val="es-ES_tradnl"/>
        </w:rPr>
        <w:t xml:space="preserve"> del servicio fijo (grados).</w:t>
      </w:r>
    </w:p>
    <w:p w:rsidR="00C770FE" w:rsidRPr="00E55CA1" w:rsidRDefault="00C770FE" w:rsidP="00290CA2">
      <w:pPr>
        <w:rPr>
          <w:lang w:val="es-ES_tradnl"/>
        </w:rPr>
      </w:pPr>
      <w:r w:rsidRPr="00E55CA1">
        <w:rPr>
          <w:lang w:val="es-ES_tradnl"/>
        </w:rPr>
        <w:t>El nivel de la interferencia entre servicios recibida por este receptor de referencia en la anchura de banda de referencia se calcula utilizando la ecuación (8):</w:t>
      </w:r>
    </w:p>
    <w:p w:rsidR="0008259E" w:rsidRDefault="0008259E" w:rsidP="0008259E">
      <w:pPr>
        <w:pStyle w:val="Blanc"/>
      </w:pPr>
    </w:p>
    <w:p w:rsidR="00C770FE" w:rsidRPr="00E55CA1" w:rsidRDefault="00C770FE" w:rsidP="00290CA2">
      <w:pPr>
        <w:pStyle w:val="Equation"/>
        <w:rPr>
          <w:lang w:val="es-ES_tradnl"/>
        </w:rPr>
      </w:pPr>
      <w:r w:rsidRPr="00E55CA1">
        <w:rPr>
          <w:lang w:val="es-ES_tradnl"/>
        </w:rPr>
        <w:tab/>
      </w:r>
      <w:r w:rsidRPr="00E55CA1">
        <w:rPr>
          <w:lang w:val="es-ES_tradnl"/>
        </w:rPr>
        <w:tab/>
      </w:r>
      <w:r w:rsidR="00244027" w:rsidRPr="00244027">
        <w:rPr>
          <w:position w:val="-12"/>
          <w:lang w:val="es-ES_tradnl"/>
        </w:rPr>
        <w:object w:dxaOrig="5880" w:dyaOrig="420">
          <v:shape id="_x0000_i1032" type="#_x0000_t75" style="width:294pt;height:21pt" o:ole="">
            <v:imagedata r:id="rId29" o:title=""/>
          </v:shape>
          <o:OLEObject Type="Embed" ProgID="Equation.3" ShapeID="_x0000_i1032" DrawAspect="Content" ObjectID="_1368531405" r:id="rId30"/>
        </w:object>
      </w:r>
      <w:r w:rsidRPr="00E55CA1">
        <w:rPr>
          <w:lang w:val="es-ES_tradnl"/>
        </w:rPr>
        <w:tab/>
        <w:t>(8)</w:t>
      </w:r>
    </w:p>
    <w:p w:rsidR="0008259E" w:rsidRDefault="0008259E" w:rsidP="0008259E">
      <w:pPr>
        <w:pStyle w:val="Blanc"/>
      </w:pPr>
    </w:p>
    <w:p w:rsidR="00C770FE" w:rsidRPr="00E55CA1" w:rsidRDefault="00C770FE" w:rsidP="00E55CA1">
      <w:pPr>
        <w:rPr>
          <w:lang w:val="es-ES_tradnl"/>
        </w:rPr>
      </w:pPr>
      <w:r w:rsidRPr="00E55CA1">
        <w:rPr>
          <w:lang w:val="es-ES_tradnl"/>
        </w:rPr>
        <w:t xml:space="preserve">En este caso, los receptores de abonado situados en edificios altos próximos al extremo de una célula pueden recibir niveles más elevados de interferencia que los de un receptor de referencia, pues están más expuestos al tener una ganancia superior hacia el horizonte. Este caso se trata mediante la ecuación (7) cuando </w:t>
      </w:r>
      <w:r w:rsidR="002F1F6B" w:rsidRPr="00E55CA1">
        <w:rPr>
          <w:lang w:val="es-ES_tradnl"/>
        </w:rPr>
        <w:sym w:font="Symbol" w:char="F065"/>
      </w:r>
      <w:r w:rsidRPr="00E55CA1">
        <w:rPr>
          <w:i/>
          <w:iCs/>
          <w:position w:val="-4"/>
          <w:sz w:val="20"/>
          <w:lang w:val="es-ES_tradnl"/>
        </w:rPr>
        <w:t>i</w:t>
      </w:r>
      <w:r w:rsidRPr="00E55CA1">
        <w:rPr>
          <w:lang w:val="es-ES_tradnl"/>
        </w:rPr>
        <w:t> </w:t>
      </w:r>
      <w:r w:rsidR="00E55CA1" w:rsidRPr="00E55CA1">
        <w:rPr>
          <w:lang w:val="es-ES_tradnl"/>
        </w:rPr>
        <w:t>&lt;</w:t>
      </w:r>
      <w:r w:rsidRPr="00E55CA1">
        <w:rPr>
          <w:lang w:val="es-ES_tradnl"/>
        </w:rPr>
        <w:t> </w:t>
      </w:r>
      <w:r w:rsidR="002F1F6B" w:rsidRPr="00E55CA1">
        <w:rPr>
          <w:lang w:val="es-ES_tradnl"/>
        </w:rPr>
        <w:sym w:font="Symbol" w:char="F065"/>
      </w:r>
      <w:r w:rsidRPr="00E55CA1">
        <w:rPr>
          <w:position w:val="-4"/>
          <w:sz w:val="20"/>
          <w:lang w:val="es-ES_tradnl"/>
        </w:rPr>
        <w:t>0</w:t>
      </w:r>
      <w:r w:rsidRPr="00E55CA1">
        <w:rPr>
          <w:lang w:val="es-ES_tradnl"/>
        </w:rPr>
        <w:t xml:space="preserve"> y </w:t>
      </w:r>
      <w:r w:rsidRPr="00E55CA1">
        <w:rPr>
          <w:i/>
          <w:iCs/>
          <w:lang w:val="es-ES_tradnl"/>
        </w:rPr>
        <w:t>G</w:t>
      </w:r>
      <w:r w:rsidRPr="00E55CA1">
        <w:rPr>
          <w:lang w:val="es-ES_tradnl"/>
        </w:rPr>
        <w:t>(</w:t>
      </w:r>
      <w:r w:rsidR="002F1F6B" w:rsidRPr="00E55CA1">
        <w:rPr>
          <w:lang w:val="es-ES_tradnl"/>
        </w:rPr>
        <w:sym w:font="Symbol" w:char="F065"/>
      </w:r>
      <w:r w:rsidRPr="00E55CA1">
        <w:rPr>
          <w:i/>
          <w:iCs/>
          <w:position w:val="-4"/>
          <w:sz w:val="20"/>
          <w:lang w:val="es-ES_tradnl"/>
        </w:rPr>
        <w:t>i</w:t>
      </w:r>
      <w:r w:rsidRPr="00E55CA1">
        <w:rPr>
          <w:lang w:val="es-ES_tradnl"/>
        </w:rPr>
        <w:t>) </w:t>
      </w:r>
      <w:r w:rsidR="00E55CA1" w:rsidRPr="00E55CA1">
        <w:rPr>
          <w:lang w:val="es-ES_tradnl"/>
        </w:rPr>
        <w:t>&gt;</w:t>
      </w:r>
      <w:r w:rsidRPr="00E55CA1">
        <w:rPr>
          <w:lang w:val="es-ES_tradnl"/>
        </w:rPr>
        <w:t> </w:t>
      </w:r>
      <w:r w:rsidRPr="00E55CA1">
        <w:rPr>
          <w:i/>
          <w:iCs/>
          <w:lang w:val="es-ES_tradnl"/>
        </w:rPr>
        <w:t>G</w:t>
      </w:r>
      <w:r w:rsidRPr="00E55CA1">
        <w:rPr>
          <w:lang w:val="es-ES_tradnl"/>
        </w:rPr>
        <w:t>(</w:t>
      </w:r>
      <w:r w:rsidR="002F1F6B" w:rsidRPr="00E55CA1">
        <w:rPr>
          <w:lang w:val="es-ES_tradnl"/>
        </w:rPr>
        <w:sym w:font="Symbol" w:char="F065"/>
      </w:r>
      <w:r w:rsidRPr="00E55CA1">
        <w:rPr>
          <w:position w:val="-4"/>
          <w:sz w:val="20"/>
          <w:lang w:val="es-ES_tradnl"/>
        </w:rPr>
        <w:t>0</w:t>
      </w:r>
      <w:r w:rsidRPr="00E55CA1">
        <w:rPr>
          <w:lang w:val="es-ES_tradnl"/>
        </w:rPr>
        <w:t xml:space="preserve">) que da lugar a </w:t>
      </w:r>
      <w:r w:rsidRPr="00E55CA1">
        <w:rPr>
          <w:i/>
          <w:iCs/>
          <w:lang w:val="es-ES_tradnl"/>
        </w:rPr>
        <w:t>I</w:t>
      </w:r>
      <w:r w:rsidRPr="00E55CA1">
        <w:rPr>
          <w:i/>
          <w:iCs/>
          <w:position w:val="-4"/>
          <w:sz w:val="20"/>
          <w:lang w:val="es-ES_tradnl"/>
        </w:rPr>
        <w:t>Intra i</w:t>
      </w:r>
      <w:r w:rsidRPr="00E55CA1">
        <w:rPr>
          <w:lang w:val="es-ES_tradnl"/>
        </w:rPr>
        <w:t xml:space="preserve"> &gt; </w:t>
      </w:r>
      <w:r w:rsidRPr="00E55CA1">
        <w:rPr>
          <w:i/>
          <w:iCs/>
          <w:lang w:val="es-ES_tradnl"/>
        </w:rPr>
        <w:t>I</w:t>
      </w:r>
      <w:r w:rsidRPr="00E55CA1">
        <w:rPr>
          <w:i/>
          <w:iCs/>
          <w:position w:val="-4"/>
          <w:sz w:val="20"/>
          <w:lang w:val="es-ES_tradnl"/>
        </w:rPr>
        <w:t>Intra </w:t>
      </w:r>
      <w:r w:rsidRPr="00E55CA1">
        <w:rPr>
          <w:position w:val="-4"/>
          <w:sz w:val="20"/>
          <w:lang w:val="es-ES_tradnl"/>
        </w:rPr>
        <w:t>0</w:t>
      </w:r>
      <w:r w:rsidRPr="00E55CA1">
        <w:rPr>
          <w:lang w:val="es-ES_tradnl"/>
        </w:rPr>
        <w:t>.</w:t>
      </w:r>
    </w:p>
    <w:p w:rsidR="00C770FE" w:rsidRDefault="00C770FE" w:rsidP="00290CA2">
      <w:pPr>
        <w:pStyle w:val="Heading4"/>
        <w:rPr>
          <w:lang w:val="es-ES_tradnl"/>
        </w:rPr>
      </w:pPr>
      <w:r w:rsidRPr="00E55CA1">
        <w:rPr>
          <w:lang w:val="es-ES_tradnl"/>
        </w:rPr>
        <w:t>6.1.1.2</w:t>
      </w:r>
      <w:r w:rsidRPr="00E55CA1">
        <w:rPr>
          <w:lang w:val="es-ES_tradnl"/>
        </w:rPr>
        <w:tab/>
        <w:t>Cálculo de la contribución de la interferencia interior al servicio y la exterior en</w:t>
      </w:r>
      <w:r>
        <w:rPr>
          <w:lang w:val="es-ES_tradnl"/>
        </w:rPr>
        <w:t xml:space="preserve"> condiciones de desvanecimiento debido a la lluvia</w:t>
      </w:r>
    </w:p>
    <w:p w:rsidR="00C770FE" w:rsidRPr="00E55CA1" w:rsidRDefault="00C770FE" w:rsidP="002F1F6B">
      <w:pPr>
        <w:rPr>
          <w:lang w:val="es-ES_tradnl"/>
        </w:rPr>
      </w:pPr>
      <w:r w:rsidRPr="00E55CA1">
        <w:rPr>
          <w:lang w:val="es-ES_tradnl"/>
        </w:rPr>
        <w:t>Durante las condiciones de desvanecimiento debido a la lluvia, los niveles de la interferencia que contribuyen al total del ruido térmico más la interferencia se atenuarán respecto a los niveles de las condiciones de cielo despejado. Dado que la interferencia interior al servicio procedente de otros sistemas del servicio fijo y la interferencia exterior procedente de todo el ar</w:t>
      </w:r>
      <w:r w:rsidR="00812569">
        <w:rPr>
          <w:lang w:val="es-ES_tradnl"/>
        </w:rPr>
        <w:t xml:space="preserve">co visible de los satélites OSG </w:t>
      </w:r>
      <w:r w:rsidRPr="00E55CA1">
        <w:rPr>
          <w:lang w:val="es-ES_tradnl"/>
        </w:rPr>
        <w:t xml:space="preserve">llega de múltiples direcciones distintas, la correlación entre los desvanecimientos a lo largo del trayecto deseado y los de todos los trayectos interferentes no será del 100%. Se supone que la interferencia exterior, </w:t>
      </w:r>
      <w:r w:rsidRPr="00E55CA1">
        <w:rPr>
          <w:i/>
          <w:iCs/>
          <w:lang w:val="es-ES_tradnl"/>
        </w:rPr>
        <w:t>I</w:t>
      </w:r>
      <w:r w:rsidRPr="00E55CA1">
        <w:rPr>
          <w:i/>
          <w:iCs/>
          <w:position w:val="-4"/>
          <w:sz w:val="20"/>
          <w:lang w:val="es-ES_tradnl"/>
        </w:rPr>
        <w:t>OSG i</w:t>
      </w:r>
      <w:r w:rsidRPr="00E55CA1">
        <w:rPr>
          <w:lang w:val="es-ES_tradnl"/>
        </w:rPr>
        <w:t xml:space="preserve">, </w:t>
      </w:r>
      <w:r w:rsidRPr="00822BB1">
        <w:t>se</w:t>
      </w:r>
      <w:r w:rsidRPr="00E55CA1">
        <w:rPr>
          <w:iCs/>
          <w:sz w:val="20"/>
          <w:lang w:val="es-ES_tradnl"/>
        </w:rPr>
        <w:t xml:space="preserve"> </w:t>
      </w:r>
      <w:r w:rsidRPr="00822BB1">
        <w:t xml:space="preserve">atenúa únicamente cuando el satélite OSG está situado dentro del ángulo </w:t>
      </w:r>
      <w:r w:rsidRPr="00E55CA1">
        <w:rPr>
          <w:i/>
          <w:lang w:val="es-ES_tradnl"/>
        </w:rPr>
        <w:t>u</w:t>
      </w:r>
      <w:r w:rsidR="002F1F6B" w:rsidRPr="00E55CA1">
        <w:rPr>
          <w:lang w:val="es-ES_tradnl"/>
        </w:rPr>
        <w:sym w:font="Symbol" w:char="F06A"/>
      </w:r>
      <w:r w:rsidRPr="00E55CA1">
        <w:rPr>
          <w:i/>
          <w:iCs/>
          <w:position w:val="-4"/>
          <w:sz w:val="20"/>
          <w:lang w:val="es-ES_tradnl"/>
        </w:rPr>
        <w:t>m</w:t>
      </w:r>
      <w:r w:rsidRPr="00E55CA1">
        <w:rPr>
          <w:vertAlign w:val="subscript"/>
          <w:lang w:val="es-ES_tradnl"/>
        </w:rPr>
        <w:t xml:space="preserve"> </w:t>
      </w:r>
      <w:r w:rsidRPr="00E55CA1">
        <w:rPr>
          <w:lang w:val="es-ES_tradnl"/>
        </w:rPr>
        <w:t xml:space="preserve">del eje del haz principal de la antena receptora del servicio fijo, siendo </w:t>
      </w:r>
      <w:r w:rsidRPr="00E55CA1">
        <w:rPr>
          <w:i/>
          <w:iCs/>
          <w:lang w:val="es-ES_tradnl"/>
        </w:rPr>
        <w:t>u</w:t>
      </w:r>
      <w:r w:rsidRPr="00E55CA1">
        <w:rPr>
          <w:lang w:val="es-ES_tradnl"/>
        </w:rPr>
        <w:t xml:space="preserve"> una constante que provisionalmente se fija entre 1 y 2,5. A la espera de nuevos resultados de los estudios de propagación, esto permite al Grupo de Trabajo 3M asesorar sobre el ángulo adecuado respecto al eje en el que se produce el desvanecimiento en correlación de los trayectos interferentes y deseado del servicio fijo, siendo el valor de </w:t>
      </w:r>
      <w:r w:rsidRPr="00E55CA1">
        <w:rPr>
          <w:i/>
          <w:iCs/>
          <w:lang w:val="es-ES_tradnl"/>
        </w:rPr>
        <w:t>u</w:t>
      </w:r>
      <w:r w:rsidRPr="00E55CA1">
        <w:rPr>
          <w:lang w:val="es-ES_tradnl"/>
        </w:rPr>
        <w:t xml:space="preserve"> provisional. El ángulo </w:t>
      </w:r>
      <w:r w:rsidR="002F1F6B" w:rsidRPr="00E55CA1">
        <w:rPr>
          <w:lang w:val="es-ES_tradnl"/>
        </w:rPr>
        <w:sym w:font="Symbol" w:char="F06A"/>
      </w:r>
      <w:r w:rsidRPr="00E55CA1">
        <w:rPr>
          <w:i/>
          <w:iCs/>
          <w:position w:val="-4"/>
          <w:sz w:val="20"/>
          <w:lang w:val="es-ES_tradnl"/>
        </w:rPr>
        <w:t>m</w:t>
      </w:r>
      <w:r w:rsidRPr="00E55CA1">
        <w:rPr>
          <w:sz w:val="20"/>
          <w:lang w:val="es-ES_tradnl"/>
        </w:rPr>
        <w:t xml:space="preserve"> </w:t>
      </w:r>
      <w:r w:rsidRPr="00E55CA1">
        <w:rPr>
          <w:lang w:val="es-ES_tradnl"/>
        </w:rPr>
        <w:t>es el ángulo mitad del haz principal de la antena del servicio fijo que se define en la Recomendación UIT</w:t>
      </w:r>
      <w:r w:rsidRPr="00E55CA1">
        <w:rPr>
          <w:lang w:val="es-ES_tradnl"/>
        </w:rPr>
        <w:noBreakHyphen/>
        <w:t>R F.1245.</w:t>
      </w:r>
    </w:p>
    <w:p w:rsidR="00C770FE" w:rsidRPr="00E55CA1" w:rsidRDefault="00C770FE" w:rsidP="002F1F6B">
      <w:pPr>
        <w:rPr>
          <w:lang w:val="es-ES_tradnl"/>
        </w:rPr>
      </w:pPr>
      <w:r w:rsidRPr="00E55CA1">
        <w:rPr>
          <w:lang w:val="es-ES_tradnl"/>
        </w:rPr>
        <w:t xml:space="preserve">Habrá alguna atenuación en la dirección de los otros satélites que no están dentro del ángulo </w:t>
      </w:r>
      <w:r w:rsidRPr="00E55CA1">
        <w:rPr>
          <w:i/>
          <w:lang w:val="es-ES_tradnl"/>
        </w:rPr>
        <w:t>u</w:t>
      </w:r>
      <w:r w:rsidRPr="00E55CA1">
        <w:rPr>
          <w:i/>
          <w:iCs/>
          <w:position w:val="-4"/>
          <w:sz w:val="20"/>
          <w:lang w:val="es-ES_tradnl"/>
        </w:rPr>
        <w:t>m</w:t>
      </w:r>
      <w:r w:rsidRPr="00E55CA1">
        <w:rPr>
          <w:lang w:val="es-ES_tradnl"/>
        </w:rPr>
        <w:t xml:space="preserve"> del eje del haz principal de la antena receptora del servicio fijo. No obstante, puede adoptarse la hipótesis prudente de fijar en cero la atenuación debida a la lluvia hacia todos los satélites OSG que no están en el haz principal de un posible receptor del servicio fijo.</w:t>
      </w:r>
    </w:p>
    <w:p w:rsidR="00C770FE" w:rsidRPr="00E55CA1" w:rsidRDefault="00C770FE" w:rsidP="00290CA2">
      <w:pPr>
        <w:rPr>
          <w:lang w:val="es-ES_tradnl"/>
        </w:rPr>
      </w:pPr>
      <w:r w:rsidRPr="00E55CA1">
        <w:rPr>
          <w:i/>
          <w:iCs/>
          <w:lang w:val="es-ES_tradnl"/>
        </w:rPr>
        <w:t>I</w:t>
      </w:r>
      <w:r w:rsidRPr="00E55CA1">
        <w:rPr>
          <w:i/>
          <w:iCs/>
          <w:position w:val="-4"/>
          <w:sz w:val="20"/>
          <w:lang w:val="es-ES_tradnl"/>
        </w:rPr>
        <w:t>Intra i</w:t>
      </w:r>
      <w:r w:rsidRPr="00E55CA1">
        <w:rPr>
          <w:lang w:val="es-ES_tradnl"/>
        </w:rPr>
        <w:t xml:space="preserve"> p</w:t>
      </w:r>
      <w:r w:rsidRPr="00822BB1">
        <w:t xml:space="preserve">uede considerarse como un nivel constante de contribución de interferencia en condiciones de cielo despejado y de desvanecimiento debido a la lluvia. Alternativamente, </w:t>
      </w:r>
      <w:r w:rsidRPr="00E55CA1">
        <w:rPr>
          <w:i/>
          <w:lang w:val="es-ES_tradnl"/>
        </w:rPr>
        <w:t>I</w:t>
      </w:r>
      <w:r w:rsidRPr="00E55CA1">
        <w:rPr>
          <w:i/>
          <w:iCs/>
          <w:position w:val="-4"/>
          <w:sz w:val="20"/>
          <w:lang w:val="es-ES_tradnl"/>
        </w:rPr>
        <w:t>Intra i</w:t>
      </w:r>
      <w:r w:rsidRPr="00E55CA1">
        <w:rPr>
          <w:lang w:val="es-ES_tradnl"/>
        </w:rPr>
        <w:t xml:space="preserve">, en el caso en </w:t>
      </w:r>
      <w:r w:rsidRPr="00E55CA1">
        <w:rPr>
          <w:lang w:val="es-ES_tradnl"/>
        </w:rPr>
        <w:lastRenderedPageBreak/>
        <w:t>que se suponga que la contribución predominante procede de la interferencia interior del servicio que se propaga horizontalmente a lo largo del acimut de puntería del servicio fijo, puede atenuarse durante las condiciones de desvanecimiento debido a la lluvia a lo largo de la proyección horizontal del trayecto deseado del servicio fijo.</w:t>
      </w:r>
    </w:p>
    <w:p w:rsidR="00C770FE" w:rsidRDefault="00C770FE" w:rsidP="00290CA2">
      <w:pPr>
        <w:pStyle w:val="Heading2"/>
        <w:rPr>
          <w:lang w:val="es-ES_tradnl"/>
        </w:rPr>
      </w:pPr>
      <w:r w:rsidRPr="00E55CA1">
        <w:rPr>
          <w:lang w:val="es-ES_tradnl"/>
        </w:rPr>
        <w:t>6.2</w:t>
      </w:r>
      <w:r w:rsidRPr="00E55CA1">
        <w:rPr>
          <w:lang w:val="es-ES_tradnl"/>
        </w:rPr>
        <w:tab/>
        <w:t>Cálculo de la potencia de transmisión</w:t>
      </w:r>
      <w:r>
        <w:rPr>
          <w:lang w:val="es-ES_tradnl"/>
        </w:rPr>
        <w:t xml:space="preserve"> requerida</w:t>
      </w:r>
    </w:p>
    <w:p w:rsidR="00C770FE" w:rsidRPr="00E55CA1" w:rsidRDefault="00C770FE" w:rsidP="0095075B">
      <w:pPr>
        <w:rPr>
          <w:lang w:val="es-ES_tradnl"/>
        </w:rPr>
      </w:pPr>
      <w:r w:rsidRPr="00E55CA1">
        <w:rPr>
          <w:lang w:val="es-ES_tradnl"/>
        </w:rPr>
        <w:t>Dado que el receptor debe recibir a su nivel umbral de (</w:t>
      </w:r>
      <w:r w:rsidRPr="00E55CA1">
        <w:rPr>
          <w:i/>
          <w:lang w:val="es-ES_tradnl"/>
        </w:rPr>
        <w:t>C</w:t>
      </w:r>
      <w:r w:rsidRPr="00E55CA1">
        <w:rPr>
          <w:lang w:val="es-ES_tradnl"/>
        </w:rPr>
        <w:t>/</w:t>
      </w:r>
      <w:r w:rsidRPr="00E55CA1">
        <w:rPr>
          <w:i/>
          <w:lang w:val="es-ES_tradnl"/>
        </w:rPr>
        <w:t>N</w:t>
      </w:r>
      <w:r w:rsidRPr="00E55CA1">
        <w:rPr>
          <w:sz w:val="12"/>
          <w:lang w:val="es-ES_tradnl"/>
        </w:rPr>
        <w:t> </w:t>
      </w:r>
      <w:r w:rsidRPr="00E55CA1">
        <w:rPr>
          <w:lang w:val="es-ES_tradnl"/>
        </w:rPr>
        <w:t>) o superior a éste, (</w:t>
      </w:r>
      <w:r w:rsidRPr="00E55CA1">
        <w:rPr>
          <w:i/>
          <w:lang w:val="es-ES_tradnl"/>
        </w:rPr>
        <w:t>C</w:t>
      </w:r>
      <w:r w:rsidRPr="00E55CA1">
        <w:rPr>
          <w:lang w:val="es-ES_tradnl"/>
        </w:rPr>
        <w:t>/</w:t>
      </w:r>
      <w:r w:rsidRPr="00E55CA1">
        <w:rPr>
          <w:i/>
          <w:lang w:val="es-ES_tradnl"/>
        </w:rPr>
        <w:t>N</w:t>
      </w:r>
      <w:r w:rsidRPr="00E55CA1">
        <w:rPr>
          <w:sz w:val="12"/>
          <w:lang w:val="es-ES_tradnl"/>
        </w:rPr>
        <w:t> </w:t>
      </w:r>
      <w:r w:rsidRPr="00E55CA1">
        <w:rPr>
          <w:lang w:val="es-ES_tradnl"/>
        </w:rPr>
        <w:t>)</w:t>
      </w:r>
      <w:r w:rsidRPr="00E55CA1">
        <w:rPr>
          <w:i/>
          <w:position w:val="-4"/>
          <w:sz w:val="20"/>
          <w:lang w:val="es-ES_tradnl"/>
        </w:rPr>
        <w:t>umbral</w:t>
      </w:r>
      <w:r w:rsidRPr="00E55CA1">
        <w:rPr>
          <w:i/>
          <w:lang w:val="es-ES_tradnl"/>
        </w:rPr>
        <w:t xml:space="preserve"> </w:t>
      </w:r>
      <w:r w:rsidRPr="00E55CA1">
        <w:rPr>
          <w:lang w:val="es-ES_tradnl"/>
        </w:rPr>
        <w:t xml:space="preserve">durante todo el tiempo excepto el </w:t>
      </w:r>
      <w:r w:rsidRPr="00E55CA1">
        <w:rPr>
          <w:i/>
          <w:lang w:val="es-ES_tradnl"/>
        </w:rPr>
        <w:t>p</w:t>
      </w:r>
      <w:r w:rsidRPr="00E55CA1">
        <w:rPr>
          <w:lang w:val="es-ES_tradnl"/>
        </w:rPr>
        <w:t>(%) de él, puede determinarse la densidad de potencia mínima de transmisión sabiendo que en condiciones de desvanecimiento debido a la lluvia:</w:t>
      </w:r>
    </w:p>
    <w:p w:rsidR="0008259E" w:rsidRDefault="0008259E" w:rsidP="0008259E">
      <w:pPr>
        <w:pStyle w:val="Blanc"/>
      </w:pPr>
    </w:p>
    <w:p w:rsidR="00C770FE" w:rsidRPr="00E55CA1" w:rsidRDefault="00C770FE" w:rsidP="0095075B">
      <w:pPr>
        <w:pStyle w:val="Equation"/>
        <w:rPr>
          <w:lang w:val="es-ES_tradnl"/>
        </w:rPr>
      </w:pPr>
      <w:r w:rsidRPr="0008259E">
        <w:tab/>
      </w:r>
      <w:r w:rsidRPr="0008259E">
        <w:tab/>
      </w:r>
      <w:r w:rsidR="00244027" w:rsidRPr="00244027">
        <w:rPr>
          <w:position w:val="-50"/>
          <w:lang w:val="es-ES_tradnl"/>
        </w:rPr>
        <w:object w:dxaOrig="6619" w:dyaOrig="1120">
          <v:shape id="_x0000_i1033" type="#_x0000_t75" style="width:331.2pt;height:55.8pt" o:ole="">
            <v:imagedata r:id="rId31" o:title=""/>
          </v:shape>
          <o:OLEObject Type="Embed" ProgID="Equation.3" ShapeID="_x0000_i1033" DrawAspect="Content" ObjectID="_1368531406" r:id="rId32"/>
        </w:object>
      </w:r>
      <w:r w:rsidRPr="00E55CA1">
        <w:rPr>
          <w:lang w:val="es-ES_tradnl"/>
        </w:rPr>
        <w:tab/>
        <w:t>(9)</w:t>
      </w:r>
    </w:p>
    <w:p w:rsidR="0008259E" w:rsidRDefault="0008259E" w:rsidP="0008259E">
      <w:pPr>
        <w:pStyle w:val="Blanc"/>
      </w:pPr>
    </w:p>
    <w:p w:rsidR="00C770FE" w:rsidRPr="00E55CA1" w:rsidRDefault="00C770FE" w:rsidP="0095075B">
      <w:pPr>
        <w:rPr>
          <w:lang w:val="es-ES_tradnl"/>
        </w:rPr>
      </w:pPr>
      <w:r w:rsidRPr="00E55CA1">
        <w:rPr>
          <w:lang w:val="es-ES_tradnl"/>
        </w:rPr>
        <w:t>donde:</w:t>
      </w:r>
    </w:p>
    <w:p w:rsidR="00C770FE" w:rsidRPr="00E55CA1" w:rsidRDefault="00C770FE" w:rsidP="00244027">
      <w:pPr>
        <w:pStyle w:val="Equationlegend"/>
        <w:tabs>
          <w:tab w:val="clear" w:pos="1701"/>
          <w:tab w:val="clear" w:pos="1985"/>
          <w:tab w:val="right" w:pos="2835"/>
          <w:tab w:val="left" w:pos="3119"/>
        </w:tabs>
        <w:spacing w:line="280" w:lineRule="exact"/>
        <w:ind w:left="3119" w:hanging="3119"/>
        <w:rPr>
          <w:lang w:val="es-ES_tradnl"/>
        </w:rPr>
      </w:pPr>
      <w:r w:rsidRPr="00E55CA1">
        <w:rPr>
          <w:i/>
          <w:lang w:val="es-ES_tradnl"/>
        </w:rPr>
        <w:tab/>
        <w:t>P</w:t>
      </w:r>
      <w:r w:rsidRPr="00E55CA1">
        <w:rPr>
          <w:i/>
          <w:iCs/>
          <w:position w:val="-4"/>
          <w:sz w:val="20"/>
          <w:lang w:val="es-ES_tradnl"/>
        </w:rPr>
        <w:t>Rx Rain Faded</w:t>
      </w:r>
      <w:r w:rsidRPr="00E55CA1">
        <w:rPr>
          <w:iCs/>
          <w:position w:val="-4"/>
          <w:sz w:val="12"/>
          <w:vertAlign w:val="subscript"/>
          <w:lang w:val="es-ES_tradnl"/>
        </w:rPr>
        <w:t> </w:t>
      </w:r>
      <w:r w:rsidR="0095075B" w:rsidRPr="00E55CA1">
        <w:rPr>
          <w:vertAlign w:val="subscript"/>
          <w:lang w:val="es-ES_tradnl"/>
        </w:rPr>
        <w:t>:</w:t>
      </w:r>
      <w:r w:rsidRPr="00E55CA1">
        <w:rPr>
          <w:lang w:val="es-ES_tradnl"/>
        </w:rPr>
        <w:tab/>
        <w:t>nivel de la portadora deseada recibida (dB(W/MHz)) en condiciones de lluvia cuando el receptor está en el umbral</w:t>
      </w:r>
    </w:p>
    <w:p w:rsidR="00C770FE" w:rsidRPr="00E55CA1" w:rsidRDefault="00C770FE" w:rsidP="00244027">
      <w:pPr>
        <w:pStyle w:val="Equationlegend"/>
        <w:tabs>
          <w:tab w:val="clear" w:pos="1701"/>
          <w:tab w:val="clear" w:pos="1985"/>
          <w:tab w:val="right" w:pos="2835"/>
          <w:tab w:val="left" w:pos="3119"/>
        </w:tabs>
        <w:spacing w:line="280" w:lineRule="exact"/>
        <w:ind w:left="3119" w:hanging="3119"/>
        <w:rPr>
          <w:lang w:val="es-ES_tradnl"/>
        </w:rPr>
      </w:pPr>
      <w:r w:rsidRPr="00E55CA1">
        <w:rPr>
          <w:i/>
          <w:lang w:val="es-ES_tradnl"/>
        </w:rPr>
        <w:tab/>
        <w:t>P</w:t>
      </w:r>
      <w:r w:rsidRPr="00E55CA1">
        <w:rPr>
          <w:i/>
          <w:iCs/>
          <w:position w:val="-4"/>
          <w:sz w:val="20"/>
          <w:lang w:val="es-ES_tradnl"/>
        </w:rPr>
        <w:t>Rx CS</w:t>
      </w:r>
      <w:r w:rsidRPr="00E55CA1">
        <w:rPr>
          <w:iCs/>
          <w:position w:val="-4"/>
          <w:sz w:val="12"/>
          <w:vertAlign w:val="subscript"/>
          <w:lang w:val="es-ES_tradnl"/>
        </w:rPr>
        <w:t> </w:t>
      </w:r>
      <w:r w:rsidR="0095075B" w:rsidRPr="00E55CA1">
        <w:rPr>
          <w:lang w:val="es-ES_tradnl"/>
        </w:rPr>
        <w:t>:</w:t>
      </w:r>
      <w:r w:rsidRPr="00E55CA1">
        <w:rPr>
          <w:lang w:val="es-ES_tradnl"/>
        </w:rPr>
        <w:tab/>
        <w:t xml:space="preserve">nivel de la portadora deseada recibida (dB(W/MHz)) en condiciones de cielo despejado. </w:t>
      </w:r>
    </w:p>
    <w:p w:rsidR="00C770FE" w:rsidRDefault="009845B5" w:rsidP="009845B5">
      <w:pPr>
        <w:pStyle w:val="Equationlegend"/>
        <w:tabs>
          <w:tab w:val="clear" w:pos="1701"/>
          <w:tab w:val="clear" w:pos="1985"/>
          <w:tab w:val="right" w:pos="2835"/>
          <w:tab w:val="left" w:pos="3119"/>
        </w:tabs>
        <w:spacing w:line="280" w:lineRule="exact"/>
        <w:ind w:left="3119" w:hanging="3119"/>
        <w:rPr>
          <w:lang w:val="es-ES_tradnl"/>
        </w:rPr>
      </w:pPr>
      <w:r>
        <w:rPr>
          <w:iCs/>
        </w:rPr>
        <w:t>(</w:t>
      </w:r>
      <w:r>
        <w:rPr>
          <w:i/>
        </w:rPr>
        <w:t>N</w:t>
      </w:r>
      <w:r>
        <w:rPr>
          <w:iCs/>
        </w:rPr>
        <w:t> </w:t>
      </w:r>
      <w:r>
        <w:rPr>
          <w:rFonts w:ascii="Symbol" w:hAnsi="Symbol"/>
          <w:iCs/>
          <w:lang w:val="es-ES_tradnl"/>
        </w:rPr>
        <w:t></w:t>
      </w:r>
      <w:r>
        <w:rPr>
          <w:iCs/>
        </w:rPr>
        <w:t> </w:t>
      </w:r>
      <w:r>
        <w:rPr>
          <w:i/>
        </w:rPr>
        <w:t>I</w:t>
      </w:r>
      <w:r>
        <w:rPr>
          <w:i/>
          <w:iCs/>
          <w:position w:val="-4"/>
          <w:sz w:val="20"/>
        </w:rPr>
        <w:t>Intra</w:t>
      </w:r>
      <w:r>
        <w:t> </w:t>
      </w:r>
      <w:r>
        <w:rPr>
          <w:rFonts w:ascii="Symbol" w:hAnsi="Symbol"/>
          <w:iCs/>
          <w:lang w:val="es-ES_tradnl"/>
        </w:rPr>
        <w:t></w:t>
      </w:r>
      <w:r>
        <w:rPr>
          <w:iCs/>
        </w:rPr>
        <w:t> </w:t>
      </w:r>
      <w:r>
        <w:rPr>
          <w:i/>
        </w:rPr>
        <w:t>I</w:t>
      </w:r>
      <w:r>
        <w:rPr>
          <w:i/>
          <w:iCs/>
          <w:position w:val="-4"/>
          <w:sz w:val="20"/>
        </w:rPr>
        <w:t>Inter</w:t>
      </w:r>
      <w:r>
        <w:t>)</w:t>
      </w:r>
      <w:r>
        <w:rPr>
          <w:i/>
          <w:iCs/>
          <w:position w:val="-4"/>
          <w:sz w:val="20"/>
        </w:rPr>
        <w:t>Rain Faded</w:t>
      </w:r>
      <w:r>
        <w:rPr>
          <w:rFonts w:ascii="Tms Rmn" w:hAnsi="Tms Rmn"/>
          <w:sz w:val="12"/>
        </w:rPr>
        <w:t> </w:t>
      </w:r>
      <w:r>
        <w:t>:</w:t>
      </w:r>
      <w:r>
        <w:tab/>
      </w:r>
      <w:r w:rsidR="00C770FE" w:rsidRPr="00E55CA1">
        <w:rPr>
          <w:lang w:val="es-ES_tradnl"/>
        </w:rPr>
        <w:tab/>
        <w:t>ruido total (dB(W/MHz)) incluyendo</w:t>
      </w:r>
      <w:r w:rsidR="00C770FE">
        <w:rPr>
          <w:lang w:val="es-ES_tradnl"/>
        </w:rPr>
        <w:t xml:space="preserve"> la interferencia interior al servicio e interservicios en condiciones de desvanecimiento debido a la lluvia.</w:t>
      </w:r>
    </w:p>
    <w:p w:rsidR="00C770FE" w:rsidRDefault="00C770FE" w:rsidP="0095075B">
      <w:pPr>
        <w:rPr>
          <w:lang w:val="es-ES_tradnl"/>
        </w:rPr>
      </w:pPr>
      <w:r>
        <w:rPr>
          <w:lang w:val="es-ES_tradnl"/>
        </w:rPr>
        <w:t xml:space="preserve">Incluyendo la ecuación (9) en la ecuación (3) y resolviendo para </w:t>
      </w:r>
      <w:r>
        <w:rPr>
          <w:i/>
          <w:lang w:val="es-ES_tradnl"/>
        </w:rPr>
        <w:t>P</w:t>
      </w:r>
      <w:r>
        <w:rPr>
          <w:i/>
          <w:position w:val="-4"/>
          <w:sz w:val="20"/>
          <w:lang w:val="es-ES_tradnl"/>
        </w:rPr>
        <w:t>Tx</w:t>
      </w:r>
      <w:r>
        <w:rPr>
          <w:lang w:val="es-ES_tradnl"/>
        </w:rPr>
        <w:t>,</w:t>
      </w:r>
      <w:r>
        <w:rPr>
          <w:sz w:val="20"/>
          <w:lang w:val="es-ES_tradnl"/>
        </w:rPr>
        <w:t xml:space="preserve"> </w:t>
      </w:r>
      <w:r>
        <w:rPr>
          <w:lang w:val="es-ES_tradnl"/>
        </w:rPr>
        <w:t>la potencia mínima de transmisión requerida para que el enlace funcione con su disponibilidad de diseño es:</w:t>
      </w:r>
    </w:p>
    <w:p w:rsidR="0008259E" w:rsidRDefault="0008259E" w:rsidP="0008259E">
      <w:pPr>
        <w:pStyle w:val="Blanc"/>
      </w:pPr>
    </w:p>
    <w:p w:rsidR="00812569" w:rsidRDefault="00812569" w:rsidP="0095075B">
      <w:pPr>
        <w:pStyle w:val="Equation"/>
      </w:pPr>
      <w:r>
        <w:tab/>
      </w:r>
      <w:r w:rsidR="00244027" w:rsidRPr="00812569">
        <w:rPr>
          <w:position w:val="-52"/>
          <w:lang w:val="es-ES_tradnl"/>
        </w:rPr>
        <w:object w:dxaOrig="7160" w:dyaOrig="1160">
          <v:shape id="_x0000_i1034" type="#_x0000_t75" style="width:357.6pt;height:58.2pt" o:ole="">
            <v:imagedata r:id="rId33" o:title=""/>
          </v:shape>
          <o:OLEObject Type="Embed" ProgID="Equation.3" ShapeID="_x0000_i1034" DrawAspect="Content" ObjectID="_1368531407" r:id="rId34"/>
        </w:object>
      </w:r>
      <w:r w:rsidRPr="00812569">
        <w:tab/>
      </w:r>
      <w:r>
        <w:t>(10)</w:t>
      </w:r>
    </w:p>
    <w:p w:rsidR="0008259E" w:rsidRDefault="0008259E" w:rsidP="0008259E">
      <w:pPr>
        <w:pStyle w:val="Blanc"/>
      </w:pPr>
    </w:p>
    <w:p w:rsidR="00C770FE" w:rsidRDefault="00C770FE" w:rsidP="00822BB1">
      <w:pPr>
        <w:rPr>
          <w:lang w:val="es-ES_tradnl"/>
        </w:rPr>
      </w:pPr>
      <w:r w:rsidRPr="00822BB1">
        <w:t xml:space="preserve">donde </w:t>
      </w:r>
      <w:r>
        <w:rPr>
          <w:i/>
          <w:lang w:val="es-ES_tradnl"/>
        </w:rPr>
        <w:t>L</w:t>
      </w:r>
      <w:r>
        <w:rPr>
          <w:i/>
          <w:iCs/>
          <w:position w:val="-4"/>
          <w:sz w:val="20"/>
          <w:lang w:val="es-ES_tradnl"/>
        </w:rPr>
        <w:t>FS</w:t>
      </w:r>
      <w:r>
        <w:rPr>
          <w:lang w:val="es-ES_tradnl"/>
        </w:rPr>
        <w:t xml:space="preserve"> y </w:t>
      </w:r>
      <w:r>
        <w:rPr>
          <w:i/>
          <w:lang w:val="es-ES_tradnl"/>
        </w:rPr>
        <w:t>L</w:t>
      </w:r>
      <w:r>
        <w:rPr>
          <w:i/>
          <w:iCs/>
          <w:position w:val="-4"/>
          <w:sz w:val="20"/>
          <w:lang w:val="es-ES_tradnl"/>
        </w:rPr>
        <w:t>Atm_t</w:t>
      </w:r>
      <w:r>
        <w:rPr>
          <w:lang w:val="es-ES_tradnl"/>
        </w:rPr>
        <w:t xml:space="preserve"> son las pérdidas definidas en la ecuación (3).</w:t>
      </w:r>
    </w:p>
    <w:p w:rsidR="00C770FE" w:rsidRDefault="00C770FE" w:rsidP="0095075B">
      <w:pPr>
        <w:pStyle w:val="Heading2"/>
        <w:rPr>
          <w:lang w:val="es-ES_tradnl"/>
        </w:rPr>
      </w:pPr>
      <w:r>
        <w:rPr>
          <w:lang w:val="es-ES_tradnl"/>
        </w:rPr>
        <w:t>6.3</w:t>
      </w:r>
      <w:r>
        <w:rPr>
          <w:lang w:val="es-ES_tradnl"/>
        </w:rPr>
        <w:tab/>
        <w:t>Cálculos del nivel de la portadora recibida</w:t>
      </w:r>
    </w:p>
    <w:p w:rsidR="00C770FE" w:rsidRDefault="00C770FE" w:rsidP="0095075B">
      <w:pPr>
        <w:pStyle w:val="Heading3"/>
        <w:rPr>
          <w:lang w:val="es-ES_tradnl"/>
        </w:rPr>
      </w:pPr>
      <w:r>
        <w:rPr>
          <w:lang w:val="es-ES_tradnl"/>
        </w:rPr>
        <w:t>6.3.1</w:t>
      </w:r>
      <w:r>
        <w:rPr>
          <w:lang w:val="es-ES_tradnl"/>
        </w:rPr>
        <w:tab/>
        <w:t>Cálculo del nivel de la portadora recibida y del margen requerido para el enlace estación central</w:t>
      </w:r>
      <w:r>
        <w:rPr>
          <w:lang w:val="es-ES_tradnl"/>
        </w:rPr>
        <w:noBreakHyphen/>
        <w:t>abonado (ruta de salida) de un sistema P-MP del servicio fijo</w:t>
      </w:r>
    </w:p>
    <w:p w:rsidR="00C770FE" w:rsidRPr="00822BB1" w:rsidRDefault="00C770FE" w:rsidP="0095075B">
      <w:r>
        <w:rPr>
          <w:lang w:val="es-ES_tradnl"/>
        </w:rPr>
        <w:t xml:space="preserve">El nivel de la portadora recibida en condiciones de cielo despejado se calcula utilizando la misma expresión que en el § 6.1, aunque </w:t>
      </w:r>
      <w:r>
        <w:rPr>
          <w:i/>
          <w:iCs/>
          <w:lang w:val="es-ES_tradnl"/>
        </w:rPr>
        <w:t>G</w:t>
      </w:r>
      <w:r>
        <w:rPr>
          <w:i/>
          <w:iCs/>
          <w:position w:val="-4"/>
          <w:sz w:val="20"/>
          <w:lang w:val="es-ES_tradnl"/>
        </w:rPr>
        <w:t>TX</w:t>
      </w:r>
      <w:r w:rsidRPr="00822BB1">
        <w:t xml:space="preserve"> no es un único valor constante. </w:t>
      </w:r>
      <w:r>
        <w:rPr>
          <w:i/>
          <w:iCs/>
          <w:lang w:val="es-ES_tradnl"/>
        </w:rPr>
        <w:t>G</w:t>
      </w:r>
      <w:r>
        <w:rPr>
          <w:i/>
          <w:iCs/>
          <w:position w:val="-4"/>
          <w:sz w:val="20"/>
          <w:lang w:val="es-ES_tradnl"/>
        </w:rPr>
        <w:t>TX</w:t>
      </w:r>
      <w:r>
        <w:rPr>
          <w:i/>
          <w:vertAlign w:val="subscript"/>
          <w:lang w:val="es-ES_tradnl"/>
        </w:rPr>
        <w:t xml:space="preserve"> </w:t>
      </w:r>
      <w:r w:rsidRPr="00822BB1">
        <w:t>varía conforme el sesgo del ángulo de puntería de la antena central, la distancia y el ángulo de elevación desde el abonado.</w:t>
      </w:r>
    </w:p>
    <w:p w:rsidR="0008259E" w:rsidRDefault="0008259E" w:rsidP="0008259E">
      <w:pPr>
        <w:pStyle w:val="Blanc"/>
      </w:pPr>
    </w:p>
    <w:p w:rsidR="00C770FE" w:rsidRDefault="00C770FE" w:rsidP="0095075B">
      <w:pPr>
        <w:pStyle w:val="Equation"/>
        <w:rPr>
          <w:lang w:val="es-ES_tradnl"/>
        </w:rPr>
      </w:pPr>
      <w:r>
        <w:rPr>
          <w:lang w:val="es-ES_tradnl"/>
        </w:rPr>
        <w:tab/>
      </w:r>
      <w:r>
        <w:rPr>
          <w:position w:val="-16"/>
          <w:lang w:val="es-ES_tradnl"/>
        </w:rPr>
        <w:object w:dxaOrig="5179" w:dyaOrig="400">
          <v:shape id="_x0000_i1035" type="#_x0000_t75" style="width:259.2pt;height:20.4pt" o:ole="" fillcolor="window">
            <v:imagedata r:id="rId35" o:title=""/>
          </v:shape>
          <o:OLEObject Type="Embed" ProgID="Equation.3" ShapeID="_x0000_i1035" DrawAspect="Content" ObjectID="_1368531408" r:id="rId36"/>
        </w:object>
      </w:r>
      <w:r w:rsidR="0095075B">
        <w:rPr>
          <w:position w:val="-16"/>
          <w:lang w:val="es-ES_tradnl"/>
        </w:rPr>
        <w:t>          </w:t>
      </w:r>
      <w:r>
        <w:rPr>
          <w:lang w:val="es-ES_tradnl"/>
        </w:rPr>
        <w:t>(dB(W/MHz))</w:t>
      </w:r>
      <w:r>
        <w:rPr>
          <w:lang w:val="es-ES_tradnl"/>
        </w:rPr>
        <w:tab/>
        <w:t>(11)</w:t>
      </w:r>
    </w:p>
    <w:p w:rsidR="00C770FE" w:rsidRDefault="00C770FE" w:rsidP="001F4968">
      <w:pPr>
        <w:keepNext/>
        <w:keepLines/>
        <w:rPr>
          <w:lang w:val="es-ES_tradnl"/>
        </w:rPr>
      </w:pPr>
      <w:r>
        <w:rPr>
          <w:i/>
          <w:iCs/>
          <w:lang w:val="es-ES_tradnl"/>
        </w:rPr>
        <w:lastRenderedPageBreak/>
        <w:t>G</w:t>
      </w:r>
      <w:r>
        <w:rPr>
          <w:i/>
          <w:iCs/>
          <w:position w:val="-4"/>
          <w:sz w:val="20"/>
          <w:lang w:val="es-ES_tradnl"/>
        </w:rPr>
        <w:t>TX</w:t>
      </w:r>
      <w:r>
        <w:rPr>
          <w:lang w:val="es-ES_tradnl"/>
        </w:rPr>
        <w:t>(</w:t>
      </w:r>
      <w:r>
        <w:rPr>
          <w:lang w:val="es-ES_tradnl"/>
        </w:rPr>
        <w:sym w:font="Symbol" w:char="F06A"/>
      </w:r>
      <w:r>
        <w:rPr>
          <w:lang w:val="es-ES_tradnl"/>
        </w:rPr>
        <w:t>)</w:t>
      </w:r>
      <w:r>
        <w:rPr>
          <w:i/>
          <w:iCs/>
          <w:position w:val="-4"/>
          <w:sz w:val="20"/>
          <w:lang w:val="es-ES_tradnl"/>
        </w:rPr>
        <w:t>Hub</w:t>
      </w:r>
      <w:r>
        <w:rPr>
          <w:lang w:val="es-ES_tradnl"/>
        </w:rPr>
        <w:t xml:space="preserve"> es la directividad de la antena central en la dirección</w:t>
      </w:r>
      <w:r w:rsidR="0008259E">
        <w:rPr>
          <w:lang w:val="es-ES_tradnl"/>
        </w:rPr>
        <w:t xml:space="preserve"> de una antena de abonado deter</w:t>
      </w:r>
      <w:r>
        <w:rPr>
          <w:lang w:val="es-ES_tradnl"/>
        </w:rPr>
        <w:t>minada, siendo (</w:t>
      </w:r>
      <w:r>
        <w:rPr>
          <w:lang w:val="es-ES_tradnl"/>
        </w:rPr>
        <w:sym w:font="Symbol" w:char="F06A"/>
      </w:r>
      <w:r>
        <w:rPr>
          <w:lang w:val="es-ES_tradnl"/>
        </w:rPr>
        <w:t>)</w:t>
      </w:r>
      <w:r>
        <w:rPr>
          <w:i/>
          <w:iCs/>
          <w:position w:val="-4"/>
          <w:sz w:val="20"/>
          <w:lang w:val="es-ES_tradnl"/>
        </w:rPr>
        <w:t>Hub</w:t>
      </w:r>
      <w:r>
        <w:rPr>
          <w:lang w:val="es-ES_tradnl"/>
        </w:rPr>
        <w:t xml:space="preserve"> el valor absoluto del ángulo a partir de la dirección de directividad máxima que se mide en el plano vertical. </w:t>
      </w:r>
      <w:r>
        <w:rPr>
          <w:i/>
          <w:iCs/>
          <w:lang w:val="es-ES_tradnl"/>
        </w:rPr>
        <w:t>G</w:t>
      </w:r>
      <w:r>
        <w:rPr>
          <w:i/>
          <w:iCs/>
          <w:position w:val="-4"/>
          <w:sz w:val="20"/>
          <w:lang w:val="es-ES_tradnl"/>
        </w:rPr>
        <w:t>TX</w:t>
      </w:r>
      <w:r>
        <w:rPr>
          <w:lang w:val="es-ES_tradnl"/>
        </w:rPr>
        <w:t>(</w:t>
      </w:r>
      <w:r>
        <w:rPr>
          <w:lang w:val="es-ES_tradnl"/>
        </w:rPr>
        <w:sym w:font="Symbol" w:char="F06A"/>
      </w:r>
      <w:r>
        <w:rPr>
          <w:lang w:val="es-ES_tradnl"/>
        </w:rPr>
        <w:t>)</w:t>
      </w:r>
      <w:r>
        <w:rPr>
          <w:i/>
          <w:iCs/>
          <w:position w:val="-4"/>
          <w:sz w:val="20"/>
          <w:lang w:val="es-ES_tradnl"/>
        </w:rPr>
        <w:t>Hub</w:t>
      </w:r>
      <w:r>
        <w:rPr>
          <w:lang w:val="es-ES_tradnl"/>
        </w:rPr>
        <w:t xml:space="preserve"> se calcula según la Recomendación</w:t>
      </w:r>
      <w:r w:rsidR="001F4968">
        <w:rPr>
          <w:lang w:val="es-ES_tradnl"/>
        </w:rPr>
        <w:t xml:space="preserve"> </w:t>
      </w:r>
      <w:r>
        <w:rPr>
          <w:lang w:val="es-ES_tradnl"/>
        </w:rPr>
        <w:t>UIT</w:t>
      </w:r>
      <w:r>
        <w:rPr>
          <w:lang w:val="es-ES_tradnl"/>
        </w:rPr>
        <w:noBreakHyphen/>
        <w:t xml:space="preserve">R F.1336. </w:t>
      </w:r>
      <w:r>
        <w:rPr>
          <w:i/>
          <w:iCs/>
          <w:lang w:val="es-ES_tradnl"/>
        </w:rPr>
        <w:t>G</w:t>
      </w:r>
      <w:r>
        <w:rPr>
          <w:i/>
          <w:iCs/>
          <w:position w:val="-4"/>
          <w:sz w:val="20"/>
          <w:lang w:val="es-ES_tradnl"/>
        </w:rPr>
        <w:t>RXSub</w:t>
      </w:r>
      <w:r>
        <w:rPr>
          <w:lang w:val="es-ES_tradnl"/>
        </w:rPr>
        <w:t xml:space="preserve"> es la ganancia máxima de recepción de la antena de abonado. Las pérdidas </w:t>
      </w:r>
      <w:r>
        <w:rPr>
          <w:i/>
          <w:iCs/>
          <w:lang w:val="es-ES_tradnl"/>
        </w:rPr>
        <w:t>L</w:t>
      </w:r>
      <w:r>
        <w:rPr>
          <w:i/>
          <w:iCs/>
          <w:position w:val="-4"/>
          <w:sz w:val="20"/>
          <w:lang w:val="es-ES_tradnl"/>
        </w:rPr>
        <w:t>FS</w:t>
      </w:r>
      <w:r>
        <w:rPr>
          <w:lang w:val="es-ES_tradnl"/>
        </w:rPr>
        <w:t xml:space="preserve"> y </w:t>
      </w:r>
      <w:r>
        <w:rPr>
          <w:i/>
          <w:iCs/>
          <w:lang w:val="es-ES_tradnl"/>
        </w:rPr>
        <w:t>L</w:t>
      </w:r>
      <w:r>
        <w:rPr>
          <w:i/>
          <w:iCs/>
          <w:position w:val="-4"/>
          <w:sz w:val="20"/>
          <w:lang w:val="es-ES_tradnl"/>
        </w:rPr>
        <w:t>Atm_t</w:t>
      </w:r>
      <w:r>
        <w:rPr>
          <w:lang w:val="es-ES_tradnl"/>
        </w:rPr>
        <w:t xml:space="preserve"> se especifican en un receptor de abonado de referencia en el extremo de la célula.</w:t>
      </w:r>
    </w:p>
    <w:p w:rsidR="00C770FE" w:rsidRPr="00822BB1" w:rsidRDefault="00C770FE" w:rsidP="0095075B">
      <w:r w:rsidRPr="00822BB1">
        <w:t>En vez de tener que calcular un valor único del margen requerido para una disponibilidad deseada como en el caso de un sistema P</w:t>
      </w:r>
      <w:r w:rsidRPr="00822BB1">
        <w:noBreakHyphen/>
        <w:t>MP del servicio fijo de una longitud de trayecto determinada, ha de volver a calcularse el margen requerido para lograr la disponibilidad de diseño en todos los posibles puntos de la célula P</w:t>
      </w:r>
      <w:r w:rsidRPr="00822BB1">
        <w:noBreakHyphen/>
        <w:t>MP en los que pueda recibirse la señal de la ruta de salida. El margen requerido de la célula P</w:t>
      </w:r>
      <w:r w:rsidRPr="00822BB1">
        <w:noBreakHyphen/>
        <w:t>MP varía a lo largo de ella a medida que varía la distancia y el ángulo de elevación desde la antena central. El nivel de la portadora recibida por el abonado resulta muy afectado por dos factores:</w:t>
      </w:r>
    </w:p>
    <w:p w:rsidR="00C770FE" w:rsidRPr="006B7AFE" w:rsidRDefault="00C770FE" w:rsidP="0095075B">
      <w:pPr>
        <w:pStyle w:val="enumlev1"/>
        <w:rPr>
          <w:lang w:val="es-ES_tradnl"/>
        </w:rPr>
      </w:pPr>
      <w:r w:rsidRPr="006B7AFE">
        <w:rPr>
          <w:lang w:val="es-ES_tradnl"/>
        </w:rPr>
        <w:t>–</w:t>
      </w:r>
      <w:r w:rsidRPr="006B7AFE">
        <w:rPr>
          <w:lang w:val="es-ES_tradnl"/>
        </w:rPr>
        <w:tab/>
        <w:t>La ganancia de la antena transmisora central en la dirección del abonado que es función del ángulo fuera del eje de la antena central en el plano del ángulo de elevación.</w:t>
      </w:r>
    </w:p>
    <w:p w:rsidR="00C770FE" w:rsidRPr="006B7AFE" w:rsidRDefault="00C770FE" w:rsidP="0095075B">
      <w:pPr>
        <w:pStyle w:val="enumlev1"/>
        <w:rPr>
          <w:lang w:val="es-ES_tradnl"/>
        </w:rPr>
      </w:pPr>
      <w:r w:rsidRPr="006B7AFE">
        <w:rPr>
          <w:lang w:val="es-ES_tradnl"/>
        </w:rPr>
        <w:t>–</w:t>
      </w:r>
      <w:r w:rsidRPr="006B7AFE">
        <w:rPr>
          <w:lang w:val="es-ES_tradnl"/>
        </w:rPr>
        <w:tab/>
        <w:t>La distancia del abonado a la estación central que es función de la longitud del trayecto horizontal y de la de diferencia entre las alturas de la antena de abonado y de la antena central.</w:t>
      </w:r>
    </w:p>
    <w:p w:rsidR="00C770FE" w:rsidRPr="00E55CA1" w:rsidRDefault="00C770FE" w:rsidP="0095075B">
      <w:pPr>
        <w:pStyle w:val="Heading3"/>
        <w:rPr>
          <w:lang w:val="es-ES_tradnl"/>
        </w:rPr>
      </w:pPr>
      <w:r w:rsidRPr="00E55CA1">
        <w:rPr>
          <w:lang w:val="es-ES_tradnl"/>
        </w:rPr>
        <w:t>6.3.2</w:t>
      </w:r>
      <w:r w:rsidRPr="00E55CA1">
        <w:rPr>
          <w:lang w:val="es-ES_tradnl"/>
        </w:rPr>
        <w:tab/>
        <w:t>Cálculo del nivel de la portadora recibido y del margen requerido para el enlace de un sistema P-P del servicio fijo</w:t>
      </w:r>
    </w:p>
    <w:p w:rsidR="00C770FE" w:rsidRPr="00E55CA1" w:rsidRDefault="00C770FE" w:rsidP="00C770FE">
      <w:pPr>
        <w:jc w:val="left"/>
        <w:rPr>
          <w:lang w:val="es-ES_tradnl"/>
        </w:rPr>
      </w:pPr>
      <w:r w:rsidRPr="00E55CA1">
        <w:rPr>
          <w:lang w:val="es-ES_tradnl"/>
        </w:rPr>
        <w:t>El nivel de la portadora recibido en condiciones de cielo despejado se calcula utilizando la ecuación (3) del § 6.1:</w:t>
      </w:r>
    </w:p>
    <w:p w:rsidR="001F4968" w:rsidRDefault="001F4968" w:rsidP="001F4968">
      <w:pPr>
        <w:pStyle w:val="Blanc"/>
      </w:pPr>
    </w:p>
    <w:p w:rsidR="00C770FE" w:rsidRPr="00E55CA1" w:rsidRDefault="00C770FE" w:rsidP="0095075B">
      <w:pPr>
        <w:pStyle w:val="Equation"/>
        <w:rPr>
          <w:lang w:val="es-ES_tradnl"/>
        </w:rPr>
      </w:pPr>
      <w:r w:rsidRPr="00E55CA1">
        <w:rPr>
          <w:lang w:val="es-ES_tradnl"/>
        </w:rPr>
        <w:tab/>
      </w:r>
      <w:r w:rsidRPr="00E55CA1">
        <w:rPr>
          <w:lang w:val="es-ES_tradnl"/>
        </w:rPr>
        <w:tab/>
      </w:r>
      <w:r w:rsidR="00244027" w:rsidRPr="00244027">
        <w:rPr>
          <w:position w:val="-16"/>
          <w:lang w:val="es-ES_tradnl"/>
        </w:rPr>
        <w:object w:dxaOrig="6740" w:dyaOrig="400">
          <v:shape id="_x0000_i1036" type="#_x0000_t75" style="width:337.2pt;height:20.4pt" o:ole="">
            <v:imagedata r:id="rId37" o:title=""/>
          </v:shape>
          <o:OLEObject Type="Embed" ProgID="Equation.3" ShapeID="_x0000_i1036" DrawAspect="Content" ObjectID="_1368531409" r:id="rId38"/>
        </w:object>
      </w:r>
      <w:r w:rsidRPr="00E55CA1">
        <w:rPr>
          <w:lang w:val="es-ES_tradnl"/>
        </w:rPr>
        <w:tab/>
        <w:t>(12)</w:t>
      </w:r>
    </w:p>
    <w:p w:rsidR="00C770FE" w:rsidRPr="00E55CA1" w:rsidRDefault="00C770FE" w:rsidP="0095075B">
      <w:pPr>
        <w:rPr>
          <w:lang w:val="es-ES_tradnl"/>
        </w:rPr>
      </w:pPr>
      <w:r w:rsidRPr="00E55CA1">
        <w:rPr>
          <w:lang w:val="es-ES_tradnl"/>
        </w:rPr>
        <w:t>donde:</w:t>
      </w:r>
    </w:p>
    <w:p w:rsidR="00C770FE" w:rsidRPr="00E55CA1" w:rsidRDefault="00C770FE" w:rsidP="0095075B">
      <w:pPr>
        <w:pStyle w:val="Equationlegend"/>
        <w:rPr>
          <w:lang w:val="es-ES_tradnl"/>
        </w:rPr>
      </w:pPr>
      <w:r w:rsidRPr="00E55CA1">
        <w:rPr>
          <w:i/>
          <w:iCs/>
          <w:lang w:val="es-ES_tradnl"/>
        </w:rPr>
        <w:tab/>
        <w:t>G</w:t>
      </w:r>
      <w:r w:rsidRPr="00E55CA1">
        <w:rPr>
          <w:i/>
          <w:iCs/>
          <w:position w:val="-4"/>
          <w:sz w:val="20"/>
          <w:lang w:val="es-ES_tradnl"/>
        </w:rPr>
        <w:t>Tx P-P</w:t>
      </w:r>
      <w:r w:rsidRPr="00E55CA1">
        <w:rPr>
          <w:sz w:val="12"/>
          <w:lang w:val="es-ES_tradnl"/>
        </w:rPr>
        <w:t> </w:t>
      </w:r>
      <w:r w:rsidRPr="00E55CA1">
        <w:rPr>
          <w:sz w:val="20"/>
          <w:lang w:val="es-ES_tradnl"/>
        </w:rPr>
        <w:t>:</w:t>
      </w:r>
      <w:r w:rsidRPr="00E55CA1">
        <w:rPr>
          <w:sz w:val="20"/>
          <w:lang w:val="es-ES_tradnl"/>
        </w:rPr>
        <w:tab/>
      </w:r>
      <w:r w:rsidRPr="00E55CA1">
        <w:rPr>
          <w:lang w:val="es-ES_tradnl"/>
        </w:rPr>
        <w:t>directividad máxima de la antena transmisora P-P en la dirección de la antena de abonado</w:t>
      </w:r>
    </w:p>
    <w:p w:rsidR="00C770FE" w:rsidRPr="00E55CA1" w:rsidRDefault="00C770FE" w:rsidP="0095075B">
      <w:pPr>
        <w:pStyle w:val="Equationlegend"/>
        <w:rPr>
          <w:lang w:val="es-ES_tradnl"/>
        </w:rPr>
      </w:pPr>
      <w:r w:rsidRPr="00E55CA1">
        <w:rPr>
          <w:i/>
          <w:lang w:val="es-ES_tradnl"/>
        </w:rPr>
        <w:tab/>
        <w:t>G</w:t>
      </w:r>
      <w:r w:rsidRPr="00E55CA1">
        <w:rPr>
          <w:i/>
          <w:iCs/>
          <w:position w:val="-4"/>
          <w:sz w:val="20"/>
          <w:lang w:val="es-ES_tradnl"/>
        </w:rPr>
        <w:t>Rx P-P</w:t>
      </w:r>
      <w:r w:rsidRPr="00E55CA1">
        <w:rPr>
          <w:sz w:val="12"/>
          <w:lang w:val="es-ES_tradnl"/>
        </w:rPr>
        <w:t> </w:t>
      </w:r>
      <w:r w:rsidRPr="00E55CA1">
        <w:rPr>
          <w:sz w:val="20"/>
          <w:lang w:val="es-ES_tradnl"/>
        </w:rPr>
        <w:t>:</w:t>
      </w:r>
      <w:r w:rsidRPr="00E55CA1">
        <w:rPr>
          <w:sz w:val="20"/>
          <w:lang w:val="es-ES_tradnl"/>
        </w:rPr>
        <w:tab/>
      </w:r>
      <w:r w:rsidRPr="00E55CA1">
        <w:rPr>
          <w:lang w:val="es-ES_tradnl"/>
        </w:rPr>
        <w:t>ganancia de la antena receptora P-P</w:t>
      </w:r>
      <w:r w:rsidRPr="00E55CA1">
        <w:rPr>
          <w:b/>
          <w:lang w:val="es-ES_tradnl"/>
        </w:rPr>
        <w:t xml:space="preserve"> </w:t>
      </w:r>
      <w:r w:rsidRPr="00E55CA1">
        <w:rPr>
          <w:lang w:val="es-ES_tradnl"/>
        </w:rPr>
        <w:t>en la dirección de la antena transmisora</w:t>
      </w:r>
    </w:p>
    <w:p w:rsidR="00C770FE" w:rsidRPr="00E55CA1" w:rsidRDefault="00C770FE" w:rsidP="0095075B">
      <w:pPr>
        <w:pStyle w:val="Equationlegend"/>
        <w:rPr>
          <w:lang w:val="es-ES_tradnl"/>
        </w:rPr>
      </w:pPr>
      <w:r w:rsidRPr="00E55CA1">
        <w:rPr>
          <w:lang w:val="es-ES_tradnl"/>
        </w:rPr>
        <w:tab/>
        <w:t xml:space="preserve"> </w:t>
      </w:r>
      <w:r w:rsidRPr="00E55CA1">
        <w:rPr>
          <w:i/>
          <w:lang w:val="es-ES_tradnl"/>
        </w:rPr>
        <w:t>L</w:t>
      </w:r>
      <w:r w:rsidRPr="00E55CA1">
        <w:rPr>
          <w:i/>
          <w:iCs/>
          <w:position w:val="-4"/>
          <w:sz w:val="20"/>
          <w:lang w:val="es-ES_tradnl"/>
        </w:rPr>
        <w:t>FS</w:t>
      </w:r>
      <w:r w:rsidRPr="00E55CA1">
        <w:rPr>
          <w:sz w:val="12"/>
          <w:lang w:val="es-ES_tradnl"/>
        </w:rPr>
        <w:t> </w:t>
      </w:r>
      <w:r w:rsidRPr="00E55CA1">
        <w:rPr>
          <w:sz w:val="20"/>
          <w:lang w:val="es-ES_tradnl"/>
        </w:rPr>
        <w:t>:</w:t>
      </w:r>
      <w:r w:rsidRPr="00E55CA1">
        <w:rPr>
          <w:sz w:val="20"/>
          <w:lang w:val="es-ES_tradnl"/>
        </w:rPr>
        <w:tab/>
      </w:r>
      <w:r w:rsidRPr="00E55CA1">
        <w:rPr>
          <w:lang w:val="es-ES_tradnl"/>
        </w:rPr>
        <w:t>pérdidas en el espacio libre por el trayecto entre el transmisor y el receptor que dependen únicamente de la longitud del trayecto y la frecuencia</w:t>
      </w:r>
    </w:p>
    <w:p w:rsidR="00C770FE" w:rsidRPr="00E55CA1" w:rsidRDefault="00C770FE" w:rsidP="0095075B">
      <w:pPr>
        <w:pStyle w:val="Equationlegend"/>
        <w:rPr>
          <w:lang w:val="es-ES_tradnl"/>
        </w:rPr>
      </w:pPr>
      <w:r w:rsidRPr="00E55CA1">
        <w:rPr>
          <w:i/>
          <w:lang w:val="es-ES_tradnl"/>
        </w:rPr>
        <w:tab/>
        <w:t>L</w:t>
      </w:r>
      <w:r w:rsidRPr="00E55CA1">
        <w:rPr>
          <w:i/>
          <w:iCs/>
          <w:position w:val="-4"/>
          <w:sz w:val="20"/>
          <w:lang w:val="es-ES_tradnl"/>
        </w:rPr>
        <w:t>Atm</w:t>
      </w:r>
      <w:r w:rsidRPr="00E55CA1">
        <w:rPr>
          <w:sz w:val="20"/>
          <w:lang w:val="es-ES_tradnl"/>
        </w:rPr>
        <w:t>:</w:t>
      </w:r>
      <w:r w:rsidRPr="00E55CA1">
        <w:rPr>
          <w:sz w:val="20"/>
          <w:lang w:val="es-ES_tradnl"/>
        </w:rPr>
        <w:tab/>
      </w:r>
      <w:r w:rsidRPr="00E55CA1">
        <w:rPr>
          <w:lang w:val="es-ES_tradnl"/>
        </w:rPr>
        <w:t>pérdida atmosférica a lo largo de la longitud del trayecto deseado.</w:t>
      </w:r>
    </w:p>
    <w:p w:rsidR="00C770FE" w:rsidRPr="00E55CA1" w:rsidRDefault="00C770FE" w:rsidP="0095075B">
      <w:pPr>
        <w:pStyle w:val="Heading2"/>
        <w:rPr>
          <w:lang w:val="es-ES_tradnl"/>
        </w:rPr>
      </w:pPr>
      <w:r w:rsidRPr="00E55CA1">
        <w:rPr>
          <w:lang w:val="es-ES_tradnl"/>
        </w:rPr>
        <w:t>6.4</w:t>
      </w:r>
      <w:r w:rsidRPr="00E55CA1">
        <w:rPr>
          <w:lang w:val="es-ES_tradnl"/>
        </w:rPr>
        <w:tab/>
        <w:t>Cálculo del margen disponible</w:t>
      </w:r>
    </w:p>
    <w:p w:rsidR="00C770FE" w:rsidRPr="00E55CA1" w:rsidRDefault="00C770FE" w:rsidP="00244027">
      <w:pPr>
        <w:rPr>
          <w:lang w:val="es-ES_tradnl"/>
        </w:rPr>
      </w:pPr>
      <w:r w:rsidRPr="00E55CA1">
        <w:rPr>
          <w:lang w:val="es-ES_tradnl"/>
        </w:rPr>
        <w:t xml:space="preserve">En el cálculo del margen disponible para todo posible receptor del servicio fijo se deben tener en cuenta los cambios de los niveles de la interferencia interior al servicio y exterior que se producen en condiciones de desvanecimiento debido a la lluvia. El cálculo del margen disponible es un procedimiento repetitivo porque depende de la solución del porcentaje real de tiempo en el enlace deseado en el que puede tolerarse el desvanecimiento. El margen disponible para el desvanecimiento debido a la lluvia con la antena receptora </w:t>
      </w:r>
      <w:r w:rsidRPr="00E55CA1">
        <w:rPr>
          <w:i/>
          <w:lang w:val="es-ES_tradnl"/>
        </w:rPr>
        <w:t>i</w:t>
      </w:r>
      <w:r w:rsidRPr="00E55CA1">
        <w:rPr>
          <w:lang w:val="es-ES_tradnl"/>
        </w:rPr>
        <w:t>-ésima del servicio fijo</w:t>
      </w:r>
      <w:r w:rsidRPr="00822BB1">
        <w:t xml:space="preserve"> </w:t>
      </w:r>
      <w:r w:rsidRPr="00E55CA1">
        <w:rPr>
          <w:lang w:val="es-ES_tradnl"/>
        </w:rPr>
        <w:t>en un sistema</w:t>
      </w:r>
      <w:r w:rsidR="00244027">
        <w:rPr>
          <w:lang w:val="es-ES_tradnl"/>
        </w:rPr>
        <w:t> </w:t>
      </w:r>
      <w:r w:rsidRPr="00E55CA1">
        <w:rPr>
          <w:lang w:val="es-ES_tradnl"/>
        </w:rPr>
        <w:t>P</w:t>
      </w:r>
      <w:r w:rsidRPr="00E55CA1">
        <w:rPr>
          <w:lang w:val="es-ES_tradnl"/>
        </w:rPr>
        <w:noBreakHyphen/>
        <w:t>P o en una antena de abonado interior a una célula P-MP</w:t>
      </w:r>
      <w:r w:rsidRPr="00E55CA1">
        <w:rPr>
          <w:b/>
          <w:bCs/>
          <w:lang w:val="es-ES_tradnl"/>
        </w:rPr>
        <w:t xml:space="preserve"> </w:t>
      </w:r>
      <w:r w:rsidRPr="00E55CA1">
        <w:rPr>
          <w:lang w:val="es-ES_tradnl"/>
        </w:rPr>
        <w:t>se calcula mediante la ecuación (13):</w:t>
      </w:r>
    </w:p>
    <w:p w:rsidR="0008259E" w:rsidRDefault="0008259E" w:rsidP="0008259E">
      <w:pPr>
        <w:pStyle w:val="Blanc"/>
      </w:pPr>
    </w:p>
    <w:p w:rsidR="00C770FE" w:rsidRPr="00244027" w:rsidRDefault="00C770FE" w:rsidP="0095075B">
      <w:pPr>
        <w:pStyle w:val="Equation"/>
      </w:pPr>
      <w:r w:rsidRPr="00244027">
        <w:tab/>
      </w:r>
      <w:r w:rsidRPr="00244027">
        <w:tab/>
      </w:r>
      <w:r w:rsidR="00244027" w:rsidRPr="00244027">
        <w:rPr>
          <w:position w:val="-36"/>
          <w:lang w:val="es-ES_tradnl"/>
        </w:rPr>
        <w:object w:dxaOrig="7400" w:dyaOrig="840">
          <v:shape id="_x0000_i1037" type="#_x0000_t75" style="width:369.6pt;height:42pt" o:ole="">
            <v:imagedata r:id="rId39" o:title=""/>
          </v:shape>
          <o:OLEObject Type="Embed" ProgID="Equation.3" ShapeID="_x0000_i1037" DrawAspect="Content" ObjectID="_1368531410" r:id="rId40"/>
        </w:object>
      </w:r>
      <w:r w:rsidRPr="00244027">
        <w:tab/>
        <w:t>(13)</w:t>
      </w:r>
    </w:p>
    <w:p w:rsidR="00C770FE" w:rsidRPr="00E55CA1" w:rsidRDefault="00C770FE" w:rsidP="0008259E">
      <w:pPr>
        <w:keepNext/>
        <w:keepLines/>
        <w:rPr>
          <w:lang w:val="es-ES_tradnl"/>
        </w:rPr>
      </w:pPr>
      <w:r w:rsidRPr="00E55CA1">
        <w:rPr>
          <w:lang w:val="es-ES_tradnl"/>
        </w:rPr>
        <w:lastRenderedPageBreak/>
        <w:t>donde:</w:t>
      </w:r>
    </w:p>
    <w:p w:rsidR="00C770FE" w:rsidRPr="00E55CA1" w:rsidRDefault="00C770FE" w:rsidP="0095075B">
      <w:pPr>
        <w:pStyle w:val="Equationlegend"/>
        <w:rPr>
          <w:lang w:val="es-ES_tradnl"/>
        </w:rPr>
      </w:pPr>
      <w:r w:rsidRPr="00E55CA1">
        <w:rPr>
          <w:lang w:val="es-ES_tradnl"/>
        </w:rPr>
        <w:tab/>
      </w:r>
      <w:r w:rsidRPr="00E55CA1">
        <w:rPr>
          <w:i/>
          <w:iCs/>
          <w:lang w:val="es-ES_tradnl"/>
        </w:rPr>
        <w:t>P</w:t>
      </w:r>
      <w:r w:rsidRPr="00E55CA1">
        <w:rPr>
          <w:i/>
          <w:iCs/>
          <w:position w:val="-4"/>
          <w:sz w:val="20"/>
          <w:lang w:val="es-ES_tradnl"/>
        </w:rPr>
        <w:t>Rx CS</w:t>
      </w:r>
      <w:r w:rsidRPr="00E55CA1">
        <w:rPr>
          <w:sz w:val="12"/>
          <w:lang w:val="es-ES_tradnl"/>
        </w:rPr>
        <w:t> </w:t>
      </w:r>
      <w:r w:rsidRPr="00E55CA1">
        <w:rPr>
          <w:sz w:val="20"/>
          <w:lang w:val="es-ES_tradnl"/>
        </w:rPr>
        <w:t>:</w:t>
      </w:r>
      <w:r w:rsidRPr="00E55CA1">
        <w:rPr>
          <w:lang w:val="es-ES_tradnl"/>
        </w:rPr>
        <w:tab/>
      </w:r>
      <w:r w:rsidRPr="00E55CA1">
        <w:rPr>
          <w:i/>
          <w:iCs/>
          <w:lang w:val="es-ES_tradnl"/>
        </w:rPr>
        <w:t>P</w:t>
      </w:r>
      <w:r w:rsidRPr="00E55CA1">
        <w:rPr>
          <w:i/>
          <w:iCs/>
          <w:position w:val="-4"/>
          <w:sz w:val="20"/>
          <w:lang w:val="es-ES_tradnl"/>
        </w:rPr>
        <w:t>RX</w:t>
      </w:r>
      <w:r w:rsidRPr="00E55CA1">
        <w:rPr>
          <w:lang w:val="es-ES_tradnl"/>
        </w:rPr>
        <w:t xml:space="preserve"> de la ecuación (10) u (11) para el nivel de la señal recibida en condiciones de cielo despejado del sistema P-MP o del P-P, según el caso</w:t>
      </w:r>
    </w:p>
    <w:p w:rsidR="00C770FE" w:rsidRPr="00E55CA1" w:rsidRDefault="00C770FE" w:rsidP="0095075B">
      <w:pPr>
        <w:pStyle w:val="Equationlegend"/>
        <w:rPr>
          <w:lang w:val="es-ES_tradnl"/>
        </w:rPr>
      </w:pPr>
      <w:r w:rsidRPr="00E55CA1">
        <w:rPr>
          <w:lang w:val="es-ES_tradnl"/>
        </w:rPr>
        <w:tab/>
      </w:r>
      <w:r w:rsidRPr="00E55CA1">
        <w:rPr>
          <w:i/>
          <w:iCs/>
          <w:lang w:val="es-ES_tradnl"/>
        </w:rPr>
        <w:t>N</w:t>
      </w:r>
      <w:r w:rsidRPr="00E55CA1">
        <w:rPr>
          <w:i/>
          <w:iCs/>
          <w:position w:val="-4"/>
          <w:sz w:val="20"/>
          <w:lang w:val="es-ES_tradnl"/>
        </w:rPr>
        <w:t>Thermal</w:t>
      </w:r>
      <w:r w:rsidRPr="00E55CA1">
        <w:rPr>
          <w:sz w:val="12"/>
          <w:lang w:val="es-ES_tradnl"/>
        </w:rPr>
        <w:t> </w:t>
      </w:r>
      <w:r w:rsidRPr="00E55CA1">
        <w:rPr>
          <w:sz w:val="20"/>
          <w:lang w:val="es-ES_tradnl"/>
        </w:rPr>
        <w:t>:</w:t>
      </w:r>
      <w:r w:rsidRPr="00E55CA1">
        <w:rPr>
          <w:lang w:val="es-ES_tradnl"/>
        </w:rPr>
        <w:tab/>
        <w:t>ruido térmico del sistema en la anchura de banda de referencia (dB(W/MHz)) a la entrada del receptor, calculada con la ecuación (18) del § 6.5</w:t>
      </w:r>
    </w:p>
    <w:p w:rsidR="00C770FE" w:rsidRPr="00E55CA1" w:rsidRDefault="00C770FE" w:rsidP="0095075B">
      <w:pPr>
        <w:pStyle w:val="Equationlegend"/>
        <w:spacing w:line="280" w:lineRule="exact"/>
        <w:rPr>
          <w:lang w:val="es-ES_tradnl"/>
        </w:rPr>
      </w:pPr>
      <w:r w:rsidRPr="00E55CA1">
        <w:rPr>
          <w:lang w:val="es-ES_tradnl"/>
        </w:rPr>
        <w:tab/>
      </w:r>
      <w:r w:rsidRPr="00E55CA1">
        <w:rPr>
          <w:i/>
          <w:iCs/>
          <w:lang w:val="es-ES_tradnl"/>
        </w:rPr>
        <w:t>I</w:t>
      </w:r>
      <w:r w:rsidRPr="00E55CA1">
        <w:rPr>
          <w:i/>
          <w:iCs/>
          <w:position w:val="-4"/>
          <w:sz w:val="20"/>
          <w:lang w:val="es-ES_tradnl"/>
        </w:rPr>
        <w:t>Intra i</w:t>
      </w:r>
      <w:r w:rsidRPr="00E55CA1">
        <w:rPr>
          <w:sz w:val="12"/>
          <w:lang w:val="es-ES_tradnl"/>
        </w:rPr>
        <w:t> </w:t>
      </w:r>
      <w:r w:rsidRPr="00E55CA1">
        <w:rPr>
          <w:sz w:val="20"/>
          <w:lang w:val="es-ES_tradnl"/>
        </w:rPr>
        <w:t>:</w:t>
      </w:r>
      <w:r w:rsidRPr="00E55CA1">
        <w:rPr>
          <w:lang w:val="es-ES_tradnl"/>
        </w:rPr>
        <w:tab/>
        <w:t xml:space="preserve">interferencia interior al servicio calculada en el </w:t>
      </w:r>
      <w:r w:rsidRPr="00E55CA1">
        <w:rPr>
          <w:i/>
          <w:iCs/>
          <w:lang w:val="es-ES_tradnl"/>
        </w:rPr>
        <w:t>i</w:t>
      </w:r>
      <w:r w:rsidRPr="00E55CA1">
        <w:rPr>
          <w:lang w:val="es-ES_tradnl"/>
        </w:rPr>
        <w:t>-ésimo posible receptor del servicio fijo para un sistema P-MP o uno P-P, utilizando las ecuaciones (6) a (7) según el caso, o utilizando un modelo de interferencia interior al servicio más elaborado</w:t>
      </w:r>
    </w:p>
    <w:p w:rsidR="00C770FE" w:rsidRDefault="00C770FE" w:rsidP="0095075B">
      <w:pPr>
        <w:pStyle w:val="Equationlegend"/>
        <w:spacing w:line="280" w:lineRule="exact"/>
        <w:rPr>
          <w:lang w:val="es-ES_tradnl"/>
        </w:rPr>
      </w:pPr>
      <w:r w:rsidRPr="00E55CA1">
        <w:rPr>
          <w:lang w:val="es-ES_tradnl"/>
        </w:rPr>
        <w:tab/>
      </w:r>
      <w:r w:rsidRPr="00E55CA1">
        <w:rPr>
          <w:i/>
          <w:iCs/>
          <w:lang w:val="es-ES_tradnl"/>
        </w:rPr>
        <w:t>I</w:t>
      </w:r>
      <w:r w:rsidRPr="00E55CA1">
        <w:rPr>
          <w:i/>
          <w:iCs/>
          <w:position w:val="-4"/>
          <w:sz w:val="20"/>
          <w:lang w:val="es-ES_tradnl"/>
        </w:rPr>
        <w:t>Inter</w:t>
      </w:r>
      <w:r w:rsidRPr="00E55CA1">
        <w:rPr>
          <w:sz w:val="12"/>
          <w:lang w:val="es-ES_tradnl"/>
        </w:rPr>
        <w:t> </w:t>
      </w:r>
      <w:r w:rsidRPr="00E55CA1">
        <w:rPr>
          <w:sz w:val="20"/>
          <w:lang w:val="es-ES_tradnl"/>
        </w:rPr>
        <w:t>:</w:t>
      </w:r>
      <w:r w:rsidRPr="00E55CA1">
        <w:rPr>
          <w:lang w:val="es-ES_tradnl"/>
        </w:rPr>
        <w:tab/>
        <w:t>interferencia entre servicios calculada a partir de la atribución de la</w:t>
      </w:r>
      <w:r>
        <w:rPr>
          <w:lang w:val="es-ES_tradnl"/>
        </w:rPr>
        <w:t xml:space="preserve"> interferencia entre servicios a la interferencia producida por el SFS en el receptor del servicio fijo</w:t>
      </w:r>
    </w:p>
    <w:p w:rsidR="00C770FE" w:rsidRPr="00E55CA1" w:rsidRDefault="00C770FE" w:rsidP="0095075B">
      <w:pPr>
        <w:pStyle w:val="Equationlegend"/>
        <w:rPr>
          <w:lang w:val="es-ES_tradnl"/>
        </w:rPr>
      </w:pPr>
      <w:r w:rsidRPr="00E55CA1">
        <w:rPr>
          <w:lang w:val="es-ES_tradnl"/>
        </w:rPr>
        <w:tab/>
      </w:r>
      <w:r w:rsidRPr="00E55CA1">
        <w:rPr>
          <w:i/>
          <w:iCs/>
          <w:lang w:val="es-ES_tradnl"/>
        </w:rPr>
        <w:t>I</w:t>
      </w:r>
      <w:r w:rsidRPr="00E55CA1">
        <w:rPr>
          <w:i/>
          <w:iCs/>
          <w:position w:val="-4"/>
          <w:sz w:val="20"/>
          <w:lang w:val="es-ES_tradnl"/>
        </w:rPr>
        <w:t>OSG Total</w:t>
      </w:r>
      <w:r w:rsidRPr="00E55CA1">
        <w:rPr>
          <w:sz w:val="12"/>
          <w:lang w:val="es-ES_tradnl"/>
        </w:rPr>
        <w:t> </w:t>
      </w:r>
      <w:r w:rsidRPr="00E55CA1">
        <w:rPr>
          <w:sz w:val="20"/>
          <w:lang w:val="es-ES_tradnl"/>
        </w:rPr>
        <w:t>:</w:t>
      </w:r>
      <w:r w:rsidRPr="00E55CA1">
        <w:rPr>
          <w:lang w:val="es-ES_tradnl"/>
        </w:rPr>
        <w:tab/>
        <w:t xml:space="preserve">interferencia externa total recibida por el receptor </w:t>
      </w:r>
      <w:r w:rsidRPr="00E55CA1">
        <w:rPr>
          <w:i/>
          <w:iCs/>
          <w:lang w:val="es-ES_tradnl"/>
        </w:rPr>
        <w:t>i</w:t>
      </w:r>
      <w:r w:rsidRPr="00E55CA1">
        <w:rPr>
          <w:lang w:val="es-ES_tradnl"/>
        </w:rPr>
        <w:t>-ésimo del servicio fijo interferido por los enlaces espacio-Tierra de todos los satélites OSG (véase el § 6.6), modificada por el desvanecimiento debido a la lluvia en el trayecto oblicuo, si es el caso</w:t>
      </w:r>
    </w:p>
    <w:p w:rsidR="00C770FE" w:rsidRPr="00E55CA1" w:rsidRDefault="00C770FE" w:rsidP="0095075B">
      <w:pPr>
        <w:pStyle w:val="Equationlegend"/>
        <w:rPr>
          <w:lang w:val="es-ES_tradnl"/>
        </w:rPr>
      </w:pPr>
      <w:r w:rsidRPr="00E55CA1">
        <w:rPr>
          <w:lang w:val="es-ES_tradnl"/>
        </w:rPr>
        <w:tab/>
        <w:t>(</w:t>
      </w:r>
      <w:r w:rsidRPr="00E55CA1">
        <w:rPr>
          <w:i/>
          <w:iCs/>
          <w:lang w:val="es-ES_tradnl"/>
        </w:rPr>
        <w:t>C</w:t>
      </w:r>
      <w:r w:rsidRPr="00E55CA1">
        <w:rPr>
          <w:lang w:val="es-ES_tradnl"/>
        </w:rPr>
        <w:t>/</w:t>
      </w:r>
      <w:r w:rsidRPr="00E55CA1">
        <w:rPr>
          <w:i/>
          <w:iCs/>
          <w:lang w:val="es-ES_tradnl"/>
        </w:rPr>
        <w:t>N</w:t>
      </w:r>
      <w:r w:rsidRPr="00E55CA1">
        <w:rPr>
          <w:sz w:val="12"/>
          <w:lang w:val="es-ES_tradnl"/>
        </w:rPr>
        <w:t> </w:t>
      </w:r>
      <w:r w:rsidRPr="00E55CA1">
        <w:rPr>
          <w:lang w:val="es-ES_tradnl"/>
        </w:rPr>
        <w:t>)</w:t>
      </w:r>
      <w:r w:rsidRPr="00E55CA1">
        <w:rPr>
          <w:i/>
          <w:iCs/>
          <w:position w:val="-4"/>
          <w:sz w:val="20"/>
          <w:lang w:val="es-ES_tradnl"/>
        </w:rPr>
        <w:t>umbral</w:t>
      </w:r>
      <w:r w:rsidRPr="00E55CA1">
        <w:rPr>
          <w:sz w:val="12"/>
          <w:lang w:val="es-ES_tradnl"/>
        </w:rPr>
        <w:t> </w:t>
      </w:r>
      <w:r w:rsidRPr="00E55CA1">
        <w:rPr>
          <w:sz w:val="20"/>
          <w:lang w:val="es-ES_tradnl"/>
        </w:rPr>
        <w:t>:</w:t>
      </w:r>
      <w:r w:rsidRPr="00E55CA1">
        <w:rPr>
          <w:lang w:val="es-ES_tradnl"/>
        </w:rPr>
        <w:tab/>
        <w:t>relación umbral portadora/ruido del receptor del servicio fijo interferido.</w:t>
      </w:r>
    </w:p>
    <w:p w:rsidR="00C770FE" w:rsidRPr="00E55CA1" w:rsidRDefault="00C770FE" w:rsidP="00244027">
      <w:pPr>
        <w:rPr>
          <w:lang w:val="es-ES_tradnl"/>
        </w:rPr>
      </w:pPr>
      <w:r w:rsidRPr="00E55CA1">
        <w:rPr>
          <w:lang w:val="es-ES_tradnl"/>
        </w:rPr>
        <w:t xml:space="preserve">El nivel de la diferencia del margen, </w:t>
      </w:r>
      <w:r w:rsidR="002F1F6B" w:rsidRPr="00E55CA1">
        <w:rPr>
          <w:lang w:val="es-ES_tradnl"/>
        </w:rPr>
        <w:sym w:font="Symbol" w:char="F044"/>
      </w:r>
      <w:r w:rsidRPr="00E55CA1">
        <w:rPr>
          <w:i/>
          <w:lang w:val="es-ES_tradnl"/>
        </w:rPr>
        <w:t>M</w:t>
      </w:r>
      <w:r w:rsidRPr="00E55CA1">
        <w:rPr>
          <w:b/>
          <w:bCs/>
          <w:lang w:val="es-ES_tradnl"/>
        </w:rPr>
        <w:t xml:space="preserve"> </w:t>
      </w:r>
      <w:r w:rsidRPr="00E55CA1">
        <w:rPr>
          <w:lang w:val="es-ES_tradnl"/>
        </w:rPr>
        <w:t xml:space="preserve">puede calcularse utilizando el valor de </w:t>
      </w:r>
      <w:r w:rsidRPr="00E55CA1">
        <w:rPr>
          <w:i/>
          <w:lang w:val="es-ES_tradnl"/>
        </w:rPr>
        <w:t>M</w:t>
      </w:r>
      <w:r w:rsidRPr="00E55CA1">
        <w:rPr>
          <w:i/>
          <w:vertAlign w:val="subscript"/>
          <w:lang w:val="es-ES_tradnl"/>
        </w:rPr>
        <w:t>Avail</w:t>
      </w:r>
      <w:r w:rsidRPr="00E55CA1">
        <w:rPr>
          <w:i/>
          <w:lang w:val="es-ES_tradnl"/>
        </w:rPr>
        <w:t xml:space="preserve"> </w:t>
      </w:r>
      <w:r w:rsidRPr="00E55CA1">
        <w:rPr>
          <w:lang w:val="es-ES_tradnl"/>
        </w:rPr>
        <w:t xml:space="preserve">de la ecuación (13) y el valor de </w:t>
      </w:r>
      <w:r w:rsidRPr="00E55CA1">
        <w:rPr>
          <w:i/>
          <w:lang w:val="es-ES_tradnl"/>
        </w:rPr>
        <w:t>M</w:t>
      </w:r>
      <w:r w:rsidRPr="00E55CA1">
        <w:rPr>
          <w:i/>
          <w:iCs/>
          <w:position w:val="-4"/>
          <w:sz w:val="20"/>
          <w:lang w:val="es-ES_tradnl"/>
        </w:rPr>
        <w:t>Req</w:t>
      </w:r>
      <w:r w:rsidRPr="00E55CA1">
        <w:rPr>
          <w:i/>
          <w:vertAlign w:val="subscript"/>
          <w:lang w:val="es-ES_tradnl"/>
        </w:rPr>
        <w:t xml:space="preserve"> </w:t>
      </w:r>
      <w:r w:rsidRPr="00E55CA1">
        <w:rPr>
          <w:lang w:val="es-ES_tradnl"/>
        </w:rPr>
        <w:t xml:space="preserve">de la ecuación (3). La disponibilidad lograda, en presencia de la interferencia externa, es inferior a la disponibilidad de diseño, si </w:t>
      </w:r>
      <w:r w:rsidR="002F1F6B" w:rsidRPr="00E55CA1">
        <w:rPr>
          <w:lang w:val="es-ES_tradnl"/>
        </w:rPr>
        <w:sym w:font="Symbol" w:char="F044"/>
      </w:r>
      <w:r w:rsidRPr="00E55CA1">
        <w:rPr>
          <w:i/>
          <w:lang w:val="es-ES_tradnl"/>
        </w:rPr>
        <w:t>M</w:t>
      </w:r>
      <w:r w:rsidRPr="00E55CA1">
        <w:rPr>
          <w:lang w:val="es-ES_tradnl"/>
        </w:rPr>
        <w:t xml:space="preserve"> es negativo. En el caso de sistemas P-P, este modelo supone que los enlaces se diseñan para cumplir</w:t>
      </w:r>
      <w:r>
        <w:rPr>
          <w:lang w:val="es-ES_tradnl"/>
        </w:rPr>
        <w:t xml:space="preserve"> justamente una </w:t>
      </w:r>
      <w:r w:rsidRPr="00E55CA1">
        <w:rPr>
          <w:lang w:val="es-ES_tradnl"/>
        </w:rPr>
        <w:t xml:space="preserve">disponibilidad de diseño en ausencia de interferencia entre sistemas y que </w:t>
      </w:r>
      <w:r w:rsidR="002F1F6B" w:rsidRPr="00E55CA1">
        <w:rPr>
          <w:lang w:val="es-ES_tradnl"/>
        </w:rPr>
        <w:sym w:font="Symbol" w:char="F044"/>
      </w:r>
      <w:r w:rsidRPr="00E55CA1">
        <w:rPr>
          <w:i/>
          <w:lang w:val="es-ES_tradnl"/>
        </w:rPr>
        <w:t>M</w:t>
      </w:r>
      <w:r w:rsidRPr="00E55CA1">
        <w:rPr>
          <w:b/>
          <w:bCs/>
          <w:lang w:val="es-ES_tradnl"/>
        </w:rPr>
        <w:t xml:space="preserve"> </w:t>
      </w:r>
      <w:r w:rsidRPr="00E55CA1">
        <w:rPr>
          <w:lang w:val="es-ES_tradnl"/>
        </w:rPr>
        <w:t xml:space="preserve">será negativo en presencia de cualquier interferencia exterior. No obstante, en el caso de sistemas P-M, </w:t>
      </w:r>
      <w:r w:rsidR="002F1F6B" w:rsidRPr="00E55CA1">
        <w:rPr>
          <w:lang w:val="es-ES_tradnl"/>
        </w:rPr>
        <w:sym w:font="Symbol" w:char="F044"/>
      </w:r>
      <w:r w:rsidRPr="00E55CA1">
        <w:rPr>
          <w:i/>
          <w:iCs/>
          <w:lang w:val="es-ES_tradnl"/>
        </w:rPr>
        <w:t>M</w:t>
      </w:r>
      <w:r w:rsidRPr="00E55CA1">
        <w:rPr>
          <w:lang w:val="es-ES_tradnl"/>
        </w:rPr>
        <w:t xml:space="preserve"> puede ser positivo para un gran porcentaje de posibles receptores. Esto se traduce en que los abonados de ciertos emplazamientos de una célula P-MP</w:t>
      </w:r>
      <w:r w:rsidRPr="00E55CA1">
        <w:rPr>
          <w:b/>
          <w:bCs/>
          <w:lang w:val="es-ES_tradnl"/>
        </w:rPr>
        <w:t xml:space="preserve"> </w:t>
      </w:r>
      <w:r w:rsidRPr="00E55CA1">
        <w:rPr>
          <w:lang w:val="es-ES_tradnl"/>
        </w:rPr>
        <w:t>reciben con una disponibilidad lograda</w:t>
      </w:r>
      <w:r w:rsidR="00244027">
        <w:rPr>
          <w:lang w:val="es-ES_tradnl"/>
        </w:rPr>
        <w:t xml:space="preserve"> </w:t>
      </w:r>
      <w:r w:rsidR="00244027">
        <w:rPr>
          <w:lang w:val="es-ES_tradnl"/>
        </w:rPr>
        <w:fldChar w:fldCharType="begin"/>
      </w:r>
      <w:r w:rsidR="00244027">
        <w:rPr>
          <w:lang w:val="es-ES_tradnl"/>
        </w:rPr>
        <w:instrText xml:space="preserve"> EQ  </w:instrText>
      </w:r>
      <w:r w:rsidR="00244027" w:rsidRPr="00E55CA1">
        <w:rPr>
          <w:lang w:val="es-ES_tradnl"/>
        </w:rPr>
        <w:instrText>(100 – </w:instrText>
      </w:r>
      <w:r w:rsidR="00244027" w:rsidRPr="00E55CA1">
        <w:rPr>
          <w:i/>
          <w:lang w:val="es-ES_tradnl"/>
        </w:rPr>
        <w:instrText>p</w:instrText>
      </w:r>
      <w:r w:rsidR="00244027" w:rsidRPr="00E55CA1">
        <w:rPr>
          <w:i/>
          <w:iCs/>
          <w:position w:val="-4"/>
          <w:sz w:val="20"/>
          <w:lang w:val="es-ES_tradnl"/>
        </w:rPr>
        <w:instrText>Unavail</w:instrText>
      </w:r>
      <w:r w:rsidR="00244027" w:rsidRPr="00E55CA1">
        <w:rPr>
          <w:lang w:val="es-ES_tradnl"/>
        </w:rPr>
        <w:instrText>%)</w:instrText>
      </w:r>
      <w:r w:rsidR="00244027">
        <w:rPr>
          <w:lang w:val="es-ES_tradnl"/>
        </w:rPr>
        <w:fldChar w:fldCharType="end"/>
      </w:r>
      <w:r w:rsidRPr="00E55CA1">
        <w:rPr>
          <w:lang w:val="es-ES_tradnl"/>
        </w:rPr>
        <w:t xml:space="preserve"> que excede de su disponibilidad de diseño (100 – </w:t>
      </w:r>
      <w:r w:rsidRPr="00E55CA1">
        <w:rPr>
          <w:i/>
          <w:lang w:val="es-ES_tradnl"/>
        </w:rPr>
        <w:t>p</w:t>
      </w:r>
      <w:r w:rsidRPr="00E55CA1">
        <w:rPr>
          <w:i/>
          <w:iCs/>
          <w:position w:val="-4"/>
          <w:sz w:val="20"/>
          <w:lang w:val="es-ES_tradnl"/>
        </w:rPr>
        <w:t>D</w:t>
      </w:r>
      <w:r w:rsidRPr="00E55CA1">
        <w:rPr>
          <w:lang w:val="es-ES_tradnl"/>
        </w:rPr>
        <w:t>%).</w:t>
      </w:r>
    </w:p>
    <w:p w:rsidR="00C770FE" w:rsidRPr="00E55CA1" w:rsidRDefault="00C770FE" w:rsidP="00244027">
      <w:pPr>
        <w:rPr>
          <w:lang w:val="es-ES_tradnl"/>
        </w:rPr>
      </w:pPr>
      <w:r w:rsidRPr="00E55CA1">
        <w:rPr>
          <w:lang w:val="es-ES_tradnl"/>
        </w:rPr>
        <w:t xml:space="preserve">Puede calcularse un nuevo valor de </w:t>
      </w:r>
      <w:r w:rsidRPr="00E55CA1">
        <w:rPr>
          <w:i/>
          <w:iCs/>
          <w:lang w:val="es-ES_tradnl"/>
        </w:rPr>
        <w:t>A</w:t>
      </w:r>
      <w:r w:rsidRPr="00E55CA1">
        <w:rPr>
          <w:lang w:val="es-ES_tradnl"/>
        </w:rPr>
        <w:t>(</w:t>
      </w:r>
      <w:r w:rsidRPr="00E55CA1">
        <w:rPr>
          <w:sz w:val="20"/>
          <w:lang w:val="es-ES_tradnl"/>
        </w:rPr>
        <w:t xml:space="preserve"> </w:t>
      </w:r>
      <w:r w:rsidRPr="00E55CA1">
        <w:rPr>
          <w:i/>
          <w:iCs/>
          <w:lang w:val="es-ES_tradnl"/>
        </w:rPr>
        <w:t>p</w:t>
      </w:r>
      <w:r w:rsidRPr="00E55CA1">
        <w:rPr>
          <w:lang w:val="es-ES_tradnl"/>
        </w:rPr>
        <w:t xml:space="preserve">), </w:t>
      </w:r>
      <w:r w:rsidRPr="00E55CA1">
        <w:rPr>
          <w:i/>
          <w:iCs/>
          <w:lang w:val="es-ES_tradnl"/>
        </w:rPr>
        <w:t>A</w:t>
      </w:r>
      <w:r w:rsidRPr="00E55CA1">
        <w:rPr>
          <w:i/>
          <w:iCs/>
          <w:position w:val="-4"/>
          <w:sz w:val="20"/>
          <w:lang w:val="es-ES_tradnl"/>
        </w:rPr>
        <w:t>j</w:t>
      </w:r>
      <w:r w:rsidRPr="00E55CA1">
        <w:rPr>
          <w:lang w:val="es-ES_tradnl"/>
        </w:rPr>
        <w:t>(</w:t>
      </w:r>
      <w:r w:rsidRPr="00E55CA1">
        <w:rPr>
          <w:sz w:val="20"/>
          <w:lang w:val="es-ES_tradnl"/>
        </w:rPr>
        <w:t xml:space="preserve"> </w:t>
      </w:r>
      <w:r w:rsidRPr="00E55CA1">
        <w:rPr>
          <w:i/>
          <w:iCs/>
          <w:lang w:val="es-ES_tradnl"/>
        </w:rPr>
        <w:t>p</w:t>
      </w:r>
      <w:r w:rsidRPr="00E55CA1">
        <w:rPr>
          <w:i/>
          <w:iCs/>
          <w:position w:val="-4"/>
          <w:sz w:val="20"/>
          <w:lang w:val="es-ES_tradnl"/>
        </w:rPr>
        <w:t>j</w:t>
      </w:r>
      <w:r w:rsidRPr="00E55CA1">
        <w:rPr>
          <w:lang w:val="es-ES_tradnl"/>
        </w:rPr>
        <w:t>), a partir de la ecuación (14) siguiente para calcular una nueva disponibilidad lograda que sea igual a (100 – </w:t>
      </w:r>
      <w:r w:rsidRPr="00E55CA1">
        <w:rPr>
          <w:i/>
          <w:iCs/>
          <w:lang w:val="es-ES_tradnl"/>
        </w:rPr>
        <w:t>p</w:t>
      </w:r>
      <w:r w:rsidRPr="00E55CA1">
        <w:rPr>
          <w:i/>
          <w:iCs/>
          <w:position w:val="-4"/>
          <w:sz w:val="20"/>
          <w:lang w:val="es-ES_tradnl"/>
        </w:rPr>
        <w:t>j</w:t>
      </w:r>
      <w:r w:rsidRPr="00E55CA1">
        <w:rPr>
          <w:lang w:val="es-ES_tradnl"/>
        </w:rPr>
        <w:t xml:space="preserve"> (%)), resolviendo la expresión en </w:t>
      </w:r>
      <w:r w:rsidRPr="00E55CA1">
        <w:rPr>
          <w:i/>
          <w:iCs/>
          <w:lang w:val="es-ES_tradnl"/>
        </w:rPr>
        <w:t>p</w:t>
      </w:r>
      <w:r w:rsidRPr="00E55CA1">
        <w:rPr>
          <w:i/>
          <w:iCs/>
          <w:position w:val="-4"/>
          <w:sz w:val="20"/>
          <w:lang w:val="es-ES_tradnl"/>
        </w:rPr>
        <w:t>j</w:t>
      </w:r>
      <w:r w:rsidRPr="00E55CA1">
        <w:rPr>
          <w:lang w:val="es-ES_tradnl"/>
        </w:rPr>
        <w:t xml:space="preserve">, e igualando </w:t>
      </w:r>
      <w:r w:rsidRPr="00E55CA1">
        <w:rPr>
          <w:i/>
          <w:iCs/>
          <w:lang w:val="es-ES_tradnl"/>
        </w:rPr>
        <w:t>A</w:t>
      </w:r>
      <w:r w:rsidRPr="00E55CA1">
        <w:rPr>
          <w:i/>
          <w:iCs/>
          <w:position w:val="-4"/>
          <w:sz w:val="20"/>
          <w:lang w:val="es-ES_tradnl"/>
        </w:rPr>
        <w:t>j</w:t>
      </w:r>
      <w:r w:rsidRPr="00E55CA1">
        <w:rPr>
          <w:lang w:val="es-ES_tradnl"/>
        </w:rPr>
        <w:t>(</w:t>
      </w:r>
      <w:r w:rsidRPr="00E55CA1">
        <w:rPr>
          <w:sz w:val="20"/>
          <w:lang w:val="es-ES_tradnl"/>
        </w:rPr>
        <w:t> </w:t>
      </w:r>
      <w:r w:rsidRPr="00E55CA1">
        <w:rPr>
          <w:i/>
          <w:iCs/>
          <w:lang w:val="es-ES_tradnl"/>
        </w:rPr>
        <w:t>p</w:t>
      </w:r>
      <w:r w:rsidRPr="00E55CA1">
        <w:rPr>
          <w:i/>
          <w:iCs/>
          <w:position w:val="-4"/>
          <w:sz w:val="20"/>
          <w:lang w:val="es-ES_tradnl"/>
        </w:rPr>
        <w:t>j</w:t>
      </w:r>
      <w:r w:rsidRPr="00E55CA1">
        <w:rPr>
          <w:lang w:val="es-ES_tradnl"/>
        </w:rPr>
        <w:t xml:space="preserve">) a </w:t>
      </w:r>
      <w:r w:rsidRPr="00E55CA1">
        <w:rPr>
          <w:i/>
          <w:iCs/>
          <w:lang w:val="es-ES_tradnl"/>
        </w:rPr>
        <w:t>Ap</w:t>
      </w:r>
      <w:r w:rsidRPr="00E55CA1">
        <w:rPr>
          <w:lang w:val="es-ES_tradnl"/>
        </w:rPr>
        <w:t xml:space="preserve"> en la ecuación (42) (o en la ecuación (43) según el caso), de la Recomendación</w:t>
      </w:r>
      <w:r w:rsidR="00244027">
        <w:rPr>
          <w:lang w:val="es-ES_tradnl"/>
        </w:rPr>
        <w:t xml:space="preserve"> </w:t>
      </w:r>
      <w:r w:rsidRPr="00E55CA1">
        <w:rPr>
          <w:lang w:val="es-ES_tradnl"/>
        </w:rPr>
        <w:t>UIT</w:t>
      </w:r>
      <w:r w:rsidRPr="00E55CA1">
        <w:rPr>
          <w:lang w:val="es-ES_tradnl"/>
        </w:rPr>
        <w:noBreakHyphen/>
        <w:t>R P.530:</w:t>
      </w:r>
    </w:p>
    <w:p w:rsidR="00244027" w:rsidRDefault="00244027" w:rsidP="00244027">
      <w:pPr>
        <w:pStyle w:val="Blanc"/>
      </w:pPr>
    </w:p>
    <w:p w:rsidR="00C770FE" w:rsidRPr="00244027" w:rsidRDefault="00C770FE" w:rsidP="0095075B">
      <w:pPr>
        <w:pStyle w:val="Equation"/>
      </w:pPr>
      <w:r w:rsidRPr="00244027">
        <w:tab/>
      </w:r>
      <w:r w:rsidRPr="00244027">
        <w:tab/>
      </w:r>
      <w:r w:rsidR="00244027" w:rsidRPr="00244027">
        <w:rPr>
          <w:position w:val="-14"/>
        </w:rPr>
        <w:object w:dxaOrig="4880" w:dyaOrig="380">
          <v:shape id="_x0000_i1038" type="#_x0000_t75" style="width:244.2pt;height:19.2pt" o:ole="">
            <v:imagedata r:id="rId41" o:title=""/>
          </v:shape>
          <o:OLEObject Type="Embed" ProgID="Equation.3" ShapeID="_x0000_i1038" DrawAspect="Content" ObjectID="_1368531411" r:id="rId42"/>
        </w:object>
      </w:r>
      <w:r w:rsidRPr="00244027">
        <w:tab/>
        <w:t>(14)</w:t>
      </w:r>
    </w:p>
    <w:p w:rsidR="00C770FE" w:rsidRPr="00E55CA1" w:rsidRDefault="00C770FE" w:rsidP="002F1F6B">
      <w:pPr>
        <w:rPr>
          <w:lang w:val="es-ES_tradnl"/>
        </w:rPr>
      </w:pPr>
      <w:r w:rsidRPr="00E55CA1">
        <w:rPr>
          <w:lang w:val="es-ES_tradnl"/>
        </w:rPr>
        <w:t xml:space="preserve">Debe resolverse el cálculo de la disponibilidad lograda para los posibles receptores del servicio fijo en los que hay un satélite OSG dentro del arco </w:t>
      </w:r>
      <w:r w:rsidR="002F1F6B" w:rsidRPr="00E55CA1">
        <w:rPr>
          <w:lang w:val="es-ES_tradnl"/>
        </w:rPr>
        <w:sym w:font="Symbol" w:char="F06A"/>
      </w:r>
      <w:r w:rsidRPr="00E55CA1">
        <w:rPr>
          <w:i/>
          <w:iCs/>
          <w:position w:val="-4"/>
          <w:sz w:val="20"/>
          <w:lang w:val="es-ES_tradnl"/>
        </w:rPr>
        <w:t>m</w:t>
      </w:r>
      <w:r w:rsidRPr="00E55CA1">
        <w:rPr>
          <w:vertAlign w:val="subscript"/>
          <w:lang w:val="es-ES_tradnl"/>
        </w:rPr>
        <w:t xml:space="preserve"> </w:t>
      </w:r>
      <w:r w:rsidRPr="00E55CA1">
        <w:rPr>
          <w:lang w:val="es-ES_tradnl"/>
        </w:rPr>
        <w:t>. Cuando los trayectos deseado e interferentes son colineales, debe establecerse la correlación al 100% entre la parte del trayecto que es común a las estaciones terrenales deseada y espacial interferente. Se supone la correlación entre el desvanecimiento debido a la lluvia en</w:t>
      </w:r>
      <w:r>
        <w:rPr>
          <w:lang w:val="es-ES_tradnl"/>
        </w:rPr>
        <w:t xml:space="preserve"> el trayecto oblicuo entre el transmisor deseado del servicio </w:t>
      </w:r>
      <w:r w:rsidRPr="00E55CA1">
        <w:rPr>
          <w:lang w:val="es-ES_tradnl"/>
        </w:rPr>
        <w:t xml:space="preserve">fijo y el satélite interferente del SFS OSG con desvanecimiento por el trayecto deseado únicamente cuando el satélite está dentro de </w:t>
      </w:r>
      <w:r w:rsidR="002F1F6B" w:rsidRPr="00E55CA1">
        <w:rPr>
          <w:lang w:val="es-ES_tradnl"/>
        </w:rPr>
        <w:sym w:font="Symbol" w:char="F06A"/>
      </w:r>
      <w:r w:rsidRPr="00E55CA1">
        <w:rPr>
          <w:i/>
          <w:iCs/>
          <w:position w:val="-4"/>
          <w:sz w:val="20"/>
          <w:lang w:val="es-ES_tradnl"/>
        </w:rPr>
        <w:t>m</w:t>
      </w:r>
      <w:r w:rsidRPr="00E55CA1">
        <w:rPr>
          <w:lang w:val="es-ES_tradnl"/>
        </w:rPr>
        <w:t xml:space="preserve"> del eje de puntería de una posible antena receptora del servicio fijo. En estas condiciones, el porcentaje correspondiente del tiempo </w:t>
      </w:r>
      <w:r w:rsidRPr="00E55CA1">
        <w:rPr>
          <w:i/>
          <w:lang w:val="es-ES_tradnl"/>
        </w:rPr>
        <w:t>p</w:t>
      </w:r>
      <w:r w:rsidRPr="00E55CA1">
        <w:rPr>
          <w:i/>
          <w:iCs/>
          <w:position w:val="-4"/>
          <w:sz w:val="20"/>
          <w:lang w:val="es-ES_tradnl"/>
        </w:rPr>
        <w:t>Unavail</w:t>
      </w:r>
      <w:r w:rsidRPr="00E55CA1">
        <w:rPr>
          <w:lang w:val="es-ES_tradnl"/>
        </w:rPr>
        <w:t xml:space="preserve"> durante el que la atenuación del trayecto deseado terrenal y del trayecto oblicuo de interferencia se exceden debe ser el mismo. Ha de aplicarse el algoritmo siguiente:</w:t>
      </w:r>
    </w:p>
    <w:p w:rsidR="00C770FE" w:rsidRPr="00E55CA1" w:rsidRDefault="00C770FE" w:rsidP="00244027">
      <w:pPr>
        <w:pStyle w:val="headingb0"/>
        <w:jc w:val="both"/>
        <w:rPr>
          <w:lang w:val="es-ES_tradnl"/>
        </w:rPr>
      </w:pPr>
      <w:r w:rsidRPr="00E55CA1">
        <w:rPr>
          <w:lang w:val="es-ES_tradnl"/>
        </w:rPr>
        <w:lastRenderedPageBreak/>
        <w:t>Procedimiento repetitivo para calcular la disponibilidad lograda del receptor del servicio fijo</w:t>
      </w:r>
      <w:r w:rsidR="00244027">
        <w:rPr>
          <w:lang w:val="es-ES_tradnl"/>
        </w:rPr>
        <w:t xml:space="preserve"> </w:t>
      </w:r>
      <w:r w:rsidRPr="00E55CA1">
        <w:rPr>
          <w:lang w:val="es-ES_tradnl"/>
        </w:rPr>
        <w:t>en presencia de una dirección próxima de la interferencia de sistemas de satélites OSG del</w:t>
      </w:r>
      <w:r w:rsidR="00244027">
        <w:rPr>
          <w:lang w:val="es-ES_tradnl"/>
        </w:rPr>
        <w:t xml:space="preserve"> </w:t>
      </w:r>
      <w:r w:rsidRPr="00E55CA1">
        <w:rPr>
          <w:lang w:val="es-ES_tradnl"/>
        </w:rPr>
        <w:t>SFS</w:t>
      </w:r>
    </w:p>
    <w:p w:rsidR="00C770FE" w:rsidRPr="00E55CA1" w:rsidRDefault="00C770FE" w:rsidP="0095075B">
      <w:pPr>
        <w:rPr>
          <w:lang w:val="es-ES_tradnl"/>
        </w:rPr>
      </w:pPr>
      <w:r w:rsidRPr="00E55CA1">
        <w:rPr>
          <w:lang w:val="es-ES_tradnl"/>
        </w:rPr>
        <w:t>Inicio:</w:t>
      </w:r>
    </w:p>
    <w:p w:rsidR="00C770FE" w:rsidRPr="00E55CA1" w:rsidRDefault="00C770FE" w:rsidP="00822BB1">
      <w:pPr>
        <w:rPr>
          <w:lang w:val="es-ES_tradnl"/>
        </w:rPr>
      </w:pPr>
      <w:r w:rsidRPr="00E55CA1">
        <w:rPr>
          <w:i/>
          <w:iCs/>
          <w:lang w:val="es-ES_tradnl"/>
        </w:rPr>
        <w:t>Paso 1:</w:t>
      </w:r>
      <w:r w:rsidRPr="00E55CA1">
        <w:rPr>
          <w:lang w:val="es-ES_tradnl"/>
        </w:rPr>
        <w:tab/>
      </w:r>
      <w:r w:rsidR="00822BB1">
        <w:rPr>
          <w:lang w:val="es-ES_tradnl"/>
        </w:rPr>
        <w:tab/>
      </w:r>
      <w:r w:rsidRPr="00E55CA1">
        <w:rPr>
          <w:lang w:val="es-ES_tradnl"/>
        </w:rPr>
        <w:t xml:space="preserve">Calcular </w:t>
      </w:r>
      <w:r w:rsidRPr="00E55CA1">
        <w:rPr>
          <w:i/>
          <w:iCs/>
          <w:lang w:val="es-ES_tradnl"/>
        </w:rPr>
        <w:t>M</w:t>
      </w:r>
      <w:r w:rsidRPr="00E55CA1">
        <w:rPr>
          <w:i/>
          <w:iCs/>
          <w:position w:val="-4"/>
          <w:sz w:val="20"/>
          <w:lang w:val="es-ES_tradnl"/>
        </w:rPr>
        <w:t>Req</w:t>
      </w:r>
      <w:r w:rsidRPr="00E55CA1">
        <w:rPr>
          <w:lang w:val="es-ES_tradnl"/>
        </w:rPr>
        <w:t> </w:t>
      </w:r>
      <w:r w:rsidR="003B0CD3">
        <w:rPr>
          <w:lang w:val="es-ES_tradnl"/>
        </w:rPr>
        <w:t>=</w:t>
      </w:r>
      <w:r w:rsidRPr="00E55CA1">
        <w:rPr>
          <w:lang w:val="es-ES_tradnl"/>
        </w:rPr>
        <w:t> </w:t>
      </w:r>
      <w:r w:rsidRPr="00E55CA1">
        <w:rPr>
          <w:i/>
          <w:iCs/>
          <w:lang w:val="es-ES_tradnl"/>
        </w:rPr>
        <w:t>A</w:t>
      </w:r>
      <w:r w:rsidRPr="00E55CA1">
        <w:rPr>
          <w:lang w:val="es-ES_tradnl"/>
        </w:rPr>
        <w:t>(</w:t>
      </w:r>
      <w:r w:rsidRPr="00E55CA1">
        <w:rPr>
          <w:sz w:val="20"/>
          <w:lang w:val="es-ES_tradnl"/>
        </w:rPr>
        <w:t xml:space="preserve"> </w:t>
      </w:r>
      <w:r w:rsidRPr="00E55CA1">
        <w:rPr>
          <w:i/>
          <w:iCs/>
          <w:lang w:val="es-ES_tradnl"/>
        </w:rPr>
        <w:t>p</w:t>
      </w:r>
      <w:r w:rsidRPr="00E55CA1">
        <w:rPr>
          <w:i/>
          <w:iCs/>
          <w:position w:val="-4"/>
          <w:sz w:val="20"/>
          <w:lang w:val="es-ES_tradnl"/>
        </w:rPr>
        <w:t>D</w:t>
      </w:r>
      <w:r w:rsidRPr="00E55CA1">
        <w:rPr>
          <w:lang w:val="es-ES_tradnl"/>
        </w:rPr>
        <w:t>) (ecuación (4))</w:t>
      </w:r>
    </w:p>
    <w:p w:rsidR="00C770FE" w:rsidRPr="00E55CA1" w:rsidRDefault="00C770FE" w:rsidP="00822BB1">
      <w:pPr>
        <w:rPr>
          <w:lang w:val="es-ES_tradnl"/>
        </w:rPr>
      </w:pPr>
      <w:r w:rsidRPr="00E55CA1">
        <w:rPr>
          <w:i/>
          <w:iCs/>
          <w:lang w:val="es-ES_tradnl"/>
        </w:rPr>
        <w:t>Paso 2:</w:t>
      </w:r>
      <w:r w:rsidRPr="00E55CA1">
        <w:rPr>
          <w:lang w:val="es-ES_tradnl"/>
        </w:rPr>
        <w:tab/>
      </w:r>
      <w:r w:rsidR="00822BB1">
        <w:rPr>
          <w:lang w:val="es-ES_tradnl"/>
        </w:rPr>
        <w:tab/>
      </w:r>
      <w:r w:rsidRPr="00E55CA1">
        <w:rPr>
          <w:lang w:val="es-ES_tradnl"/>
        </w:rPr>
        <w:t xml:space="preserve">Iniciar la repetición, </w:t>
      </w:r>
      <w:r w:rsidRPr="00E55CA1">
        <w:rPr>
          <w:i/>
          <w:iCs/>
          <w:lang w:val="es-ES_tradnl"/>
        </w:rPr>
        <w:t>j</w:t>
      </w:r>
      <w:r w:rsidRPr="00E55CA1">
        <w:rPr>
          <w:lang w:val="es-ES_tradnl"/>
        </w:rPr>
        <w:t> </w:t>
      </w:r>
      <w:r w:rsidR="003B0CD3">
        <w:rPr>
          <w:lang w:val="es-ES_tradnl"/>
        </w:rPr>
        <w:t>=</w:t>
      </w:r>
      <w:r w:rsidRPr="00E55CA1">
        <w:rPr>
          <w:lang w:val="es-ES_tradnl"/>
        </w:rPr>
        <w:t> 1</w:t>
      </w:r>
    </w:p>
    <w:p w:rsidR="00C770FE" w:rsidRPr="00E55CA1" w:rsidRDefault="00C770FE" w:rsidP="00822BB1">
      <w:pPr>
        <w:rPr>
          <w:lang w:val="es-ES_tradnl"/>
        </w:rPr>
      </w:pPr>
      <w:r w:rsidRPr="00E55CA1">
        <w:rPr>
          <w:i/>
          <w:iCs/>
          <w:lang w:val="es-ES_tradnl"/>
        </w:rPr>
        <w:t>Paso 3:</w:t>
      </w:r>
      <w:r w:rsidRPr="00E55CA1">
        <w:rPr>
          <w:lang w:val="es-ES_tradnl"/>
        </w:rPr>
        <w:tab/>
      </w:r>
      <w:r w:rsidR="00822BB1">
        <w:rPr>
          <w:lang w:val="es-ES_tradnl"/>
        </w:rPr>
        <w:tab/>
      </w:r>
      <w:r w:rsidRPr="00E55CA1">
        <w:rPr>
          <w:lang w:val="es-ES_tradnl"/>
        </w:rPr>
        <w:t xml:space="preserve">Hacer </w:t>
      </w:r>
      <w:r w:rsidRPr="00E55CA1">
        <w:rPr>
          <w:i/>
          <w:iCs/>
          <w:lang w:val="es-ES_tradnl"/>
        </w:rPr>
        <w:t>p</w:t>
      </w:r>
      <w:r w:rsidRPr="00E55CA1">
        <w:rPr>
          <w:i/>
          <w:iCs/>
          <w:position w:val="-4"/>
          <w:sz w:val="20"/>
          <w:lang w:val="es-ES_tradnl"/>
        </w:rPr>
        <w:t>j</w:t>
      </w:r>
      <w:r w:rsidRPr="00E55CA1">
        <w:rPr>
          <w:lang w:val="es-ES_tradnl"/>
        </w:rPr>
        <w:t> </w:t>
      </w:r>
      <w:r w:rsidR="003B0CD3">
        <w:rPr>
          <w:lang w:val="es-ES_tradnl"/>
        </w:rPr>
        <w:t>=</w:t>
      </w:r>
      <w:r w:rsidRPr="00E55CA1">
        <w:rPr>
          <w:lang w:val="es-ES_tradnl"/>
        </w:rPr>
        <w:t> </w:t>
      </w:r>
      <w:r w:rsidRPr="00E55CA1">
        <w:rPr>
          <w:i/>
          <w:iCs/>
          <w:lang w:val="es-ES_tradnl"/>
        </w:rPr>
        <w:t>p</w:t>
      </w:r>
      <w:r w:rsidRPr="00E55CA1">
        <w:rPr>
          <w:i/>
          <w:iCs/>
          <w:position w:val="-4"/>
          <w:sz w:val="20"/>
          <w:lang w:val="es-ES_tradnl"/>
        </w:rPr>
        <w:t>D</w:t>
      </w:r>
    </w:p>
    <w:p w:rsidR="00C770FE" w:rsidRPr="003B0CD3" w:rsidRDefault="00C770FE" w:rsidP="00822BB1">
      <w:pPr>
        <w:rPr>
          <w:lang w:val="es-ES_tradnl"/>
        </w:rPr>
      </w:pPr>
      <w:r w:rsidRPr="003B0CD3">
        <w:rPr>
          <w:i/>
          <w:iCs/>
          <w:lang w:val="es-ES_tradnl"/>
        </w:rPr>
        <w:t>Paso 4:</w:t>
      </w:r>
      <w:r w:rsidRPr="003B0CD3">
        <w:rPr>
          <w:lang w:val="es-ES_tradnl"/>
        </w:rPr>
        <w:tab/>
      </w:r>
      <w:r w:rsidR="00822BB1">
        <w:rPr>
          <w:lang w:val="es-ES_tradnl"/>
        </w:rPr>
        <w:tab/>
      </w:r>
      <w:r w:rsidRPr="003B0CD3">
        <w:rPr>
          <w:lang w:val="es-ES_tradnl"/>
        </w:rPr>
        <w:t xml:space="preserve">Calcular </w:t>
      </w:r>
      <w:r w:rsidRPr="003B0CD3">
        <w:rPr>
          <w:i/>
          <w:iCs/>
          <w:lang w:val="es-ES_tradnl"/>
        </w:rPr>
        <w:t>M</w:t>
      </w:r>
      <w:r w:rsidRPr="003B0CD3">
        <w:rPr>
          <w:i/>
          <w:iCs/>
          <w:position w:val="-4"/>
          <w:sz w:val="20"/>
          <w:lang w:val="es-ES_tradnl"/>
        </w:rPr>
        <w:t>Avail j</w:t>
      </w:r>
      <w:r w:rsidRPr="003B0CD3">
        <w:rPr>
          <w:lang w:val="es-ES_tradnl"/>
        </w:rPr>
        <w:t xml:space="preserve"> (</w:t>
      </w:r>
      <w:r w:rsidRPr="003B0CD3">
        <w:rPr>
          <w:i/>
          <w:iCs/>
          <w:sz w:val="20"/>
          <w:lang w:val="es-ES_tradnl"/>
        </w:rPr>
        <w:t xml:space="preserve"> </w:t>
      </w:r>
      <w:r w:rsidRPr="003B0CD3">
        <w:rPr>
          <w:i/>
          <w:iCs/>
          <w:lang w:val="es-ES_tradnl"/>
        </w:rPr>
        <w:t>p</w:t>
      </w:r>
      <w:r w:rsidRPr="003B0CD3">
        <w:rPr>
          <w:i/>
          <w:iCs/>
          <w:position w:val="-4"/>
          <w:sz w:val="20"/>
          <w:lang w:val="es-ES_tradnl"/>
        </w:rPr>
        <w:t>j</w:t>
      </w:r>
      <w:r w:rsidRPr="003B0CD3">
        <w:rPr>
          <w:lang w:val="es-ES_tradnl"/>
        </w:rPr>
        <w:t>) (ecuación (13)).</w:t>
      </w:r>
    </w:p>
    <w:p w:rsidR="00C770FE" w:rsidRPr="003B0CD3" w:rsidRDefault="00C770FE" w:rsidP="00244027">
      <w:pPr>
        <w:rPr>
          <w:lang w:val="es-ES_tradnl"/>
        </w:rPr>
      </w:pPr>
      <w:r w:rsidRPr="003B0CD3">
        <w:rPr>
          <w:lang w:val="es-ES_tradnl"/>
        </w:rPr>
        <w:t xml:space="preserve">Véase que en el valor </w:t>
      </w:r>
      <w:r w:rsidRPr="003B0CD3">
        <w:rPr>
          <w:i/>
          <w:iCs/>
          <w:lang w:val="es-ES_tradnl"/>
        </w:rPr>
        <w:t>I</w:t>
      </w:r>
      <w:r w:rsidRPr="003B0CD3">
        <w:rPr>
          <w:i/>
          <w:iCs/>
          <w:position w:val="-4"/>
          <w:sz w:val="20"/>
          <w:lang w:val="es-ES_tradnl"/>
        </w:rPr>
        <w:t>OSG i</w:t>
      </w:r>
      <w:r w:rsidRPr="003B0CD3">
        <w:rPr>
          <w:lang w:val="es-ES_tradnl"/>
        </w:rPr>
        <w:t xml:space="preserve">, de la ecuación (13) se debe tener en cuenta que las contribuciones de la </w:t>
      </w:r>
      <w:r w:rsidRPr="003B0CD3">
        <w:rPr>
          <w:i/>
          <w:iCs/>
          <w:lang w:val="es-ES_tradnl"/>
        </w:rPr>
        <w:t>I</w:t>
      </w:r>
      <w:r w:rsidRPr="003B0CD3">
        <w:rPr>
          <w:i/>
          <w:iCs/>
          <w:position w:val="-4"/>
          <w:sz w:val="20"/>
          <w:lang w:val="es-ES_tradnl"/>
        </w:rPr>
        <w:t>OSG i</w:t>
      </w:r>
      <w:r w:rsidRPr="003B0CD3">
        <w:rPr>
          <w:lang w:val="es-ES_tradnl"/>
        </w:rPr>
        <w:t xml:space="preserve"> (ecuación 19) en las proximidades del haz principal de la estación del servicio fijo (</w:t>
      </w:r>
      <w:r w:rsidR="002F1F6B" w:rsidRPr="003B0CD3">
        <w:rPr>
          <w:lang w:val="es-ES_tradnl"/>
        </w:rPr>
        <w:sym w:font="Symbol" w:char="F06A"/>
      </w:r>
      <w:r w:rsidRPr="003B0CD3">
        <w:rPr>
          <w:i/>
          <w:iCs/>
          <w:position w:val="-4"/>
          <w:sz w:val="20"/>
          <w:lang w:val="es-ES_tradnl"/>
        </w:rPr>
        <w:t>m</w:t>
      </w:r>
      <w:r w:rsidRPr="003B0CD3">
        <w:rPr>
          <w:lang w:val="es-ES_tradnl"/>
        </w:rPr>
        <w:t xml:space="preserve"> del § 6.1.1.2) se atenúan en </w:t>
      </w:r>
      <w:r w:rsidRPr="003B0CD3">
        <w:rPr>
          <w:i/>
          <w:iCs/>
          <w:lang w:val="es-ES_tradnl"/>
        </w:rPr>
        <w:t>Ap</w:t>
      </w:r>
      <w:r w:rsidRPr="003B0CD3">
        <w:rPr>
          <w:lang w:val="es-ES_tradnl"/>
        </w:rPr>
        <w:t>(</w:t>
      </w:r>
      <w:r w:rsidRPr="003B0CD3">
        <w:rPr>
          <w:sz w:val="16"/>
          <w:lang w:val="es-ES_tradnl"/>
        </w:rPr>
        <w:t> </w:t>
      </w:r>
      <w:r w:rsidRPr="003B0CD3">
        <w:rPr>
          <w:i/>
          <w:iCs/>
          <w:lang w:val="es-ES_tradnl"/>
        </w:rPr>
        <w:t>p</w:t>
      </w:r>
      <w:r w:rsidRPr="003B0CD3">
        <w:rPr>
          <w:i/>
          <w:iCs/>
          <w:position w:val="-4"/>
          <w:sz w:val="20"/>
          <w:lang w:val="es-ES_tradnl"/>
        </w:rPr>
        <w:t>j</w:t>
      </w:r>
      <w:r w:rsidRPr="003B0CD3">
        <w:rPr>
          <w:lang w:val="es-ES_tradnl"/>
        </w:rPr>
        <w:t>) conforme a la ecuación</w:t>
      </w:r>
      <w:r w:rsidR="0008259E">
        <w:rPr>
          <w:lang w:val="es-ES_tradnl"/>
        </w:rPr>
        <w:t xml:space="preserve"> (11) del Paso 10 de la Recomen</w:t>
      </w:r>
      <w:r w:rsidRPr="003B0CD3">
        <w:rPr>
          <w:lang w:val="es-ES_tradnl"/>
        </w:rPr>
        <w:t>dación</w:t>
      </w:r>
      <w:r w:rsidR="00244027">
        <w:rPr>
          <w:lang w:val="es-ES_tradnl"/>
        </w:rPr>
        <w:t xml:space="preserve"> </w:t>
      </w:r>
      <w:r w:rsidRPr="003B0CD3">
        <w:rPr>
          <w:lang w:val="es-ES_tradnl"/>
        </w:rPr>
        <w:t>UIT</w:t>
      </w:r>
      <w:r w:rsidRPr="003B0CD3">
        <w:rPr>
          <w:lang w:val="es-ES_tradnl"/>
        </w:rPr>
        <w:noBreakHyphen/>
        <w:t>R P.618</w:t>
      </w:r>
      <w:r w:rsidRPr="003B0CD3">
        <w:rPr>
          <w:lang w:val="es-ES_tradnl"/>
        </w:rPr>
        <w:noBreakHyphen/>
        <w:t>6.</w:t>
      </w:r>
    </w:p>
    <w:p w:rsidR="00C770FE" w:rsidRPr="003B0CD3" w:rsidRDefault="00C770FE" w:rsidP="0095075B">
      <w:pPr>
        <w:rPr>
          <w:lang w:val="es-ES_tradnl"/>
        </w:rPr>
      </w:pPr>
      <w:r w:rsidRPr="003B0CD3">
        <w:rPr>
          <w:i/>
          <w:iCs/>
          <w:lang w:val="es-ES_tradnl"/>
        </w:rPr>
        <w:t>I</w:t>
      </w:r>
      <w:r w:rsidRPr="003B0CD3">
        <w:rPr>
          <w:i/>
          <w:iCs/>
          <w:position w:val="-4"/>
          <w:sz w:val="20"/>
          <w:lang w:val="es-ES_tradnl"/>
        </w:rPr>
        <w:t>intra i</w:t>
      </w:r>
      <w:r w:rsidRPr="003B0CD3">
        <w:rPr>
          <w:lang w:val="es-ES_tradnl"/>
        </w:rPr>
        <w:t xml:space="preserve">, de la ecuación (13) se atenúa únicamente a lo largo del trayecto horizontal deseado del servicio fijo (rebasado durante el porcentaje </w:t>
      </w:r>
      <w:r w:rsidRPr="003B0CD3">
        <w:rPr>
          <w:i/>
          <w:lang w:val="es-ES_tradnl"/>
        </w:rPr>
        <w:t>p</w:t>
      </w:r>
      <w:r w:rsidRPr="003B0CD3">
        <w:rPr>
          <w:i/>
          <w:iCs/>
          <w:position w:val="-4"/>
          <w:sz w:val="20"/>
          <w:lang w:val="es-ES_tradnl"/>
        </w:rPr>
        <w:t>j</w:t>
      </w:r>
      <w:r w:rsidRPr="003B0CD3">
        <w:rPr>
          <w:lang w:val="es-ES_tradnl"/>
        </w:rPr>
        <w:t xml:space="preserve"> del tiempo) utilizando la ecuación (42) (o la (43) según el caso) de los Pasos 5 y 6 de la Recomendación UIT</w:t>
      </w:r>
      <w:r w:rsidRPr="003B0CD3">
        <w:rPr>
          <w:lang w:val="es-ES_tradnl"/>
        </w:rPr>
        <w:noBreakHyphen/>
        <w:t>R P.530</w:t>
      </w:r>
      <w:r w:rsidRPr="003B0CD3">
        <w:rPr>
          <w:lang w:val="es-ES_tradnl"/>
        </w:rPr>
        <w:noBreakHyphen/>
        <w:t>8.</w:t>
      </w:r>
    </w:p>
    <w:p w:rsidR="00C770FE" w:rsidRPr="003B0CD3" w:rsidRDefault="00C770FE" w:rsidP="00822BB1">
      <w:pPr>
        <w:rPr>
          <w:lang w:val="es-ES_tradnl"/>
        </w:rPr>
      </w:pPr>
      <w:r w:rsidRPr="003B0CD3">
        <w:rPr>
          <w:i/>
          <w:iCs/>
          <w:lang w:val="es-ES_tradnl"/>
        </w:rPr>
        <w:t>Paso 5:</w:t>
      </w:r>
      <w:r w:rsidRPr="003B0CD3">
        <w:rPr>
          <w:lang w:val="es-ES_tradnl"/>
        </w:rPr>
        <w:tab/>
      </w:r>
      <w:r w:rsidR="00822BB1">
        <w:rPr>
          <w:lang w:val="es-ES_tradnl"/>
        </w:rPr>
        <w:tab/>
      </w:r>
      <w:r w:rsidRPr="003B0CD3">
        <w:rPr>
          <w:lang w:val="es-ES_tradnl"/>
        </w:rPr>
        <w:t xml:space="preserve">Calcular la diferencia del margen, </w:t>
      </w:r>
      <w:r w:rsidR="002F1F6B" w:rsidRPr="003B0CD3">
        <w:rPr>
          <w:lang w:val="es-ES_tradnl"/>
        </w:rPr>
        <w:sym w:font="Symbol" w:char="F044"/>
      </w:r>
      <w:r w:rsidR="003B0CD3">
        <w:rPr>
          <w:i/>
          <w:iCs/>
          <w:lang w:val="es-ES_tradnl"/>
        </w:rPr>
        <w:t>M</w:t>
      </w:r>
      <w:r w:rsidRPr="003B0CD3">
        <w:rPr>
          <w:i/>
          <w:iCs/>
          <w:position w:val="-4"/>
          <w:sz w:val="20"/>
          <w:lang w:val="es-ES_tradnl"/>
        </w:rPr>
        <w:t>j</w:t>
      </w:r>
      <w:r w:rsidRPr="003B0CD3">
        <w:rPr>
          <w:lang w:val="es-ES_tradnl"/>
        </w:rPr>
        <w:t> </w:t>
      </w:r>
      <w:r w:rsidR="009845B5">
        <w:rPr>
          <w:lang w:val="es-ES_tradnl"/>
        </w:rPr>
        <w:t>= </w:t>
      </w:r>
      <w:bookmarkStart w:id="7" w:name="_GoBack"/>
      <w:bookmarkEnd w:id="7"/>
      <w:r w:rsidR="003B0CD3" w:rsidRPr="003B0CD3">
        <w:rPr>
          <w:i/>
          <w:iCs/>
          <w:lang w:val="es-ES_tradnl"/>
        </w:rPr>
        <w:t>M</w:t>
      </w:r>
      <w:r w:rsidRPr="003B0CD3">
        <w:rPr>
          <w:lang w:val="es-ES_tradnl"/>
        </w:rPr>
        <w:t> </w:t>
      </w:r>
      <w:r w:rsidRPr="003B0CD3">
        <w:rPr>
          <w:i/>
          <w:iCs/>
          <w:lang w:val="es-ES_tradnl"/>
        </w:rPr>
        <w:t>M</w:t>
      </w:r>
      <w:r w:rsidRPr="003B0CD3">
        <w:rPr>
          <w:i/>
          <w:iCs/>
          <w:position w:val="-4"/>
          <w:sz w:val="20"/>
          <w:lang w:val="es-ES_tradnl"/>
        </w:rPr>
        <w:t>Avail j</w:t>
      </w:r>
      <w:r w:rsidRPr="003B0CD3">
        <w:rPr>
          <w:lang w:val="es-ES_tradnl"/>
        </w:rPr>
        <w:t> – </w:t>
      </w:r>
      <w:r w:rsidRPr="003B0CD3">
        <w:rPr>
          <w:i/>
          <w:iCs/>
          <w:lang w:val="es-ES_tradnl"/>
        </w:rPr>
        <w:t>M</w:t>
      </w:r>
      <w:r w:rsidRPr="003B0CD3">
        <w:rPr>
          <w:i/>
          <w:iCs/>
          <w:position w:val="-4"/>
          <w:sz w:val="20"/>
          <w:lang w:val="es-ES_tradnl"/>
        </w:rPr>
        <w:t>Req</w:t>
      </w:r>
    </w:p>
    <w:p w:rsidR="00C770FE" w:rsidRPr="003B0CD3" w:rsidRDefault="00C770FE" w:rsidP="00822BB1">
      <w:pPr>
        <w:rPr>
          <w:lang w:val="es-ES_tradnl"/>
        </w:rPr>
      </w:pPr>
      <w:r w:rsidRPr="003B0CD3">
        <w:rPr>
          <w:i/>
          <w:iCs/>
          <w:lang w:val="es-ES_tradnl"/>
        </w:rPr>
        <w:t>Paso 6:</w:t>
      </w:r>
      <w:r w:rsidRPr="003B0CD3">
        <w:rPr>
          <w:lang w:val="es-ES_tradnl"/>
        </w:rPr>
        <w:tab/>
      </w:r>
      <w:r w:rsidR="00822BB1">
        <w:rPr>
          <w:lang w:val="es-ES_tradnl"/>
        </w:rPr>
        <w:tab/>
      </w:r>
      <w:r w:rsidRPr="003B0CD3">
        <w:rPr>
          <w:lang w:val="es-ES_tradnl"/>
        </w:rPr>
        <w:t xml:space="preserve">Si </w:t>
      </w:r>
      <w:r w:rsidR="002F1F6B" w:rsidRPr="003B0CD3">
        <w:rPr>
          <w:lang w:val="es-ES_tradnl"/>
        </w:rPr>
        <w:sym w:font="Symbol" w:char="F044"/>
      </w:r>
      <w:r w:rsidRPr="003B0CD3">
        <w:rPr>
          <w:i/>
          <w:lang w:val="es-ES_tradnl"/>
        </w:rPr>
        <w:t>M</w:t>
      </w:r>
      <w:r w:rsidRPr="003B0CD3">
        <w:rPr>
          <w:i/>
          <w:iCs/>
          <w:position w:val="-4"/>
          <w:sz w:val="20"/>
          <w:lang w:val="es-ES_tradnl"/>
        </w:rPr>
        <w:t>j</w:t>
      </w:r>
      <w:r w:rsidRPr="003B0CD3">
        <w:rPr>
          <w:i/>
          <w:lang w:val="es-ES_tradnl"/>
        </w:rPr>
        <w:t> </w:t>
      </w:r>
      <w:r w:rsidR="0095075B" w:rsidRPr="003B0CD3">
        <w:rPr>
          <w:b/>
          <w:bCs/>
          <w:lang w:val="es-ES_tradnl"/>
        </w:rPr>
        <w:t>&lt;</w:t>
      </w:r>
      <w:r w:rsidRPr="003B0CD3">
        <w:rPr>
          <w:lang w:val="es-ES_tradnl"/>
        </w:rPr>
        <w:t> </w:t>
      </w:r>
      <w:r w:rsidRPr="003B0CD3">
        <w:rPr>
          <w:i/>
          <w:lang w:val="es-ES_tradnl"/>
        </w:rPr>
        <w:t>Umbral de precisión</w:t>
      </w:r>
      <w:r w:rsidRPr="003B0CD3">
        <w:rPr>
          <w:iCs/>
          <w:lang w:val="es-ES_tradnl"/>
        </w:rPr>
        <w:t xml:space="preserve">, </w:t>
      </w:r>
      <w:r w:rsidRPr="003B0CD3">
        <w:rPr>
          <w:lang w:val="es-ES_tradnl"/>
        </w:rPr>
        <w:t>pásese directamente a «Fin»</w:t>
      </w:r>
    </w:p>
    <w:p w:rsidR="00C770FE" w:rsidRPr="003B0CD3" w:rsidRDefault="00C770FE" w:rsidP="0095075B">
      <w:pPr>
        <w:rPr>
          <w:lang w:val="es-ES_tradnl"/>
        </w:rPr>
      </w:pPr>
      <w:r w:rsidRPr="003B0CD3">
        <w:rPr>
          <w:lang w:val="es-ES_tradnl"/>
        </w:rPr>
        <w:t>Si no</w:t>
      </w:r>
    </w:p>
    <w:p w:rsidR="00C770FE" w:rsidRPr="003B0CD3" w:rsidRDefault="00C770FE" w:rsidP="009845B5">
      <w:pPr>
        <w:ind w:left="1191" w:hanging="1191"/>
        <w:rPr>
          <w:lang w:val="es-ES_tradnl"/>
        </w:rPr>
      </w:pPr>
      <w:r w:rsidRPr="003B0CD3">
        <w:rPr>
          <w:i/>
          <w:iCs/>
          <w:lang w:val="es-ES_tradnl"/>
        </w:rPr>
        <w:t>Paso 7:</w:t>
      </w:r>
      <w:r w:rsidRPr="003B0CD3">
        <w:rPr>
          <w:lang w:val="es-ES_tradnl"/>
        </w:rPr>
        <w:tab/>
      </w:r>
      <w:r w:rsidR="00822BB1">
        <w:rPr>
          <w:lang w:val="es-ES_tradnl"/>
        </w:rPr>
        <w:tab/>
      </w:r>
      <w:r w:rsidRPr="003B0CD3">
        <w:rPr>
          <w:lang w:val="es-ES_tradnl"/>
        </w:rPr>
        <w:t xml:space="preserve">Igualar </w:t>
      </w:r>
      <w:r w:rsidR="00C077CD">
        <w:rPr>
          <w:i/>
          <w:lang w:val="en-US"/>
        </w:rPr>
        <w:t>A</w:t>
      </w:r>
      <w:r w:rsidR="00C077CD">
        <w:rPr>
          <w:iCs/>
          <w:lang w:val="en-US"/>
        </w:rPr>
        <w:t>(</w:t>
      </w:r>
      <w:r w:rsidR="00C077CD">
        <w:rPr>
          <w:iCs/>
          <w:sz w:val="8"/>
          <w:lang w:val="en-US"/>
        </w:rPr>
        <w:t> </w:t>
      </w:r>
      <w:r w:rsidR="00C077CD">
        <w:rPr>
          <w:i/>
          <w:lang w:val="en-US"/>
        </w:rPr>
        <w:t>p</w:t>
      </w:r>
      <w:r w:rsidR="00C077CD">
        <w:rPr>
          <w:i/>
          <w:iCs/>
          <w:position w:val="-4"/>
          <w:sz w:val="20"/>
          <w:lang w:val="en-US"/>
        </w:rPr>
        <w:t>j+</w:t>
      </w:r>
      <w:r w:rsidR="00C077CD">
        <w:rPr>
          <w:position w:val="-4"/>
          <w:sz w:val="20"/>
          <w:lang w:val="en-US"/>
        </w:rPr>
        <w:t>1</w:t>
      </w:r>
      <w:r w:rsidR="00C077CD">
        <w:rPr>
          <w:iCs/>
          <w:lang w:val="en-US"/>
        </w:rPr>
        <w:t>)</w:t>
      </w:r>
      <w:r w:rsidR="00C077CD">
        <w:rPr>
          <w:i/>
          <w:lang w:val="en-US"/>
        </w:rPr>
        <w:t> </w:t>
      </w:r>
      <w:r w:rsidR="00C077CD">
        <w:rPr>
          <w:lang w:val="en-US"/>
        </w:rPr>
        <w:t>= </w:t>
      </w:r>
      <w:r w:rsidR="00C077CD">
        <w:rPr>
          <w:i/>
          <w:lang w:val="en-US"/>
        </w:rPr>
        <w:t>A</w:t>
      </w:r>
      <w:r w:rsidR="00C077CD">
        <w:rPr>
          <w:iCs/>
          <w:lang w:val="en-US"/>
        </w:rPr>
        <w:t>(</w:t>
      </w:r>
      <w:r w:rsidR="00C077CD">
        <w:rPr>
          <w:iCs/>
          <w:sz w:val="8"/>
          <w:lang w:val="en-US"/>
        </w:rPr>
        <w:t> </w:t>
      </w:r>
      <w:r w:rsidR="00C077CD">
        <w:rPr>
          <w:i/>
          <w:lang w:val="en-US"/>
        </w:rPr>
        <w:t>p</w:t>
      </w:r>
      <w:r w:rsidR="00C077CD">
        <w:rPr>
          <w:i/>
          <w:iCs/>
          <w:position w:val="-4"/>
          <w:sz w:val="20"/>
          <w:lang w:val="en-US"/>
        </w:rPr>
        <w:t>j</w:t>
      </w:r>
      <w:r w:rsidR="00C077CD">
        <w:rPr>
          <w:iCs/>
          <w:lang w:val="en-US"/>
        </w:rPr>
        <w:t>)</w:t>
      </w:r>
      <w:r w:rsidR="00C077CD">
        <w:rPr>
          <w:lang w:val="en-US"/>
        </w:rPr>
        <w:t xml:space="preserve"> + </w:t>
      </w:r>
      <w:r w:rsidR="00C077CD">
        <w:rPr>
          <w:iCs/>
        </w:rPr>
        <w:sym w:font="Symbol" w:char="F044"/>
      </w:r>
      <w:r w:rsidR="00C077CD">
        <w:rPr>
          <w:i/>
          <w:lang w:val="en-US"/>
        </w:rPr>
        <w:t>M</w:t>
      </w:r>
      <w:r w:rsidR="00C077CD">
        <w:rPr>
          <w:i/>
          <w:iCs/>
          <w:position w:val="-4"/>
          <w:sz w:val="20"/>
          <w:lang w:val="en-US"/>
        </w:rPr>
        <w:t>j</w:t>
      </w:r>
      <w:r w:rsidR="00C077CD">
        <w:rPr>
          <w:i/>
          <w:lang w:val="en-US"/>
        </w:rPr>
        <w:t> = Ap</w:t>
      </w:r>
      <w:r w:rsidRPr="003B0CD3">
        <w:rPr>
          <w:lang w:val="es-ES_tradnl"/>
        </w:rPr>
        <w:t xml:space="preserve"> conforme a la ecuación (42) (o la (43) según el caso) de la Recomendación UIT</w:t>
      </w:r>
      <w:r w:rsidRPr="003B0CD3">
        <w:rPr>
          <w:lang w:val="es-ES_tradnl"/>
        </w:rPr>
        <w:noBreakHyphen/>
        <w:t>R P.530 y resolver para </w:t>
      </w:r>
      <w:r w:rsidR="009845B5">
        <w:rPr>
          <w:i/>
          <w:lang w:val="en-US"/>
        </w:rPr>
        <w:t>p</w:t>
      </w:r>
      <w:r w:rsidR="009845B5">
        <w:rPr>
          <w:i/>
          <w:iCs/>
          <w:position w:val="-4"/>
          <w:sz w:val="20"/>
          <w:lang w:val="en-US"/>
        </w:rPr>
        <w:t>j+</w:t>
      </w:r>
      <w:r w:rsidR="009845B5">
        <w:rPr>
          <w:position w:val="-4"/>
          <w:sz w:val="20"/>
          <w:lang w:val="en-US"/>
        </w:rPr>
        <w:t>1</w:t>
      </w:r>
      <w:r w:rsidRPr="003B0CD3">
        <w:rPr>
          <w:lang w:val="es-ES_tradnl"/>
        </w:rPr>
        <w:t>.</w:t>
      </w:r>
    </w:p>
    <w:p w:rsidR="00C770FE" w:rsidRPr="003B0CD3" w:rsidRDefault="00C770FE" w:rsidP="00C077CD">
      <w:pPr>
        <w:rPr>
          <w:lang w:val="es-ES_tradnl"/>
        </w:rPr>
      </w:pPr>
      <w:r w:rsidRPr="003B0CD3">
        <w:rPr>
          <w:i/>
          <w:iCs/>
          <w:lang w:val="es-ES_tradnl"/>
        </w:rPr>
        <w:t>Paso 8:</w:t>
      </w:r>
      <w:r w:rsidRPr="003B0CD3">
        <w:rPr>
          <w:lang w:val="es-ES_tradnl"/>
        </w:rPr>
        <w:tab/>
      </w:r>
      <w:r w:rsidR="00822BB1">
        <w:rPr>
          <w:lang w:val="es-ES_tradnl"/>
        </w:rPr>
        <w:tab/>
      </w:r>
      <w:r w:rsidRPr="003B0CD3">
        <w:rPr>
          <w:lang w:val="es-ES_tradnl"/>
        </w:rPr>
        <w:t>Si 0,001 </w:t>
      </w:r>
      <w:r w:rsidR="00C077CD">
        <w:sym w:font="Symbol" w:char="F0A3"/>
      </w:r>
      <w:r w:rsidR="00C077CD">
        <w:rPr>
          <w:lang w:val="en-US"/>
        </w:rPr>
        <w:t xml:space="preserve"> </w:t>
      </w:r>
      <w:r w:rsidR="00C077CD">
        <w:rPr>
          <w:i/>
          <w:lang w:val="en-US"/>
        </w:rPr>
        <w:t>p</w:t>
      </w:r>
      <w:r w:rsidR="00C077CD">
        <w:rPr>
          <w:i/>
          <w:iCs/>
          <w:position w:val="-4"/>
          <w:sz w:val="20"/>
          <w:lang w:val="en-US"/>
        </w:rPr>
        <w:t>j+</w:t>
      </w:r>
      <w:r w:rsidR="00C077CD">
        <w:rPr>
          <w:position w:val="-4"/>
          <w:sz w:val="20"/>
          <w:lang w:val="en-US"/>
        </w:rPr>
        <w:t>1</w:t>
      </w:r>
      <w:r w:rsidR="00C077CD">
        <w:rPr>
          <w:position w:val="-4"/>
          <w:lang w:val="en-US"/>
        </w:rPr>
        <w:t> </w:t>
      </w:r>
      <w:r w:rsidR="00C077CD">
        <w:sym w:font="Symbol" w:char="F0A3"/>
      </w:r>
      <w:r w:rsidR="00C077CD">
        <w:rPr>
          <w:lang w:val="en-US"/>
        </w:rPr>
        <w:t> </w:t>
      </w:r>
      <w:r w:rsidRPr="003B0CD3">
        <w:rPr>
          <w:lang w:val="es-ES_tradnl"/>
        </w:rPr>
        <w:t>1,0, continuar</w:t>
      </w:r>
    </w:p>
    <w:p w:rsidR="00C770FE" w:rsidRPr="003B0CD3" w:rsidRDefault="00C770FE" w:rsidP="0095075B">
      <w:pPr>
        <w:rPr>
          <w:lang w:val="es-ES_tradnl"/>
        </w:rPr>
      </w:pPr>
      <w:r w:rsidRPr="003B0CD3">
        <w:rPr>
          <w:lang w:val="es-ES_tradnl"/>
        </w:rPr>
        <w:t>Si no ir a «Fin»</w:t>
      </w:r>
    </w:p>
    <w:p w:rsidR="00C770FE" w:rsidRPr="003B0CD3" w:rsidRDefault="00C770FE" w:rsidP="00822BB1">
      <w:pPr>
        <w:rPr>
          <w:lang w:val="es-ES_tradnl"/>
        </w:rPr>
      </w:pPr>
      <w:r w:rsidRPr="003B0CD3">
        <w:rPr>
          <w:i/>
          <w:iCs/>
          <w:lang w:val="es-ES_tradnl"/>
        </w:rPr>
        <w:t>Paso 9:</w:t>
      </w:r>
      <w:r w:rsidRPr="003B0CD3">
        <w:rPr>
          <w:lang w:val="es-ES_tradnl"/>
        </w:rPr>
        <w:tab/>
      </w:r>
      <w:r w:rsidR="00822BB1">
        <w:rPr>
          <w:lang w:val="es-ES_tradnl"/>
        </w:rPr>
        <w:tab/>
      </w:r>
      <w:r w:rsidRPr="003B0CD3">
        <w:rPr>
          <w:lang w:val="es-ES_tradnl"/>
        </w:rPr>
        <w:t xml:space="preserve">Calcular un nuevo valor de </w:t>
      </w:r>
      <w:r w:rsidRPr="003B0CD3">
        <w:rPr>
          <w:i/>
          <w:iCs/>
          <w:lang w:val="es-ES_tradnl"/>
        </w:rPr>
        <w:t>p</w:t>
      </w:r>
      <w:r w:rsidRPr="003B0CD3">
        <w:rPr>
          <w:i/>
          <w:iCs/>
          <w:position w:val="-4"/>
          <w:sz w:val="20"/>
          <w:lang w:val="es-ES_tradnl"/>
        </w:rPr>
        <w:t>j</w:t>
      </w:r>
      <w:r w:rsidRPr="003B0CD3">
        <w:rPr>
          <w:position w:val="-4"/>
          <w:sz w:val="12"/>
          <w:lang w:val="es-ES_tradnl"/>
        </w:rPr>
        <w:t> </w:t>
      </w:r>
      <w:r w:rsidR="002F1F6B" w:rsidRPr="003B0CD3">
        <w:rPr>
          <w:position w:val="-4"/>
          <w:sz w:val="20"/>
          <w:lang w:val="es-ES_tradnl"/>
        </w:rPr>
        <w:t></w:t>
      </w:r>
      <w:r w:rsidRPr="003B0CD3">
        <w:rPr>
          <w:position w:val="-4"/>
          <w:sz w:val="12"/>
          <w:lang w:val="es-ES_tradnl"/>
        </w:rPr>
        <w:t> </w:t>
      </w:r>
      <w:r w:rsidRPr="003B0CD3">
        <w:rPr>
          <w:position w:val="-4"/>
          <w:sz w:val="20"/>
          <w:lang w:val="es-ES_tradnl"/>
        </w:rPr>
        <w:t>1</w:t>
      </w:r>
      <w:r w:rsidRPr="003B0CD3">
        <w:rPr>
          <w:lang w:val="es-ES_tradnl"/>
        </w:rPr>
        <w:t xml:space="preserve"> que se utilizará en la siguiente repetición.</w:t>
      </w:r>
    </w:p>
    <w:p w:rsidR="00C770FE" w:rsidRPr="003B0CD3" w:rsidRDefault="00070200" w:rsidP="00070200">
      <w:pPr>
        <w:rPr>
          <w:lang w:val="es-ES_tradnl"/>
        </w:rPr>
      </w:pPr>
      <w:r>
        <w:rPr>
          <w:lang w:val="es-ES_tradnl"/>
        </w:rPr>
        <w:tab/>
      </w:r>
      <w:r>
        <w:rPr>
          <w:lang w:val="es-ES_tradnl"/>
        </w:rPr>
        <w:tab/>
      </w:r>
      <w:r w:rsidR="00C770FE" w:rsidRPr="003B0CD3">
        <w:rPr>
          <w:lang w:val="es-ES_tradnl"/>
        </w:rPr>
        <w:t xml:space="preserve">Dar a </w:t>
      </w:r>
      <w:r w:rsidR="00C770FE" w:rsidRPr="003B0CD3">
        <w:rPr>
          <w:i/>
          <w:iCs/>
          <w:lang w:val="es-ES_tradnl"/>
        </w:rPr>
        <w:t>p</w:t>
      </w:r>
      <w:r w:rsidR="00C770FE" w:rsidRPr="003B0CD3">
        <w:rPr>
          <w:i/>
          <w:iCs/>
          <w:position w:val="-4"/>
          <w:sz w:val="20"/>
          <w:lang w:val="es-ES_tradnl"/>
        </w:rPr>
        <w:t>j</w:t>
      </w:r>
      <w:r w:rsidR="00C770FE" w:rsidRPr="003B0CD3">
        <w:rPr>
          <w:position w:val="-4"/>
          <w:sz w:val="12"/>
          <w:lang w:val="es-ES_tradnl"/>
        </w:rPr>
        <w:t> </w:t>
      </w:r>
      <w:r w:rsidR="002F1F6B" w:rsidRPr="003B0CD3">
        <w:rPr>
          <w:position w:val="-4"/>
          <w:sz w:val="20"/>
          <w:lang w:val="es-ES_tradnl"/>
        </w:rPr>
        <w:t></w:t>
      </w:r>
      <w:r w:rsidR="00C770FE" w:rsidRPr="003B0CD3">
        <w:rPr>
          <w:position w:val="-4"/>
          <w:sz w:val="12"/>
          <w:lang w:val="es-ES_tradnl"/>
        </w:rPr>
        <w:t> </w:t>
      </w:r>
      <w:r w:rsidR="00C770FE" w:rsidRPr="003B0CD3">
        <w:rPr>
          <w:position w:val="-4"/>
          <w:sz w:val="20"/>
          <w:lang w:val="es-ES_tradnl"/>
        </w:rPr>
        <w:t>1</w:t>
      </w:r>
      <w:r w:rsidR="00C770FE" w:rsidRPr="003B0CD3">
        <w:rPr>
          <w:lang w:val="es-ES_tradnl"/>
        </w:rPr>
        <w:t xml:space="preserve"> el valor </w:t>
      </w:r>
      <w:r w:rsidRPr="00070200">
        <w:rPr>
          <w:position w:val="-6"/>
          <w:lang w:val="es-ES_tradnl"/>
        </w:rPr>
        <w:object w:dxaOrig="2180" w:dyaOrig="400">
          <v:shape id="_x0000_i1039" type="#_x0000_t75" style="width:109.2pt;height:19.8pt" o:ole="">
            <v:imagedata r:id="rId43" o:title=""/>
          </v:shape>
          <o:OLEObject Type="Embed" ProgID="Equation.3" ShapeID="_x0000_i1039" DrawAspect="Content" ObjectID="_1368531412" r:id="rId44"/>
        </w:object>
      </w:r>
    </w:p>
    <w:p w:rsidR="00C770FE" w:rsidRPr="003B0CD3" w:rsidRDefault="00C770FE" w:rsidP="00C077CD">
      <w:pPr>
        <w:rPr>
          <w:lang w:val="es-ES_tradnl"/>
        </w:rPr>
      </w:pPr>
      <w:r w:rsidRPr="003B0CD3">
        <w:rPr>
          <w:i/>
          <w:iCs/>
          <w:lang w:val="es-ES_tradnl"/>
        </w:rPr>
        <w:t>Paso 10:</w:t>
      </w:r>
      <w:r w:rsidRPr="003B0CD3">
        <w:rPr>
          <w:lang w:val="es-ES_tradnl"/>
        </w:rPr>
        <w:tab/>
        <w:t xml:space="preserve">Aumentar </w:t>
      </w:r>
      <w:r w:rsidRPr="003B0CD3">
        <w:rPr>
          <w:i/>
          <w:lang w:val="es-ES_tradnl"/>
        </w:rPr>
        <w:t>j</w:t>
      </w:r>
      <w:r w:rsidRPr="003B0CD3">
        <w:rPr>
          <w:lang w:val="es-ES_tradnl"/>
        </w:rPr>
        <w:t xml:space="preserve">, fijando </w:t>
      </w:r>
      <w:r w:rsidRPr="003B0CD3">
        <w:rPr>
          <w:i/>
          <w:lang w:val="es-ES_tradnl"/>
        </w:rPr>
        <w:t xml:space="preserve">j </w:t>
      </w:r>
      <w:r w:rsidRPr="003B0CD3">
        <w:rPr>
          <w:lang w:val="es-ES_tradnl"/>
        </w:rPr>
        <w:t xml:space="preserve">a un valor de </w:t>
      </w:r>
      <w:r w:rsidR="00C077CD">
        <w:rPr>
          <w:i/>
          <w:lang w:val="en-US"/>
        </w:rPr>
        <w:t xml:space="preserve">j + </w:t>
      </w:r>
      <w:r w:rsidR="00C077CD">
        <w:rPr>
          <w:iCs/>
          <w:lang w:val="en-US"/>
        </w:rPr>
        <w:t>1</w:t>
      </w:r>
    </w:p>
    <w:p w:rsidR="00C770FE" w:rsidRPr="003B0CD3" w:rsidRDefault="00C770FE" w:rsidP="00822BB1">
      <w:pPr>
        <w:rPr>
          <w:lang w:val="es-ES_tradnl"/>
        </w:rPr>
      </w:pPr>
      <w:r w:rsidRPr="003B0CD3">
        <w:rPr>
          <w:i/>
          <w:iCs/>
          <w:lang w:val="es-ES_tradnl"/>
        </w:rPr>
        <w:t>Paso 11:</w:t>
      </w:r>
      <w:r w:rsidR="003679C5">
        <w:rPr>
          <w:lang w:val="es-ES_tradnl"/>
        </w:rPr>
        <w:tab/>
        <w:t>Volver al Paso 4</w:t>
      </w:r>
    </w:p>
    <w:p w:rsidR="00C770FE" w:rsidRPr="003B0CD3" w:rsidRDefault="00C770FE" w:rsidP="00822BB1">
      <w:pPr>
        <w:rPr>
          <w:lang w:val="es-ES_tradnl"/>
        </w:rPr>
      </w:pPr>
      <w:r w:rsidRPr="003B0CD3">
        <w:rPr>
          <w:lang w:val="es-ES_tradnl"/>
        </w:rPr>
        <w:t>Fin.</w:t>
      </w:r>
    </w:p>
    <w:p w:rsidR="00C770FE" w:rsidRPr="0095075B" w:rsidRDefault="00C770FE" w:rsidP="003B0CD3">
      <w:pPr>
        <w:rPr>
          <w:lang w:val="es-ES_tradnl"/>
        </w:rPr>
      </w:pPr>
      <w:r w:rsidRPr="0095075B">
        <w:rPr>
          <w:lang w:val="es-ES_tradnl"/>
        </w:rPr>
        <w:t xml:space="preserve">En los casos en que la indisponibilidad de diseño es de 0,001%, la disponibilidad lograda en los casos de </w:t>
      </w:r>
      <w:r w:rsidR="0095075B" w:rsidRPr="0095075B">
        <w:sym w:font="Symbol" w:char="F044"/>
      </w:r>
      <w:r w:rsidRPr="0095075B">
        <w:rPr>
          <w:i/>
          <w:lang w:val="es-ES_tradnl"/>
        </w:rPr>
        <w:t>M</w:t>
      </w:r>
      <w:r w:rsidRPr="0095075B">
        <w:rPr>
          <w:lang w:val="es-ES_tradnl"/>
        </w:rPr>
        <w:t> </w:t>
      </w:r>
      <w:r w:rsidR="003B0CD3">
        <w:rPr>
          <w:lang w:val="es-ES_tradnl"/>
        </w:rPr>
        <w:t>=</w:t>
      </w:r>
      <w:r w:rsidRPr="0095075B">
        <w:rPr>
          <w:lang w:val="es-ES_tradnl"/>
        </w:rPr>
        <w:t xml:space="preserve"> 0, se fija a un máximo de 99,999% pues no hay un modelo válido de propagación para la atenuación debida a la lluvia rebasada durante el </w:t>
      </w:r>
      <w:r w:rsidRPr="0095075B">
        <w:rPr>
          <w:i/>
          <w:lang w:val="es-ES_tradnl"/>
        </w:rPr>
        <w:t>p</w:t>
      </w:r>
      <w:r w:rsidRPr="0095075B">
        <w:rPr>
          <w:lang w:val="es-ES_tradnl"/>
        </w:rPr>
        <w:t> </w:t>
      </w:r>
      <w:r w:rsidR="0095075B" w:rsidRPr="0095075B">
        <w:rPr>
          <w:lang w:val="es-ES_tradnl"/>
        </w:rPr>
        <w:t>&lt;</w:t>
      </w:r>
      <w:r w:rsidRPr="0095075B">
        <w:rPr>
          <w:lang w:val="es-ES_tradnl"/>
        </w:rPr>
        <w:t> 0,001%.</w:t>
      </w:r>
    </w:p>
    <w:p w:rsidR="00C770FE" w:rsidRDefault="00C770FE" w:rsidP="0095075B">
      <w:pPr>
        <w:pStyle w:val="Heading2"/>
        <w:rPr>
          <w:lang w:val="es-ES_tradnl"/>
        </w:rPr>
      </w:pPr>
      <w:r>
        <w:rPr>
          <w:lang w:val="es-ES_tradnl"/>
        </w:rPr>
        <w:t>6.5</w:t>
      </w:r>
      <w:r>
        <w:rPr>
          <w:lang w:val="es-ES_tradnl"/>
        </w:rPr>
        <w:tab/>
        <w:t>Cálculo del ruido térmico del sistema</w:t>
      </w:r>
    </w:p>
    <w:p w:rsidR="00C770FE" w:rsidRDefault="00C770FE" w:rsidP="0095075B">
      <w:pPr>
        <w:rPr>
          <w:lang w:val="es-ES_tradnl"/>
        </w:rPr>
      </w:pPr>
      <w:r>
        <w:rPr>
          <w:lang w:val="es-ES_tradnl"/>
        </w:rPr>
        <w:t>Se entiende que la temperatura de ruido del sistema se compone de las contribuciones del ruido del equipo y del de la antena.</w:t>
      </w:r>
    </w:p>
    <w:p w:rsidR="00C770FE" w:rsidRDefault="00C770FE" w:rsidP="0095075B">
      <w:pPr>
        <w:rPr>
          <w:lang w:val="es-ES_tradnl"/>
        </w:rPr>
      </w:pPr>
      <w:r>
        <w:rPr>
          <w:lang w:val="es-ES_tradnl"/>
        </w:rPr>
        <w:t xml:space="preserve">Por definición, la temperatura de ruido del equipo receptor, </w:t>
      </w:r>
      <w:r>
        <w:rPr>
          <w:i/>
          <w:iCs/>
          <w:lang w:val="es-ES_tradnl"/>
        </w:rPr>
        <w:t>T</w:t>
      </w:r>
      <w:r>
        <w:rPr>
          <w:i/>
          <w:iCs/>
          <w:position w:val="-4"/>
          <w:sz w:val="20"/>
          <w:lang w:val="es-ES_tradnl"/>
        </w:rPr>
        <w:t>e</w:t>
      </w:r>
      <w:r>
        <w:rPr>
          <w:lang w:val="es-ES_tradnl"/>
        </w:rPr>
        <w:t>, se calcula a partir del factor de ruido del sistema mediante la ecuación siguiente:</w:t>
      </w:r>
    </w:p>
    <w:p w:rsidR="00C770FE" w:rsidRPr="003B0CD3" w:rsidRDefault="00C770FE" w:rsidP="0095075B">
      <w:pPr>
        <w:pStyle w:val="Equation"/>
        <w:rPr>
          <w:lang w:val="es-ES_tradnl"/>
        </w:rPr>
      </w:pPr>
      <w:r w:rsidRPr="003B0CD3">
        <w:rPr>
          <w:lang w:val="es-ES_tradnl"/>
        </w:rPr>
        <w:tab/>
      </w:r>
      <w:r w:rsidRPr="003B0CD3">
        <w:rPr>
          <w:lang w:val="es-ES_tradnl"/>
        </w:rPr>
        <w:tab/>
      </w:r>
      <w:r w:rsidR="00B16DC6" w:rsidRPr="00B16DC6">
        <w:rPr>
          <w:position w:val="-12"/>
          <w:lang w:val="es-ES_tradnl"/>
        </w:rPr>
        <w:object w:dxaOrig="1900" w:dyaOrig="420">
          <v:shape id="_x0000_i1040" type="#_x0000_t75" style="width:94.8pt;height:21pt" o:ole="" fillcolor="window">
            <v:imagedata r:id="rId45" o:title=""/>
          </v:shape>
          <o:OLEObject Type="Embed" ProgID="Equation.3" ShapeID="_x0000_i1040" DrawAspect="Content" ObjectID="_1368531413" r:id="rId46"/>
        </w:object>
      </w:r>
      <w:r w:rsidRPr="003B0CD3">
        <w:rPr>
          <w:lang w:val="es-ES_tradnl"/>
        </w:rPr>
        <w:tab/>
        <w:t>(15)</w:t>
      </w:r>
    </w:p>
    <w:p w:rsidR="00C770FE" w:rsidRPr="003B0CD3" w:rsidRDefault="00C770FE" w:rsidP="00C76CAC">
      <w:pPr>
        <w:keepNext/>
        <w:keepLines/>
        <w:rPr>
          <w:lang w:val="es-ES_tradnl"/>
        </w:rPr>
      </w:pPr>
      <w:r w:rsidRPr="003B0CD3">
        <w:rPr>
          <w:lang w:val="es-ES_tradnl"/>
        </w:rPr>
        <w:lastRenderedPageBreak/>
        <w:t>donde:</w:t>
      </w:r>
    </w:p>
    <w:p w:rsidR="00C770FE" w:rsidRPr="00822BB1" w:rsidRDefault="00C770FE" w:rsidP="00822BB1">
      <w:pPr>
        <w:pStyle w:val="Equationlegend"/>
      </w:pPr>
      <w:r w:rsidRPr="00822BB1">
        <w:tab/>
        <w:t>T</w:t>
      </w:r>
      <w:r w:rsidRPr="00822BB1">
        <w:rPr>
          <w:vertAlign w:val="subscript"/>
        </w:rPr>
        <w:t>0</w:t>
      </w:r>
      <w:r w:rsidRPr="00C76CAC">
        <w:rPr>
          <w:sz w:val="12"/>
        </w:rPr>
        <w:t> </w:t>
      </w:r>
      <w:r w:rsidRPr="00822BB1">
        <w:t>:</w:t>
      </w:r>
      <w:r w:rsidRPr="00822BB1">
        <w:tab/>
        <w:t>Temperatura ambiente (K)</w:t>
      </w:r>
    </w:p>
    <w:p w:rsidR="00C770FE" w:rsidRPr="003B0CD3" w:rsidRDefault="00C770FE" w:rsidP="00822BB1">
      <w:pPr>
        <w:pStyle w:val="Equationlegend"/>
        <w:rPr>
          <w:lang w:val="es-ES_tradnl"/>
        </w:rPr>
      </w:pPr>
      <w:r w:rsidRPr="00822BB1">
        <w:tab/>
        <w:t>F</w:t>
      </w:r>
      <w:r w:rsidRPr="00C76CAC">
        <w:rPr>
          <w:sz w:val="12"/>
        </w:rPr>
        <w:t> </w:t>
      </w:r>
      <w:r w:rsidRPr="00822BB1">
        <w:t>:</w:t>
      </w:r>
      <w:r w:rsidRPr="00822BB1">
        <w:tab/>
      </w:r>
      <w:r w:rsidRPr="003B0CD3">
        <w:rPr>
          <w:lang w:val="es-ES_tradnl"/>
        </w:rPr>
        <w:t>Factor de ruido del sistema referido a la entrada del receptor (dB)</w:t>
      </w:r>
    </w:p>
    <w:p w:rsidR="00C770FE" w:rsidRPr="003B0CD3" w:rsidRDefault="00C770FE" w:rsidP="0095075B">
      <w:pPr>
        <w:rPr>
          <w:lang w:val="es-ES_tradnl"/>
        </w:rPr>
      </w:pPr>
      <w:r w:rsidRPr="006B7AFE">
        <w:rPr>
          <w:lang w:val="es-ES_tradnl"/>
        </w:rPr>
        <w:t xml:space="preserve">y la ecuación general de la temperatura de ruido del sistema, </w:t>
      </w:r>
      <w:r w:rsidRPr="006B7AFE">
        <w:rPr>
          <w:i/>
          <w:iCs/>
          <w:lang w:val="es-ES_tradnl"/>
        </w:rPr>
        <w:t>T</w:t>
      </w:r>
      <w:r w:rsidRPr="006B7AFE">
        <w:rPr>
          <w:i/>
          <w:iCs/>
          <w:position w:val="-4"/>
          <w:sz w:val="20"/>
          <w:lang w:val="es-ES_tradnl"/>
        </w:rPr>
        <w:t>Sys</w:t>
      </w:r>
      <w:r w:rsidRPr="006B7AFE">
        <w:rPr>
          <w:lang w:val="es-ES_tradnl"/>
        </w:rPr>
        <w:t>, en condiciones de cielo de</w:t>
      </w:r>
      <w:r w:rsidRPr="003B0CD3">
        <w:rPr>
          <w:lang w:val="es-ES_tradnl"/>
        </w:rPr>
        <w:t>spejado es:</w:t>
      </w:r>
    </w:p>
    <w:p w:rsidR="00C770FE" w:rsidRPr="003B0CD3" w:rsidRDefault="00C770FE" w:rsidP="0095075B">
      <w:pPr>
        <w:pStyle w:val="Equation"/>
        <w:rPr>
          <w:lang w:val="es-ES_tradnl"/>
        </w:rPr>
      </w:pPr>
      <w:r w:rsidRPr="003B0CD3">
        <w:rPr>
          <w:lang w:val="es-ES_tradnl"/>
        </w:rPr>
        <w:tab/>
      </w:r>
      <w:r w:rsidRPr="003B0CD3">
        <w:rPr>
          <w:lang w:val="es-ES_tradnl"/>
        </w:rPr>
        <w:tab/>
      </w:r>
      <w:r w:rsidR="00B16DC6" w:rsidRPr="00B16DC6">
        <w:rPr>
          <w:position w:val="-14"/>
          <w:lang w:val="es-ES_tradnl"/>
        </w:rPr>
        <w:object w:dxaOrig="5660" w:dyaOrig="440">
          <v:shape id="_x0000_i1041" type="#_x0000_t75" style="width:283.8pt;height:22.2pt" o:ole="" fillcolor="window">
            <v:imagedata r:id="rId47" o:title=""/>
          </v:shape>
          <o:OLEObject Type="Embed" ProgID="Equation.3" ShapeID="_x0000_i1041" DrawAspect="Content" ObjectID="_1368531414" r:id="rId48"/>
        </w:object>
      </w:r>
      <w:r w:rsidRPr="003B0CD3">
        <w:rPr>
          <w:lang w:val="es-ES_tradnl"/>
        </w:rPr>
        <w:tab/>
        <w:t>(16)</w:t>
      </w:r>
    </w:p>
    <w:p w:rsidR="00C770FE" w:rsidRPr="003B0CD3" w:rsidRDefault="00C770FE" w:rsidP="007157F0">
      <w:pPr>
        <w:rPr>
          <w:lang w:val="es-ES_tradnl"/>
        </w:rPr>
      </w:pPr>
      <w:r w:rsidRPr="003B0CD3">
        <w:rPr>
          <w:lang w:val="es-ES_tradnl"/>
        </w:rPr>
        <w:t xml:space="preserve">donde por definición, las pérdidas del sistema alimentador del receptor, </w:t>
      </w:r>
      <w:r w:rsidRPr="003B0CD3">
        <w:rPr>
          <w:i/>
          <w:lang w:val="es-ES_tradnl"/>
        </w:rPr>
        <w:t>L</w:t>
      </w:r>
      <w:r w:rsidRPr="003B0CD3">
        <w:rPr>
          <w:i/>
          <w:vertAlign w:val="subscript"/>
          <w:lang w:val="es-ES_tradnl"/>
        </w:rPr>
        <w:t>F</w:t>
      </w:r>
      <w:r w:rsidRPr="003B0CD3">
        <w:rPr>
          <w:lang w:val="es-ES_tradnl"/>
        </w:rPr>
        <w:t xml:space="preserve"> se fijan en 0 dB, la temperatura media, </w:t>
      </w:r>
      <w:r w:rsidRPr="003B0CD3">
        <w:rPr>
          <w:i/>
          <w:lang w:val="es-ES_tradnl"/>
        </w:rPr>
        <w:t>T</w:t>
      </w:r>
      <w:r w:rsidRPr="003B0CD3">
        <w:rPr>
          <w:i/>
          <w:iCs/>
          <w:position w:val="-4"/>
          <w:sz w:val="20"/>
          <w:lang w:val="es-ES_tradnl"/>
        </w:rPr>
        <w:t>m</w:t>
      </w:r>
      <w:r w:rsidRPr="003B0CD3">
        <w:rPr>
          <w:lang w:val="es-ES_tradnl"/>
        </w:rPr>
        <w:t xml:space="preserve"> se fija en </w:t>
      </w:r>
      <w:r w:rsidRPr="003B0CD3">
        <w:rPr>
          <w:i/>
          <w:iCs/>
          <w:lang w:val="es-ES_tradnl"/>
        </w:rPr>
        <w:t>T</w:t>
      </w:r>
      <w:r w:rsidRPr="003B0CD3">
        <w:rPr>
          <w:position w:val="-4"/>
          <w:sz w:val="20"/>
          <w:lang w:val="es-ES_tradnl"/>
        </w:rPr>
        <w:t>0</w:t>
      </w:r>
      <w:r w:rsidRPr="003B0CD3">
        <w:rPr>
          <w:lang w:val="es-ES_tradnl"/>
        </w:rPr>
        <w:t xml:space="preserve"> (290 K) y </w:t>
      </w:r>
      <w:r w:rsidRPr="003B0CD3">
        <w:rPr>
          <w:i/>
          <w:lang w:val="es-ES_tradnl"/>
        </w:rPr>
        <w:t>T</w:t>
      </w:r>
      <w:r w:rsidRPr="003B0CD3">
        <w:rPr>
          <w:i/>
          <w:iCs/>
          <w:position w:val="-4"/>
          <w:sz w:val="20"/>
          <w:lang w:val="es-ES_tradnl"/>
        </w:rPr>
        <w:t>Ant</w:t>
      </w:r>
      <w:r w:rsidRPr="003B0CD3">
        <w:rPr>
          <w:lang w:val="es-ES_tradnl"/>
        </w:rPr>
        <w:t xml:space="preserve"> se pone en </w:t>
      </w:r>
      <w:r w:rsidRPr="003B0CD3">
        <w:rPr>
          <w:i/>
          <w:iCs/>
          <w:lang w:val="es-ES_tradnl"/>
        </w:rPr>
        <w:t>T</w:t>
      </w:r>
      <w:r w:rsidRPr="003B0CD3">
        <w:rPr>
          <w:position w:val="-4"/>
          <w:sz w:val="20"/>
          <w:lang w:val="es-ES_tradnl"/>
        </w:rPr>
        <w:t>0</w:t>
      </w:r>
      <w:r w:rsidRPr="003B0CD3">
        <w:rPr>
          <w:i/>
          <w:lang w:val="es-ES_tradnl"/>
        </w:rPr>
        <w:t xml:space="preserve"> </w:t>
      </w:r>
      <w:r w:rsidRPr="003B0CD3">
        <w:rPr>
          <w:lang w:val="es-ES_tradnl"/>
        </w:rPr>
        <w:t>(290 K).</w:t>
      </w:r>
    </w:p>
    <w:p w:rsidR="00C770FE" w:rsidRPr="003B0CD3" w:rsidRDefault="00C770FE" w:rsidP="007157F0">
      <w:pPr>
        <w:rPr>
          <w:lang w:val="es-ES_tradnl"/>
        </w:rPr>
      </w:pPr>
      <w:r w:rsidRPr="003B0CD3">
        <w:rPr>
          <w:lang w:val="es-ES_tradnl"/>
        </w:rPr>
        <w:t xml:space="preserve">Sustituyendo los valores de </w:t>
      </w:r>
      <w:r w:rsidRPr="003B0CD3">
        <w:rPr>
          <w:i/>
          <w:iCs/>
          <w:lang w:val="es-ES_tradnl"/>
        </w:rPr>
        <w:t>L</w:t>
      </w:r>
      <w:r w:rsidRPr="003B0CD3">
        <w:rPr>
          <w:i/>
          <w:iCs/>
          <w:position w:val="-4"/>
          <w:sz w:val="20"/>
          <w:lang w:val="es-ES_tradnl"/>
        </w:rPr>
        <w:t>F</w:t>
      </w:r>
      <w:r w:rsidRPr="003B0CD3">
        <w:rPr>
          <w:lang w:val="es-ES_tradnl"/>
        </w:rPr>
        <w:t xml:space="preserve">, </w:t>
      </w:r>
      <w:r w:rsidRPr="003B0CD3">
        <w:rPr>
          <w:i/>
          <w:iCs/>
          <w:lang w:val="es-ES_tradnl"/>
        </w:rPr>
        <w:t>T</w:t>
      </w:r>
      <w:r w:rsidRPr="003B0CD3">
        <w:rPr>
          <w:i/>
          <w:iCs/>
          <w:position w:val="-4"/>
          <w:sz w:val="20"/>
          <w:lang w:val="es-ES_tradnl"/>
        </w:rPr>
        <w:t>m</w:t>
      </w:r>
      <w:r w:rsidRPr="003B0CD3">
        <w:rPr>
          <w:lang w:val="es-ES_tradnl"/>
        </w:rPr>
        <w:t xml:space="preserve"> y </w:t>
      </w:r>
      <w:r w:rsidRPr="003B0CD3">
        <w:rPr>
          <w:i/>
          <w:iCs/>
          <w:lang w:val="es-ES_tradnl"/>
        </w:rPr>
        <w:t>T</w:t>
      </w:r>
      <w:r w:rsidRPr="003B0CD3">
        <w:rPr>
          <w:i/>
          <w:iCs/>
          <w:position w:val="-4"/>
          <w:sz w:val="20"/>
          <w:lang w:val="es-ES_tradnl"/>
        </w:rPr>
        <w:t>Ant</w:t>
      </w:r>
      <w:r w:rsidRPr="003B0CD3">
        <w:rPr>
          <w:lang w:val="es-ES_tradnl"/>
        </w:rPr>
        <w:t xml:space="preserve"> que se aplican en la definición del factor de ruido del sistema, la ecuación de </w:t>
      </w:r>
      <w:r w:rsidRPr="003B0CD3">
        <w:rPr>
          <w:i/>
          <w:iCs/>
          <w:lang w:val="es-ES_tradnl"/>
        </w:rPr>
        <w:t>T</w:t>
      </w:r>
      <w:r w:rsidRPr="003B0CD3">
        <w:rPr>
          <w:i/>
          <w:iCs/>
          <w:position w:val="-4"/>
          <w:sz w:val="20"/>
          <w:lang w:val="es-ES_tradnl"/>
        </w:rPr>
        <w:t>Sys</w:t>
      </w:r>
      <w:r w:rsidRPr="003B0CD3">
        <w:rPr>
          <w:sz w:val="12"/>
          <w:lang w:val="es-ES_tradnl"/>
        </w:rPr>
        <w:t> </w:t>
      </w:r>
      <w:r w:rsidRPr="003B0CD3">
        <w:rPr>
          <w:lang w:val="es-ES_tradnl"/>
        </w:rPr>
        <w:t xml:space="preserve"> se simplifica:</w:t>
      </w:r>
    </w:p>
    <w:p w:rsidR="00C770FE" w:rsidRPr="003B0CD3" w:rsidRDefault="00C770FE" w:rsidP="007157F0">
      <w:pPr>
        <w:pStyle w:val="Equation"/>
        <w:rPr>
          <w:lang w:val="es-ES_tradnl"/>
        </w:rPr>
      </w:pPr>
      <w:r w:rsidRPr="003B0CD3">
        <w:rPr>
          <w:lang w:val="es-ES_tradnl"/>
        </w:rPr>
        <w:tab/>
      </w:r>
      <w:r w:rsidRPr="003B0CD3">
        <w:rPr>
          <w:lang w:val="es-ES_tradnl"/>
        </w:rPr>
        <w:tab/>
      </w:r>
      <w:r w:rsidR="00B16DC6" w:rsidRPr="00B16DC6">
        <w:rPr>
          <w:position w:val="-14"/>
          <w:lang w:val="es-ES_tradnl"/>
        </w:rPr>
        <w:object w:dxaOrig="2620" w:dyaOrig="380">
          <v:shape id="_x0000_i1042" type="#_x0000_t75" style="width:131.4pt;height:19.2pt" o:ole="" fillcolor="window">
            <v:imagedata r:id="rId49" o:title=""/>
          </v:shape>
          <o:OLEObject Type="Embed" ProgID="Equation.3" ShapeID="_x0000_i1042" DrawAspect="Content" ObjectID="_1368531415" r:id="rId50"/>
        </w:object>
      </w:r>
      <w:r w:rsidRPr="003B0CD3">
        <w:rPr>
          <w:lang w:val="es-ES_tradnl"/>
        </w:rPr>
        <w:tab/>
        <w:t>(17)</w:t>
      </w:r>
    </w:p>
    <w:p w:rsidR="00C770FE" w:rsidRPr="003B0CD3" w:rsidRDefault="00C770FE" w:rsidP="007157F0">
      <w:pPr>
        <w:rPr>
          <w:lang w:val="es-ES_tradnl"/>
        </w:rPr>
      </w:pPr>
      <w:r w:rsidRPr="003B0CD3">
        <w:rPr>
          <w:lang w:val="es-ES_tradnl"/>
        </w:rPr>
        <w:t xml:space="preserve">La densidad de ruido térmico del sistema </w:t>
      </w:r>
      <w:r w:rsidRPr="003B0CD3">
        <w:rPr>
          <w:i/>
          <w:iCs/>
          <w:lang w:val="es-ES_tradnl"/>
        </w:rPr>
        <w:t>N</w:t>
      </w:r>
      <w:r w:rsidRPr="003B0CD3">
        <w:rPr>
          <w:position w:val="-4"/>
          <w:sz w:val="20"/>
          <w:lang w:val="es-ES_tradnl"/>
        </w:rPr>
        <w:t>0</w:t>
      </w:r>
      <w:r w:rsidRPr="003B0CD3">
        <w:rPr>
          <w:lang w:val="es-ES_tradnl"/>
        </w:rPr>
        <w:t xml:space="preserve"> se calcula utilizando el valor de </w:t>
      </w:r>
      <w:r w:rsidRPr="003B0CD3">
        <w:rPr>
          <w:i/>
          <w:iCs/>
          <w:lang w:val="es-ES_tradnl"/>
        </w:rPr>
        <w:t>T</w:t>
      </w:r>
      <w:r w:rsidRPr="003B0CD3">
        <w:rPr>
          <w:i/>
          <w:iCs/>
          <w:position w:val="-4"/>
          <w:sz w:val="20"/>
          <w:lang w:val="es-ES_tradnl"/>
        </w:rPr>
        <w:t>Sys</w:t>
      </w:r>
      <w:r w:rsidRPr="003B0CD3">
        <w:rPr>
          <w:lang w:val="es-ES_tradnl"/>
        </w:rPr>
        <w:t xml:space="preserve"> de la ecuación (16) anterior por la ecuación siguiente:</w:t>
      </w:r>
    </w:p>
    <w:p w:rsidR="00C770FE" w:rsidRPr="003B0CD3" w:rsidRDefault="00C770FE" w:rsidP="007157F0">
      <w:pPr>
        <w:pStyle w:val="Equation"/>
        <w:rPr>
          <w:lang w:val="es-ES_tradnl"/>
        </w:rPr>
      </w:pPr>
      <w:r w:rsidRPr="003B0CD3">
        <w:rPr>
          <w:lang w:val="es-ES_tradnl"/>
        </w:rPr>
        <w:tab/>
      </w:r>
      <w:r w:rsidRPr="003B0CD3">
        <w:rPr>
          <w:lang w:val="es-ES_tradnl"/>
        </w:rPr>
        <w:tab/>
      </w:r>
      <w:r w:rsidR="00B16DC6" w:rsidRPr="00B16DC6">
        <w:rPr>
          <w:position w:val="-14"/>
          <w:lang w:val="es-ES_tradnl"/>
        </w:rPr>
        <w:object w:dxaOrig="1860" w:dyaOrig="380">
          <v:shape id="_x0000_i1043" type="#_x0000_t75" style="width:93pt;height:19.2pt" o:ole="" fillcolor="window">
            <v:imagedata r:id="rId51" o:title=""/>
          </v:shape>
          <o:OLEObject Type="Embed" ProgID="Equation.3" ShapeID="_x0000_i1043" DrawAspect="Content" ObjectID="_1368531416" r:id="rId52"/>
        </w:object>
      </w:r>
      <w:r w:rsidRPr="003B0CD3">
        <w:rPr>
          <w:lang w:val="es-ES_tradnl"/>
        </w:rPr>
        <w:tab/>
        <w:t>(18)</w:t>
      </w:r>
    </w:p>
    <w:p w:rsidR="00C770FE" w:rsidRPr="003B0CD3" w:rsidRDefault="00C770FE" w:rsidP="00BD71E6">
      <w:pPr>
        <w:spacing w:before="80"/>
        <w:rPr>
          <w:lang w:val="es-ES_tradnl"/>
        </w:rPr>
      </w:pPr>
      <w:r w:rsidRPr="003B0CD3">
        <w:rPr>
          <w:lang w:val="es-ES_tradnl"/>
        </w:rPr>
        <w:t>donde:</w:t>
      </w:r>
    </w:p>
    <w:p w:rsidR="00C770FE" w:rsidRPr="003B0CD3" w:rsidRDefault="00822BB1" w:rsidP="00822BB1">
      <w:pPr>
        <w:pStyle w:val="Equationlegend"/>
      </w:pPr>
      <w:r>
        <w:rPr>
          <w:i/>
          <w:iCs/>
        </w:rPr>
        <w:tab/>
      </w:r>
      <w:r w:rsidR="00C770FE" w:rsidRPr="003B0CD3">
        <w:rPr>
          <w:i/>
          <w:iCs/>
        </w:rPr>
        <w:t>k</w:t>
      </w:r>
      <w:r w:rsidR="00C770FE" w:rsidRPr="003B0CD3">
        <w:rPr>
          <w:sz w:val="12"/>
        </w:rPr>
        <w:t> </w:t>
      </w:r>
      <w:r w:rsidR="00C770FE" w:rsidRPr="003B0CD3">
        <w:t>:</w:t>
      </w:r>
      <w:r w:rsidR="00C770FE" w:rsidRPr="003B0CD3">
        <w:tab/>
        <w:t xml:space="preserve">constante de Boltzman = 1,3806 </w:t>
      </w:r>
      <w:r w:rsidR="002F1F6B" w:rsidRPr="003B0CD3">
        <w:sym w:font="Symbol" w:char="F0B4"/>
      </w:r>
      <w:r w:rsidR="00C770FE" w:rsidRPr="003B0CD3">
        <w:t xml:space="preserve"> 10</w:t>
      </w:r>
      <w:r w:rsidR="00C770FE" w:rsidRPr="003B0CD3">
        <w:rPr>
          <w:position w:val="6"/>
          <w:sz w:val="20"/>
        </w:rPr>
        <w:t>–23</w:t>
      </w:r>
      <w:r w:rsidR="00C770FE" w:rsidRPr="003B0CD3">
        <w:t xml:space="preserve"> J/K.</w:t>
      </w:r>
    </w:p>
    <w:p w:rsidR="00C770FE" w:rsidRPr="003B0CD3" w:rsidRDefault="00C770FE" w:rsidP="007157F0">
      <w:pPr>
        <w:pStyle w:val="Heading2"/>
        <w:rPr>
          <w:lang w:val="es-ES_tradnl"/>
        </w:rPr>
      </w:pPr>
      <w:r w:rsidRPr="003B0CD3">
        <w:rPr>
          <w:lang w:val="es-ES_tradnl"/>
        </w:rPr>
        <w:t>6.6</w:t>
      </w:r>
      <w:r w:rsidRPr="003B0CD3">
        <w:rPr>
          <w:lang w:val="es-ES_tradnl"/>
        </w:rPr>
        <w:tab/>
        <w:t>Cálculo de la interferencia procedente de los enlaces descendentes de sistemas OSG del SFS en los receptores de los sistemas P</w:t>
      </w:r>
      <w:r w:rsidRPr="003B0CD3">
        <w:rPr>
          <w:lang w:val="es-ES_tradnl"/>
        </w:rPr>
        <w:noBreakHyphen/>
        <w:t>MP y P</w:t>
      </w:r>
      <w:r w:rsidRPr="003B0CD3">
        <w:rPr>
          <w:lang w:val="es-ES_tradnl"/>
        </w:rPr>
        <w:noBreakHyphen/>
        <w:t>P del servicio fijo</w:t>
      </w:r>
    </w:p>
    <w:p w:rsidR="00C770FE" w:rsidRPr="003B0CD3" w:rsidRDefault="00C770FE" w:rsidP="007157F0">
      <w:pPr>
        <w:rPr>
          <w:lang w:val="es-ES_tradnl"/>
        </w:rPr>
      </w:pPr>
      <w:r w:rsidRPr="003B0CD3">
        <w:rPr>
          <w:lang w:val="es-ES_tradnl"/>
        </w:rPr>
        <w:t xml:space="preserve">El nivel de la interferencia en cada receptor del servicio fijo se calcula para cada satélite visible suponiendo que se transmite con un nivel definido por el usuario que llega hasta el contorno de la dfp adecuado para la banda en cuestión. La metodología es completamente flexible y puede utilizarse con cualquier contorno de la dfp que permita realizar un análisis de la sensibilidad en función de los niveles de la dfp. El nivel máximo de la interferencia de una sola fuente, </w:t>
      </w:r>
      <w:r w:rsidRPr="003B0CD3">
        <w:rPr>
          <w:i/>
          <w:iCs/>
          <w:lang w:val="es-ES_tradnl"/>
        </w:rPr>
        <w:t>I</w:t>
      </w:r>
      <w:r w:rsidRPr="003B0CD3">
        <w:rPr>
          <w:i/>
          <w:iCs/>
          <w:position w:val="-4"/>
          <w:sz w:val="20"/>
          <w:lang w:val="es-ES_tradnl"/>
        </w:rPr>
        <w:t>OSG j</w:t>
      </w:r>
      <w:r w:rsidRPr="003B0CD3">
        <w:rPr>
          <w:lang w:val="es-ES_tradnl"/>
        </w:rPr>
        <w:t>, rebasado durante el p(%) del tiempo en un receptor del servicio fijo determinado sería:</w:t>
      </w:r>
    </w:p>
    <w:p w:rsidR="00C770FE" w:rsidRPr="003B0CD3" w:rsidRDefault="00B16DC6" w:rsidP="00B16DC6">
      <w:pPr>
        <w:pStyle w:val="Equation"/>
        <w:rPr>
          <w:lang w:val="es-ES_tradnl"/>
        </w:rPr>
      </w:pPr>
      <w:r>
        <w:tab/>
      </w:r>
      <w:r w:rsidRPr="00B16DC6">
        <w:rPr>
          <w:position w:val="-68"/>
        </w:rPr>
        <w:object w:dxaOrig="8620" w:dyaOrig="1480">
          <v:shape id="_x0000_i1044" type="#_x0000_t75" style="width:423.6pt;height:73.8pt" o:ole="">
            <v:imagedata r:id="rId53" o:title=""/>
          </v:shape>
          <o:OLEObject Type="Embed" ProgID="Equation.3" ShapeID="_x0000_i1044" DrawAspect="Content" ObjectID="_1368531417" r:id="rId54"/>
        </w:object>
      </w:r>
      <w:r>
        <w:rPr>
          <w:lang w:val="es-ES_tradnl"/>
        </w:rPr>
        <w:tab/>
      </w:r>
      <w:r w:rsidR="00C770FE" w:rsidRPr="003B0CD3">
        <w:rPr>
          <w:lang w:val="es-ES_tradnl"/>
        </w:rPr>
        <w:t>(19)</w:t>
      </w:r>
    </w:p>
    <w:p w:rsidR="00C770FE" w:rsidRPr="003B0CD3" w:rsidRDefault="00C770FE" w:rsidP="00BD71E6">
      <w:pPr>
        <w:pStyle w:val="enumlev1"/>
        <w:spacing w:before="40"/>
        <w:rPr>
          <w:lang w:val="es-ES_tradnl"/>
        </w:rPr>
      </w:pPr>
      <w:r w:rsidRPr="003B0CD3">
        <w:rPr>
          <w:lang w:val="es-ES_tradnl"/>
        </w:rPr>
        <w:t>donde:</w:t>
      </w:r>
    </w:p>
    <w:p w:rsidR="00C770FE" w:rsidRPr="003B0CD3" w:rsidRDefault="00C770FE" w:rsidP="003B0CD3">
      <w:pPr>
        <w:pStyle w:val="Equationlegend"/>
        <w:spacing w:before="0"/>
        <w:jc w:val="left"/>
        <w:rPr>
          <w:lang w:val="es-ES_tradnl"/>
        </w:rPr>
      </w:pPr>
      <w:r w:rsidRPr="003B0CD3">
        <w:rPr>
          <w:lang w:val="es-ES_tradnl"/>
        </w:rPr>
        <w:tab/>
      </w:r>
      <w:r w:rsidRPr="003B0CD3">
        <w:rPr>
          <w:i/>
          <w:iCs/>
          <w:lang w:val="es-ES_tradnl"/>
        </w:rPr>
        <w:t>j</w:t>
      </w:r>
      <w:r w:rsidRPr="003B0CD3">
        <w:rPr>
          <w:lang w:val="es-ES_tradnl"/>
        </w:rPr>
        <w:t>:</w:t>
      </w:r>
      <w:r w:rsidRPr="003B0CD3">
        <w:rPr>
          <w:lang w:val="es-ES_tradnl"/>
        </w:rPr>
        <w:tab/>
        <w:t xml:space="preserve">satélite interferente </w:t>
      </w:r>
      <w:r w:rsidRPr="003B0CD3">
        <w:rPr>
          <w:i/>
          <w:iCs/>
          <w:lang w:val="es-ES_tradnl"/>
        </w:rPr>
        <w:t>j</w:t>
      </w:r>
      <w:r w:rsidRPr="003B0CD3">
        <w:rPr>
          <w:lang w:val="es-ES_tradnl"/>
        </w:rPr>
        <w:t xml:space="preserve">-ésimo, </w:t>
      </w:r>
      <w:r w:rsidRPr="003B0CD3">
        <w:rPr>
          <w:i/>
          <w:iCs/>
          <w:lang w:val="es-ES_tradnl"/>
        </w:rPr>
        <w:t>j</w:t>
      </w:r>
      <w:r w:rsidRPr="003B0CD3">
        <w:rPr>
          <w:lang w:val="es-ES_tradnl"/>
        </w:rPr>
        <w:t xml:space="preserve"> </w:t>
      </w:r>
      <w:r w:rsidR="003B0CD3" w:rsidRPr="003B0CD3">
        <w:rPr>
          <w:lang w:val="es-ES_tradnl"/>
        </w:rPr>
        <w:t>=</w:t>
      </w:r>
      <w:r w:rsidRPr="003B0CD3">
        <w:rPr>
          <w:lang w:val="es-ES_tradnl"/>
        </w:rPr>
        <w:t xml:space="preserve"> 1, 2, …, </w:t>
      </w:r>
      <w:r w:rsidRPr="003B0CD3">
        <w:rPr>
          <w:i/>
          <w:iCs/>
          <w:lang w:val="es-ES_tradnl"/>
        </w:rPr>
        <w:t>n</w:t>
      </w:r>
    </w:p>
    <w:p w:rsidR="00C770FE" w:rsidRPr="003B0CD3" w:rsidRDefault="00C770FE" w:rsidP="006E4260">
      <w:pPr>
        <w:pStyle w:val="Equationlegend"/>
        <w:rPr>
          <w:lang w:val="es-ES_tradnl"/>
        </w:rPr>
      </w:pPr>
      <w:r w:rsidRPr="003B0CD3">
        <w:rPr>
          <w:lang w:val="es-ES_tradnl"/>
        </w:rPr>
        <w:tab/>
      </w:r>
      <w:r w:rsidRPr="003B0CD3">
        <w:rPr>
          <w:i/>
          <w:iCs/>
          <w:lang w:val="es-ES_tradnl"/>
        </w:rPr>
        <w:t>n</w:t>
      </w:r>
      <w:r w:rsidR="006E4260">
        <w:rPr>
          <w:i/>
          <w:iCs/>
          <w:position w:val="-4"/>
          <w:sz w:val="20"/>
          <w:lang w:val="es-ES_tradnl"/>
        </w:rPr>
        <w:t>OSG</w:t>
      </w:r>
      <w:r w:rsidRPr="003B0CD3">
        <w:rPr>
          <w:sz w:val="12"/>
          <w:lang w:val="es-ES_tradnl"/>
        </w:rPr>
        <w:t> </w:t>
      </w:r>
      <w:r w:rsidRPr="003B0CD3">
        <w:rPr>
          <w:lang w:val="es-ES_tradnl"/>
        </w:rPr>
        <w:t>:</w:t>
      </w:r>
      <w:r w:rsidRPr="003B0CD3">
        <w:rPr>
          <w:lang w:val="es-ES_tradnl"/>
        </w:rPr>
        <w:tab/>
        <w:t>número posible total de satélites visibles sobre el horizonte</w:t>
      </w:r>
    </w:p>
    <w:p w:rsidR="00C770FE" w:rsidRPr="003B0CD3" w:rsidRDefault="00C770FE" w:rsidP="002F1F6B">
      <w:pPr>
        <w:pStyle w:val="Equationlegend"/>
        <w:rPr>
          <w:lang w:val="es-ES_tradnl"/>
        </w:rPr>
      </w:pPr>
      <w:r w:rsidRPr="003B0CD3">
        <w:rPr>
          <w:lang w:val="es-ES_tradnl"/>
        </w:rPr>
        <w:tab/>
      </w:r>
      <w:r w:rsidRPr="003B0CD3">
        <w:rPr>
          <w:i/>
          <w:iCs/>
          <w:lang w:val="es-ES_tradnl"/>
        </w:rPr>
        <w:t>dfp</w:t>
      </w:r>
      <w:r w:rsidRPr="003B0CD3">
        <w:rPr>
          <w:i/>
          <w:iCs/>
          <w:position w:val="-4"/>
          <w:sz w:val="20"/>
          <w:lang w:val="es-ES_tradnl"/>
        </w:rPr>
        <w:t>j</w:t>
      </w:r>
      <w:r w:rsidRPr="003B0CD3">
        <w:rPr>
          <w:sz w:val="12"/>
          <w:lang w:val="es-ES_tradnl"/>
        </w:rPr>
        <w:t> </w:t>
      </w:r>
      <w:r w:rsidRPr="003B0CD3">
        <w:rPr>
          <w:lang w:val="es-ES_tradnl"/>
        </w:rPr>
        <w:t>:</w:t>
      </w:r>
      <w:r w:rsidRPr="003B0CD3">
        <w:rPr>
          <w:lang w:val="es-ES_tradnl"/>
        </w:rPr>
        <w:tab/>
        <w:t>nivel de la densidad de flujo de potencia aplicada al enlace descendente del satélite GSO j-ésimo, teniendo en cuenta el ángulo de elevación visto desde el receptor del servicio fijo víctima (dB(W/m</w:t>
      </w:r>
      <w:r w:rsidRPr="003B0CD3">
        <w:rPr>
          <w:position w:val="6"/>
          <w:sz w:val="20"/>
          <w:lang w:val="es-ES_tradnl"/>
        </w:rPr>
        <w:t>2</w:t>
      </w:r>
      <w:r w:rsidRPr="003B0CD3">
        <w:rPr>
          <w:lang w:val="es-ES_tradnl"/>
        </w:rPr>
        <w:t> </w:t>
      </w:r>
      <w:r w:rsidR="002F1F6B" w:rsidRPr="003B0CD3">
        <w:rPr>
          <w:lang w:val="es-ES_tradnl"/>
        </w:rPr>
        <w:sym w:font="Symbol" w:char="F0D7"/>
      </w:r>
      <w:r w:rsidRPr="003B0CD3">
        <w:rPr>
          <w:lang w:val="es-ES_tradnl"/>
        </w:rPr>
        <w:t> MHz))</w:t>
      </w:r>
    </w:p>
    <w:p w:rsidR="00C770FE" w:rsidRPr="003B0CD3" w:rsidRDefault="00C770FE" w:rsidP="00244027">
      <w:pPr>
        <w:pStyle w:val="Equationlegend"/>
        <w:rPr>
          <w:lang w:val="es-ES_tradnl"/>
        </w:rPr>
      </w:pPr>
      <w:r w:rsidRPr="003B0CD3">
        <w:rPr>
          <w:lang w:val="es-ES_tradnl"/>
        </w:rPr>
        <w:tab/>
      </w:r>
      <w:r w:rsidRPr="003B0CD3">
        <w:rPr>
          <w:i/>
          <w:iCs/>
          <w:lang w:val="es-ES_tradnl"/>
        </w:rPr>
        <w:t>G</w:t>
      </w:r>
      <w:r w:rsidRPr="003B0CD3">
        <w:rPr>
          <w:i/>
          <w:iCs/>
          <w:position w:val="-4"/>
          <w:sz w:val="20"/>
          <w:lang w:val="es-ES_tradnl"/>
        </w:rPr>
        <w:t>Rx</w:t>
      </w:r>
      <w:r w:rsidRPr="003B0CD3">
        <w:rPr>
          <w:lang w:val="es-ES_tradnl"/>
        </w:rPr>
        <w:t xml:space="preserve"> (</w:t>
      </w:r>
      <w:r w:rsidR="002F1F6B" w:rsidRPr="003B0CD3">
        <w:rPr>
          <w:lang w:val="es-ES_tradnl"/>
        </w:rPr>
        <w:sym w:font="Symbol" w:char="F06A"/>
      </w:r>
      <w:r w:rsidRPr="003B0CD3">
        <w:rPr>
          <w:i/>
          <w:iCs/>
          <w:position w:val="-4"/>
          <w:sz w:val="20"/>
          <w:lang w:val="es-ES_tradnl"/>
        </w:rPr>
        <w:t>Sj</w:t>
      </w:r>
      <w:r w:rsidRPr="003B0CD3">
        <w:rPr>
          <w:lang w:val="es-ES_tradnl"/>
        </w:rPr>
        <w:t>):</w:t>
      </w:r>
      <w:r w:rsidRPr="003B0CD3">
        <w:rPr>
          <w:lang w:val="es-ES_tradnl"/>
        </w:rPr>
        <w:tab/>
        <w:t>ganancia del receptor en la dirección de la fuente de interferencia (dBi) calculada conforme al § 2.2 de la Recomendación UIT-R F.1245, que representa adecuadamente el promedio de los lóbulos laterales de una antena direccional cuando la interferencia procede de fuentes múltiples</w:t>
      </w:r>
    </w:p>
    <w:p w:rsidR="00C770FE" w:rsidRPr="003B0CD3" w:rsidRDefault="00C770FE" w:rsidP="002F1F6B">
      <w:pPr>
        <w:pStyle w:val="Equationlegend"/>
        <w:rPr>
          <w:lang w:val="es-ES_tradnl"/>
        </w:rPr>
      </w:pPr>
      <w:r w:rsidRPr="003B0CD3">
        <w:rPr>
          <w:lang w:val="es-ES_tradnl"/>
        </w:rPr>
        <w:tab/>
      </w:r>
      <w:r w:rsidR="002F1F6B" w:rsidRPr="003B0CD3">
        <w:rPr>
          <w:lang w:val="es-ES_tradnl"/>
        </w:rPr>
        <w:sym w:font="Symbol" w:char="F06A"/>
      </w:r>
      <w:r w:rsidRPr="003B0CD3">
        <w:rPr>
          <w:i/>
          <w:iCs/>
          <w:position w:val="-4"/>
          <w:sz w:val="20"/>
          <w:lang w:val="es-ES_tradnl"/>
        </w:rPr>
        <w:t>Sj</w:t>
      </w:r>
      <w:r w:rsidRPr="003B0CD3">
        <w:rPr>
          <w:lang w:val="es-ES_tradnl"/>
        </w:rPr>
        <w:t>:</w:t>
      </w:r>
      <w:r w:rsidRPr="003B0CD3">
        <w:rPr>
          <w:lang w:val="es-ES_tradnl"/>
        </w:rPr>
        <w:tab/>
        <w:t>ángulo entre la dirección de la señal del servicio fijo deseado y la señal del SFS interferente (grados)</w:t>
      </w:r>
    </w:p>
    <w:p w:rsidR="00C770FE" w:rsidRPr="003B0CD3" w:rsidRDefault="00C770FE" w:rsidP="00F618CC">
      <w:pPr>
        <w:pStyle w:val="Equationlegend"/>
        <w:spacing w:line="280" w:lineRule="exact"/>
        <w:rPr>
          <w:lang w:val="es-ES_tradnl"/>
        </w:rPr>
      </w:pPr>
      <w:r w:rsidRPr="003B0CD3">
        <w:rPr>
          <w:lang w:val="es-ES_tradnl"/>
        </w:rPr>
        <w:lastRenderedPageBreak/>
        <w:tab/>
      </w:r>
      <w:r w:rsidRPr="003B0CD3">
        <w:rPr>
          <w:i/>
          <w:iCs/>
          <w:lang w:val="es-ES_tradnl"/>
        </w:rPr>
        <w:t>G</w:t>
      </w:r>
      <w:r w:rsidRPr="003B0CD3">
        <w:rPr>
          <w:position w:val="-4"/>
          <w:sz w:val="20"/>
          <w:lang w:val="es-ES_tradnl"/>
        </w:rPr>
        <w:t>1m</w:t>
      </w:r>
      <w:r w:rsidRPr="003B0CD3">
        <w:rPr>
          <w:position w:val="4"/>
          <w:sz w:val="16"/>
          <w:lang w:val="es-ES_tradnl"/>
        </w:rPr>
        <w:t>2</w:t>
      </w:r>
      <w:r w:rsidRPr="003B0CD3">
        <w:rPr>
          <w:lang w:val="es-ES_tradnl"/>
        </w:rPr>
        <w:t>:</w:t>
      </w:r>
      <w:r w:rsidRPr="003B0CD3">
        <w:rPr>
          <w:lang w:val="es-ES_tradnl"/>
        </w:rPr>
        <w:tab/>
        <w:t>ganancia de una antena perfecta de 1 m</w:t>
      </w:r>
      <w:r w:rsidRPr="003B0CD3">
        <w:rPr>
          <w:position w:val="6"/>
          <w:sz w:val="20"/>
          <w:lang w:val="es-ES_tradnl"/>
        </w:rPr>
        <w:t>2</w:t>
      </w:r>
      <w:r w:rsidRPr="003B0CD3">
        <w:rPr>
          <w:lang w:val="es-ES_tradnl"/>
        </w:rPr>
        <w:t xml:space="preserve"> a la frecuencia de la interferencia (4</w:t>
      </w:r>
      <w:r w:rsidR="002F1F6B" w:rsidRPr="003B0CD3">
        <w:rPr>
          <w:lang w:val="es-ES_tradnl"/>
        </w:rPr>
        <w:sym w:font="Symbol" w:char="F070"/>
      </w:r>
      <w:r w:rsidRPr="003B0CD3">
        <w:rPr>
          <w:lang w:val="es-ES_tradnl"/>
        </w:rPr>
        <w:t>/</w:t>
      </w:r>
      <w:r w:rsidR="002F1F6B" w:rsidRPr="003B0CD3">
        <w:rPr>
          <w:lang w:val="es-ES_tradnl"/>
        </w:rPr>
        <w:sym w:font="Symbol" w:char="F06C"/>
      </w:r>
      <w:r w:rsidR="00F618CC">
        <w:rPr>
          <w:lang w:val="es-ES_tradnl"/>
        </w:rPr>
        <w:t>2</w:t>
      </w:r>
      <w:r w:rsidR="00F618CC" w:rsidRPr="00F618CC">
        <w:rPr>
          <w:vertAlign w:val="superscript"/>
          <w:lang w:val="es-ES_tradnl"/>
        </w:rPr>
        <w:t>2</w:t>
      </w:r>
      <w:r w:rsidRPr="003B0CD3">
        <w:rPr>
          <w:lang w:val="es-ES_tradnl"/>
        </w:rPr>
        <w:t>) (dBi)</w:t>
      </w:r>
    </w:p>
    <w:p w:rsidR="00C770FE" w:rsidRPr="003B0CD3" w:rsidRDefault="00C770FE" w:rsidP="007157F0">
      <w:pPr>
        <w:pStyle w:val="Equationlegend"/>
        <w:rPr>
          <w:lang w:val="es-ES_tradnl"/>
        </w:rPr>
      </w:pPr>
      <w:r w:rsidRPr="003B0CD3">
        <w:rPr>
          <w:lang w:val="es-ES_tradnl"/>
        </w:rPr>
        <w:tab/>
      </w:r>
      <w:r w:rsidRPr="003B0CD3">
        <w:rPr>
          <w:i/>
          <w:iCs/>
          <w:lang w:val="es-ES_tradnl"/>
        </w:rPr>
        <w:t>A</w:t>
      </w:r>
      <w:r w:rsidRPr="003B0CD3">
        <w:rPr>
          <w:lang w:val="es-ES_tradnl"/>
        </w:rPr>
        <w:t>(</w:t>
      </w:r>
      <w:r w:rsidRPr="003B0CD3">
        <w:rPr>
          <w:sz w:val="20"/>
          <w:lang w:val="es-ES_tradnl"/>
        </w:rPr>
        <w:t> </w:t>
      </w:r>
      <w:r w:rsidRPr="003B0CD3">
        <w:rPr>
          <w:i/>
          <w:iCs/>
          <w:lang w:val="es-ES_tradnl"/>
        </w:rPr>
        <w:t>p</w:t>
      </w:r>
      <w:r w:rsidRPr="003B0CD3">
        <w:rPr>
          <w:lang w:val="es-ES_tradnl"/>
        </w:rPr>
        <w:t>):</w:t>
      </w:r>
      <w:r w:rsidRPr="003B0CD3">
        <w:rPr>
          <w:lang w:val="es-ES_tradnl"/>
        </w:rPr>
        <w:tab/>
        <w:t xml:space="preserve">pérdidas causadas por la atenuación debida a la lluvia excedida durante el </w:t>
      </w:r>
      <w:r w:rsidRPr="003B0CD3">
        <w:rPr>
          <w:i/>
          <w:iCs/>
          <w:lang w:val="es-ES_tradnl"/>
        </w:rPr>
        <w:t>p</w:t>
      </w:r>
      <w:r w:rsidRPr="003B0CD3">
        <w:rPr>
          <w:lang w:val="es-ES_tradnl"/>
        </w:rPr>
        <w:t>(%) del tiempo en el trayecto oblicuo, en la dirección de un satélite OSG</w:t>
      </w:r>
      <w:r w:rsidRPr="003B0CD3">
        <w:rPr>
          <w:rStyle w:val="FootnoteReference"/>
          <w:lang w:val="es-ES_tradnl"/>
        </w:rPr>
        <w:footnoteReference w:customMarkFollows="1" w:id="4"/>
        <w:t>2</w:t>
      </w:r>
      <w:r w:rsidRPr="003B0CD3">
        <w:rPr>
          <w:lang w:val="es-ES_tradnl"/>
        </w:rPr>
        <w:t xml:space="preserve"> que vienen dadas por:</w:t>
      </w:r>
    </w:p>
    <w:p w:rsidR="00C770FE" w:rsidRPr="003B0CD3" w:rsidRDefault="00C770FE" w:rsidP="003B0CD3">
      <w:pPr>
        <w:pStyle w:val="Equationlegend"/>
        <w:rPr>
          <w:i/>
          <w:iCs/>
          <w:position w:val="-4"/>
          <w:sz w:val="20"/>
          <w:lang w:val="es-ES_tradnl"/>
        </w:rPr>
      </w:pPr>
      <w:r w:rsidRPr="003B0CD3">
        <w:rPr>
          <w:lang w:val="es-ES_tradnl"/>
        </w:rPr>
        <w:tab/>
      </w:r>
      <w:r w:rsidRPr="003B0CD3">
        <w:rPr>
          <w:lang w:val="es-ES_tradnl"/>
        </w:rPr>
        <w:tab/>
        <w:t xml:space="preserve">0, para </w:t>
      </w:r>
      <w:r w:rsidR="002F1F6B" w:rsidRPr="003B0CD3">
        <w:rPr>
          <w:lang w:val="es-ES_tradnl"/>
        </w:rPr>
        <w:sym w:font="Symbol" w:char="F06A"/>
      </w:r>
      <w:r w:rsidR="002F1F6B" w:rsidRPr="003B0CD3">
        <w:rPr>
          <w:i/>
          <w:iCs/>
          <w:lang w:val="es-ES_tradnl"/>
        </w:rPr>
        <w:t>S</w:t>
      </w:r>
      <w:r w:rsidRPr="003B0CD3">
        <w:rPr>
          <w:i/>
          <w:iCs/>
          <w:position w:val="-4"/>
          <w:sz w:val="20"/>
          <w:lang w:val="es-ES_tradnl"/>
        </w:rPr>
        <w:t>j</w:t>
      </w:r>
      <w:r w:rsidRPr="003B0CD3">
        <w:rPr>
          <w:lang w:val="es-ES_tradnl"/>
        </w:rPr>
        <w:t> </w:t>
      </w:r>
      <w:r w:rsidR="003B0CD3" w:rsidRPr="003B0CD3">
        <w:rPr>
          <w:lang w:val="es-ES_tradnl"/>
        </w:rPr>
        <w:t>&gt;</w:t>
      </w:r>
      <w:r w:rsidRPr="003B0CD3">
        <w:rPr>
          <w:lang w:val="es-ES_tradnl"/>
        </w:rPr>
        <w:t> </w:t>
      </w:r>
      <w:r w:rsidR="002F1F6B" w:rsidRPr="003B0CD3">
        <w:rPr>
          <w:lang w:val="es-ES_tradnl"/>
        </w:rPr>
        <w:sym w:font="Symbol" w:char="F06A"/>
      </w:r>
      <w:r w:rsidRPr="003B0CD3">
        <w:rPr>
          <w:i/>
          <w:iCs/>
          <w:position w:val="-4"/>
          <w:sz w:val="20"/>
          <w:lang w:val="es-ES_tradnl"/>
        </w:rPr>
        <w:t>m</w:t>
      </w:r>
    </w:p>
    <w:p w:rsidR="00C770FE" w:rsidRPr="003B0CD3" w:rsidRDefault="00C770FE" w:rsidP="002F1F6B">
      <w:pPr>
        <w:pStyle w:val="Equationlegend"/>
        <w:rPr>
          <w:lang w:val="es-ES_tradnl"/>
        </w:rPr>
      </w:pPr>
      <w:r w:rsidRPr="003B0CD3">
        <w:rPr>
          <w:lang w:val="es-ES_tradnl"/>
        </w:rPr>
        <w:tab/>
      </w:r>
      <w:r w:rsidRPr="003B0CD3">
        <w:rPr>
          <w:i/>
          <w:iCs/>
          <w:lang w:val="es-ES_tradnl"/>
        </w:rPr>
        <w:t>A</w:t>
      </w:r>
      <w:r w:rsidRPr="003B0CD3">
        <w:rPr>
          <w:i/>
          <w:iCs/>
          <w:position w:val="-4"/>
          <w:sz w:val="20"/>
          <w:lang w:val="es-ES_tradnl"/>
        </w:rPr>
        <w:t>p</w:t>
      </w:r>
      <w:r w:rsidRPr="003B0CD3">
        <w:rPr>
          <w:sz w:val="12"/>
          <w:lang w:val="es-ES_tradnl"/>
        </w:rPr>
        <w:t> </w:t>
      </w:r>
      <w:r w:rsidRPr="003B0CD3">
        <w:rPr>
          <w:position w:val="6"/>
          <w:sz w:val="20"/>
          <w:lang w:val="es-ES_tradnl"/>
        </w:rPr>
        <w:footnoteReference w:customMarkFollows="1" w:id="5"/>
        <w:t>3</w:t>
      </w:r>
      <w:r w:rsidRPr="003B0CD3">
        <w:rPr>
          <w:lang w:val="es-ES_tradnl"/>
        </w:rPr>
        <w:t>:</w:t>
      </w:r>
      <w:r w:rsidRPr="003B0CD3">
        <w:rPr>
          <w:lang w:val="es-ES_tradnl"/>
        </w:rPr>
        <w:tab/>
        <w:t xml:space="preserve">(calculada conforme a la Recomendación UIT-R P.618), para </w:t>
      </w:r>
      <w:r w:rsidR="002F1F6B" w:rsidRPr="003B0CD3">
        <w:rPr>
          <w:lang w:val="es-ES_tradnl"/>
        </w:rPr>
        <w:sym w:font="Symbol" w:char="F06A"/>
      </w:r>
      <w:r w:rsidRPr="003B0CD3">
        <w:rPr>
          <w:i/>
          <w:iCs/>
          <w:position w:val="-4"/>
          <w:sz w:val="20"/>
          <w:lang w:val="es-ES_tradnl"/>
        </w:rPr>
        <w:t>Sj</w:t>
      </w:r>
      <w:r w:rsidRPr="003B0CD3">
        <w:rPr>
          <w:lang w:val="es-ES_tradnl"/>
        </w:rPr>
        <w:t> </w:t>
      </w:r>
      <w:r w:rsidR="002F1F6B" w:rsidRPr="003B0CD3">
        <w:rPr>
          <w:lang w:val="es-ES_tradnl"/>
        </w:rPr>
        <w:sym w:font="Symbol" w:char="F0A3"/>
      </w:r>
      <w:r w:rsidRPr="003B0CD3">
        <w:rPr>
          <w:lang w:val="es-ES_tradnl"/>
        </w:rPr>
        <w:t> </w:t>
      </w:r>
      <w:r w:rsidR="002F1F6B" w:rsidRPr="003B0CD3">
        <w:rPr>
          <w:lang w:val="es-ES_tradnl"/>
        </w:rPr>
        <w:sym w:font="Symbol" w:char="F06A"/>
      </w:r>
      <w:r w:rsidRPr="003B0CD3">
        <w:rPr>
          <w:i/>
          <w:iCs/>
          <w:position w:val="-4"/>
          <w:sz w:val="20"/>
          <w:lang w:val="es-ES_tradnl"/>
        </w:rPr>
        <w:t>m</w:t>
      </w:r>
    </w:p>
    <w:p w:rsidR="00C770FE" w:rsidRDefault="00C770FE" w:rsidP="007157F0">
      <w:pPr>
        <w:pStyle w:val="Equationlegend"/>
        <w:rPr>
          <w:lang w:val="es-ES_tradnl"/>
        </w:rPr>
      </w:pPr>
      <w:r>
        <w:rPr>
          <w:lang w:val="es-ES_tradnl"/>
        </w:rPr>
        <w:tab/>
      </w:r>
      <w:r>
        <w:rPr>
          <w:i/>
          <w:iCs/>
          <w:lang w:val="es-ES_tradnl"/>
        </w:rPr>
        <w:t>L</w:t>
      </w:r>
      <w:r>
        <w:rPr>
          <w:i/>
          <w:iCs/>
          <w:position w:val="-4"/>
          <w:sz w:val="20"/>
          <w:lang w:val="es-ES_tradnl"/>
        </w:rPr>
        <w:t>F</w:t>
      </w:r>
      <w:r>
        <w:rPr>
          <w:rFonts w:ascii="Tms Rmn" w:hAnsi="Tms Rmn"/>
          <w:sz w:val="12"/>
          <w:lang w:val="es-ES_tradnl"/>
        </w:rPr>
        <w:t> </w:t>
      </w:r>
      <w:r>
        <w:rPr>
          <w:lang w:val="es-ES_tradnl"/>
        </w:rPr>
        <w:t>:</w:t>
      </w:r>
      <w:r>
        <w:rPr>
          <w:lang w:val="es-ES_tradnl"/>
        </w:rPr>
        <w:tab/>
        <w:t>pérdida del sistema alimentador del receptor del servicio fijo (dB)</w:t>
      </w:r>
    </w:p>
    <w:p w:rsidR="00C770FE" w:rsidRDefault="00C770FE" w:rsidP="007157F0">
      <w:pPr>
        <w:pStyle w:val="Equationlegend"/>
        <w:rPr>
          <w:lang w:val="es-ES_tradnl"/>
        </w:rPr>
      </w:pPr>
      <w:r>
        <w:rPr>
          <w:lang w:val="es-ES_tradnl"/>
        </w:rPr>
        <w:tab/>
      </w:r>
      <w:r>
        <w:rPr>
          <w:i/>
          <w:iCs/>
          <w:lang w:val="es-ES_tradnl"/>
        </w:rPr>
        <w:t>L</w:t>
      </w:r>
      <w:r>
        <w:rPr>
          <w:i/>
          <w:iCs/>
          <w:position w:val="-4"/>
          <w:sz w:val="20"/>
          <w:lang w:val="es-ES_tradnl"/>
        </w:rPr>
        <w:t>Atm_Sj</w:t>
      </w:r>
      <w:r>
        <w:rPr>
          <w:rFonts w:ascii="Tms Rmn" w:hAnsi="Tms Rmn"/>
          <w:sz w:val="12"/>
          <w:lang w:val="es-ES_tradnl"/>
        </w:rPr>
        <w:t> </w:t>
      </w:r>
      <w:r>
        <w:rPr>
          <w:lang w:val="es-ES_tradnl"/>
        </w:rPr>
        <w:t>:</w:t>
      </w:r>
      <w:r>
        <w:rPr>
          <w:lang w:val="es-ES_tradnl"/>
        </w:rPr>
        <w:tab/>
        <w:t>atenuación debida a los gases atmosféricos en el trayecto oblicuo (dB)</w:t>
      </w:r>
    </w:p>
    <w:p w:rsidR="00C770FE" w:rsidRDefault="00C770FE" w:rsidP="007157F0">
      <w:pPr>
        <w:pStyle w:val="Equationlegend"/>
        <w:rPr>
          <w:lang w:val="es-ES_tradnl"/>
        </w:rPr>
      </w:pPr>
      <w:r>
        <w:rPr>
          <w:lang w:val="es-ES_tradnl"/>
        </w:rPr>
        <w:tab/>
      </w:r>
      <w:r>
        <w:rPr>
          <w:i/>
          <w:iCs/>
          <w:lang w:val="es-ES_tradnl"/>
        </w:rPr>
        <w:t>L</w:t>
      </w:r>
      <w:r>
        <w:rPr>
          <w:i/>
          <w:iCs/>
          <w:position w:val="-4"/>
          <w:sz w:val="20"/>
          <w:lang w:val="es-ES_tradnl"/>
        </w:rPr>
        <w:t>bsj</w:t>
      </w:r>
      <w:r>
        <w:rPr>
          <w:rFonts w:ascii="Tms Rmn" w:hAnsi="Tms Rmn"/>
          <w:sz w:val="12"/>
          <w:lang w:val="es-ES_tradnl"/>
        </w:rPr>
        <w:t> </w:t>
      </w:r>
      <w:r>
        <w:rPr>
          <w:lang w:val="es-ES_tradnl"/>
        </w:rPr>
        <w:t>:</w:t>
      </w:r>
      <w:r>
        <w:rPr>
          <w:lang w:val="es-ES_tradnl"/>
        </w:rPr>
        <w:tab/>
        <w:t>atenuación debida a la dispersión del haz en el trayecto espacio</w:t>
      </w:r>
      <w:r>
        <w:rPr>
          <w:lang w:val="es-ES_tradnl"/>
        </w:rPr>
        <w:noBreakHyphen/>
        <w:t>Tierra (dB).</w:t>
      </w:r>
    </w:p>
    <w:p w:rsidR="00C770FE" w:rsidRPr="003B0CD3" w:rsidRDefault="00C770FE" w:rsidP="007157F0">
      <w:pPr>
        <w:rPr>
          <w:lang w:val="es-ES_tradnl"/>
        </w:rPr>
      </w:pPr>
      <w:r>
        <w:rPr>
          <w:lang w:val="es-ES_tradnl"/>
        </w:rPr>
        <w:t xml:space="preserve">La Nota 7 del </w:t>
      </w:r>
      <w:r>
        <w:rPr>
          <w:i/>
          <w:iCs/>
          <w:lang w:val="es-ES_tradnl"/>
        </w:rPr>
        <w:t>recomienda</w:t>
      </w:r>
      <w:r>
        <w:rPr>
          <w:lang w:val="es-ES_tradnl"/>
        </w:rPr>
        <w:t xml:space="preserve"> 4 de la Recomendación UIT-R F.1245 contiene una fórmula para calcular la ganancia efectiva de una antena direccional del servicio fijo en la dirección de un satélite OSG. </w:t>
      </w:r>
      <w:r w:rsidRPr="003B0CD3">
        <w:rPr>
          <w:lang w:val="es-ES_tradnl"/>
        </w:rPr>
        <w:t xml:space="preserve">Se ha supuesto que cada satélite del SFS OSG transmite el nivel máximo del contorno de la dfp prescrito. Cuando el satélite está en el haz principal de la antena del servicio fijo, dicha antena del servicio fijo está también en el haz principal de la antena del satélite y entonces es aplicable la fórmula de la ganancia efectiva, </w:t>
      </w:r>
      <w:r w:rsidRPr="003B0CD3">
        <w:rPr>
          <w:i/>
          <w:lang w:val="es-ES_tradnl"/>
        </w:rPr>
        <w:t>G</w:t>
      </w:r>
      <w:r w:rsidRPr="003B0CD3">
        <w:rPr>
          <w:i/>
          <w:iCs/>
          <w:position w:val="-4"/>
          <w:sz w:val="20"/>
          <w:lang w:val="es-ES_tradnl"/>
        </w:rPr>
        <w:t>eff</w:t>
      </w:r>
      <w:r w:rsidRPr="003B0CD3">
        <w:rPr>
          <w:lang w:val="es-ES_tradnl"/>
        </w:rPr>
        <w:t>,</w:t>
      </w:r>
      <w:r w:rsidRPr="003B0CD3">
        <w:rPr>
          <w:i/>
          <w:lang w:val="es-ES_tradnl"/>
        </w:rPr>
        <w:t xml:space="preserve"> </w:t>
      </w:r>
      <w:r w:rsidRPr="003B0CD3">
        <w:rPr>
          <w:lang w:val="es-ES_tradnl"/>
        </w:rPr>
        <w:t>teniendo en cuenta la ventaja de la polarización que figura en la Nota 7. Se supone que los satélites transmitirán señales polarizadas circularmente y que los sistemas del servicio fijo utilizarán señales polarizadas linealmente.</w:t>
      </w:r>
    </w:p>
    <w:p w:rsidR="00C770FE" w:rsidRPr="003B0CD3" w:rsidRDefault="00C770FE" w:rsidP="002F1F6B">
      <w:pPr>
        <w:rPr>
          <w:lang w:val="es-ES_tradnl"/>
        </w:rPr>
      </w:pPr>
      <w:r w:rsidRPr="003B0CD3">
        <w:rPr>
          <w:bCs/>
          <w:lang w:val="es-ES_tradnl"/>
        </w:rPr>
        <w:t>E</w:t>
      </w:r>
      <w:r w:rsidRPr="003B0CD3">
        <w:rPr>
          <w:lang w:val="es-ES_tradnl"/>
        </w:rPr>
        <w:t xml:space="preserve">n el cálculo de la </w:t>
      </w:r>
      <w:r w:rsidRPr="003B0CD3">
        <w:rPr>
          <w:i/>
          <w:iCs/>
          <w:lang w:val="es-ES_tradnl"/>
        </w:rPr>
        <w:t>G</w:t>
      </w:r>
      <w:r w:rsidRPr="003B0CD3">
        <w:rPr>
          <w:i/>
          <w:iCs/>
          <w:position w:val="-4"/>
          <w:sz w:val="20"/>
          <w:lang w:val="es-ES_tradnl"/>
        </w:rPr>
        <w:t>Rx</w:t>
      </w:r>
      <w:r w:rsidRPr="003B0CD3">
        <w:rPr>
          <w:lang w:val="es-ES_tradnl"/>
        </w:rPr>
        <w:t>(</w:t>
      </w:r>
      <w:r w:rsidR="002F1F6B" w:rsidRPr="003B0CD3">
        <w:rPr>
          <w:lang w:val="es-ES_tradnl"/>
        </w:rPr>
        <w:sym w:font="Symbol" w:char="F06A"/>
      </w:r>
      <w:r w:rsidRPr="003B0CD3">
        <w:rPr>
          <w:i/>
          <w:iCs/>
          <w:position w:val="-4"/>
          <w:sz w:val="20"/>
          <w:lang w:val="es-ES_tradnl"/>
        </w:rPr>
        <w:t>Sj</w:t>
      </w:r>
      <w:r w:rsidRPr="003B0CD3">
        <w:rPr>
          <w:lang w:val="es-ES_tradnl"/>
        </w:rPr>
        <w:t>) de la ecuación (19) se supone que ambas polarizaciones ortogonales no se reutilizarán en el mismo haz del mismo satélite. En los satélites que explotan un número separado geográficamente de pequeños haces puntuales dirigidos a grandes estaciones terrenas de cabecera, se ha supuesto que, dadas las limitaciones de potencia y las consideraciones en cuanto al balance del enlace, no se utilizarán canales polarizados ortogonalmente en la misma frecuencia, en los mismos haces.</w:t>
      </w:r>
    </w:p>
    <w:p w:rsidR="00C770FE" w:rsidRPr="003B0CD3" w:rsidRDefault="00C770FE" w:rsidP="002F1F6B">
      <w:pPr>
        <w:rPr>
          <w:lang w:val="es-ES_tradnl"/>
        </w:rPr>
      </w:pPr>
      <w:r w:rsidRPr="003B0CD3">
        <w:rPr>
          <w:lang w:val="es-ES_tradnl"/>
        </w:rPr>
        <w:t xml:space="preserve">Al calcular el ángulo de separación, </w:t>
      </w:r>
      <w:r w:rsidR="002F1F6B" w:rsidRPr="003B0CD3">
        <w:rPr>
          <w:lang w:val="es-ES_tradnl"/>
        </w:rPr>
        <w:sym w:font="Symbol" w:char="F06A"/>
      </w:r>
      <w:r w:rsidRPr="003B0CD3">
        <w:rPr>
          <w:i/>
          <w:iCs/>
          <w:position w:val="-4"/>
          <w:sz w:val="20"/>
          <w:lang w:val="es-ES_tradnl"/>
        </w:rPr>
        <w:t>Si</w:t>
      </w:r>
      <w:r w:rsidRPr="003B0CD3">
        <w:rPr>
          <w:lang w:val="es-ES_tradnl"/>
        </w:rPr>
        <w:t xml:space="preserve"> para los satélites OSG con ángulos de elevación reducidos, puede utilizarse la Recomendación UIT-R P.834 con la altura del receptor del servicio fijo (</w:t>
      </w:r>
      <w:r w:rsidRPr="003B0CD3">
        <w:rPr>
          <w:i/>
          <w:iCs/>
          <w:lang w:val="es-ES_tradnl"/>
        </w:rPr>
        <w:t>h</w:t>
      </w:r>
      <w:r w:rsidRPr="003B0CD3">
        <w:rPr>
          <w:i/>
          <w:iCs/>
          <w:position w:val="-4"/>
          <w:sz w:val="20"/>
          <w:lang w:val="es-ES_tradnl"/>
        </w:rPr>
        <w:t>s</w:t>
      </w:r>
      <w:r w:rsidRPr="003B0CD3">
        <w:rPr>
          <w:lang w:val="es-ES_tradnl"/>
        </w:rPr>
        <w:t xml:space="preserve">) agl y el valor calculado de la refracción radioeléctrica en la superficie de la Tierra, </w:t>
      </w:r>
      <w:r w:rsidRPr="003B0CD3">
        <w:rPr>
          <w:i/>
          <w:iCs/>
          <w:lang w:val="es-ES_tradnl"/>
        </w:rPr>
        <w:t>N</w:t>
      </w:r>
      <w:r w:rsidRPr="003B0CD3">
        <w:rPr>
          <w:i/>
          <w:iCs/>
          <w:position w:val="-4"/>
          <w:sz w:val="20"/>
          <w:lang w:val="es-ES_tradnl"/>
        </w:rPr>
        <w:t>S</w:t>
      </w:r>
      <w:r w:rsidRPr="003B0CD3">
        <w:rPr>
          <w:lang w:val="es-ES_tradnl"/>
        </w:rPr>
        <w:t> </w:t>
      </w:r>
      <w:r w:rsidRPr="003B0CD3">
        <w:rPr>
          <w:rStyle w:val="FootnoteReference"/>
          <w:lang w:val="es-ES_tradnl"/>
        </w:rPr>
        <w:footnoteReference w:customMarkFollows="1" w:id="6"/>
        <w:t>4</w:t>
      </w:r>
      <w:r w:rsidRPr="003B0CD3">
        <w:rPr>
          <w:lang w:val="es-ES_tradnl"/>
        </w:rPr>
        <w:t xml:space="preserve"> para determinar el ángulo de elevación aparente del satélite interferente sobre el horizonte de cero grados.</w:t>
      </w:r>
    </w:p>
    <w:p w:rsidR="00C770FE" w:rsidRDefault="00C770FE" w:rsidP="002F1F6B">
      <w:pPr>
        <w:rPr>
          <w:bCs/>
          <w:lang w:val="es-ES_tradnl"/>
        </w:rPr>
      </w:pPr>
      <w:r w:rsidRPr="003B0CD3">
        <w:rPr>
          <w:bCs/>
          <w:lang w:val="es-ES_tradnl"/>
        </w:rPr>
        <w:t>En condiciones de cielo despejado y en una atmósfera real, habrá dos pérdidas de larga duración en el trayecto de interferencia espacio</w:t>
      </w:r>
      <w:r w:rsidRPr="003B0CD3">
        <w:rPr>
          <w:bCs/>
          <w:lang w:val="es-ES_tradnl"/>
        </w:rPr>
        <w:noBreakHyphen/>
        <w:t xml:space="preserve">Tierra desde los satélites del SFS OSG. La primera de estas dos pérdidas es la atenuación debida a los gases atmosféricos en el trayecto oblicuo, </w:t>
      </w:r>
      <w:r w:rsidRPr="003B0CD3">
        <w:rPr>
          <w:i/>
          <w:iCs/>
          <w:lang w:val="es-ES_tradnl"/>
        </w:rPr>
        <w:t>L</w:t>
      </w:r>
      <w:r w:rsidRPr="003B0CD3">
        <w:rPr>
          <w:i/>
          <w:iCs/>
          <w:position w:val="-4"/>
          <w:sz w:val="20"/>
          <w:lang w:val="es-ES_tradnl"/>
        </w:rPr>
        <w:t>Atm_S</w:t>
      </w:r>
      <w:r w:rsidRPr="003B0CD3">
        <w:rPr>
          <w:bCs/>
          <w:lang w:val="es-ES_tradnl"/>
        </w:rPr>
        <w:t xml:space="preserve">, que se calcula conforme a la Recomendación UIT-R P.676. La segunda de estas pérdidas es la de dispersión del haz, </w:t>
      </w:r>
      <w:r w:rsidRPr="003B0CD3">
        <w:rPr>
          <w:bCs/>
          <w:i/>
          <w:lang w:val="es-ES_tradnl"/>
        </w:rPr>
        <w:t>L</w:t>
      </w:r>
      <w:r w:rsidRPr="003B0CD3">
        <w:rPr>
          <w:i/>
          <w:iCs/>
          <w:position w:val="-4"/>
          <w:sz w:val="20"/>
          <w:lang w:val="es-ES_tradnl"/>
        </w:rPr>
        <w:t>bs</w:t>
      </w:r>
      <w:r w:rsidRPr="003B0CD3">
        <w:rPr>
          <w:bCs/>
          <w:lang w:val="es-ES_tradnl"/>
        </w:rPr>
        <w:t>, (§ 2.3.2 de la Recomendación UIT-R P.618). Para obtener una estimación prudente de la interferencia del SFS, sólo debe</w:t>
      </w:r>
      <w:r>
        <w:rPr>
          <w:bCs/>
          <w:lang w:val="es-ES_tradnl"/>
        </w:rPr>
        <w:t xml:space="preserve"> incluirse la atenuación debida a los gases atmosféricos, </w:t>
      </w:r>
      <w:r>
        <w:rPr>
          <w:bCs/>
          <w:i/>
          <w:lang w:val="es-ES_tradnl"/>
        </w:rPr>
        <w:t>L</w:t>
      </w:r>
      <w:r>
        <w:rPr>
          <w:i/>
          <w:iCs/>
          <w:position w:val="-4"/>
          <w:sz w:val="20"/>
          <w:lang w:val="es-ES_tradnl"/>
        </w:rPr>
        <w:t>Atm_S</w:t>
      </w:r>
      <w:r>
        <w:rPr>
          <w:bCs/>
          <w:lang w:val="es-ES_tradnl"/>
        </w:rPr>
        <w:t xml:space="preserve">, como atenuación en el trayecto oblicuo, pues se verá que la atenuación debida a los gases atmosféricos es insignificante en las bandas por encima de 17 GHz. El efecto de la dispersión del haz sólo es significativo con ángulos de elevación muy reducidos y además tiene la </w:t>
      </w:r>
      <w:r>
        <w:rPr>
          <w:bCs/>
          <w:lang w:val="es-ES_tradnl"/>
        </w:rPr>
        <w:lastRenderedPageBreak/>
        <w:t>característica de presentar una desviación típica significativa alrededor de su valor medio. Asimismo, la desviación típica se acerca al valor medio para la elevación de 0. El efecto de la dispersión del haz puede incluirse como una atenuación en el trayecto oblicuo si se desea poner de manifiesto el efecto de la dispersión del haz entre los sistemas del servicio fijo en latitudes superiores, en las que suelen ser característicos los receptores con ángulo de elevación inferior. En esta metodología no se han considerado los efectos a corto plazo de los desvanecimientos profundos y de los aumentos de señal (§ 2.4 de la Recomendación UIT-R P.618</w:t>
      </w:r>
      <w:r>
        <w:rPr>
          <w:bCs/>
          <w:lang w:val="es-ES_tradnl"/>
        </w:rPr>
        <w:noBreakHyphen/>
        <w:t>6</w:t>
      </w:r>
      <w:r w:rsidR="00F618CC">
        <w:rPr>
          <w:bCs/>
          <w:lang w:val="es-ES_tradnl"/>
        </w:rPr>
        <w:t>)</w:t>
      </w:r>
      <w:r>
        <w:rPr>
          <w:bCs/>
          <w:lang w:val="es-ES_tradnl"/>
        </w:rPr>
        <w:t>.</w:t>
      </w:r>
    </w:p>
    <w:p w:rsidR="00C770FE" w:rsidRDefault="00C770FE" w:rsidP="007157F0">
      <w:pPr>
        <w:pStyle w:val="Heading2"/>
        <w:rPr>
          <w:lang w:val="es-ES_tradnl"/>
        </w:rPr>
      </w:pPr>
      <w:r>
        <w:rPr>
          <w:lang w:val="es-ES_tradnl"/>
        </w:rPr>
        <w:t>6.7</w:t>
      </w:r>
      <w:r>
        <w:rPr>
          <w:lang w:val="es-ES_tradnl"/>
        </w:rPr>
        <w:tab/>
        <w:t>Análisis para incorporar los efectos de la lluvia en las contribuciones a la interferencia en condiciones de desvanecimiento debido a la lluvia de la señal deseada del servicio fijo</w:t>
      </w:r>
    </w:p>
    <w:p w:rsidR="00C770FE" w:rsidRDefault="00C770FE" w:rsidP="00244027">
      <w:pPr>
        <w:rPr>
          <w:lang w:val="es-ES_tradnl"/>
        </w:rPr>
      </w:pPr>
      <w:r>
        <w:rPr>
          <w:lang w:val="es-ES_tradnl"/>
        </w:rPr>
        <w:t>En las bandas de frecuencia por encima de 17 GHz, el efecto de la atmósfera representa un papel significativo en la atenuación de la interferencia espacio</w:t>
      </w:r>
      <w:r>
        <w:rPr>
          <w:lang w:val="es-ES_tradnl"/>
        </w:rPr>
        <w:noBreakHyphen/>
        <w:t>Tierra y varía significativamente dependiendo del emplazamiento real del sistema del servicio fijo interferido. Esta metodología examina únicamente el efecto a largo plazo de la interferencia en condiciones de cielo despejado. Durante las condiciones de desvanecimiento debido a la lluvia, también se atenuará la interferencia espacio</w:t>
      </w:r>
      <w:r>
        <w:rPr>
          <w:lang w:val="es-ES_tradnl"/>
        </w:rPr>
        <w:noBreakHyphen/>
        <w:t>Tierra; no obstante, no habrá una correlación al 100% entre la atenuación en el trayecto de la señal deseada y la atenuación en todos los trayectos de la señal interferente.</w:t>
      </w:r>
    </w:p>
    <w:p w:rsidR="00C770FE" w:rsidRDefault="00C770FE" w:rsidP="003B0CD3">
      <w:pPr>
        <w:rPr>
          <w:lang w:val="es-ES_tradnl"/>
        </w:rPr>
      </w:pPr>
      <w:r>
        <w:rPr>
          <w:lang w:val="es-ES_tradnl"/>
        </w:rPr>
        <w:t xml:space="preserve">Al calcular la disponibilidad lograda en presencia de la interferencia de larga duración del SFS OSG, se supone que la componente de interferencia debida a la OSG puede atenuarse por la </w:t>
      </w:r>
      <w:r w:rsidRPr="003B0CD3">
        <w:rPr>
          <w:lang w:val="es-ES_tradnl"/>
        </w:rPr>
        <w:t>lluvia en el trayecto oblicuo que lleva al satélite interferente, pero únicamente si dicho satélite está en el haz principal de la antena de receptor del servicio fijo. Así pues, cuando se calcula el total del ruido más la interferencia del sistema en condiciones de desvanecimiento debido a la lluvia, (</w:t>
      </w:r>
      <w:r w:rsidRPr="003B0CD3">
        <w:rPr>
          <w:i/>
          <w:iCs/>
          <w:lang w:val="es-ES_tradnl"/>
        </w:rPr>
        <w:t>N</w:t>
      </w:r>
      <w:r w:rsidRPr="003B0CD3">
        <w:rPr>
          <w:lang w:val="es-ES_tradnl"/>
        </w:rPr>
        <w:t> </w:t>
      </w:r>
      <w:r w:rsidR="003B0CD3" w:rsidRPr="003B0CD3">
        <w:rPr>
          <w:lang w:val="es-ES_tradnl"/>
        </w:rPr>
        <w:t>+</w:t>
      </w:r>
      <w:r w:rsidRPr="003B0CD3">
        <w:rPr>
          <w:lang w:val="es-ES_tradnl"/>
        </w:rPr>
        <w:t> </w:t>
      </w:r>
      <w:r w:rsidRPr="003B0CD3">
        <w:rPr>
          <w:i/>
          <w:iCs/>
          <w:lang w:val="es-ES_tradnl"/>
        </w:rPr>
        <w:t>I</w:t>
      </w:r>
      <w:r w:rsidRPr="003B0CD3">
        <w:rPr>
          <w:i/>
          <w:iCs/>
          <w:position w:val="-4"/>
          <w:sz w:val="20"/>
          <w:lang w:val="es-ES_tradnl"/>
        </w:rPr>
        <w:t>Intra</w:t>
      </w:r>
      <w:r w:rsidRPr="003B0CD3">
        <w:rPr>
          <w:lang w:val="es-ES_tradnl"/>
        </w:rPr>
        <w:t> </w:t>
      </w:r>
      <w:r w:rsidR="003B0CD3" w:rsidRPr="003B0CD3">
        <w:rPr>
          <w:lang w:val="es-ES_tradnl"/>
        </w:rPr>
        <w:t>+</w:t>
      </w:r>
      <w:r w:rsidRPr="003B0CD3">
        <w:rPr>
          <w:lang w:val="es-ES_tradnl"/>
        </w:rPr>
        <w:t> </w:t>
      </w:r>
      <w:r w:rsidRPr="003B0CD3">
        <w:rPr>
          <w:i/>
          <w:iCs/>
          <w:lang w:val="es-ES_tradnl"/>
        </w:rPr>
        <w:t>I</w:t>
      </w:r>
      <w:r w:rsidRPr="003B0CD3">
        <w:rPr>
          <w:i/>
          <w:iCs/>
          <w:position w:val="-4"/>
          <w:sz w:val="20"/>
          <w:lang w:val="es-ES_tradnl"/>
        </w:rPr>
        <w:t>Inter</w:t>
      </w:r>
      <w:r w:rsidRPr="003B0CD3">
        <w:rPr>
          <w:lang w:val="es-ES_tradnl"/>
        </w:rPr>
        <w:t> </w:t>
      </w:r>
      <w:r w:rsidR="003B0CD3" w:rsidRPr="003B0CD3">
        <w:rPr>
          <w:lang w:val="es-ES_tradnl"/>
        </w:rPr>
        <w:t>+</w:t>
      </w:r>
      <w:r w:rsidRPr="003B0CD3">
        <w:rPr>
          <w:lang w:val="es-ES_tradnl"/>
        </w:rPr>
        <w:t> </w:t>
      </w:r>
      <w:r w:rsidRPr="003B0CD3">
        <w:rPr>
          <w:i/>
          <w:iCs/>
          <w:lang w:val="es-ES_tradnl"/>
        </w:rPr>
        <w:t>I</w:t>
      </w:r>
      <w:r w:rsidRPr="003B0CD3">
        <w:rPr>
          <w:i/>
          <w:iCs/>
          <w:position w:val="-4"/>
          <w:sz w:val="20"/>
          <w:lang w:val="es-ES_tradnl"/>
        </w:rPr>
        <w:t>OSG</w:t>
      </w:r>
      <w:r w:rsidRPr="003B0CD3">
        <w:rPr>
          <w:lang w:val="es-ES_tradnl"/>
        </w:rPr>
        <w:t>)</w:t>
      </w:r>
      <w:r w:rsidRPr="003B0CD3">
        <w:rPr>
          <w:i/>
          <w:iCs/>
          <w:position w:val="-4"/>
          <w:sz w:val="20"/>
          <w:lang w:val="es-ES_tradnl"/>
        </w:rPr>
        <w:t>Total Rain</w:t>
      </w:r>
      <w:r w:rsidRPr="003B0CD3">
        <w:rPr>
          <w:lang w:val="es-ES_tradnl"/>
        </w:rPr>
        <w:t xml:space="preserve"> únicamente la interferencia procedente de los satélites del SFS OSG dentro de </w:t>
      </w:r>
      <w:r w:rsidR="002F1F6B" w:rsidRPr="003B0CD3">
        <w:rPr>
          <w:lang w:val="es-ES_tradnl"/>
        </w:rPr>
        <w:sym w:font="Symbol" w:char="F06A"/>
      </w:r>
      <w:r w:rsidRPr="003B0CD3">
        <w:rPr>
          <w:i/>
          <w:iCs/>
          <w:position w:val="-4"/>
          <w:sz w:val="20"/>
          <w:lang w:val="es-ES_tradnl"/>
        </w:rPr>
        <w:t>m</w:t>
      </w:r>
      <w:r w:rsidRPr="003B0CD3">
        <w:rPr>
          <w:lang w:val="es-ES_tradnl"/>
        </w:rPr>
        <w:t xml:space="preserve"> del haz principal de la antena del servicio fijo se atenúa en el valor calculado del desvanecimiento debido a la lluvia a lo largo de todo el trayecto oblicuo, hasta niveles significativamente inferiores que dejan fundamentalmente a la interferencia fuera del haz principal aportar su contribución al total de ruido más la interferencia (</w:t>
      </w:r>
      <w:r w:rsidRPr="003B0CD3">
        <w:rPr>
          <w:i/>
          <w:iCs/>
          <w:lang w:val="es-ES_tradnl"/>
        </w:rPr>
        <w:t>N</w:t>
      </w:r>
      <w:r w:rsidRPr="003B0CD3">
        <w:rPr>
          <w:lang w:val="es-ES_tradnl"/>
        </w:rPr>
        <w:t> </w:t>
      </w:r>
      <w:r w:rsidRPr="003B0CD3">
        <w:rPr>
          <w:i/>
          <w:iCs/>
          <w:lang w:val="es-ES_tradnl"/>
        </w:rPr>
        <w:t>I</w:t>
      </w:r>
      <w:r w:rsidRPr="003B0CD3">
        <w:rPr>
          <w:i/>
          <w:iCs/>
          <w:position w:val="-4"/>
          <w:sz w:val="20"/>
          <w:lang w:val="es-ES_tradnl"/>
        </w:rPr>
        <w:t>Intra</w:t>
      </w:r>
      <w:r w:rsidRPr="003B0CD3">
        <w:rPr>
          <w:lang w:val="es-ES_tradnl"/>
        </w:rPr>
        <w:t> </w:t>
      </w:r>
      <w:r w:rsidR="003B0CD3" w:rsidRPr="003B0CD3">
        <w:rPr>
          <w:lang w:val="es-ES_tradnl"/>
        </w:rPr>
        <w:t>+</w:t>
      </w:r>
      <w:r w:rsidRPr="003B0CD3">
        <w:rPr>
          <w:lang w:val="es-ES_tradnl"/>
        </w:rPr>
        <w:t> </w:t>
      </w:r>
      <w:r w:rsidRPr="003B0CD3">
        <w:rPr>
          <w:i/>
          <w:iCs/>
          <w:lang w:val="es-ES_tradnl"/>
        </w:rPr>
        <w:t>I</w:t>
      </w:r>
      <w:r w:rsidRPr="003B0CD3">
        <w:rPr>
          <w:i/>
          <w:iCs/>
          <w:position w:val="-4"/>
          <w:sz w:val="20"/>
          <w:lang w:val="es-ES_tradnl"/>
        </w:rPr>
        <w:t>Inter</w:t>
      </w:r>
      <w:r w:rsidRPr="003B0CD3">
        <w:rPr>
          <w:lang w:val="es-ES_tradnl"/>
        </w:rPr>
        <w:t> </w:t>
      </w:r>
      <w:r w:rsidR="003B0CD3" w:rsidRPr="003B0CD3">
        <w:rPr>
          <w:lang w:val="es-ES_tradnl"/>
        </w:rPr>
        <w:t>+</w:t>
      </w:r>
      <w:r w:rsidRPr="003B0CD3">
        <w:rPr>
          <w:i/>
          <w:iCs/>
          <w:lang w:val="es-ES_tradnl"/>
        </w:rPr>
        <w:t>I</w:t>
      </w:r>
      <w:r w:rsidRPr="003B0CD3">
        <w:rPr>
          <w:i/>
          <w:iCs/>
          <w:position w:val="-4"/>
          <w:sz w:val="20"/>
          <w:lang w:val="es-ES_tradnl"/>
        </w:rPr>
        <w:t>OSG</w:t>
      </w:r>
      <w:r w:rsidRPr="003B0CD3">
        <w:rPr>
          <w:lang w:val="es-ES_tradnl"/>
        </w:rPr>
        <w:t>)</w:t>
      </w:r>
      <w:r w:rsidRPr="003B0CD3">
        <w:rPr>
          <w:i/>
          <w:iCs/>
          <w:position w:val="-4"/>
          <w:sz w:val="20"/>
          <w:lang w:val="es-ES_tradnl"/>
        </w:rPr>
        <w:t>Total Rain</w:t>
      </w:r>
      <w:r w:rsidRPr="003B0CD3">
        <w:rPr>
          <w:rStyle w:val="FootnoteReference"/>
          <w:lang w:val="es-ES_tradnl"/>
        </w:rPr>
        <w:footnoteReference w:customMarkFollows="1" w:id="7"/>
        <w:t>5</w:t>
      </w:r>
      <w:r w:rsidRPr="003B0CD3">
        <w:rPr>
          <w:lang w:val="es-ES_tradnl"/>
        </w:rPr>
        <w:t xml:space="preserve">. Ésta es una hipótesis razonable, pues probablemente habrá también cierta atenuación en la dirección de otros satélites. La Recomendación UIT-R P.618 se aplica a todo el trayecto oblicuo que se inicia en un punto determinado a la altitud </w:t>
      </w:r>
      <w:r w:rsidRPr="003B0CD3">
        <w:rPr>
          <w:i/>
          <w:iCs/>
          <w:lang w:val="es-ES_tradnl"/>
        </w:rPr>
        <w:t>h</w:t>
      </w:r>
      <w:r w:rsidRPr="003B0CD3">
        <w:rPr>
          <w:i/>
          <w:iCs/>
          <w:position w:val="-4"/>
          <w:sz w:val="20"/>
          <w:lang w:val="es-ES_tradnl"/>
        </w:rPr>
        <w:t>s</w:t>
      </w:r>
      <w:r w:rsidRPr="003B0CD3">
        <w:rPr>
          <w:lang w:val="es-ES_tradnl"/>
        </w:rPr>
        <w:t xml:space="preserve"> (amsl) para un ángulo de elevación determinado, a través de toda la atmósfera. No incluye ninguna previsión de incorporar ninguna correlación (o falta de ella) entre las altitudes bajas y las altas a lo largo del mismo trayecto oblicuo a través de la atmósfera. Como mínimo, la atenuación debida a la lluvia a lo largo del trayecto entre la antena receptora del servicio fijo y la antena transmisora del servicio fijo, común a la señal deseada del servicio fijo y a la interferencia del SFS OSG (cuando la estación espacial está en el haz principal) debe guardar una correlación del 100%. Sólo es en el trayecto, que va más allá de la antena transmisora del servicio fijo (es decir, entre la fuente de la señal deseada y la estación espacial interferente) que no se</w:t>
      </w:r>
      <w:r>
        <w:rPr>
          <w:lang w:val="es-ES_tradnl"/>
        </w:rPr>
        <w:t xml:space="preserve"> conoce la correlación entre el desvanecimiento a lo largo del trayecto y el desvanecimiento en el trayecto de la señal deseada.</w:t>
      </w:r>
    </w:p>
    <w:p w:rsidR="00C770FE" w:rsidRDefault="00C770FE" w:rsidP="007157F0">
      <w:pPr>
        <w:rPr>
          <w:lang w:val="es-ES_tradnl"/>
        </w:rPr>
      </w:pPr>
      <w:r>
        <w:rPr>
          <w:lang w:val="es-ES_tradnl"/>
        </w:rPr>
        <w:t>En el caso de la interferencia interior al servicio procedente de otros sistemas del servicio fijo, la componente de dicha interferencia interior al servicio puede no resultar atenuada con la misma intensidad que el desvanecimiento en el trayecto de la señal deseada durante condiciones de lluvia. La interferencia interior al servicio tenderá a proceder de enlaces que tengan su origen en múltiples direcciones, distancias y azimuts diferentes.</w:t>
      </w:r>
    </w:p>
    <w:p w:rsidR="00C770FE" w:rsidRDefault="00C770FE" w:rsidP="00244027">
      <w:pPr>
        <w:rPr>
          <w:lang w:val="es-ES_tradnl"/>
        </w:rPr>
      </w:pPr>
      <w:r>
        <w:rPr>
          <w:lang w:val="es-ES_tradnl"/>
        </w:rPr>
        <w:lastRenderedPageBreak/>
        <w:t>Así pues, dadas las dos hipótesis prudentes en relación con las contribuciones respectivas de la interferencia entre sistemas e interior al servicio al ruido total del sistema durante la lluvia, el margen de desvanecimiento disponible debe ser mayor que el que se calcula utilizando esta metodología y, como consecuencia de ello, la disponibilidad calculada que se logre debe subestimarse de forma prudente.</w:t>
      </w:r>
    </w:p>
    <w:p w:rsidR="00C770FE" w:rsidRDefault="00C770FE" w:rsidP="007157F0">
      <w:pPr>
        <w:pStyle w:val="Heading1"/>
        <w:rPr>
          <w:lang w:val="es-ES_tradnl"/>
        </w:rPr>
      </w:pPr>
      <w:r>
        <w:rPr>
          <w:lang w:val="es-ES_tradnl"/>
        </w:rPr>
        <w:t>7</w:t>
      </w:r>
      <w:r>
        <w:rPr>
          <w:lang w:val="es-ES_tradnl"/>
        </w:rPr>
        <w:tab/>
        <w:t>Interpretación de las estadísticas resultantes de la disponibilidad que se obtienen por la aplicación de la metodología y formas posibles de expresar los criterios de compartición</w:t>
      </w:r>
    </w:p>
    <w:p w:rsidR="00C770FE" w:rsidRDefault="00C770FE" w:rsidP="008B3431">
      <w:pPr>
        <w:keepNext/>
        <w:keepLines/>
        <w:rPr>
          <w:lang w:val="es-ES_tradnl"/>
        </w:rPr>
      </w:pPr>
      <w:r>
        <w:rPr>
          <w:lang w:val="es-ES_tradnl"/>
        </w:rPr>
        <w:t>Las dos configuraciones del sistema del servicio fijo, P-MP y P-P, son muy distintas y resultan afectadas diferentemente por la interferencia espacio</w:t>
      </w:r>
      <w:r>
        <w:rPr>
          <w:lang w:val="es-ES_tradnl"/>
        </w:rPr>
        <w:noBreakHyphen/>
        <w:t>Tierra. De esta manera, los criterios con los que se mide la aceptabilidad de la interferencia son también distintos. En los sistemas P-MP con un porcentaje de posibles receptores del servicio fijo en los que se excede el margen, habrá una proporción considerable de posibles receptores que rebasen su disponibilidad de diseño. No obstante, los sistemas P-P están concebidos sobre una base de enlace por enlace y por tanto, la disponibilidad de los receptores del servicio fijo en presencia de interferencia externa será inferior a la disponibilidad de diseño en ausencia de la interferencia exterior. En las bandas compartidas, dichos enlaces deben concebirse con un margen para la interferencia entre servicios que tengan en cuenta la interferencia exterior.</w:t>
      </w:r>
    </w:p>
    <w:p w:rsidR="00C770FE" w:rsidRPr="003B0CD3" w:rsidRDefault="00C770FE" w:rsidP="007157F0">
      <w:pPr>
        <w:rPr>
          <w:lang w:val="es-ES_tradnl"/>
        </w:rPr>
      </w:pPr>
      <w:r w:rsidRPr="003B0CD3">
        <w:rPr>
          <w:lang w:val="es-ES_tradnl"/>
        </w:rPr>
        <w:t>Se requiere una forma ilustrativa de expresar el efecto de la interferencia espacio</w:t>
      </w:r>
      <w:r w:rsidRPr="003B0CD3">
        <w:rPr>
          <w:lang w:val="es-ES_tradnl"/>
        </w:rPr>
        <w:noBreakHyphen/>
        <w:t>Tierra en las dos configuraciones distintas del sistema del servicio fijo. El Cuadro 3 ofrece una forma posible de expresar el criterio que debe cumplir el SFS en cuanto al efecto en el servicio fijo.</w:t>
      </w:r>
    </w:p>
    <w:p w:rsidR="00C770FE" w:rsidRPr="003B0CD3" w:rsidRDefault="00C770FE" w:rsidP="00C770FE">
      <w:pPr>
        <w:pStyle w:val="TableNo"/>
        <w:rPr>
          <w:lang w:val="es-ES_tradnl"/>
        </w:rPr>
      </w:pPr>
      <w:r w:rsidRPr="003B0CD3">
        <w:rPr>
          <w:lang w:val="es-ES_tradnl"/>
        </w:rPr>
        <w:t>CUADRO  3</w:t>
      </w:r>
    </w:p>
    <w:p w:rsidR="00C770FE" w:rsidRPr="003B0CD3" w:rsidRDefault="00C770FE" w:rsidP="00C770FE">
      <w:pPr>
        <w:pStyle w:val="Tabletitle"/>
        <w:rPr>
          <w:lang w:val="es-ES_tradnl"/>
        </w:rPr>
      </w:pPr>
      <w:r w:rsidRPr="003B0CD3">
        <w:rPr>
          <w:lang w:val="es-ES_tradnl"/>
        </w:rPr>
        <w:t>Parámetros utilizados para expresar el criterio de compartición</w:t>
      </w:r>
    </w:p>
    <w:p w:rsidR="00C770FE" w:rsidRPr="003B0CD3" w:rsidRDefault="00C770FE" w:rsidP="003A5F74">
      <w:pPr>
        <w:pStyle w:val="Tabletitle"/>
        <w:rPr>
          <w:lang w:val="es-ES_tradnl"/>
        </w:rPr>
      </w:pPr>
      <w:r w:rsidRPr="003B0CD3">
        <w:rPr>
          <w:lang w:val="es-ES_tradnl"/>
        </w:rPr>
        <w:t>Parámetros utilizados para expresar el criterio de compartición en los sistemas P-MP</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73"/>
        <w:gridCol w:w="1866"/>
      </w:tblGrid>
      <w:tr w:rsidR="00C770FE" w:rsidRPr="003A5F74" w:rsidTr="007157F0">
        <w:trPr>
          <w:jc w:val="center"/>
        </w:trPr>
        <w:tc>
          <w:tcPr>
            <w:tcW w:w="7088" w:type="dxa"/>
            <w:tcBorders>
              <w:left w:val="single" w:sz="4" w:space="0" w:color="auto"/>
              <w:right w:val="single" w:sz="4" w:space="0" w:color="auto"/>
            </w:tcBorders>
          </w:tcPr>
          <w:p w:rsidR="00C770FE" w:rsidRPr="003A5F74" w:rsidRDefault="00C770FE" w:rsidP="002104C0">
            <w:pPr>
              <w:pStyle w:val="Tabletext"/>
              <w:jc w:val="left"/>
            </w:pPr>
            <w:r w:rsidRPr="003A5F74">
              <w:t>Calidad del sistema del servicio fijo sin interferencia del SFS</w:t>
            </w:r>
            <w:r w:rsidR="007157F0" w:rsidRPr="003A5F74">
              <w:t xml:space="preserve"> </w:t>
            </w:r>
            <w:r w:rsidRPr="003A5F74">
              <w:t>(indisponibilidad de diseño del sistema)</w:t>
            </w:r>
          </w:p>
        </w:tc>
        <w:tc>
          <w:tcPr>
            <w:tcW w:w="1701" w:type="dxa"/>
            <w:tcBorders>
              <w:left w:val="single" w:sz="4" w:space="0" w:color="auto"/>
              <w:right w:val="single" w:sz="4" w:space="0" w:color="auto"/>
            </w:tcBorders>
          </w:tcPr>
          <w:p w:rsidR="00C770FE" w:rsidRPr="003A5F74" w:rsidRDefault="00C770FE" w:rsidP="003A5F74">
            <w:pPr>
              <w:pStyle w:val="Tabletext"/>
            </w:pPr>
            <w:r w:rsidRPr="003A5F74">
              <w:t>X</w:t>
            </w:r>
            <w:r w:rsidRPr="003A5F74">
              <w:rPr>
                <w:vertAlign w:val="subscript"/>
              </w:rPr>
              <w:t>0</w:t>
            </w:r>
            <w:r w:rsidRPr="003A5F74">
              <w:t>%</w:t>
            </w:r>
          </w:p>
        </w:tc>
      </w:tr>
      <w:tr w:rsidR="00C770FE" w:rsidRPr="006B7AFE" w:rsidTr="007157F0">
        <w:trPr>
          <w:jc w:val="center"/>
        </w:trPr>
        <w:tc>
          <w:tcPr>
            <w:tcW w:w="8789" w:type="dxa"/>
            <w:gridSpan w:val="2"/>
            <w:tcBorders>
              <w:left w:val="single" w:sz="4" w:space="0" w:color="auto"/>
              <w:right w:val="single" w:sz="4" w:space="0" w:color="auto"/>
            </w:tcBorders>
          </w:tcPr>
          <w:p w:rsidR="00C770FE" w:rsidRPr="003B0CD3" w:rsidRDefault="00C770FE" w:rsidP="003A5F74">
            <w:pPr>
              <w:pStyle w:val="Tablehead"/>
              <w:spacing w:before="40" w:after="40"/>
              <w:rPr>
                <w:i/>
                <w:lang w:val="es-ES_tradnl"/>
              </w:rPr>
            </w:pPr>
            <w:r w:rsidRPr="003B0CD3">
              <w:rPr>
                <w:lang w:val="es-ES_tradnl"/>
              </w:rPr>
              <w:t>Calidad del sistema del servicio fijo en presencia de interferencia del SFS</w:t>
            </w:r>
          </w:p>
        </w:tc>
      </w:tr>
      <w:tr w:rsidR="00C770FE" w:rsidRPr="003B0CD3" w:rsidTr="007157F0">
        <w:trPr>
          <w:jc w:val="center"/>
        </w:trPr>
        <w:tc>
          <w:tcPr>
            <w:tcW w:w="7088" w:type="dxa"/>
            <w:tcBorders>
              <w:left w:val="single" w:sz="4" w:space="0" w:color="auto"/>
              <w:right w:val="single" w:sz="4" w:space="0" w:color="auto"/>
            </w:tcBorders>
          </w:tcPr>
          <w:p w:rsidR="00C770FE" w:rsidRPr="003B0CD3" w:rsidRDefault="00C770FE" w:rsidP="003A5F74">
            <w:pPr>
              <w:pStyle w:val="Tabletext"/>
              <w:rPr>
                <w:sz w:val="20"/>
                <w:lang w:val="es-ES_tradnl"/>
              </w:rPr>
            </w:pPr>
            <w:r w:rsidRPr="003B0CD3">
              <w:rPr>
                <w:sz w:val="20"/>
                <w:lang w:val="es-ES_tradnl"/>
              </w:rPr>
              <w:t>Aumento de la indisponibilidad en porcentaje de la indisponibilidad de diseño</w:t>
            </w:r>
          </w:p>
        </w:tc>
        <w:tc>
          <w:tcPr>
            <w:tcW w:w="1701" w:type="dxa"/>
            <w:tcBorders>
              <w:left w:val="single" w:sz="4" w:space="0" w:color="auto"/>
              <w:right w:val="single" w:sz="4" w:space="0" w:color="auto"/>
            </w:tcBorders>
          </w:tcPr>
          <w:p w:rsidR="00C770FE" w:rsidRPr="003B0CD3" w:rsidRDefault="00C770FE" w:rsidP="003A5F74">
            <w:pPr>
              <w:pStyle w:val="Tabletext"/>
              <w:rPr>
                <w:lang w:val="es-ES_tradnl"/>
              </w:rPr>
            </w:pPr>
            <w:r w:rsidRPr="003B0CD3">
              <w:rPr>
                <w:i/>
                <w:iCs/>
                <w:lang w:val="es-ES_tradnl"/>
              </w:rPr>
              <w:t>X</w:t>
            </w:r>
            <w:r w:rsidRPr="003B0CD3">
              <w:rPr>
                <w:i/>
                <w:iCs/>
                <w:position w:val="-4"/>
                <w:sz w:val="18"/>
                <w:lang w:val="es-ES_tradnl"/>
              </w:rPr>
              <w:t>j</w:t>
            </w:r>
            <w:r w:rsidRPr="003B0CD3">
              <w:rPr>
                <w:lang w:val="es-ES_tradnl"/>
              </w:rPr>
              <w:t>%</w:t>
            </w:r>
          </w:p>
        </w:tc>
      </w:tr>
      <w:tr w:rsidR="00C770FE" w:rsidRPr="003B0CD3" w:rsidTr="007157F0">
        <w:trPr>
          <w:jc w:val="center"/>
        </w:trPr>
        <w:tc>
          <w:tcPr>
            <w:tcW w:w="7088" w:type="dxa"/>
            <w:tcBorders>
              <w:left w:val="single" w:sz="4" w:space="0" w:color="auto"/>
              <w:right w:val="single" w:sz="4" w:space="0" w:color="auto"/>
            </w:tcBorders>
          </w:tcPr>
          <w:p w:rsidR="00C770FE" w:rsidRPr="003B0CD3" w:rsidRDefault="00C770FE" w:rsidP="002104C0">
            <w:pPr>
              <w:pStyle w:val="Tabletext"/>
              <w:jc w:val="left"/>
              <w:rPr>
                <w:sz w:val="20"/>
                <w:lang w:val="es-ES_tradnl"/>
              </w:rPr>
            </w:pPr>
            <w:r w:rsidRPr="003B0CD3">
              <w:rPr>
                <w:sz w:val="20"/>
                <w:lang w:val="es-ES_tradnl"/>
              </w:rPr>
              <w:t>Porcentaje de los posibles receptores del servicio fijo que cumplen o rebasan la disponibilidad degradada «</w:t>
            </w:r>
            <w:r w:rsidR="002104C0">
              <w:rPr>
                <w:i/>
                <w:lang w:val="en-US"/>
              </w:rPr>
              <w:t xml:space="preserve"> U</w:t>
            </w:r>
            <w:r w:rsidR="002104C0">
              <w:rPr>
                <w:i/>
                <w:iCs/>
                <w:position w:val="-4"/>
                <w:sz w:val="18"/>
                <w:lang w:val="en-US"/>
              </w:rPr>
              <w:t>j</w:t>
            </w:r>
            <w:r w:rsidR="002104C0">
              <w:rPr>
                <w:lang w:val="en-US"/>
              </w:rPr>
              <w:t xml:space="preserve"> = </w:t>
            </w:r>
            <w:r w:rsidR="002104C0">
              <w:rPr>
                <w:iCs/>
                <w:lang w:val="en-US"/>
              </w:rPr>
              <w:t>(100</w:t>
            </w:r>
            <w:r w:rsidR="002104C0">
              <w:rPr>
                <w:i/>
                <w:lang w:val="en-US"/>
              </w:rPr>
              <w:t> – X</w:t>
            </w:r>
            <w:r w:rsidR="002104C0">
              <w:rPr>
                <w:position w:val="-4"/>
                <w:sz w:val="18"/>
                <w:lang w:val="en-US"/>
              </w:rPr>
              <w:t>0</w:t>
            </w:r>
            <w:r w:rsidR="002104C0">
              <w:rPr>
                <w:i/>
                <w:lang w:val="en-US"/>
              </w:rPr>
              <w:t> – X</w:t>
            </w:r>
            <w:r w:rsidR="002104C0">
              <w:rPr>
                <w:i/>
                <w:iCs/>
                <w:position w:val="-4"/>
                <w:sz w:val="18"/>
                <w:lang w:val="en-US"/>
              </w:rPr>
              <w:t>j</w:t>
            </w:r>
            <w:r w:rsidR="002104C0">
              <w:rPr>
                <w:i/>
                <w:lang w:val="en-US"/>
              </w:rPr>
              <w:t xml:space="preserve"> X</w:t>
            </w:r>
            <w:r w:rsidR="002104C0">
              <w:rPr>
                <w:position w:val="-4"/>
                <w:sz w:val="18"/>
                <w:lang w:val="en-US"/>
              </w:rPr>
              <w:t>0</w:t>
            </w:r>
            <w:r w:rsidR="002104C0">
              <w:rPr>
                <w:position w:val="-4"/>
                <w:sz w:val="8"/>
                <w:lang w:val="en-US"/>
              </w:rPr>
              <w:t> </w:t>
            </w:r>
            <w:r w:rsidR="002104C0">
              <w:rPr>
                <w:i/>
                <w:lang w:val="en-US"/>
              </w:rPr>
              <w:t>/</w:t>
            </w:r>
            <w:r w:rsidR="002104C0">
              <w:rPr>
                <w:iCs/>
                <w:lang w:val="en-US"/>
              </w:rPr>
              <w:t>100)</w:t>
            </w:r>
            <w:r w:rsidR="002104C0">
              <w:rPr>
                <w:lang w:val="en-US"/>
              </w:rPr>
              <w:t>%</w:t>
            </w:r>
            <w:r w:rsidRPr="003B0CD3">
              <w:rPr>
                <w:sz w:val="20"/>
                <w:lang w:val="es-ES_tradnl"/>
              </w:rPr>
              <w:t>%» en presencia de interferencia del SFS</w:t>
            </w:r>
          </w:p>
        </w:tc>
        <w:tc>
          <w:tcPr>
            <w:tcW w:w="1701" w:type="dxa"/>
            <w:tcBorders>
              <w:left w:val="single" w:sz="4" w:space="0" w:color="auto"/>
              <w:right w:val="single" w:sz="4" w:space="0" w:color="auto"/>
            </w:tcBorders>
          </w:tcPr>
          <w:p w:rsidR="00C770FE" w:rsidRPr="003B0CD3" w:rsidRDefault="00C770FE" w:rsidP="003A5F74">
            <w:pPr>
              <w:pStyle w:val="Tabletext"/>
              <w:rPr>
                <w:lang w:val="es-ES_tradnl"/>
              </w:rPr>
            </w:pPr>
            <w:r w:rsidRPr="003B0CD3">
              <w:rPr>
                <w:i/>
                <w:iCs/>
                <w:lang w:val="es-ES_tradnl"/>
              </w:rPr>
              <w:t>W</w:t>
            </w:r>
            <w:r w:rsidRPr="003B0CD3">
              <w:rPr>
                <w:i/>
                <w:iCs/>
                <w:position w:val="-4"/>
                <w:sz w:val="18"/>
                <w:lang w:val="es-ES_tradnl"/>
              </w:rPr>
              <w:t>j</w:t>
            </w:r>
            <w:r w:rsidRPr="003B0CD3">
              <w:rPr>
                <w:lang w:val="es-ES_tradnl"/>
              </w:rPr>
              <w:t>%</w:t>
            </w:r>
          </w:p>
        </w:tc>
      </w:tr>
      <w:tr w:rsidR="00C770FE" w:rsidRPr="006B7AFE" w:rsidTr="007157F0">
        <w:trPr>
          <w:jc w:val="center"/>
        </w:trPr>
        <w:tc>
          <w:tcPr>
            <w:tcW w:w="8789" w:type="dxa"/>
            <w:gridSpan w:val="2"/>
            <w:tcBorders>
              <w:left w:val="single" w:sz="4" w:space="0" w:color="auto"/>
              <w:right w:val="single" w:sz="4" w:space="0" w:color="auto"/>
            </w:tcBorders>
          </w:tcPr>
          <w:p w:rsidR="00C770FE" w:rsidRPr="003B0CD3" w:rsidRDefault="00C770FE" w:rsidP="00F618CC">
            <w:pPr>
              <w:pStyle w:val="Tabletext"/>
              <w:jc w:val="center"/>
              <w:rPr>
                <w:i/>
                <w:lang w:val="es-ES_tradnl"/>
              </w:rPr>
            </w:pPr>
            <w:r w:rsidRPr="003B0CD3">
              <w:rPr>
                <w:i/>
                <w:lang w:val="es-ES_tradnl"/>
              </w:rPr>
              <w:t xml:space="preserve">j </w:t>
            </w:r>
            <w:r w:rsidR="003B0CD3">
              <w:rPr>
                <w:i/>
                <w:lang w:val="es-ES_tradnl"/>
              </w:rPr>
              <w:t xml:space="preserve">= </w:t>
            </w:r>
            <w:r w:rsidRPr="003B0CD3">
              <w:rPr>
                <w:lang w:val="es-ES_tradnl"/>
              </w:rPr>
              <w:t>1, …,</w:t>
            </w:r>
            <w:r w:rsidRPr="003B0CD3">
              <w:rPr>
                <w:i/>
                <w:lang w:val="es-ES_tradnl"/>
              </w:rPr>
              <w:t xml:space="preserve"> m </w:t>
            </w:r>
            <w:r w:rsidRPr="003B0CD3">
              <w:rPr>
                <w:lang w:val="es-ES_tradnl"/>
              </w:rPr>
              <w:t>(</w:t>
            </w:r>
            <w:r w:rsidRPr="003B0CD3">
              <w:rPr>
                <w:i/>
                <w:lang w:val="es-ES_tradnl"/>
              </w:rPr>
              <w:t>m</w:t>
            </w:r>
            <w:r w:rsidRPr="003B0CD3">
              <w:rPr>
                <w:lang w:val="es-ES_tradnl"/>
              </w:rPr>
              <w:t xml:space="preserve"> </w:t>
            </w:r>
            <w:r w:rsidR="003B0CD3">
              <w:rPr>
                <w:lang w:val="es-ES_tradnl"/>
              </w:rPr>
              <w:t>=</w:t>
            </w:r>
            <w:r w:rsidRPr="003B0CD3">
              <w:rPr>
                <w:lang w:val="es-ES_tradnl"/>
              </w:rPr>
              <w:t xml:space="preserve"> pendiente de determinar)</w:t>
            </w:r>
          </w:p>
        </w:tc>
      </w:tr>
    </w:tbl>
    <w:p w:rsidR="00C770FE" w:rsidRPr="003B0CD3" w:rsidRDefault="00C770FE" w:rsidP="007157F0">
      <w:pPr>
        <w:pStyle w:val="Tablefin"/>
        <w:rPr>
          <w:lang w:val="es-ES_tradnl"/>
        </w:rPr>
      </w:pPr>
    </w:p>
    <w:p w:rsidR="00C770FE" w:rsidRDefault="00C770FE" w:rsidP="003A5F74">
      <w:pPr>
        <w:pStyle w:val="Tabletitle"/>
        <w:rPr>
          <w:lang w:val="es-ES_tradnl"/>
        </w:rPr>
      </w:pPr>
      <w:r w:rsidRPr="003B0CD3">
        <w:rPr>
          <w:lang w:val="es-ES_tradnl"/>
        </w:rPr>
        <w:t>Parámetros utilizados para expresar el criterio de compartición en los sistemas P-P</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73"/>
        <w:gridCol w:w="1866"/>
      </w:tblGrid>
      <w:tr w:rsidR="003A5F74" w:rsidRPr="003B0CD3" w:rsidTr="003A5F74">
        <w:trPr>
          <w:jc w:val="center"/>
        </w:trPr>
        <w:tc>
          <w:tcPr>
            <w:tcW w:w="7773" w:type="dxa"/>
            <w:tcBorders>
              <w:left w:val="single" w:sz="4" w:space="0" w:color="auto"/>
              <w:right w:val="single" w:sz="4" w:space="0" w:color="auto"/>
            </w:tcBorders>
          </w:tcPr>
          <w:p w:rsidR="003A5F74" w:rsidRPr="003B0CD3" w:rsidRDefault="003A5F74" w:rsidP="003A5F74">
            <w:pPr>
              <w:pStyle w:val="Tabletext"/>
              <w:jc w:val="left"/>
              <w:rPr>
                <w:sz w:val="20"/>
                <w:lang w:val="es-ES_tradnl"/>
              </w:rPr>
            </w:pPr>
            <w:r w:rsidRPr="003B0CD3">
              <w:rPr>
                <w:lang w:val="es-ES_tradnl"/>
              </w:rPr>
              <w:t>Calidad del sistema del servicio fijo sin interferencia del SFS (indisponibilidad de diseño del sistema)</w:t>
            </w:r>
          </w:p>
        </w:tc>
        <w:tc>
          <w:tcPr>
            <w:tcW w:w="1866" w:type="dxa"/>
            <w:tcBorders>
              <w:left w:val="single" w:sz="4" w:space="0" w:color="auto"/>
              <w:right w:val="single" w:sz="4" w:space="0" w:color="auto"/>
            </w:tcBorders>
          </w:tcPr>
          <w:p w:rsidR="003A5F74" w:rsidRPr="003B0CD3" w:rsidRDefault="003A5F74" w:rsidP="00F618CC">
            <w:pPr>
              <w:pStyle w:val="Tabletext"/>
              <w:framePr w:hSpace="181" w:wrap="notBeside" w:vAnchor="text" w:hAnchor="text" w:xAlign="center" w:y="1"/>
              <w:jc w:val="left"/>
              <w:rPr>
                <w:lang w:val="es-ES_tradnl"/>
              </w:rPr>
            </w:pPr>
            <w:r w:rsidRPr="003B0CD3">
              <w:rPr>
                <w:i/>
                <w:iCs/>
              </w:rPr>
              <w:t>Z</w:t>
            </w:r>
            <w:r w:rsidRPr="003B0CD3">
              <w:rPr>
                <w:position w:val="-4"/>
                <w:lang w:val="es-ES_tradnl"/>
              </w:rPr>
              <w:t>0</w:t>
            </w:r>
            <w:r w:rsidRPr="003B0CD3">
              <w:rPr>
                <w:lang w:val="es-ES_tradnl"/>
              </w:rPr>
              <w:t>%</w:t>
            </w:r>
          </w:p>
        </w:tc>
      </w:tr>
      <w:tr w:rsidR="003A5F74" w:rsidRPr="006B7AFE" w:rsidTr="003A5F74">
        <w:trPr>
          <w:jc w:val="center"/>
        </w:trPr>
        <w:tc>
          <w:tcPr>
            <w:tcW w:w="9639" w:type="dxa"/>
            <w:gridSpan w:val="2"/>
            <w:tcBorders>
              <w:left w:val="single" w:sz="4" w:space="0" w:color="auto"/>
              <w:right w:val="single" w:sz="4" w:space="0" w:color="auto"/>
            </w:tcBorders>
          </w:tcPr>
          <w:p w:rsidR="003A5F74" w:rsidRPr="003B0CD3" w:rsidRDefault="003A5F74" w:rsidP="003A5F74">
            <w:pPr>
              <w:pStyle w:val="Tablehead"/>
              <w:spacing w:before="40" w:after="40"/>
              <w:rPr>
                <w:bCs/>
                <w:lang w:val="es-ES_tradnl"/>
              </w:rPr>
            </w:pPr>
            <w:r w:rsidRPr="003B0CD3">
              <w:rPr>
                <w:lang w:val="es-ES_tradnl"/>
              </w:rPr>
              <w:t>Calidad del sistema del servicio fijo en presencia de interferencia del SFS</w:t>
            </w:r>
          </w:p>
        </w:tc>
      </w:tr>
      <w:tr w:rsidR="003A5F74" w:rsidRPr="003B0CD3" w:rsidTr="003A5F74">
        <w:trPr>
          <w:jc w:val="center"/>
        </w:trPr>
        <w:tc>
          <w:tcPr>
            <w:tcW w:w="7773" w:type="dxa"/>
            <w:tcBorders>
              <w:left w:val="single" w:sz="4" w:space="0" w:color="auto"/>
              <w:right w:val="single" w:sz="4" w:space="0" w:color="auto"/>
            </w:tcBorders>
          </w:tcPr>
          <w:p w:rsidR="003A5F74" w:rsidRPr="003B0CD3" w:rsidRDefault="003A5F74" w:rsidP="003A5F74">
            <w:pPr>
              <w:pStyle w:val="Tabletext"/>
              <w:jc w:val="left"/>
              <w:rPr>
                <w:sz w:val="20"/>
                <w:lang w:val="es-ES_tradnl"/>
              </w:rPr>
            </w:pPr>
            <w:r w:rsidRPr="003B0CD3">
              <w:rPr>
                <w:lang w:val="es-ES_tradnl"/>
              </w:rPr>
              <w:t>Aumento medio de la indisponibilidad en porcentaje de la indisponibilidad de diseño</w:t>
            </w:r>
          </w:p>
        </w:tc>
        <w:tc>
          <w:tcPr>
            <w:tcW w:w="1866" w:type="dxa"/>
            <w:tcBorders>
              <w:left w:val="single" w:sz="4" w:space="0" w:color="auto"/>
              <w:right w:val="single" w:sz="4" w:space="0" w:color="auto"/>
            </w:tcBorders>
          </w:tcPr>
          <w:p w:rsidR="003A5F74" w:rsidRPr="003B0CD3" w:rsidRDefault="003A5F74" w:rsidP="00F618CC">
            <w:pPr>
              <w:pStyle w:val="Tabletext"/>
              <w:framePr w:hSpace="181" w:wrap="notBeside" w:vAnchor="text" w:hAnchor="text" w:xAlign="center" w:y="1"/>
              <w:jc w:val="left"/>
              <w:rPr>
                <w:lang w:val="es-ES_tradnl"/>
              </w:rPr>
            </w:pPr>
            <w:r w:rsidRPr="003B0CD3">
              <w:rPr>
                <w:i/>
                <w:iCs/>
                <w:szCs w:val="22"/>
                <w:lang w:val="es-ES_tradnl"/>
              </w:rPr>
              <w:t>Z</w:t>
            </w:r>
            <w:r w:rsidRPr="003B0CD3">
              <w:rPr>
                <w:i/>
                <w:iCs/>
                <w:position w:val="-4"/>
                <w:szCs w:val="22"/>
                <w:lang w:val="es-ES_tradnl"/>
              </w:rPr>
              <w:t>k</w:t>
            </w:r>
            <w:r w:rsidRPr="003B0CD3">
              <w:rPr>
                <w:szCs w:val="22"/>
                <w:lang w:val="es-ES_tradnl"/>
              </w:rPr>
              <w:t>%</w:t>
            </w:r>
          </w:p>
        </w:tc>
      </w:tr>
      <w:tr w:rsidR="003A5F74" w:rsidRPr="003B0CD3" w:rsidTr="003A5F74">
        <w:trPr>
          <w:jc w:val="center"/>
        </w:trPr>
        <w:tc>
          <w:tcPr>
            <w:tcW w:w="7773" w:type="dxa"/>
            <w:tcBorders>
              <w:left w:val="single" w:sz="4" w:space="0" w:color="auto"/>
              <w:right w:val="single" w:sz="4" w:space="0" w:color="auto"/>
            </w:tcBorders>
          </w:tcPr>
          <w:p w:rsidR="003A5F74" w:rsidRPr="003B0CD3" w:rsidRDefault="003A5F74" w:rsidP="003A5F74">
            <w:pPr>
              <w:pStyle w:val="Tabletext"/>
              <w:jc w:val="left"/>
              <w:rPr>
                <w:sz w:val="20"/>
                <w:lang w:val="es-ES_tradnl"/>
              </w:rPr>
            </w:pPr>
            <w:r w:rsidRPr="003B0CD3">
              <w:rPr>
                <w:lang w:val="es-ES_tradnl"/>
              </w:rPr>
              <w:t>Porcentaje de los posibles receptores del servicio fijo que cumplen o rebasan la disponibilidad degradada «</w:t>
            </w:r>
            <w:r w:rsidR="002104C0">
              <w:rPr>
                <w:i/>
                <w:lang w:val="en-US"/>
              </w:rPr>
              <w:t xml:space="preserve"> V</w:t>
            </w:r>
            <w:r w:rsidR="002104C0">
              <w:rPr>
                <w:i/>
                <w:iCs/>
                <w:position w:val="-4"/>
                <w:sz w:val="18"/>
                <w:lang w:val="en-US"/>
              </w:rPr>
              <w:t>k</w:t>
            </w:r>
            <w:r w:rsidR="002104C0">
              <w:rPr>
                <w:lang w:val="en-US"/>
              </w:rPr>
              <w:t> = </w:t>
            </w:r>
            <w:r w:rsidR="002104C0">
              <w:rPr>
                <w:iCs/>
                <w:lang w:val="en-US"/>
              </w:rPr>
              <w:t>(100</w:t>
            </w:r>
            <w:r w:rsidR="002104C0">
              <w:rPr>
                <w:i/>
                <w:lang w:val="en-US"/>
              </w:rPr>
              <w:t> – Z</w:t>
            </w:r>
            <w:r w:rsidR="002104C0">
              <w:rPr>
                <w:position w:val="-4"/>
                <w:sz w:val="18"/>
                <w:lang w:val="en-US"/>
              </w:rPr>
              <w:t>0 </w:t>
            </w:r>
            <w:r w:rsidR="002104C0">
              <w:rPr>
                <w:i/>
                <w:lang w:val="en-US"/>
              </w:rPr>
              <w:t>– Z</w:t>
            </w:r>
            <w:r w:rsidR="002104C0">
              <w:rPr>
                <w:i/>
                <w:iCs/>
                <w:position w:val="-4"/>
                <w:sz w:val="18"/>
                <w:lang w:val="en-US"/>
              </w:rPr>
              <w:t>k</w:t>
            </w:r>
            <w:r w:rsidR="002104C0">
              <w:rPr>
                <w:i/>
                <w:lang w:val="en-US"/>
              </w:rPr>
              <w:t xml:space="preserve"> Z</w:t>
            </w:r>
            <w:r w:rsidR="002104C0">
              <w:rPr>
                <w:position w:val="-4"/>
                <w:sz w:val="18"/>
                <w:lang w:val="en-US"/>
              </w:rPr>
              <w:t>0</w:t>
            </w:r>
            <w:r w:rsidR="002104C0">
              <w:rPr>
                <w:i/>
                <w:lang w:val="en-US"/>
              </w:rPr>
              <w:t>/</w:t>
            </w:r>
            <w:r w:rsidR="002104C0">
              <w:rPr>
                <w:iCs/>
                <w:lang w:val="en-US"/>
              </w:rPr>
              <w:t>100</w:t>
            </w:r>
            <w:r w:rsidR="002104C0">
              <w:rPr>
                <w:i/>
                <w:vertAlign w:val="subscript"/>
                <w:lang w:val="en-US"/>
              </w:rPr>
              <w:t xml:space="preserve"> </w:t>
            </w:r>
            <w:r w:rsidR="002104C0">
              <w:rPr>
                <w:iCs/>
                <w:lang w:val="en-US"/>
              </w:rPr>
              <w:t>)</w:t>
            </w:r>
            <w:r w:rsidR="002104C0">
              <w:rPr>
                <w:lang w:val="en-US"/>
              </w:rPr>
              <w:t>%</w:t>
            </w:r>
            <w:r w:rsidRPr="003B0CD3">
              <w:rPr>
                <w:lang w:val="es-ES_tradnl"/>
              </w:rPr>
              <w:t>» en presencia de interferencia del SFS</w:t>
            </w:r>
          </w:p>
        </w:tc>
        <w:tc>
          <w:tcPr>
            <w:tcW w:w="1866" w:type="dxa"/>
            <w:tcBorders>
              <w:left w:val="single" w:sz="4" w:space="0" w:color="auto"/>
              <w:right w:val="single" w:sz="4" w:space="0" w:color="auto"/>
            </w:tcBorders>
          </w:tcPr>
          <w:p w:rsidR="003A5F74" w:rsidRPr="003B0CD3" w:rsidRDefault="003A5F74" w:rsidP="00F618CC">
            <w:pPr>
              <w:pStyle w:val="Tabletext"/>
              <w:framePr w:hSpace="181" w:wrap="notBeside" w:vAnchor="text" w:hAnchor="text" w:xAlign="center" w:y="1"/>
              <w:jc w:val="left"/>
              <w:rPr>
                <w:lang w:val="es-ES_tradnl"/>
              </w:rPr>
            </w:pPr>
            <w:r w:rsidRPr="003B0CD3">
              <w:rPr>
                <w:i/>
                <w:iCs/>
                <w:szCs w:val="22"/>
                <w:lang w:val="es-ES_tradnl"/>
              </w:rPr>
              <w:t>Y</w:t>
            </w:r>
            <w:r w:rsidRPr="003B0CD3">
              <w:rPr>
                <w:i/>
                <w:iCs/>
                <w:position w:val="-4"/>
                <w:szCs w:val="22"/>
                <w:lang w:val="es-ES_tradnl"/>
              </w:rPr>
              <w:t>k</w:t>
            </w:r>
            <w:r w:rsidRPr="003B0CD3">
              <w:rPr>
                <w:szCs w:val="22"/>
                <w:lang w:val="es-ES_tradnl"/>
              </w:rPr>
              <w:t>%</w:t>
            </w:r>
          </w:p>
        </w:tc>
      </w:tr>
      <w:tr w:rsidR="003A5F74" w:rsidRPr="003B0CD3" w:rsidTr="003A5F74">
        <w:trPr>
          <w:jc w:val="center"/>
        </w:trPr>
        <w:tc>
          <w:tcPr>
            <w:tcW w:w="9639" w:type="dxa"/>
            <w:gridSpan w:val="2"/>
            <w:tcBorders>
              <w:left w:val="single" w:sz="4" w:space="0" w:color="auto"/>
              <w:right w:val="single" w:sz="4" w:space="0" w:color="auto"/>
            </w:tcBorders>
          </w:tcPr>
          <w:p w:rsidR="003A5F74" w:rsidRPr="003B0CD3" w:rsidRDefault="003A5F74" w:rsidP="003A5F74">
            <w:pPr>
              <w:pStyle w:val="Tabletext"/>
              <w:jc w:val="center"/>
              <w:rPr>
                <w:i/>
                <w:iCs/>
                <w:szCs w:val="22"/>
                <w:lang w:val="es-ES_tradnl"/>
              </w:rPr>
            </w:pPr>
            <w:r w:rsidRPr="003B0CD3">
              <w:rPr>
                <w:bCs/>
                <w:i/>
                <w:szCs w:val="22"/>
                <w:lang w:val="es-ES_tradnl"/>
              </w:rPr>
              <w:t xml:space="preserve">k </w:t>
            </w:r>
            <w:r>
              <w:rPr>
                <w:b/>
                <w:iCs/>
                <w:szCs w:val="22"/>
                <w:lang w:val="es-ES_tradnl"/>
              </w:rPr>
              <w:t>=</w:t>
            </w:r>
            <w:r w:rsidRPr="003B0CD3">
              <w:rPr>
                <w:bCs/>
                <w:i/>
                <w:szCs w:val="22"/>
                <w:lang w:val="es-ES_tradnl"/>
              </w:rPr>
              <w:t xml:space="preserve"> </w:t>
            </w:r>
            <w:r w:rsidRPr="003B0CD3">
              <w:rPr>
                <w:szCs w:val="22"/>
                <w:lang w:val="es-ES_tradnl"/>
              </w:rPr>
              <w:t>1, …,</w:t>
            </w:r>
            <w:r w:rsidRPr="003B0CD3">
              <w:rPr>
                <w:bCs/>
                <w:i/>
                <w:szCs w:val="22"/>
                <w:lang w:val="es-ES_tradnl"/>
              </w:rPr>
              <w:t xml:space="preserve"> n </w:t>
            </w:r>
            <w:r w:rsidRPr="003B0CD3">
              <w:rPr>
                <w:bCs/>
                <w:szCs w:val="22"/>
                <w:lang w:val="es-ES_tradnl"/>
              </w:rPr>
              <w:t>(</w:t>
            </w:r>
            <w:r w:rsidRPr="003B0CD3">
              <w:rPr>
                <w:bCs/>
                <w:i/>
                <w:szCs w:val="22"/>
                <w:lang w:val="es-ES_tradnl"/>
              </w:rPr>
              <w:t>n</w:t>
            </w:r>
            <w:r w:rsidRPr="003B0CD3">
              <w:rPr>
                <w:bCs/>
                <w:szCs w:val="22"/>
                <w:lang w:val="es-ES_tradnl"/>
              </w:rPr>
              <w:t xml:space="preserve"> = </w:t>
            </w:r>
            <w:r w:rsidRPr="003B0CD3">
              <w:rPr>
                <w:szCs w:val="22"/>
                <w:lang w:val="es-ES_tradnl"/>
              </w:rPr>
              <w:t>pendiente de determinar</w:t>
            </w:r>
            <w:r w:rsidRPr="003B0CD3">
              <w:rPr>
                <w:bCs/>
                <w:szCs w:val="22"/>
                <w:lang w:val="es-ES_tradnl"/>
              </w:rPr>
              <w:t>)</w:t>
            </w:r>
          </w:p>
        </w:tc>
      </w:tr>
    </w:tbl>
    <w:p w:rsidR="00F618CC" w:rsidRPr="00BD71E6" w:rsidRDefault="00F618CC" w:rsidP="00F618CC">
      <w:pPr>
        <w:pStyle w:val="Tablefin"/>
        <w:rPr>
          <w:sz w:val="16"/>
          <w:lang w:val="es-ES_tradnl"/>
        </w:rPr>
      </w:pPr>
    </w:p>
    <w:p w:rsidR="00C770FE" w:rsidRPr="003B0CD3" w:rsidRDefault="00C770FE" w:rsidP="00F17045">
      <w:pPr>
        <w:rPr>
          <w:lang w:val="es-ES_tradnl"/>
        </w:rPr>
      </w:pPr>
      <w:r w:rsidRPr="003B0CD3">
        <w:rPr>
          <w:i/>
          <w:iCs/>
          <w:lang w:val="es-ES_tradnl"/>
        </w:rPr>
        <w:lastRenderedPageBreak/>
        <w:t>W</w:t>
      </w:r>
      <w:r w:rsidRPr="003B0CD3">
        <w:rPr>
          <w:i/>
          <w:iCs/>
          <w:position w:val="-4"/>
          <w:sz w:val="20"/>
          <w:lang w:val="es-ES_tradnl"/>
        </w:rPr>
        <w:t>j</w:t>
      </w:r>
      <w:r w:rsidRPr="003B0CD3">
        <w:rPr>
          <w:lang w:val="es-ES_tradnl"/>
        </w:rPr>
        <w:t xml:space="preserve"> e </w:t>
      </w:r>
      <w:r w:rsidRPr="003B0CD3">
        <w:rPr>
          <w:i/>
          <w:iCs/>
          <w:lang w:val="es-ES_tradnl"/>
        </w:rPr>
        <w:t>Y</w:t>
      </w:r>
      <w:r w:rsidRPr="003B0CD3">
        <w:rPr>
          <w:i/>
          <w:iCs/>
          <w:position w:val="-4"/>
          <w:sz w:val="20"/>
          <w:lang w:val="es-ES_tradnl"/>
        </w:rPr>
        <w:t>k</w:t>
      </w:r>
      <w:r w:rsidRPr="003B0CD3">
        <w:rPr>
          <w:lang w:val="es-ES_tradnl"/>
        </w:rPr>
        <w:t xml:space="preserve"> se asociarán a los percentilos de los posibles receptores para los sistemas P-MP y P-P, respectivamente, de forma que se minimicen los aumentos de la indisponibilidad </w:t>
      </w:r>
      <w:r w:rsidRPr="003B0CD3">
        <w:rPr>
          <w:i/>
          <w:iCs/>
          <w:lang w:val="es-ES_tradnl"/>
        </w:rPr>
        <w:t>X</w:t>
      </w:r>
      <w:r w:rsidRPr="003B0CD3">
        <w:rPr>
          <w:i/>
          <w:iCs/>
          <w:position w:val="-4"/>
          <w:sz w:val="20"/>
          <w:lang w:val="es-ES_tradnl"/>
        </w:rPr>
        <w:t>j</w:t>
      </w:r>
      <w:r w:rsidRPr="003B0CD3">
        <w:rPr>
          <w:lang w:val="es-ES_tradnl"/>
        </w:rPr>
        <w:t xml:space="preserve"> y </w:t>
      </w:r>
      <w:r w:rsidRPr="003B0CD3">
        <w:rPr>
          <w:i/>
          <w:iCs/>
          <w:lang w:val="es-ES_tradnl"/>
        </w:rPr>
        <w:t>Z</w:t>
      </w:r>
      <w:r w:rsidRPr="003B0CD3">
        <w:rPr>
          <w:i/>
          <w:iCs/>
          <w:position w:val="-4"/>
          <w:sz w:val="20"/>
          <w:lang w:val="es-ES_tradnl"/>
        </w:rPr>
        <w:t>k</w:t>
      </w:r>
      <w:r w:rsidRPr="003B0CD3">
        <w:rPr>
          <w:lang w:val="es-ES_tradnl"/>
        </w:rPr>
        <w:t xml:space="preserve"> asociados a los posibles receptores restantes (100 – </w:t>
      </w:r>
      <w:r w:rsidRPr="003B0CD3">
        <w:rPr>
          <w:i/>
          <w:iCs/>
          <w:lang w:val="es-ES_tradnl"/>
        </w:rPr>
        <w:t>W</w:t>
      </w:r>
      <w:r w:rsidRPr="003B0CD3">
        <w:rPr>
          <w:i/>
          <w:iCs/>
          <w:position w:val="-4"/>
          <w:sz w:val="20"/>
          <w:lang w:val="es-ES_tradnl"/>
        </w:rPr>
        <w:t>j</w:t>
      </w:r>
      <w:r w:rsidRPr="003B0CD3">
        <w:rPr>
          <w:lang w:val="es-ES_tradnl"/>
        </w:rPr>
        <w:t>)% y (100 – </w:t>
      </w:r>
      <w:r w:rsidRPr="003B0CD3">
        <w:rPr>
          <w:i/>
          <w:iCs/>
          <w:lang w:val="es-ES_tradnl"/>
        </w:rPr>
        <w:t>Y</w:t>
      </w:r>
      <w:r w:rsidRPr="003B0CD3">
        <w:rPr>
          <w:i/>
          <w:iCs/>
          <w:position w:val="-4"/>
          <w:sz w:val="20"/>
          <w:lang w:val="es-ES_tradnl"/>
        </w:rPr>
        <w:t>k</w:t>
      </w:r>
      <w:r w:rsidRPr="003B0CD3">
        <w:rPr>
          <w:lang w:val="es-ES_tradnl"/>
        </w:rPr>
        <w:t>)%.</w:t>
      </w:r>
    </w:p>
    <w:p w:rsidR="00C770FE" w:rsidRPr="003B0CD3" w:rsidRDefault="00C770FE" w:rsidP="002104C0">
      <w:pPr>
        <w:rPr>
          <w:lang w:val="es-ES_tradnl"/>
        </w:rPr>
      </w:pPr>
      <w:r w:rsidRPr="003B0CD3">
        <w:rPr>
          <w:lang w:val="es-ES_tradnl"/>
        </w:rPr>
        <w:t xml:space="preserve">En el Cuadro 3, dado un aumento de los porcentajes posibles de receptores </w:t>
      </w:r>
      <w:r w:rsidR="002104C0">
        <w:rPr>
          <w:bCs/>
          <w:i/>
          <w:lang w:val="en-US"/>
        </w:rPr>
        <w:t>W</w:t>
      </w:r>
      <w:r w:rsidR="002104C0">
        <w:rPr>
          <w:i/>
          <w:iCs/>
          <w:position w:val="-4"/>
          <w:sz w:val="20"/>
          <w:lang w:val="en-US"/>
        </w:rPr>
        <w:t>j+</w:t>
      </w:r>
      <w:r w:rsidR="002104C0">
        <w:rPr>
          <w:position w:val="-4"/>
          <w:sz w:val="20"/>
          <w:lang w:val="en-US"/>
        </w:rPr>
        <w:t>1</w:t>
      </w:r>
      <w:r w:rsidR="002104C0">
        <w:rPr>
          <w:bCs/>
          <w:lang w:val="en-US"/>
        </w:rPr>
        <w:t xml:space="preserve"> &gt; </w:t>
      </w:r>
      <w:r w:rsidR="002104C0">
        <w:rPr>
          <w:bCs/>
          <w:i/>
          <w:lang w:val="en-US"/>
        </w:rPr>
        <w:t>W</w:t>
      </w:r>
      <w:r w:rsidR="002104C0">
        <w:rPr>
          <w:i/>
          <w:iCs/>
          <w:position w:val="-4"/>
          <w:sz w:val="20"/>
          <w:lang w:val="en-US"/>
        </w:rPr>
        <w:t>j</w:t>
      </w:r>
      <w:r w:rsidR="002104C0">
        <w:rPr>
          <w:bCs/>
          <w:i/>
          <w:lang w:val="en-US"/>
        </w:rPr>
        <w:t xml:space="preserve"> y</w:t>
      </w:r>
      <w:r w:rsidR="002104C0">
        <w:rPr>
          <w:bCs/>
          <w:lang w:val="en-US"/>
        </w:rPr>
        <w:t xml:space="preserve"> </w:t>
      </w:r>
      <w:r w:rsidR="002104C0">
        <w:rPr>
          <w:bCs/>
          <w:i/>
          <w:lang w:val="en-US"/>
        </w:rPr>
        <w:t>Y</w:t>
      </w:r>
      <w:r w:rsidR="002104C0">
        <w:rPr>
          <w:i/>
          <w:iCs/>
          <w:position w:val="-4"/>
          <w:sz w:val="20"/>
          <w:lang w:val="en-US"/>
        </w:rPr>
        <w:t>k+</w:t>
      </w:r>
      <w:r w:rsidR="002104C0">
        <w:rPr>
          <w:position w:val="-4"/>
          <w:sz w:val="20"/>
          <w:lang w:val="en-US"/>
        </w:rPr>
        <w:t>1</w:t>
      </w:r>
      <w:r w:rsidR="002104C0">
        <w:rPr>
          <w:bCs/>
          <w:lang w:val="en-US"/>
        </w:rPr>
        <w:t xml:space="preserve"> &gt; </w:t>
      </w:r>
      <w:r w:rsidR="002104C0">
        <w:rPr>
          <w:bCs/>
          <w:i/>
          <w:lang w:val="en-US"/>
        </w:rPr>
        <w:t>Y</w:t>
      </w:r>
      <w:r w:rsidR="002104C0">
        <w:rPr>
          <w:i/>
          <w:iCs/>
          <w:position w:val="-4"/>
          <w:sz w:val="20"/>
          <w:lang w:val="en-US"/>
        </w:rPr>
        <w:t>k</w:t>
      </w:r>
      <w:r w:rsidRPr="003B0CD3">
        <w:rPr>
          <w:lang w:val="es-ES_tradnl"/>
        </w:rPr>
        <w:t xml:space="preserve"> los aumentos resultantes  de la indisponibilidad se traducen en </w:t>
      </w:r>
      <w:r w:rsidR="002104C0">
        <w:rPr>
          <w:bCs/>
          <w:i/>
          <w:lang w:val="en-US"/>
        </w:rPr>
        <w:t>X</w:t>
      </w:r>
      <w:r w:rsidR="002104C0">
        <w:rPr>
          <w:i/>
          <w:iCs/>
          <w:position w:val="-4"/>
          <w:sz w:val="20"/>
          <w:lang w:val="en-US"/>
        </w:rPr>
        <w:t>j+</w:t>
      </w:r>
      <w:r w:rsidR="002104C0">
        <w:rPr>
          <w:position w:val="-4"/>
          <w:sz w:val="20"/>
          <w:lang w:val="en-US"/>
        </w:rPr>
        <w:t>1</w:t>
      </w:r>
      <w:r w:rsidR="002104C0">
        <w:rPr>
          <w:bCs/>
          <w:lang w:val="en-US"/>
        </w:rPr>
        <w:t xml:space="preserve"> &gt; </w:t>
      </w:r>
      <w:r w:rsidR="002104C0">
        <w:rPr>
          <w:bCs/>
          <w:i/>
          <w:lang w:val="en-US"/>
        </w:rPr>
        <w:t>X</w:t>
      </w:r>
      <w:r w:rsidR="002104C0">
        <w:rPr>
          <w:i/>
          <w:iCs/>
          <w:position w:val="-4"/>
          <w:sz w:val="20"/>
          <w:lang w:val="en-US"/>
        </w:rPr>
        <w:t xml:space="preserve">j </w:t>
      </w:r>
      <w:r w:rsidR="002104C0">
        <w:rPr>
          <w:bCs/>
          <w:lang w:val="en-US"/>
        </w:rPr>
        <w:t xml:space="preserve">y </w:t>
      </w:r>
      <w:r w:rsidR="002104C0">
        <w:rPr>
          <w:bCs/>
          <w:i/>
          <w:lang w:val="en-US"/>
        </w:rPr>
        <w:t>Z</w:t>
      </w:r>
      <w:r w:rsidR="002104C0">
        <w:rPr>
          <w:i/>
          <w:iCs/>
          <w:position w:val="-4"/>
          <w:sz w:val="20"/>
          <w:lang w:val="en-US"/>
        </w:rPr>
        <w:t>k+</w:t>
      </w:r>
      <w:r w:rsidR="002104C0">
        <w:rPr>
          <w:position w:val="-4"/>
          <w:sz w:val="20"/>
          <w:lang w:val="en-US"/>
        </w:rPr>
        <w:t>1</w:t>
      </w:r>
      <w:r w:rsidR="002104C0">
        <w:rPr>
          <w:bCs/>
          <w:lang w:val="en-US"/>
        </w:rPr>
        <w:t xml:space="preserve"> &gt; </w:t>
      </w:r>
      <w:r w:rsidR="002104C0">
        <w:rPr>
          <w:bCs/>
          <w:i/>
          <w:lang w:val="en-US"/>
        </w:rPr>
        <w:t>Z</w:t>
      </w:r>
      <w:r w:rsidR="002104C0">
        <w:rPr>
          <w:i/>
          <w:iCs/>
          <w:position w:val="-4"/>
          <w:sz w:val="20"/>
          <w:lang w:val="en-US"/>
        </w:rPr>
        <w:t>k</w:t>
      </w:r>
      <w:r w:rsidRPr="003B0CD3">
        <w:rPr>
          <w:lang w:val="es-ES_tradnl"/>
        </w:rPr>
        <w:t>.</w:t>
      </w:r>
    </w:p>
    <w:p w:rsidR="00C770FE" w:rsidRPr="003B0CD3" w:rsidRDefault="00C770FE" w:rsidP="006E4260">
      <w:pPr>
        <w:rPr>
          <w:lang w:val="es-ES_tradnl"/>
        </w:rPr>
      </w:pPr>
      <w:r w:rsidRPr="003B0CD3">
        <w:rPr>
          <w:lang w:val="es-ES_tradnl"/>
        </w:rPr>
        <w:t>El modelo considera la disponibilidad del sistema del servicio fijo en presencia de la interferencia de los satélites del SFS OSG en un entorno del que la atenuación debida a la precipitación es el límite predominante en la disponibilidad del sistema del servicio fijo.</w:t>
      </w:r>
    </w:p>
    <w:p w:rsidR="00C770FE" w:rsidRDefault="00C770FE" w:rsidP="006E4260">
      <w:pPr>
        <w:rPr>
          <w:lang w:val="es-ES_tradnl"/>
        </w:rPr>
      </w:pPr>
      <w:r w:rsidRPr="003B0CD3">
        <w:rPr>
          <w:lang w:val="es-ES_tradnl"/>
        </w:rPr>
        <w:t>Véase que en el Cuadro 3, en el caso de los P</w:t>
      </w:r>
      <w:r w:rsidRPr="003B0CD3">
        <w:rPr>
          <w:lang w:val="es-ES_tradnl"/>
        </w:rPr>
        <w:noBreakHyphen/>
        <w:t>MP, pueden diseñarse los sistemas con niveles distintos de disponibilidad (100 – </w:t>
      </w:r>
      <w:r w:rsidRPr="003B0CD3">
        <w:rPr>
          <w:i/>
          <w:iCs/>
          <w:lang w:val="es-ES_tradnl"/>
        </w:rPr>
        <w:t>X</w:t>
      </w:r>
      <w:r w:rsidRPr="003B0CD3">
        <w:rPr>
          <w:position w:val="-4"/>
          <w:sz w:val="20"/>
          <w:lang w:val="es-ES_tradnl"/>
        </w:rPr>
        <w:t>0</w:t>
      </w:r>
      <w:r w:rsidRPr="003B0CD3">
        <w:rPr>
          <w:lang w:val="es-ES_tradnl"/>
        </w:rPr>
        <w:t>)%. En presencia de interferencia</w:t>
      </w:r>
      <w:r>
        <w:rPr>
          <w:lang w:val="es-ES_tradnl"/>
        </w:rPr>
        <w:t xml:space="preserve"> del SFS, la distribución estadística de los aumentos porcentuales de la indisponibilidad </w:t>
      </w:r>
      <w:r>
        <w:rPr>
          <w:i/>
          <w:iCs/>
          <w:lang w:val="es-ES_tradnl"/>
        </w:rPr>
        <w:t>X</w:t>
      </w:r>
      <w:r>
        <w:rPr>
          <w:i/>
          <w:iCs/>
          <w:position w:val="-4"/>
          <w:sz w:val="20"/>
          <w:lang w:val="es-ES_tradnl"/>
        </w:rPr>
        <w:t>j</w:t>
      </w:r>
      <w:r>
        <w:rPr>
          <w:lang w:val="es-ES_tradnl"/>
        </w:rPr>
        <w:t xml:space="preserve"> asociada a los porcentajes de receptores del servicio fijo afectados, </w:t>
      </w:r>
      <w:r>
        <w:rPr>
          <w:i/>
          <w:iCs/>
          <w:lang w:val="es-ES_tradnl"/>
        </w:rPr>
        <w:t>W</w:t>
      </w:r>
      <w:r>
        <w:rPr>
          <w:i/>
          <w:iCs/>
          <w:position w:val="-4"/>
          <w:sz w:val="20"/>
          <w:lang w:val="es-ES_tradnl"/>
        </w:rPr>
        <w:t>j</w:t>
      </w:r>
      <w:r>
        <w:rPr>
          <w:lang w:val="es-ES_tradnl"/>
        </w:rPr>
        <w:t>, dependerá de la disponibilidad de diseño (100 – </w:t>
      </w:r>
      <w:r>
        <w:rPr>
          <w:i/>
          <w:iCs/>
          <w:lang w:val="es-ES_tradnl"/>
        </w:rPr>
        <w:t>X</w:t>
      </w:r>
      <w:r>
        <w:rPr>
          <w:position w:val="-4"/>
          <w:sz w:val="20"/>
          <w:lang w:val="es-ES_tradnl"/>
        </w:rPr>
        <w:t>0</w:t>
      </w:r>
      <w:r>
        <w:rPr>
          <w:lang w:val="es-ES_tradnl"/>
        </w:rPr>
        <w:t xml:space="preserve">)%. Así pues, el porcentaje de receptores </w:t>
      </w:r>
      <w:r>
        <w:rPr>
          <w:i/>
          <w:iCs/>
          <w:lang w:val="es-ES_tradnl"/>
        </w:rPr>
        <w:t>W</w:t>
      </w:r>
      <w:r>
        <w:rPr>
          <w:i/>
          <w:iCs/>
          <w:position w:val="-4"/>
          <w:sz w:val="20"/>
          <w:lang w:val="es-ES_tradnl"/>
        </w:rPr>
        <w:t>j</w:t>
      </w:r>
      <w:r>
        <w:rPr>
          <w:lang w:val="es-ES_tradnl"/>
        </w:rPr>
        <w:t xml:space="preserve"> que cumplen o rebasan la disponibilidad degradada, </w:t>
      </w:r>
      <w:r>
        <w:rPr>
          <w:i/>
          <w:iCs/>
          <w:lang w:val="es-ES_tradnl"/>
        </w:rPr>
        <w:t>U</w:t>
      </w:r>
      <w:r>
        <w:rPr>
          <w:i/>
          <w:iCs/>
          <w:position w:val="-4"/>
          <w:sz w:val="20"/>
          <w:lang w:val="es-ES_tradnl"/>
        </w:rPr>
        <w:t>j</w:t>
      </w:r>
      <w:r>
        <w:rPr>
          <w:lang w:val="es-ES_tradnl"/>
        </w:rPr>
        <w:t xml:space="preserve"> depende del valor de </w:t>
      </w:r>
      <w:r>
        <w:rPr>
          <w:i/>
          <w:iCs/>
          <w:lang w:val="es-ES_tradnl"/>
        </w:rPr>
        <w:t>X</w:t>
      </w:r>
      <w:r>
        <w:rPr>
          <w:position w:val="-4"/>
          <w:sz w:val="20"/>
          <w:lang w:val="es-ES_tradnl"/>
        </w:rPr>
        <w:t>0</w:t>
      </w:r>
      <w:r>
        <w:rPr>
          <w:lang w:val="es-ES_tradnl"/>
        </w:rPr>
        <w:t xml:space="preserve">. Los valores de </w:t>
      </w:r>
      <w:r>
        <w:rPr>
          <w:i/>
          <w:iCs/>
          <w:lang w:val="es-ES_tradnl"/>
        </w:rPr>
        <w:t>W</w:t>
      </w:r>
      <w:r>
        <w:rPr>
          <w:i/>
          <w:iCs/>
          <w:position w:val="-4"/>
          <w:sz w:val="20"/>
          <w:lang w:val="es-ES_tradnl"/>
        </w:rPr>
        <w:t>j</w:t>
      </w:r>
      <w:r>
        <w:rPr>
          <w:lang w:val="es-ES_tradnl"/>
        </w:rPr>
        <w:t xml:space="preserve"> son objetivos de diseño con los que debe compararse la calidad, siguiendo únicamente una aplicación repetitiva de la metodología. Se requiere un acuerdo sobre el porcentaje de receptores del servicio fijo, </w:t>
      </w:r>
      <w:r>
        <w:rPr>
          <w:i/>
          <w:iCs/>
          <w:lang w:val="es-ES_tradnl"/>
        </w:rPr>
        <w:t>W</w:t>
      </w:r>
      <w:r>
        <w:rPr>
          <w:i/>
          <w:iCs/>
          <w:position w:val="-4"/>
          <w:sz w:val="20"/>
          <w:lang w:val="es-ES_tradnl"/>
        </w:rPr>
        <w:t>j</w:t>
      </w:r>
      <w:r>
        <w:rPr>
          <w:lang w:val="es-ES_tradnl"/>
        </w:rPr>
        <w:t xml:space="preserve"> que cumple o rebasa los diversos niveles de disponibilidad degradada. Para un sistema P-P con valores determinados de la disponibilidad de diseño (100 – </w:t>
      </w:r>
      <w:r>
        <w:rPr>
          <w:i/>
          <w:iCs/>
          <w:lang w:val="es-ES_tradnl"/>
        </w:rPr>
        <w:t>Z</w:t>
      </w:r>
      <w:r>
        <w:rPr>
          <w:position w:val="-4"/>
          <w:sz w:val="20"/>
          <w:lang w:val="es-ES_tradnl"/>
        </w:rPr>
        <w:t>0</w:t>
      </w:r>
      <w:r>
        <w:rPr>
          <w:lang w:val="es-ES_tradnl"/>
        </w:rPr>
        <w:t>)%, los valores de </w:t>
      </w:r>
      <w:r>
        <w:rPr>
          <w:i/>
          <w:iCs/>
          <w:lang w:val="es-ES_tradnl"/>
        </w:rPr>
        <w:t>Y</w:t>
      </w:r>
      <w:r>
        <w:rPr>
          <w:i/>
          <w:iCs/>
          <w:position w:val="-4"/>
          <w:sz w:val="20"/>
          <w:lang w:val="es-ES_tradnl"/>
        </w:rPr>
        <w:t>k</w:t>
      </w:r>
      <w:r>
        <w:rPr>
          <w:lang w:val="es-ES_tradnl"/>
        </w:rPr>
        <w:t xml:space="preserve"> asociados a los distintos niveles de disponibilidad degradada, </w:t>
      </w:r>
      <w:r>
        <w:rPr>
          <w:i/>
          <w:iCs/>
          <w:lang w:val="es-ES_tradnl"/>
        </w:rPr>
        <w:t>V</w:t>
      </w:r>
      <w:r>
        <w:rPr>
          <w:i/>
          <w:iCs/>
          <w:position w:val="-4"/>
          <w:sz w:val="20"/>
          <w:lang w:val="es-ES_tradnl"/>
        </w:rPr>
        <w:t>k</w:t>
      </w:r>
      <w:r>
        <w:rPr>
          <w:lang w:val="es-ES_tradnl"/>
        </w:rPr>
        <w:t xml:space="preserve">, se determinan de forma similar. Esta Recomendación no da valores de </w:t>
      </w:r>
      <w:r>
        <w:rPr>
          <w:i/>
          <w:iCs/>
          <w:lang w:val="es-ES_tradnl"/>
        </w:rPr>
        <w:t>W</w:t>
      </w:r>
      <w:r>
        <w:rPr>
          <w:lang w:val="es-ES_tradnl"/>
        </w:rPr>
        <w:t xml:space="preserve">, </w:t>
      </w:r>
      <w:r>
        <w:rPr>
          <w:i/>
          <w:iCs/>
          <w:lang w:val="es-ES_tradnl"/>
        </w:rPr>
        <w:t>X</w:t>
      </w:r>
      <w:r>
        <w:rPr>
          <w:lang w:val="es-ES_tradnl"/>
        </w:rPr>
        <w:t xml:space="preserve">, </w:t>
      </w:r>
      <w:r>
        <w:rPr>
          <w:i/>
          <w:iCs/>
          <w:lang w:val="es-ES_tradnl"/>
        </w:rPr>
        <w:t>Y</w:t>
      </w:r>
      <w:r>
        <w:rPr>
          <w:lang w:val="es-ES_tradnl"/>
        </w:rPr>
        <w:t xml:space="preserve"> y </w:t>
      </w:r>
      <w:r>
        <w:rPr>
          <w:i/>
          <w:iCs/>
          <w:lang w:val="es-ES_tradnl"/>
        </w:rPr>
        <w:t>Z</w:t>
      </w:r>
      <w:r>
        <w:rPr>
          <w:lang w:val="es-ES_tradnl"/>
        </w:rPr>
        <w:t>, por lo que debe aportarlos el usuario de la metodología como criterios de compartición.</w:t>
      </w:r>
    </w:p>
    <w:p w:rsidR="00C770FE" w:rsidRDefault="00C770FE" w:rsidP="00C770FE">
      <w:pPr>
        <w:spacing w:line="280" w:lineRule="exact"/>
        <w:jc w:val="left"/>
        <w:rPr>
          <w:lang w:val="es-ES_tradnl"/>
        </w:rPr>
      </w:pPr>
    </w:p>
    <w:p w:rsidR="00C770FE" w:rsidRPr="00946344" w:rsidRDefault="00C770FE" w:rsidP="00C770FE">
      <w:pPr>
        <w:jc w:val="left"/>
        <w:rPr>
          <w:lang w:val="es-ES_tradnl"/>
        </w:rPr>
      </w:pPr>
    </w:p>
    <w:p w:rsidR="00A6617B" w:rsidRPr="006B7AFE" w:rsidRDefault="00A6617B" w:rsidP="00F17045">
      <w:pPr>
        <w:pStyle w:val="Line"/>
        <w:rPr>
          <w:lang w:val="es-ES_tradnl"/>
        </w:rPr>
      </w:pPr>
    </w:p>
    <w:sectPr w:rsidR="00A6617B" w:rsidRPr="006B7AFE" w:rsidSect="003A5F74">
      <w:headerReference w:type="even" r:id="rId55"/>
      <w:headerReference w:type="default" r:id="rId56"/>
      <w:pgSz w:w="11907" w:h="16834" w:code="9"/>
      <w:pgMar w:top="1418" w:right="1134" w:bottom="1134" w:left="1134" w:header="720" w:footer="482" w:gutter="0"/>
      <w:paperSrc w:first="7" w:other="7"/>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6DC6" w:rsidRDefault="00B16DC6">
      <w:r>
        <w:separator/>
      </w:r>
    </w:p>
  </w:endnote>
  <w:endnote w:type="continuationSeparator" w:id="0">
    <w:p w:rsidR="00B16DC6" w:rsidRDefault="00B16D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6DC6" w:rsidRDefault="00B16DC6">
      <w:r>
        <w:separator/>
      </w:r>
    </w:p>
  </w:footnote>
  <w:footnote w:type="continuationSeparator" w:id="0">
    <w:p w:rsidR="00B16DC6" w:rsidRDefault="00B16DC6">
      <w:r>
        <w:continuationSeparator/>
      </w:r>
    </w:p>
  </w:footnote>
  <w:footnote w:id="1">
    <w:p w:rsidR="00B16DC6" w:rsidRDefault="00B16DC6" w:rsidP="006B7AFE">
      <w:pPr>
        <w:pStyle w:val="FootnoteText"/>
        <w:rPr>
          <w:lang w:val="es-ES"/>
        </w:rPr>
      </w:pPr>
      <w:r>
        <w:rPr>
          <w:rStyle w:val="FootnoteReference"/>
          <w:lang w:val="es-ES"/>
        </w:rPr>
        <w:t>*</w:t>
      </w:r>
      <w:r>
        <w:rPr>
          <w:lang w:val="es-ES"/>
        </w:rPr>
        <w:t xml:space="preserve"> </w:t>
      </w:r>
      <w:r>
        <w:rPr>
          <w:lang w:val="es-ES"/>
        </w:rPr>
        <w:tab/>
        <w:t>La metodología del Anexo 1 se centra en la interferencia procedente de los sistemas del SFS OSG. Se requieren nuevos estudios para asegurar que esta metodología sea aplicable de forma general a la interferencia procedente de los sistemas del SFS no OSG.</w:t>
      </w:r>
    </w:p>
  </w:footnote>
  <w:footnote w:id="2">
    <w:p w:rsidR="00B16DC6" w:rsidRPr="00C04D0A" w:rsidRDefault="00B16DC6" w:rsidP="006B7AFE">
      <w:pPr>
        <w:pStyle w:val="FootnoteText"/>
        <w:rPr>
          <w:lang w:val="es-ES_tradnl"/>
        </w:rPr>
      </w:pPr>
      <w:r w:rsidRPr="00C04D0A">
        <w:rPr>
          <w:rStyle w:val="FootnoteReference"/>
          <w:lang w:val="es-ES_tradnl"/>
        </w:rPr>
        <w:t>**</w:t>
      </w:r>
      <w:r w:rsidRPr="00C04D0A">
        <w:rPr>
          <w:lang w:val="es-ES_tradnl"/>
        </w:rPr>
        <w:tab/>
      </w:r>
      <w:r w:rsidRPr="00747020">
        <w:rPr>
          <w:lang w:val="es-ES"/>
        </w:rPr>
        <w:t xml:space="preserve">La Comisión de Estudio 5 de Radiocomunicaciones incorporó enmiendas de forma a </w:t>
      </w:r>
      <w:r>
        <w:rPr>
          <w:lang w:val="es-ES"/>
        </w:rPr>
        <w:t>la presente Recomendación en diciembre de 20</w:t>
      </w:r>
      <w:r w:rsidRPr="00747020">
        <w:rPr>
          <w:lang w:val="es-ES"/>
        </w:rPr>
        <w:t>0</w:t>
      </w:r>
      <w:r>
        <w:rPr>
          <w:lang w:val="es-ES"/>
        </w:rPr>
        <w:t>9</w:t>
      </w:r>
      <w:r w:rsidRPr="00747020">
        <w:rPr>
          <w:lang w:val="es-ES"/>
        </w:rPr>
        <w:t xml:space="preserve"> con arreglo a la Resolución UIT-R 1.</w:t>
      </w:r>
    </w:p>
  </w:footnote>
  <w:footnote w:id="3">
    <w:p w:rsidR="00B16DC6" w:rsidRPr="00D8156D" w:rsidRDefault="00B16DC6">
      <w:pPr>
        <w:pStyle w:val="FootnoteText"/>
        <w:rPr>
          <w:lang w:val="es-ES_tradnl"/>
        </w:rPr>
      </w:pPr>
      <w:r>
        <w:rPr>
          <w:rStyle w:val="FootnoteReference"/>
        </w:rPr>
        <w:footnoteRef/>
      </w:r>
      <w:r w:rsidRPr="00D8156D">
        <w:rPr>
          <w:lang w:val="es-ES_tradnl"/>
        </w:rPr>
        <w:t xml:space="preserve"> </w:t>
      </w:r>
      <w:r>
        <w:rPr>
          <w:lang w:val="es-ES_tradnl"/>
        </w:rPr>
        <w:tab/>
      </w:r>
      <w:r>
        <w:rPr>
          <w:lang w:val="es-ES"/>
        </w:rPr>
        <w:t>Mientras que la presión medida del aire referida al nivel del mar puede considerarse constante en todo el mundo (igual a 1</w:t>
      </w:r>
      <w:r>
        <w:rPr>
          <w:rFonts w:ascii="Tms Rmn" w:hAnsi="Tms Rmn"/>
          <w:sz w:val="12"/>
          <w:lang w:val="es-ES"/>
        </w:rPr>
        <w:t> </w:t>
      </w:r>
      <w:r>
        <w:rPr>
          <w:lang w:val="es-ES"/>
        </w:rPr>
        <w:t>013 hPa), la densidad del vapor de agua no sólo tiene una amplia gama de variabilidad climática, sino que se mide en la superficie (es decir, a la altura de la estación situada en el suelo). Para los valores de la densidad del vapor de agua en la superficie, véanse las Recomendaciones UIT</w:t>
      </w:r>
      <w:r>
        <w:rPr>
          <w:lang w:val="es-ES"/>
        </w:rPr>
        <w:noBreakHyphen/>
        <w:t>R P.836 y UIT</w:t>
      </w:r>
      <w:r>
        <w:rPr>
          <w:lang w:val="es-ES"/>
        </w:rPr>
        <w:noBreakHyphen/>
        <w:t>R P.453).</w:t>
      </w:r>
    </w:p>
  </w:footnote>
  <w:footnote w:id="4">
    <w:p w:rsidR="00B16DC6" w:rsidRPr="003B0CD3" w:rsidRDefault="00B16DC6" w:rsidP="007157F0">
      <w:pPr>
        <w:pStyle w:val="FootnoteText"/>
        <w:rPr>
          <w:lang w:val="es-ES"/>
        </w:rPr>
      </w:pPr>
      <w:r>
        <w:rPr>
          <w:rStyle w:val="FootnoteReference"/>
          <w:lang w:val="es-ES"/>
        </w:rPr>
        <w:t>2</w:t>
      </w:r>
      <w:r>
        <w:rPr>
          <w:lang w:val="es-ES"/>
        </w:rPr>
        <w:t xml:space="preserve"> </w:t>
      </w:r>
      <w:r>
        <w:rPr>
          <w:lang w:val="es-ES"/>
        </w:rPr>
        <w:tab/>
      </w:r>
      <w:r w:rsidRPr="003B0CD3">
        <w:rPr>
          <w:lang w:val="es-ES"/>
        </w:rPr>
        <w:t xml:space="preserve">En los casos en los que hay un satélite del SFS OSG visible en el haz principal de la antena posible de recepción del servicio fijo, el nivel del margen disponible afectará al valor de </w:t>
      </w:r>
      <w:r w:rsidRPr="003B0CD3">
        <w:rPr>
          <w:i/>
          <w:lang w:val="es-ES"/>
        </w:rPr>
        <w:t>A</w:t>
      </w:r>
      <w:r w:rsidRPr="003B0CD3">
        <w:rPr>
          <w:lang w:val="es-ES"/>
        </w:rPr>
        <w:t>(</w:t>
      </w:r>
      <w:r w:rsidRPr="003B0CD3">
        <w:rPr>
          <w:sz w:val="16"/>
          <w:lang w:val="es-ES"/>
        </w:rPr>
        <w:t> </w:t>
      </w:r>
      <w:r w:rsidRPr="003B0CD3">
        <w:rPr>
          <w:i/>
          <w:lang w:val="es-ES"/>
        </w:rPr>
        <w:t>p</w:t>
      </w:r>
      <w:r w:rsidRPr="003B0CD3">
        <w:rPr>
          <w:lang w:val="es-ES"/>
        </w:rPr>
        <w:t xml:space="preserve">) y al porcentaje de tiempo </w:t>
      </w:r>
      <w:r w:rsidRPr="003B0CD3">
        <w:rPr>
          <w:i/>
          <w:lang w:val="es-ES"/>
        </w:rPr>
        <w:t>p</w:t>
      </w:r>
      <w:r w:rsidRPr="003B0CD3">
        <w:rPr>
          <w:lang w:val="es-ES"/>
        </w:rPr>
        <w:t xml:space="preserve"> en el que se evalúa</w:t>
      </w:r>
      <w:r w:rsidRPr="003B0CD3">
        <w:rPr>
          <w:i/>
          <w:lang w:val="es-ES"/>
        </w:rPr>
        <w:t xml:space="preserve"> A</w:t>
      </w:r>
      <w:r w:rsidRPr="003B0CD3">
        <w:rPr>
          <w:i/>
          <w:iCs/>
          <w:lang w:val="es-ES_tradnl"/>
        </w:rPr>
        <w:t>p</w:t>
      </w:r>
      <w:r w:rsidRPr="003B0CD3">
        <w:rPr>
          <w:lang w:val="es-ES"/>
        </w:rPr>
        <w:t xml:space="preserve">. Para más detalles sobre el procedimiento de cálculo repetitivo de </w:t>
      </w:r>
      <w:r w:rsidRPr="003B0CD3">
        <w:rPr>
          <w:i/>
          <w:iCs/>
          <w:lang w:val="es-ES"/>
        </w:rPr>
        <w:t>p</w:t>
      </w:r>
      <w:r w:rsidRPr="003B0CD3">
        <w:rPr>
          <w:lang w:val="es-ES"/>
        </w:rPr>
        <w:t xml:space="preserve"> véase el § 6.4.</w:t>
      </w:r>
    </w:p>
  </w:footnote>
  <w:footnote w:id="5">
    <w:p w:rsidR="00B16DC6" w:rsidRPr="003B0CD3" w:rsidRDefault="00B16DC6" w:rsidP="003B0CD3">
      <w:pPr>
        <w:pStyle w:val="FootnoteText"/>
        <w:rPr>
          <w:lang w:val="es-ES"/>
        </w:rPr>
      </w:pPr>
      <w:r w:rsidRPr="003B0CD3">
        <w:rPr>
          <w:rStyle w:val="FootnoteReference"/>
          <w:lang w:val="es-ES"/>
        </w:rPr>
        <w:t>3</w:t>
      </w:r>
      <w:r w:rsidRPr="003B0CD3">
        <w:rPr>
          <w:lang w:val="es-ES"/>
        </w:rPr>
        <w:t xml:space="preserve"> </w:t>
      </w:r>
      <w:r w:rsidRPr="003B0CD3">
        <w:rPr>
          <w:lang w:val="es-ES"/>
        </w:rPr>
        <w:tab/>
      </w:r>
      <w:r w:rsidRPr="003B0CD3">
        <w:rPr>
          <w:bCs/>
          <w:i/>
          <w:lang w:val="es-ES"/>
        </w:rPr>
        <w:t>A</w:t>
      </w:r>
      <w:r w:rsidRPr="003B0CD3">
        <w:rPr>
          <w:lang w:val="es-ES"/>
        </w:rPr>
        <w:t>(</w:t>
      </w:r>
      <w:r w:rsidRPr="003B0CD3">
        <w:rPr>
          <w:sz w:val="20"/>
          <w:lang w:val="es-ES"/>
        </w:rPr>
        <w:t xml:space="preserve"> </w:t>
      </w:r>
      <w:r w:rsidRPr="003B0CD3">
        <w:rPr>
          <w:bCs/>
          <w:i/>
          <w:lang w:val="es-ES"/>
        </w:rPr>
        <w:t>p</w:t>
      </w:r>
      <w:r w:rsidRPr="003B0CD3">
        <w:rPr>
          <w:lang w:val="es-ES"/>
        </w:rPr>
        <w:t>)</w:t>
      </w:r>
      <w:r w:rsidRPr="003B0CD3">
        <w:rPr>
          <w:bCs/>
          <w:lang w:val="es-ES"/>
        </w:rPr>
        <w:t xml:space="preserve"> </w:t>
      </w:r>
      <w:r>
        <w:rPr>
          <w:bCs/>
          <w:lang w:val="es-ES"/>
        </w:rPr>
        <w:t>=</w:t>
      </w:r>
      <w:r w:rsidRPr="003B0CD3">
        <w:rPr>
          <w:bCs/>
          <w:lang w:val="es-ES"/>
        </w:rPr>
        <w:t xml:space="preserve"> 0, para el caso de cielo despejado y larga duración en el que </w:t>
      </w:r>
      <w:r w:rsidRPr="003B0CD3">
        <w:rPr>
          <w:bCs/>
          <w:i/>
          <w:iCs/>
          <w:lang w:val="es-ES"/>
        </w:rPr>
        <w:t>p</w:t>
      </w:r>
      <w:r w:rsidRPr="003B0CD3">
        <w:rPr>
          <w:bCs/>
          <w:lang w:val="es-ES"/>
        </w:rPr>
        <w:t> </w:t>
      </w:r>
      <w:r w:rsidRPr="003B0CD3">
        <w:rPr>
          <w:bCs/>
        </w:rPr>
        <w:sym w:font="Symbol" w:char="F0B3"/>
      </w:r>
      <w:r w:rsidRPr="003B0CD3">
        <w:rPr>
          <w:bCs/>
          <w:lang w:val="es-ES"/>
        </w:rPr>
        <w:t> 20%.</w:t>
      </w:r>
    </w:p>
  </w:footnote>
  <w:footnote w:id="6">
    <w:p w:rsidR="00B16DC6" w:rsidRDefault="00B16DC6" w:rsidP="007157F0">
      <w:pPr>
        <w:pStyle w:val="FootnoteText"/>
        <w:rPr>
          <w:lang w:val="es-ES"/>
        </w:rPr>
      </w:pPr>
      <w:r>
        <w:rPr>
          <w:rStyle w:val="FootnoteReference"/>
          <w:lang w:val="es-ES"/>
        </w:rPr>
        <w:t>4</w:t>
      </w:r>
      <w:r>
        <w:rPr>
          <w:lang w:val="es-ES"/>
        </w:rPr>
        <w:t xml:space="preserve"> </w:t>
      </w:r>
      <w:r>
        <w:rPr>
          <w:lang w:val="es-ES"/>
        </w:rPr>
        <w:tab/>
        <w:t>Véase la ecuación (9) de la Recomendación UIT</w:t>
      </w:r>
      <w:r>
        <w:rPr>
          <w:lang w:val="es-ES"/>
        </w:rPr>
        <w:noBreakHyphen/>
        <w:t>R P.453.</w:t>
      </w:r>
    </w:p>
  </w:footnote>
  <w:footnote w:id="7">
    <w:p w:rsidR="00B16DC6" w:rsidRDefault="00B16DC6" w:rsidP="00DA3EF6">
      <w:pPr>
        <w:pStyle w:val="FootnoteText"/>
        <w:rPr>
          <w:lang w:val="es-ES"/>
        </w:rPr>
      </w:pPr>
      <w:r>
        <w:rPr>
          <w:rStyle w:val="FootnoteReference"/>
          <w:lang w:val="es-ES"/>
        </w:rPr>
        <w:t>5</w:t>
      </w:r>
      <w:r>
        <w:rPr>
          <w:lang w:val="es-ES"/>
        </w:rPr>
        <w:t xml:space="preserve"> </w:t>
      </w:r>
      <w:r>
        <w:rPr>
          <w:lang w:val="es-ES"/>
        </w:rPr>
        <w:tab/>
        <w:t>Que se define por el ángulo fuera del eje de puntería de una antena del servicio fijo con el modelo de la Recomendación UIT</w:t>
      </w:r>
      <w:r>
        <w:rPr>
          <w:lang w:val="es-ES"/>
        </w:rPr>
        <w:noBreakHyphen/>
        <w:t>R F.1245.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DC6" w:rsidRDefault="00B16DC6">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DC6" w:rsidRDefault="00B16DC6" w:rsidP="000662E4">
    <w:pPr>
      <w:pStyle w:val="Header"/>
      <w:ind w:right="360" w:firstLine="360"/>
    </w:pPr>
    <w:r>
      <w:rPr>
        <w:noProof/>
        <w:lang w:val="es-ES_tradnl" w:eastAsia="zh-CN"/>
      </w:rPr>
      <w:drawing>
        <wp:anchor distT="0" distB="0" distL="114300" distR="114300" simplePos="0" relativeHeight="251659264" behindDoc="1" locked="0" layoutInCell="1" allowOverlap="1" wp14:anchorId="5AC5D1FE" wp14:editId="7215D982">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DC6" w:rsidRDefault="00B16DC6" w:rsidP="000662E4">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9845B5">
      <w:rPr>
        <w:rStyle w:val="PageNumber"/>
        <w:b/>
        <w:bCs/>
        <w:noProof/>
      </w:rPr>
      <w:t>ii</w:t>
    </w:r>
    <w:r>
      <w:rPr>
        <w:rStyle w:val="PageNumber"/>
        <w:b/>
        <w:bCs/>
      </w:rPr>
      <w:fldChar w:fldCharType="end"/>
    </w:r>
    <w:r>
      <w:tab/>
    </w:r>
    <w:fldSimple w:instr=" DOCPROPERTY &quot;Header&quot; \* MERGEFORMAT ">
      <w:r w:rsidRPr="00244027">
        <w:rPr>
          <w:b/>
          <w:bCs/>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9845B5">
      <w:rPr>
        <w:b/>
        <w:bCs/>
        <w:noProof/>
      </w:rPr>
      <w:t>UIT-R  SF.1572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DC6" w:rsidRDefault="00B16DC6">
    <w:pPr>
      <w:pStyle w:val="Header"/>
    </w:pPr>
    <w:r>
      <w:tab/>
    </w:r>
    <w:fldSimple w:instr=" DOCPROPERTY &quot;Header&quot; \* MERGEFORMAT ">
      <w:r w:rsidRPr="00244027">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SF.1572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DC6" w:rsidRDefault="00B16DC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845B5">
      <w:rPr>
        <w:rStyle w:val="PageNumber"/>
        <w:b/>
        <w:bCs/>
        <w:noProof/>
        <w:lang w:val="en-US"/>
      </w:rPr>
      <w:t>18</w:t>
    </w:r>
    <w:r>
      <w:rPr>
        <w:rStyle w:val="PageNumber"/>
        <w:b/>
        <w:bCs/>
      </w:rPr>
      <w:fldChar w:fldCharType="end"/>
    </w:r>
    <w:r>
      <w:rPr>
        <w:lang w:val="en-US"/>
      </w:rPr>
      <w:tab/>
    </w:r>
    <w:fldSimple w:instr=" DOCPROPERTY &quot;Header&quot; \* MERGEFORMAT ">
      <w:r w:rsidRPr="00244027">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9845B5">
      <w:rPr>
        <w:b/>
        <w:bCs/>
        <w:noProof/>
      </w:rPr>
      <w:t>UIT-R  SF.1572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DC6" w:rsidRDefault="00B16DC6">
    <w:pPr>
      <w:pStyle w:val="Header"/>
    </w:pPr>
    <w:r>
      <w:tab/>
    </w:r>
    <w:fldSimple w:instr=" DOCPROPERTY &quot;Header&quot; \* MERGEFORMAT ">
      <w:r w:rsidRPr="00244027">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9845B5">
      <w:rPr>
        <w:b/>
        <w:bCs/>
        <w:noProof/>
      </w:rPr>
      <w:t>UIT-R  SF.1572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845B5">
      <w:rPr>
        <w:rStyle w:val="PageNumber"/>
        <w:b/>
        <w:bCs/>
        <w:noProof/>
      </w:rPr>
      <w:t>17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E06A54C"/>
    <w:lvl w:ilvl="0">
      <w:start w:val="1"/>
      <w:numFmt w:val="decimal"/>
      <w:lvlText w:val="%1."/>
      <w:lvlJc w:val="left"/>
      <w:pPr>
        <w:tabs>
          <w:tab w:val="num" w:pos="1492"/>
        </w:tabs>
        <w:ind w:left="1492" w:hanging="360"/>
      </w:pPr>
    </w:lvl>
  </w:abstractNum>
  <w:abstractNum w:abstractNumId="1">
    <w:nsid w:val="FFFFFF7D"/>
    <w:multiLevelType w:val="singleLevel"/>
    <w:tmpl w:val="031A6F6E"/>
    <w:lvl w:ilvl="0">
      <w:start w:val="1"/>
      <w:numFmt w:val="decimal"/>
      <w:lvlText w:val="%1."/>
      <w:lvlJc w:val="left"/>
      <w:pPr>
        <w:tabs>
          <w:tab w:val="num" w:pos="1209"/>
        </w:tabs>
        <w:ind w:left="1209" w:hanging="360"/>
      </w:pPr>
    </w:lvl>
  </w:abstractNum>
  <w:abstractNum w:abstractNumId="2">
    <w:nsid w:val="FFFFFF7E"/>
    <w:multiLevelType w:val="singleLevel"/>
    <w:tmpl w:val="2AFA1C40"/>
    <w:lvl w:ilvl="0">
      <w:start w:val="1"/>
      <w:numFmt w:val="decimal"/>
      <w:lvlText w:val="%1."/>
      <w:lvlJc w:val="left"/>
      <w:pPr>
        <w:tabs>
          <w:tab w:val="num" w:pos="926"/>
        </w:tabs>
        <w:ind w:left="926" w:hanging="360"/>
      </w:pPr>
    </w:lvl>
  </w:abstractNum>
  <w:abstractNum w:abstractNumId="3">
    <w:nsid w:val="FFFFFF7F"/>
    <w:multiLevelType w:val="singleLevel"/>
    <w:tmpl w:val="091860BA"/>
    <w:lvl w:ilvl="0">
      <w:start w:val="1"/>
      <w:numFmt w:val="decimal"/>
      <w:lvlText w:val="%1."/>
      <w:lvlJc w:val="left"/>
      <w:pPr>
        <w:tabs>
          <w:tab w:val="num" w:pos="643"/>
        </w:tabs>
        <w:ind w:left="643" w:hanging="360"/>
      </w:pPr>
    </w:lvl>
  </w:abstractNum>
  <w:abstractNum w:abstractNumId="4">
    <w:nsid w:val="FFFFFF80"/>
    <w:multiLevelType w:val="singleLevel"/>
    <w:tmpl w:val="64C6996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DEC6CB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080B01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FEE396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972A832"/>
    <w:lvl w:ilvl="0">
      <w:start w:val="1"/>
      <w:numFmt w:val="decimal"/>
      <w:lvlText w:val="%1."/>
      <w:lvlJc w:val="left"/>
      <w:pPr>
        <w:tabs>
          <w:tab w:val="num" w:pos="360"/>
        </w:tabs>
        <w:ind w:left="360" w:hanging="360"/>
      </w:pPr>
    </w:lvl>
  </w:abstractNum>
  <w:abstractNum w:abstractNumId="9">
    <w:nsid w:val="FFFFFF89"/>
    <w:multiLevelType w:val="singleLevel"/>
    <w:tmpl w:val="EEF49DD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n-GB"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1D48"/>
    <w:rsid w:val="000662E4"/>
    <w:rsid w:val="00070200"/>
    <w:rsid w:val="0008259E"/>
    <w:rsid w:val="00193482"/>
    <w:rsid w:val="001F4968"/>
    <w:rsid w:val="002104C0"/>
    <w:rsid w:val="00217EBF"/>
    <w:rsid w:val="00244027"/>
    <w:rsid w:val="00290CA2"/>
    <w:rsid w:val="002D76C4"/>
    <w:rsid w:val="002F1F6B"/>
    <w:rsid w:val="003679C5"/>
    <w:rsid w:val="0037045B"/>
    <w:rsid w:val="003A5F74"/>
    <w:rsid w:val="003B0CD3"/>
    <w:rsid w:val="003F13B6"/>
    <w:rsid w:val="00496CD3"/>
    <w:rsid w:val="00594475"/>
    <w:rsid w:val="00607D68"/>
    <w:rsid w:val="006A75D8"/>
    <w:rsid w:val="006B7AFE"/>
    <w:rsid w:val="006E4260"/>
    <w:rsid w:val="007157F0"/>
    <w:rsid w:val="007306DF"/>
    <w:rsid w:val="00741A79"/>
    <w:rsid w:val="007468DA"/>
    <w:rsid w:val="00812569"/>
    <w:rsid w:val="00822BB1"/>
    <w:rsid w:val="008B3431"/>
    <w:rsid w:val="008F4DD5"/>
    <w:rsid w:val="0095075B"/>
    <w:rsid w:val="00980960"/>
    <w:rsid w:val="009845B5"/>
    <w:rsid w:val="00A6617B"/>
    <w:rsid w:val="00A879BE"/>
    <w:rsid w:val="00AB0DC8"/>
    <w:rsid w:val="00B16DC6"/>
    <w:rsid w:val="00B41D48"/>
    <w:rsid w:val="00B44E24"/>
    <w:rsid w:val="00BD71E6"/>
    <w:rsid w:val="00C077CD"/>
    <w:rsid w:val="00C6531E"/>
    <w:rsid w:val="00C76CAC"/>
    <w:rsid w:val="00C770FE"/>
    <w:rsid w:val="00D8156D"/>
    <w:rsid w:val="00D82979"/>
    <w:rsid w:val="00DA3EF6"/>
    <w:rsid w:val="00DF4176"/>
    <w:rsid w:val="00E55CA1"/>
    <w:rsid w:val="00F17045"/>
    <w:rsid w:val="00F618CC"/>
    <w:rsid w:val="00FD758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4402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244027"/>
    <w:pPr>
      <w:keepNext/>
      <w:keepLines/>
      <w:spacing w:before="480"/>
      <w:ind w:left="794" w:hanging="794"/>
      <w:outlineLvl w:val="0"/>
    </w:pPr>
    <w:rPr>
      <w:b/>
    </w:rPr>
  </w:style>
  <w:style w:type="paragraph" w:styleId="Heading2">
    <w:name w:val="heading 2"/>
    <w:basedOn w:val="Heading1"/>
    <w:next w:val="Normal"/>
    <w:link w:val="Heading2Char"/>
    <w:qFormat/>
    <w:rsid w:val="00244027"/>
    <w:pPr>
      <w:spacing w:before="320"/>
      <w:outlineLvl w:val="1"/>
    </w:pPr>
  </w:style>
  <w:style w:type="paragraph" w:styleId="Heading3">
    <w:name w:val="heading 3"/>
    <w:basedOn w:val="Heading1"/>
    <w:next w:val="Normal"/>
    <w:link w:val="Heading3Char"/>
    <w:qFormat/>
    <w:rsid w:val="00244027"/>
    <w:pPr>
      <w:spacing w:before="200"/>
      <w:outlineLvl w:val="2"/>
    </w:pPr>
  </w:style>
  <w:style w:type="paragraph" w:styleId="Heading4">
    <w:name w:val="heading 4"/>
    <w:basedOn w:val="Heading3"/>
    <w:next w:val="Normal"/>
    <w:link w:val="Heading4Char"/>
    <w:qFormat/>
    <w:rsid w:val="00244027"/>
    <w:pPr>
      <w:tabs>
        <w:tab w:val="clear" w:pos="794"/>
        <w:tab w:val="left" w:pos="992"/>
      </w:tabs>
      <w:ind w:left="992" w:hanging="992"/>
      <w:outlineLvl w:val="3"/>
    </w:pPr>
  </w:style>
  <w:style w:type="paragraph" w:styleId="Heading5">
    <w:name w:val="heading 5"/>
    <w:basedOn w:val="Heading4"/>
    <w:next w:val="Normal"/>
    <w:link w:val="Heading5Char"/>
    <w:qFormat/>
    <w:rsid w:val="00244027"/>
    <w:pPr>
      <w:outlineLvl w:val="4"/>
    </w:pPr>
  </w:style>
  <w:style w:type="paragraph" w:styleId="Heading6">
    <w:name w:val="heading 6"/>
    <w:basedOn w:val="Heading4"/>
    <w:next w:val="Normal"/>
    <w:link w:val="Heading6Char"/>
    <w:qFormat/>
    <w:rsid w:val="00244027"/>
    <w:pPr>
      <w:tabs>
        <w:tab w:val="clear" w:pos="992"/>
        <w:tab w:val="clear" w:pos="1191"/>
      </w:tabs>
      <w:ind w:left="1588" w:hanging="1588"/>
      <w:outlineLvl w:val="5"/>
    </w:pPr>
  </w:style>
  <w:style w:type="paragraph" w:styleId="Heading7">
    <w:name w:val="heading 7"/>
    <w:basedOn w:val="Heading6"/>
    <w:next w:val="Normal"/>
    <w:link w:val="Heading7Char"/>
    <w:qFormat/>
    <w:rsid w:val="00244027"/>
    <w:pPr>
      <w:outlineLvl w:val="6"/>
    </w:pPr>
  </w:style>
  <w:style w:type="paragraph" w:styleId="Heading8">
    <w:name w:val="heading 8"/>
    <w:basedOn w:val="Heading6"/>
    <w:next w:val="Normal"/>
    <w:link w:val="Heading8Char"/>
    <w:qFormat/>
    <w:rsid w:val="00244027"/>
    <w:pPr>
      <w:outlineLvl w:val="7"/>
    </w:pPr>
  </w:style>
  <w:style w:type="paragraph" w:styleId="Heading9">
    <w:name w:val="heading 9"/>
    <w:basedOn w:val="Heading6"/>
    <w:next w:val="Normal"/>
    <w:link w:val="Heading9Char"/>
    <w:qFormat/>
    <w:rsid w:val="0024402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770FE"/>
    <w:rPr>
      <w:b/>
      <w:sz w:val="24"/>
      <w:lang w:val="fr-FR" w:eastAsia="en-US"/>
    </w:rPr>
  </w:style>
  <w:style w:type="character" w:customStyle="1" w:styleId="Heading2Char">
    <w:name w:val="Heading 2 Char"/>
    <w:basedOn w:val="DefaultParagraphFont"/>
    <w:link w:val="Heading2"/>
    <w:rsid w:val="00C770FE"/>
    <w:rPr>
      <w:b/>
      <w:sz w:val="24"/>
      <w:lang w:val="fr-FR" w:eastAsia="en-US"/>
    </w:rPr>
  </w:style>
  <w:style w:type="character" w:customStyle="1" w:styleId="Heading3Char">
    <w:name w:val="Heading 3 Char"/>
    <w:basedOn w:val="DefaultParagraphFont"/>
    <w:link w:val="Heading3"/>
    <w:rsid w:val="00C770FE"/>
    <w:rPr>
      <w:b/>
      <w:sz w:val="24"/>
      <w:lang w:val="fr-FR" w:eastAsia="en-US"/>
    </w:rPr>
  </w:style>
  <w:style w:type="character" w:customStyle="1" w:styleId="Heading4Char">
    <w:name w:val="Heading 4 Char"/>
    <w:basedOn w:val="DefaultParagraphFont"/>
    <w:link w:val="Heading4"/>
    <w:rsid w:val="00C770FE"/>
    <w:rPr>
      <w:b/>
      <w:sz w:val="24"/>
      <w:lang w:val="fr-FR" w:eastAsia="en-US"/>
    </w:rPr>
  </w:style>
  <w:style w:type="character" w:customStyle="1" w:styleId="Heading5Char">
    <w:name w:val="Heading 5 Char"/>
    <w:basedOn w:val="DefaultParagraphFont"/>
    <w:link w:val="Heading5"/>
    <w:rsid w:val="00C770FE"/>
    <w:rPr>
      <w:b/>
      <w:sz w:val="24"/>
      <w:lang w:val="fr-FR" w:eastAsia="en-US"/>
    </w:rPr>
  </w:style>
  <w:style w:type="character" w:customStyle="1" w:styleId="Heading6Char">
    <w:name w:val="Heading 6 Char"/>
    <w:basedOn w:val="DefaultParagraphFont"/>
    <w:link w:val="Heading6"/>
    <w:rsid w:val="00C770FE"/>
    <w:rPr>
      <w:b/>
      <w:sz w:val="24"/>
      <w:lang w:val="fr-FR" w:eastAsia="en-US"/>
    </w:rPr>
  </w:style>
  <w:style w:type="character" w:customStyle="1" w:styleId="Heading7Char">
    <w:name w:val="Heading 7 Char"/>
    <w:basedOn w:val="DefaultParagraphFont"/>
    <w:link w:val="Heading7"/>
    <w:rsid w:val="00C770FE"/>
    <w:rPr>
      <w:b/>
      <w:sz w:val="24"/>
      <w:lang w:val="fr-FR" w:eastAsia="en-US"/>
    </w:rPr>
  </w:style>
  <w:style w:type="character" w:customStyle="1" w:styleId="Heading8Char">
    <w:name w:val="Heading 8 Char"/>
    <w:basedOn w:val="DefaultParagraphFont"/>
    <w:link w:val="Heading8"/>
    <w:rsid w:val="00C770FE"/>
    <w:rPr>
      <w:b/>
      <w:sz w:val="24"/>
      <w:lang w:val="fr-FR" w:eastAsia="en-US"/>
    </w:rPr>
  </w:style>
  <w:style w:type="character" w:customStyle="1" w:styleId="Heading9Char">
    <w:name w:val="Heading 9 Char"/>
    <w:basedOn w:val="DefaultParagraphFont"/>
    <w:link w:val="Heading9"/>
    <w:rsid w:val="00C770FE"/>
    <w:rPr>
      <w:b/>
      <w:sz w:val="24"/>
      <w:lang w:val="fr-FR" w:eastAsia="en-US"/>
    </w:rPr>
  </w:style>
  <w:style w:type="paragraph" w:styleId="Header">
    <w:name w:val="header"/>
    <w:basedOn w:val="Normal"/>
    <w:link w:val="HeaderChar"/>
    <w:rsid w:val="00244027"/>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C770FE"/>
    <w:rPr>
      <w:sz w:val="24"/>
      <w:lang w:val="fr-FR" w:eastAsia="en-US"/>
    </w:rPr>
  </w:style>
  <w:style w:type="paragraph" w:styleId="Footer">
    <w:name w:val="footer"/>
    <w:basedOn w:val="Normal"/>
    <w:link w:val="FooterChar"/>
    <w:rsid w:val="00244027"/>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C770FE"/>
    <w:rPr>
      <w:noProof/>
      <w:sz w:val="18"/>
      <w:lang w:val="fr-FR" w:eastAsia="en-US"/>
    </w:rPr>
  </w:style>
  <w:style w:type="character" w:styleId="PageNumber">
    <w:name w:val="page number"/>
    <w:basedOn w:val="DefaultParagraphFont"/>
    <w:rsid w:val="00244027"/>
  </w:style>
  <w:style w:type="paragraph" w:customStyle="1" w:styleId="Headingb">
    <w:name w:val="Heading_b"/>
    <w:basedOn w:val="Heading3"/>
    <w:next w:val="Normal"/>
    <w:rsid w:val="00244027"/>
    <w:pPr>
      <w:spacing w:before="160"/>
      <w:ind w:left="0" w:firstLine="0"/>
      <w:outlineLvl w:val="9"/>
    </w:pPr>
  </w:style>
  <w:style w:type="paragraph" w:customStyle="1" w:styleId="Headingi">
    <w:name w:val="Heading_i"/>
    <w:basedOn w:val="Heading3"/>
    <w:next w:val="Normal"/>
    <w:rsid w:val="00244027"/>
    <w:pPr>
      <w:spacing w:before="160"/>
      <w:ind w:left="0" w:firstLine="0"/>
    </w:pPr>
    <w:rPr>
      <w:b w:val="0"/>
      <w:i/>
    </w:rPr>
  </w:style>
  <w:style w:type="character" w:customStyle="1" w:styleId="href">
    <w:name w:val="href"/>
    <w:basedOn w:val="DefaultParagraphFont"/>
    <w:rsid w:val="00244027"/>
  </w:style>
  <w:style w:type="paragraph" w:customStyle="1" w:styleId="enumlev1">
    <w:name w:val="enumlev1"/>
    <w:basedOn w:val="Normal"/>
    <w:rsid w:val="00244027"/>
    <w:pPr>
      <w:spacing w:before="80"/>
      <w:ind w:left="794" w:hanging="794"/>
    </w:pPr>
  </w:style>
  <w:style w:type="paragraph" w:customStyle="1" w:styleId="enumlev2">
    <w:name w:val="enumlev2"/>
    <w:basedOn w:val="enumlev1"/>
    <w:rsid w:val="00244027"/>
    <w:pPr>
      <w:ind w:left="1191" w:hanging="397"/>
    </w:pPr>
  </w:style>
  <w:style w:type="paragraph" w:customStyle="1" w:styleId="enumlev3">
    <w:name w:val="enumlev3"/>
    <w:basedOn w:val="enumlev2"/>
    <w:rsid w:val="00244027"/>
    <w:pPr>
      <w:ind w:left="1588"/>
    </w:pPr>
  </w:style>
  <w:style w:type="paragraph" w:customStyle="1" w:styleId="Normalaftertitle">
    <w:name w:val="Normal_after_title"/>
    <w:basedOn w:val="Normal"/>
    <w:next w:val="Normal"/>
    <w:rsid w:val="00244027"/>
    <w:pPr>
      <w:spacing w:before="320"/>
    </w:pPr>
  </w:style>
  <w:style w:type="paragraph" w:customStyle="1" w:styleId="Note">
    <w:name w:val="Note"/>
    <w:basedOn w:val="Normal"/>
    <w:rsid w:val="00244027"/>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244027"/>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244027"/>
    <w:pPr>
      <w:keepNext/>
      <w:keepLines/>
      <w:spacing w:before="240"/>
      <w:jc w:val="center"/>
    </w:pPr>
    <w:rPr>
      <w:b/>
      <w:sz w:val="28"/>
    </w:rPr>
  </w:style>
  <w:style w:type="paragraph" w:customStyle="1" w:styleId="Recref">
    <w:name w:val="Rec_ref"/>
    <w:basedOn w:val="Normal"/>
    <w:next w:val="Recdate"/>
    <w:rsid w:val="00244027"/>
    <w:pPr>
      <w:jc w:val="center"/>
    </w:pPr>
  </w:style>
  <w:style w:type="paragraph" w:customStyle="1" w:styleId="Recdate">
    <w:name w:val="Rec_date"/>
    <w:basedOn w:val="Recref"/>
    <w:next w:val="Normalaftertitle"/>
    <w:rsid w:val="00244027"/>
    <w:pPr>
      <w:jc w:val="right"/>
    </w:pPr>
  </w:style>
  <w:style w:type="paragraph" w:customStyle="1" w:styleId="HeadingSum">
    <w:name w:val="Heading_Sum"/>
    <w:basedOn w:val="Headingb"/>
    <w:next w:val="Normal"/>
    <w:rsid w:val="00244027"/>
    <w:pPr>
      <w:spacing w:before="240"/>
    </w:pPr>
    <w:rPr>
      <w:sz w:val="22"/>
      <w:lang w:val="es-ES_tradnl"/>
    </w:rPr>
  </w:style>
  <w:style w:type="paragraph" w:customStyle="1" w:styleId="AnnexNoTitle">
    <w:name w:val="Annex_NoTitle"/>
    <w:basedOn w:val="Normal"/>
    <w:next w:val="Normalaftertitle"/>
    <w:rsid w:val="00244027"/>
    <w:pPr>
      <w:keepNext/>
      <w:keepLines/>
      <w:spacing w:before="480" w:after="80"/>
      <w:jc w:val="center"/>
    </w:pPr>
    <w:rPr>
      <w:b/>
      <w:sz w:val="28"/>
    </w:rPr>
  </w:style>
  <w:style w:type="paragraph" w:customStyle="1" w:styleId="AppendixNoTitle">
    <w:name w:val="Appendix_NoTitle"/>
    <w:basedOn w:val="AnnexNoTitle"/>
    <w:next w:val="Normal"/>
    <w:rsid w:val="00244027"/>
  </w:style>
  <w:style w:type="paragraph" w:customStyle="1" w:styleId="Tablefin">
    <w:name w:val="Table_fin"/>
    <w:basedOn w:val="Normal"/>
    <w:next w:val="Normal"/>
    <w:rsid w:val="00244027"/>
    <w:pPr>
      <w:spacing w:before="0"/>
    </w:pPr>
    <w:rPr>
      <w:sz w:val="20"/>
      <w:lang w:val="en-GB"/>
    </w:rPr>
  </w:style>
  <w:style w:type="paragraph" w:customStyle="1" w:styleId="Tablehead">
    <w:name w:val="Table_head"/>
    <w:basedOn w:val="Normal"/>
    <w:next w:val="Normal"/>
    <w:rsid w:val="0024402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24402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244027"/>
    <w:pPr>
      <w:keepNext/>
      <w:spacing w:before="360" w:after="120"/>
      <w:jc w:val="center"/>
    </w:pPr>
  </w:style>
  <w:style w:type="character" w:customStyle="1" w:styleId="TableNo0">
    <w:name w:val="Table_No Знак"/>
    <w:link w:val="TableNo"/>
    <w:locked/>
    <w:rsid w:val="00C770FE"/>
    <w:rPr>
      <w:sz w:val="24"/>
      <w:lang w:val="fr-FR" w:eastAsia="en-US"/>
    </w:rPr>
  </w:style>
  <w:style w:type="paragraph" w:customStyle="1" w:styleId="Tabletext">
    <w:name w:val="Table_text"/>
    <w:basedOn w:val="Normal"/>
    <w:link w:val="TabletextChar"/>
    <w:rsid w:val="0024402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locked/>
    <w:rsid w:val="00C770FE"/>
    <w:rPr>
      <w:sz w:val="22"/>
      <w:lang w:val="fr-FR" w:eastAsia="en-US"/>
    </w:rPr>
  </w:style>
  <w:style w:type="paragraph" w:customStyle="1" w:styleId="Equation">
    <w:name w:val="Equation"/>
    <w:basedOn w:val="Normal"/>
    <w:link w:val="EquationChar"/>
    <w:rsid w:val="00244027"/>
    <w:pPr>
      <w:tabs>
        <w:tab w:val="clear" w:pos="1191"/>
        <w:tab w:val="clear" w:pos="1588"/>
        <w:tab w:val="clear" w:pos="1985"/>
        <w:tab w:val="center" w:pos="4820"/>
        <w:tab w:val="right" w:pos="9639"/>
      </w:tabs>
    </w:pPr>
  </w:style>
  <w:style w:type="character" w:customStyle="1" w:styleId="EquationChar">
    <w:name w:val="Equation Char"/>
    <w:link w:val="Equation"/>
    <w:locked/>
    <w:rsid w:val="00C770FE"/>
    <w:rPr>
      <w:sz w:val="24"/>
      <w:lang w:val="fr-FR" w:eastAsia="en-US"/>
    </w:rPr>
  </w:style>
  <w:style w:type="paragraph" w:customStyle="1" w:styleId="Equationlegend">
    <w:name w:val="Equation_legend"/>
    <w:basedOn w:val="NormalIndent"/>
    <w:rsid w:val="0024402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44027"/>
    <w:pPr>
      <w:ind w:left="794"/>
    </w:pPr>
  </w:style>
  <w:style w:type="paragraph" w:customStyle="1" w:styleId="Figurelegend">
    <w:name w:val="Figure_legend"/>
    <w:basedOn w:val="Normal"/>
    <w:rsid w:val="0024402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244027"/>
    <w:pPr>
      <w:keepNext/>
      <w:keepLines/>
      <w:spacing w:before="480" w:after="80"/>
      <w:jc w:val="center"/>
    </w:pPr>
    <w:rPr>
      <w:caps/>
      <w:sz w:val="18"/>
    </w:rPr>
  </w:style>
  <w:style w:type="paragraph" w:customStyle="1" w:styleId="Figuretitle">
    <w:name w:val="Figure_title"/>
    <w:basedOn w:val="Normal"/>
    <w:next w:val="Figure"/>
    <w:link w:val="FiguretitleChar"/>
    <w:rsid w:val="00244027"/>
    <w:pPr>
      <w:keepNext/>
      <w:spacing w:before="0" w:after="120"/>
      <w:jc w:val="center"/>
    </w:pPr>
    <w:rPr>
      <w:rFonts w:ascii="Times New Roman Bold" w:hAnsi="Times New Roman Bold"/>
      <w:b/>
      <w:sz w:val="18"/>
    </w:rPr>
  </w:style>
  <w:style w:type="paragraph" w:customStyle="1" w:styleId="Figure">
    <w:name w:val="Figure"/>
    <w:basedOn w:val="FigureNo"/>
    <w:next w:val="Normal"/>
    <w:rsid w:val="00244027"/>
    <w:pPr>
      <w:keepNext w:val="0"/>
      <w:spacing w:before="0" w:after="240"/>
    </w:pPr>
  </w:style>
  <w:style w:type="character" w:customStyle="1" w:styleId="FiguretitleChar">
    <w:name w:val="Figure_title Char"/>
    <w:link w:val="Figuretitle"/>
    <w:locked/>
    <w:rsid w:val="00C770FE"/>
    <w:rPr>
      <w:rFonts w:ascii="Times New Roman Bold" w:hAnsi="Times New Roman Bold"/>
      <w:b/>
      <w:sz w:val="18"/>
      <w:lang w:val="fr-FR" w:eastAsia="en-US"/>
    </w:rPr>
  </w:style>
  <w:style w:type="character" w:customStyle="1" w:styleId="FigureNoChar">
    <w:name w:val="Figure_No Char"/>
    <w:link w:val="FigureNo"/>
    <w:locked/>
    <w:rsid w:val="00C770FE"/>
    <w:rPr>
      <w:caps/>
      <w:sz w:val="18"/>
      <w:lang w:val="fr-FR" w:eastAsia="en-US"/>
    </w:rPr>
  </w:style>
  <w:style w:type="paragraph" w:customStyle="1" w:styleId="tocpart">
    <w:name w:val="tocpart"/>
    <w:basedOn w:val="Normal"/>
    <w:rsid w:val="0024402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44027"/>
    <w:pPr>
      <w:keepNext/>
      <w:keepLines/>
      <w:spacing w:before="480"/>
      <w:jc w:val="center"/>
    </w:pPr>
    <w:rPr>
      <w:sz w:val="28"/>
    </w:rPr>
  </w:style>
  <w:style w:type="paragraph" w:customStyle="1" w:styleId="Arttitle">
    <w:name w:val="Art_title"/>
    <w:basedOn w:val="Normal"/>
    <w:next w:val="Normalaftertitle"/>
    <w:rsid w:val="00244027"/>
    <w:pPr>
      <w:keepNext/>
      <w:keepLines/>
      <w:spacing w:before="240"/>
      <w:jc w:val="center"/>
    </w:pPr>
    <w:rPr>
      <w:b/>
      <w:sz w:val="28"/>
    </w:rPr>
  </w:style>
  <w:style w:type="paragraph" w:customStyle="1" w:styleId="Blanc">
    <w:name w:val="Blanc"/>
    <w:basedOn w:val="Normal"/>
    <w:next w:val="Tabletext"/>
    <w:rsid w:val="0024402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24402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244027"/>
    <w:pPr>
      <w:keepNext/>
      <w:keepLines/>
      <w:spacing w:before="160"/>
      <w:ind w:left="794"/>
    </w:pPr>
    <w:rPr>
      <w:i/>
    </w:rPr>
  </w:style>
  <w:style w:type="paragraph" w:customStyle="1" w:styleId="ChapNo">
    <w:name w:val="Chap_No"/>
    <w:basedOn w:val="ArtNo"/>
    <w:next w:val="Chaptitle"/>
    <w:rsid w:val="00244027"/>
    <w:rPr>
      <w:b/>
    </w:rPr>
  </w:style>
  <w:style w:type="paragraph" w:customStyle="1" w:styleId="Chaptitle">
    <w:name w:val="Chap_title"/>
    <w:basedOn w:val="Arttitle"/>
    <w:next w:val="Normalaftertitle"/>
    <w:rsid w:val="00244027"/>
  </w:style>
  <w:style w:type="character" w:styleId="FootnoteReference">
    <w:name w:val="footnote reference"/>
    <w:basedOn w:val="DefaultParagraphFont"/>
    <w:semiHidden/>
    <w:rsid w:val="00244027"/>
    <w:rPr>
      <w:position w:val="6"/>
      <w:sz w:val="18"/>
    </w:rPr>
  </w:style>
  <w:style w:type="paragraph" w:styleId="FootnoteText">
    <w:name w:val="footnote text"/>
    <w:basedOn w:val="Normal"/>
    <w:link w:val="FootnoteTextChar"/>
    <w:semiHidden/>
    <w:rsid w:val="00244027"/>
    <w:pPr>
      <w:keepLines/>
      <w:tabs>
        <w:tab w:val="left" w:pos="255"/>
      </w:tabs>
      <w:ind w:left="255" w:hanging="255"/>
    </w:pPr>
    <w:rPr>
      <w:sz w:val="22"/>
    </w:rPr>
  </w:style>
  <w:style w:type="character" w:customStyle="1" w:styleId="FootnoteTextChar">
    <w:name w:val="Footnote Text Char"/>
    <w:basedOn w:val="DefaultParagraphFont"/>
    <w:link w:val="FootnoteText"/>
    <w:semiHidden/>
    <w:rsid w:val="00C770FE"/>
    <w:rPr>
      <w:sz w:val="22"/>
      <w:lang w:val="fr-FR" w:eastAsia="en-US"/>
    </w:rPr>
  </w:style>
  <w:style w:type="paragraph" w:styleId="Index1">
    <w:name w:val="index 1"/>
    <w:basedOn w:val="Normal"/>
    <w:next w:val="Normal"/>
    <w:semiHidden/>
    <w:rsid w:val="00244027"/>
  </w:style>
  <w:style w:type="paragraph" w:styleId="Index2">
    <w:name w:val="index 2"/>
    <w:basedOn w:val="Normal"/>
    <w:next w:val="Normal"/>
    <w:semiHidden/>
    <w:rsid w:val="00244027"/>
    <w:pPr>
      <w:ind w:left="283"/>
    </w:pPr>
  </w:style>
  <w:style w:type="paragraph" w:styleId="Index3">
    <w:name w:val="index 3"/>
    <w:basedOn w:val="Normal"/>
    <w:next w:val="Normal"/>
    <w:semiHidden/>
    <w:rsid w:val="00244027"/>
    <w:pPr>
      <w:ind w:left="566"/>
    </w:pPr>
  </w:style>
  <w:style w:type="paragraph" w:styleId="IndexHeading">
    <w:name w:val="index heading"/>
    <w:basedOn w:val="Normal"/>
    <w:next w:val="Index1"/>
    <w:semiHidden/>
    <w:rsid w:val="00244027"/>
  </w:style>
  <w:style w:type="paragraph" w:customStyle="1" w:styleId="Line">
    <w:name w:val="Line"/>
    <w:basedOn w:val="Normal"/>
    <w:next w:val="Normal"/>
    <w:rsid w:val="0024402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4402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44027"/>
  </w:style>
  <w:style w:type="paragraph" w:customStyle="1" w:styleId="Partref">
    <w:name w:val="Part_ref"/>
    <w:basedOn w:val="Normal"/>
    <w:next w:val="Normal"/>
    <w:rsid w:val="00244027"/>
    <w:pPr>
      <w:keepNext/>
      <w:keepLines/>
      <w:spacing w:after="280"/>
      <w:jc w:val="center"/>
    </w:pPr>
  </w:style>
  <w:style w:type="paragraph" w:customStyle="1" w:styleId="Parttitle">
    <w:name w:val="Part_title"/>
    <w:basedOn w:val="Normal"/>
    <w:next w:val="Normalaftertitle"/>
    <w:rsid w:val="0024402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44027"/>
  </w:style>
  <w:style w:type="paragraph" w:customStyle="1" w:styleId="QuestionNo">
    <w:name w:val="Question_No"/>
    <w:basedOn w:val="RecNo"/>
    <w:next w:val="Normal"/>
    <w:rsid w:val="00244027"/>
  </w:style>
  <w:style w:type="paragraph" w:customStyle="1" w:styleId="Questionref">
    <w:name w:val="Question_ref"/>
    <w:basedOn w:val="Recref"/>
    <w:next w:val="Questiondate"/>
    <w:rsid w:val="00244027"/>
  </w:style>
  <w:style w:type="paragraph" w:customStyle="1" w:styleId="Questiontitle">
    <w:name w:val="Question_title"/>
    <w:basedOn w:val="Normal"/>
    <w:next w:val="Questionref"/>
    <w:rsid w:val="00244027"/>
  </w:style>
  <w:style w:type="paragraph" w:customStyle="1" w:styleId="Reftext">
    <w:name w:val="Ref_text"/>
    <w:basedOn w:val="Normal"/>
    <w:rsid w:val="00244027"/>
    <w:pPr>
      <w:ind w:left="794" w:hanging="794"/>
    </w:pPr>
    <w:rPr>
      <w:sz w:val="22"/>
    </w:rPr>
  </w:style>
  <w:style w:type="paragraph" w:customStyle="1" w:styleId="Reftitle">
    <w:name w:val="Ref_title"/>
    <w:basedOn w:val="Normal"/>
    <w:next w:val="Reftext"/>
    <w:rsid w:val="0024402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44027"/>
  </w:style>
  <w:style w:type="paragraph" w:customStyle="1" w:styleId="RepNo">
    <w:name w:val="Rep_No"/>
    <w:basedOn w:val="RecNo"/>
    <w:next w:val="Reptitle"/>
    <w:rsid w:val="00244027"/>
  </w:style>
  <w:style w:type="paragraph" w:customStyle="1" w:styleId="Reptitle">
    <w:name w:val="Rep_title"/>
    <w:basedOn w:val="Rectitle"/>
    <w:next w:val="Repref"/>
    <w:rsid w:val="00244027"/>
  </w:style>
  <w:style w:type="paragraph" w:customStyle="1" w:styleId="Repref">
    <w:name w:val="Rep_ref"/>
    <w:basedOn w:val="Recref"/>
    <w:next w:val="Repdate"/>
    <w:rsid w:val="00244027"/>
  </w:style>
  <w:style w:type="paragraph" w:customStyle="1" w:styleId="Resdate">
    <w:name w:val="Res_date"/>
    <w:basedOn w:val="Recdate"/>
    <w:next w:val="Normalaftertitle"/>
    <w:rsid w:val="00244027"/>
  </w:style>
  <w:style w:type="paragraph" w:customStyle="1" w:styleId="ResNo">
    <w:name w:val="Res_No"/>
    <w:basedOn w:val="RecNo"/>
    <w:next w:val="Restitle"/>
    <w:rsid w:val="00244027"/>
  </w:style>
  <w:style w:type="paragraph" w:customStyle="1" w:styleId="Restitle">
    <w:name w:val="Res_title"/>
    <w:basedOn w:val="Normal"/>
    <w:next w:val="Resref"/>
    <w:rsid w:val="00244027"/>
    <w:pPr>
      <w:spacing w:before="240"/>
      <w:jc w:val="center"/>
    </w:pPr>
    <w:rPr>
      <w:b/>
      <w:sz w:val="28"/>
    </w:rPr>
  </w:style>
  <w:style w:type="paragraph" w:customStyle="1" w:styleId="Resref">
    <w:name w:val="Res_ref"/>
    <w:basedOn w:val="Recref"/>
    <w:next w:val="Resdate"/>
    <w:rsid w:val="00244027"/>
  </w:style>
  <w:style w:type="paragraph" w:customStyle="1" w:styleId="SectionNo">
    <w:name w:val="Section_No"/>
    <w:basedOn w:val="Normal"/>
    <w:next w:val="Normal"/>
    <w:rsid w:val="00244027"/>
  </w:style>
  <w:style w:type="paragraph" w:customStyle="1" w:styleId="Sectiontitle">
    <w:name w:val="Section_title"/>
    <w:basedOn w:val="Normal"/>
    <w:next w:val="Normalaftertitle"/>
    <w:rsid w:val="0024402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44027"/>
    <w:pPr>
      <w:tabs>
        <w:tab w:val="clear" w:pos="794"/>
        <w:tab w:val="clear" w:pos="1191"/>
        <w:tab w:val="clear" w:pos="1588"/>
        <w:tab w:val="clear" w:pos="1985"/>
        <w:tab w:val="right" w:pos="9611"/>
      </w:tabs>
    </w:pPr>
    <w:rPr>
      <w:i/>
    </w:rPr>
  </w:style>
  <w:style w:type="paragraph" w:styleId="TOC1">
    <w:name w:val="toc 1"/>
    <w:basedOn w:val="Normal"/>
    <w:semiHidden/>
    <w:rsid w:val="0024402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244027"/>
    <w:pPr>
      <w:tabs>
        <w:tab w:val="clear" w:pos="567"/>
        <w:tab w:val="left" w:pos="1276"/>
      </w:tabs>
      <w:spacing w:before="160"/>
      <w:ind w:left="1276" w:hanging="709"/>
    </w:pPr>
  </w:style>
  <w:style w:type="paragraph" w:styleId="TOC3">
    <w:name w:val="toc 3"/>
    <w:basedOn w:val="TOC2"/>
    <w:semiHidden/>
    <w:rsid w:val="00244027"/>
    <w:pPr>
      <w:tabs>
        <w:tab w:val="clear" w:pos="1276"/>
        <w:tab w:val="left" w:pos="2155"/>
      </w:tabs>
      <w:ind w:left="2155" w:hanging="879"/>
    </w:pPr>
  </w:style>
  <w:style w:type="paragraph" w:styleId="TOC4">
    <w:name w:val="toc 4"/>
    <w:basedOn w:val="TOC3"/>
    <w:semiHidden/>
    <w:rsid w:val="00244027"/>
    <w:pPr>
      <w:tabs>
        <w:tab w:val="left" w:pos="3261"/>
      </w:tabs>
      <w:spacing w:before="80"/>
      <w:ind w:left="3261" w:hanging="993"/>
    </w:pPr>
  </w:style>
  <w:style w:type="paragraph" w:styleId="TOC5">
    <w:name w:val="toc 5"/>
    <w:basedOn w:val="TOC4"/>
    <w:semiHidden/>
    <w:rsid w:val="00244027"/>
  </w:style>
  <w:style w:type="paragraph" w:styleId="TOC6">
    <w:name w:val="toc 6"/>
    <w:basedOn w:val="TOC4"/>
    <w:semiHidden/>
    <w:rsid w:val="00244027"/>
  </w:style>
  <w:style w:type="paragraph" w:styleId="TOC7">
    <w:name w:val="toc 7"/>
    <w:basedOn w:val="TOC4"/>
    <w:semiHidden/>
    <w:rsid w:val="00244027"/>
  </w:style>
  <w:style w:type="paragraph" w:styleId="TOC8">
    <w:name w:val="toc 8"/>
    <w:basedOn w:val="TOC4"/>
    <w:semiHidden/>
    <w:rsid w:val="00244027"/>
  </w:style>
  <w:style w:type="paragraph" w:customStyle="1" w:styleId="Annexref">
    <w:name w:val="Annex_ref"/>
    <w:basedOn w:val="Normal"/>
    <w:next w:val="Normalaftertitle"/>
    <w:rsid w:val="00244027"/>
    <w:pPr>
      <w:keepNext/>
      <w:keepLines/>
      <w:spacing w:after="280"/>
      <w:jc w:val="center"/>
    </w:pPr>
  </w:style>
  <w:style w:type="paragraph" w:customStyle="1" w:styleId="Appendixref">
    <w:name w:val="Appendix_ref"/>
    <w:basedOn w:val="Annexref"/>
    <w:next w:val="Normalaftertitle"/>
    <w:rsid w:val="00244027"/>
  </w:style>
  <w:style w:type="paragraph" w:customStyle="1" w:styleId="Tabletitle">
    <w:name w:val="Table_title"/>
    <w:basedOn w:val="Normal"/>
    <w:next w:val="Tablehead"/>
    <w:rsid w:val="00244027"/>
    <w:pPr>
      <w:keepNext/>
      <w:spacing w:before="0" w:after="120"/>
      <w:jc w:val="center"/>
    </w:pPr>
    <w:rPr>
      <w:b/>
    </w:rPr>
  </w:style>
  <w:style w:type="paragraph" w:customStyle="1" w:styleId="Summary">
    <w:name w:val="Summary"/>
    <w:basedOn w:val="Normal"/>
    <w:next w:val="Normalaftertitle"/>
    <w:rsid w:val="00244027"/>
    <w:pPr>
      <w:spacing w:after="480"/>
    </w:pPr>
    <w:rPr>
      <w:sz w:val="22"/>
      <w:lang w:val="es-ES_tradnl"/>
    </w:rPr>
  </w:style>
  <w:style w:type="paragraph" w:customStyle="1" w:styleId="TableLegendNote">
    <w:name w:val="Table_Legend_Note"/>
    <w:basedOn w:val="Tablelegend"/>
    <w:next w:val="Tablelegend"/>
    <w:rsid w:val="00244027"/>
    <w:pPr>
      <w:ind w:left="-85" w:firstLine="0"/>
    </w:pPr>
    <w:rPr>
      <w:lang w:val="en-US"/>
    </w:rPr>
  </w:style>
  <w:style w:type="character" w:styleId="Hyperlink">
    <w:name w:val="Hyperlink"/>
    <w:rsid w:val="00C770FE"/>
    <w:rPr>
      <w:color w:val="0000FF"/>
      <w:u w:val="single"/>
    </w:rPr>
  </w:style>
  <w:style w:type="paragraph" w:customStyle="1" w:styleId="headingb0">
    <w:name w:val="heading_b"/>
    <w:basedOn w:val="Heading3"/>
    <w:next w:val="Normal"/>
    <w:rsid w:val="00C770FE"/>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4402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244027"/>
    <w:pPr>
      <w:keepNext/>
      <w:keepLines/>
      <w:spacing w:before="480"/>
      <w:ind w:left="794" w:hanging="794"/>
      <w:outlineLvl w:val="0"/>
    </w:pPr>
    <w:rPr>
      <w:b/>
    </w:rPr>
  </w:style>
  <w:style w:type="paragraph" w:styleId="Heading2">
    <w:name w:val="heading 2"/>
    <w:basedOn w:val="Heading1"/>
    <w:next w:val="Normal"/>
    <w:link w:val="Heading2Char"/>
    <w:qFormat/>
    <w:rsid w:val="00244027"/>
    <w:pPr>
      <w:spacing w:before="320"/>
      <w:outlineLvl w:val="1"/>
    </w:pPr>
  </w:style>
  <w:style w:type="paragraph" w:styleId="Heading3">
    <w:name w:val="heading 3"/>
    <w:basedOn w:val="Heading1"/>
    <w:next w:val="Normal"/>
    <w:link w:val="Heading3Char"/>
    <w:qFormat/>
    <w:rsid w:val="00244027"/>
    <w:pPr>
      <w:spacing w:before="200"/>
      <w:outlineLvl w:val="2"/>
    </w:pPr>
  </w:style>
  <w:style w:type="paragraph" w:styleId="Heading4">
    <w:name w:val="heading 4"/>
    <w:basedOn w:val="Heading3"/>
    <w:next w:val="Normal"/>
    <w:link w:val="Heading4Char"/>
    <w:qFormat/>
    <w:rsid w:val="00244027"/>
    <w:pPr>
      <w:tabs>
        <w:tab w:val="clear" w:pos="794"/>
        <w:tab w:val="left" w:pos="992"/>
      </w:tabs>
      <w:ind w:left="992" w:hanging="992"/>
      <w:outlineLvl w:val="3"/>
    </w:pPr>
  </w:style>
  <w:style w:type="paragraph" w:styleId="Heading5">
    <w:name w:val="heading 5"/>
    <w:basedOn w:val="Heading4"/>
    <w:next w:val="Normal"/>
    <w:link w:val="Heading5Char"/>
    <w:qFormat/>
    <w:rsid w:val="00244027"/>
    <w:pPr>
      <w:outlineLvl w:val="4"/>
    </w:pPr>
  </w:style>
  <w:style w:type="paragraph" w:styleId="Heading6">
    <w:name w:val="heading 6"/>
    <w:basedOn w:val="Heading4"/>
    <w:next w:val="Normal"/>
    <w:link w:val="Heading6Char"/>
    <w:qFormat/>
    <w:rsid w:val="00244027"/>
    <w:pPr>
      <w:tabs>
        <w:tab w:val="clear" w:pos="992"/>
        <w:tab w:val="clear" w:pos="1191"/>
      </w:tabs>
      <w:ind w:left="1588" w:hanging="1588"/>
      <w:outlineLvl w:val="5"/>
    </w:pPr>
  </w:style>
  <w:style w:type="paragraph" w:styleId="Heading7">
    <w:name w:val="heading 7"/>
    <w:basedOn w:val="Heading6"/>
    <w:next w:val="Normal"/>
    <w:link w:val="Heading7Char"/>
    <w:qFormat/>
    <w:rsid w:val="00244027"/>
    <w:pPr>
      <w:outlineLvl w:val="6"/>
    </w:pPr>
  </w:style>
  <w:style w:type="paragraph" w:styleId="Heading8">
    <w:name w:val="heading 8"/>
    <w:basedOn w:val="Heading6"/>
    <w:next w:val="Normal"/>
    <w:link w:val="Heading8Char"/>
    <w:qFormat/>
    <w:rsid w:val="00244027"/>
    <w:pPr>
      <w:outlineLvl w:val="7"/>
    </w:pPr>
  </w:style>
  <w:style w:type="paragraph" w:styleId="Heading9">
    <w:name w:val="heading 9"/>
    <w:basedOn w:val="Heading6"/>
    <w:next w:val="Normal"/>
    <w:link w:val="Heading9Char"/>
    <w:qFormat/>
    <w:rsid w:val="0024402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770FE"/>
    <w:rPr>
      <w:b/>
      <w:sz w:val="24"/>
      <w:lang w:val="fr-FR" w:eastAsia="en-US"/>
    </w:rPr>
  </w:style>
  <w:style w:type="character" w:customStyle="1" w:styleId="Heading2Char">
    <w:name w:val="Heading 2 Char"/>
    <w:basedOn w:val="DefaultParagraphFont"/>
    <w:link w:val="Heading2"/>
    <w:rsid w:val="00C770FE"/>
    <w:rPr>
      <w:b/>
      <w:sz w:val="24"/>
      <w:lang w:val="fr-FR" w:eastAsia="en-US"/>
    </w:rPr>
  </w:style>
  <w:style w:type="character" w:customStyle="1" w:styleId="Heading3Char">
    <w:name w:val="Heading 3 Char"/>
    <w:basedOn w:val="DefaultParagraphFont"/>
    <w:link w:val="Heading3"/>
    <w:rsid w:val="00C770FE"/>
    <w:rPr>
      <w:b/>
      <w:sz w:val="24"/>
      <w:lang w:val="fr-FR" w:eastAsia="en-US"/>
    </w:rPr>
  </w:style>
  <w:style w:type="character" w:customStyle="1" w:styleId="Heading4Char">
    <w:name w:val="Heading 4 Char"/>
    <w:basedOn w:val="DefaultParagraphFont"/>
    <w:link w:val="Heading4"/>
    <w:rsid w:val="00C770FE"/>
    <w:rPr>
      <w:b/>
      <w:sz w:val="24"/>
      <w:lang w:val="fr-FR" w:eastAsia="en-US"/>
    </w:rPr>
  </w:style>
  <w:style w:type="character" w:customStyle="1" w:styleId="Heading5Char">
    <w:name w:val="Heading 5 Char"/>
    <w:basedOn w:val="DefaultParagraphFont"/>
    <w:link w:val="Heading5"/>
    <w:rsid w:val="00C770FE"/>
    <w:rPr>
      <w:b/>
      <w:sz w:val="24"/>
      <w:lang w:val="fr-FR" w:eastAsia="en-US"/>
    </w:rPr>
  </w:style>
  <w:style w:type="character" w:customStyle="1" w:styleId="Heading6Char">
    <w:name w:val="Heading 6 Char"/>
    <w:basedOn w:val="DefaultParagraphFont"/>
    <w:link w:val="Heading6"/>
    <w:rsid w:val="00C770FE"/>
    <w:rPr>
      <w:b/>
      <w:sz w:val="24"/>
      <w:lang w:val="fr-FR" w:eastAsia="en-US"/>
    </w:rPr>
  </w:style>
  <w:style w:type="character" w:customStyle="1" w:styleId="Heading7Char">
    <w:name w:val="Heading 7 Char"/>
    <w:basedOn w:val="DefaultParagraphFont"/>
    <w:link w:val="Heading7"/>
    <w:rsid w:val="00C770FE"/>
    <w:rPr>
      <w:b/>
      <w:sz w:val="24"/>
      <w:lang w:val="fr-FR" w:eastAsia="en-US"/>
    </w:rPr>
  </w:style>
  <w:style w:type="character" w:customStyle="1" w:styleId="Heading8Char">
    <w:name w:val="Heading 8 Char"/>
    <w:basedOn w:val="DefaultParagraphFont"/>
    <w:link w:val="Heading8"/>
    <w:rsid w:val="00C770FE"/>
    <w:rPr>
      <w:b/>
      <w:sz w:val="24"/>
      <w:lang w:val="fr-FR" w:eastAsia="en-US"/>
    </w:rPr>
  </w:style>
  <w:style w:type="character" w:customStyle="1" w:styleId="Heading9Char">
    <w:name w:val="Heading 9 Char"/>
    <w:basedOn w:val="DefaultParagraphFont"/>
    <w:link w:val="Heading9"/>
    <w:rsid w:val="00C770FE"/>
    <w:rPr>
      <w:b/>
      <w:sz w:val="24"/>
      <w:lang w:val="fr-FR" w:eastAsia="en-US"/>
    </w:rPr>
  </w:style>
  <w:style w:type="paragraph" w:styleId="Header">
    <w:name w:val="header"/>
    <w:basedOn w:val="Normal"/>
    <w:link w:val="HeaderChar"/>
    <w:rsid w:val="00244027"/>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C770FE"/>
    <w:rPr>
      <w:sz w:val="24"/>
      <w:lang w:val="fr-FR" w:eastAsia="en-US"/>
    </w:rPr>
  </w:style>
  <w:style w:type="paragraph" w:styleId="Footer">
    <w:name w:val="footer"/>
    <w:basedOn w:val="Normal"/>
    <w:link w:val="FooterChar"/>
    <w:rsid w:val="00244027"/>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C770FE"/>
    <w:rPr>
      <w:noProof/>
      <w:sz w:val="18"/>
      <w:lang w:val="fr-FR" w:eastAsia="en-US"/>
    </w:rPr>
  </w:style>
  <w:style w:type="character" w:styleId="PageNumber">
    <w:name w:val="page number"/>
    <w:basedOn w:val="DefaultParagraphFont"/>
    <w:rsid w:val="00244027"/>
  </w:style>
  <w:style w:type="paragraph" w:customStyle="1" w:styleId="Headingb">
    <w:name w:val="Heading_b"/>
    <w:basedOn w:val="Heading3"/>
    <w:next w:val="Normal"/>
    <w:rsid w:val="00244027"/>
    <w:pPr>
      <w:spacing w:before="160"/>
      <w:ind w:left="0" w:firstLine="0"/>
      <w:outlineLvl w:val="9"/>
    </w:pPr>
  </w:style>
  <w:style w:type="paragraph" w:customStyle="1" w:styleId="Headingi">
    <w:name w:val="Heading_i"/>
    <w:basedOn w:val="Heading3"/>
    <w:next w:val="Normal"/>
    <w:rsid w:val="00244027"/>
    <w:pPr>
      <w:spacing w:before="160"/>
      <w:ind w:left="0" w:firstLine="0"/>
    </w:pPr>
    <w:rPr>
      <w:b w:val="0"/>
      <w:i/>
    </w:rPr>
  </w:style>
  <w:style w:type="character" w:customStyle="1" w:styleId="href">
    <w:name w:val="href"/>
    <w:basedOn w:val="DefaultParagraphFont"/>
    <w:rsid w:val="00244027"/>
  </w:style>
  <w:style w:type="paragraph" w:customStyle="1" w:styleId="enumlev1">
    <w:name w:val="enumlev1"/>
    <w:basedOn w:val="Normal"/>
    <w:rsid w:val="00244027"/>
    <w:pPr>
      <w:spacing w:before="80"/>
      <w:ind w:left="794" w:hanging="794"/>
    </w:pPr>
  </w:style>
  <w:style w:type="paragraph" w:customStyle="1" w:styleId="enumlev2">
    <w:name w:val="enumlev2"/>
    <w:basedOn w:val="enumlev1"/>
    <w:rsid w:val="00244027"/>
    <w:pPr>
      <w:ind w:left="1191" w:hanging="397"/>
    </w:pPr>
  </w:style>
  <w:style w:type="paragraph" w:customStyle="1" w:styleId="enumlev3">
    <w:name w:val="enumlev3"/>
    <w:basedOn w:val="enumlev2"/>
    <w:rsid w:val="00244027"/>
    <w:pPr>
      <w:ind w:left="1588"/>
    </w:pPr>
  </w:style>
  <w:style w:type="paragraph" w:customStyle="1" w:styleId="Normalaftertitle">
    <w:name w:val="Normal_after_title"/>
    <w:basedOn w:val="Normal"/>
    <w:next w:val="Normal"/>
    <w:rsid w:val="00244027"/>
    <w:pPr>
      <w:spacing w:before="320"/>
    </w:pPr>
  </w:style>
  <w:style w:type="paragraph" w:customStyle="1" w:styleId="Note">
    <w:name w:val="Note"/>
    <w:basedOn w:val="Normal"/>
    <w:rsid w:val="00244027"/>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244027"/>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244027"/>
    <w:pPr>
      <w:keepNext/>
      <w:keepLines/>
      <w:spacing w:before="240"/>
      <w:jc w:val="center"/>
    </w:pPr>
    <w:rPr>
      <w:b/>
      <w:sz w:val="28"/>
    </w:rPr>
  </w:style>
  <w:style w:type="paragraph" w:customStyle="1" w:styleId="Recref">
    <w:name w:val="Rec_ref"/>
    <w:basedOn w:val="Normal"/>
    <w:next w:val="Recdate"/>
    <w:rsid w:val="00244027"/>
    <w:pPr>
      <w:jc w:val="center"/>
    </w:pPr>
  </w:style>
  <w:style w:type="paragraph" w:customStyle="1" w:styleId="Recdate">
    <w:name w:val="Rec_date"/>
    <w:basedOn w:val="Recref"/>
    <w:next w:val="Normalaftertitle"/>
    <w:rsid w:val="00244027"/>
    <w:pPr>
      <w:jc w:val="right"/>
    </w:pPr>
  </w:style>
  <w:style w:type="paragraph" w:customStyle="1" w:styleId="HeadingSum">
    <w:name w:val="Heading_Sum"/>
    <w:basedOn w:val="Headingb"/>
    <w:next w:val="Normal"/>
    <w:rsid w:val="00244027"/>
    <w:pPr>
      <w:spacing w:before="240"/>
    </w:pPr>
    <w:rPr>
      <w:sz w:val="22"/>
      <w:lang w:val="es-ES_tradnl"/>
    </w:rPr>
  </w:style>
  <w:style w:type="paragraph" w:customStyle="1" w:styleId="AnnexNoTitle">
    <w:name w:val="Annex_NoTitle"/>
    <w:basedOn w:val="Normal"/>
    <w:next w:val="Normalaftertitle"/>
    <w:rsid w:val="00244027"/>
    <w:pPr>
      <w:keepNext/>
      <w:keepLines/>
      <w:spacing w:before="480" w:after="80"/>
      <w:jc w:val="center"/>
    </w:pPr>
    <w:rPr>
      <w:b/>
      <w:sz w:val="28"/>
    </w:rPr>
  </w:style>
  <w:style w:type="paragraph" w:customStyle="1" w:styleId="AppendixNoTitle">
    <w:name w:val="Appendix_NoTitle"/>
    <w:basedOn w:val="AnnexNoTitle"/>
    <w:next w:val="Normal"/>
    <w:rsid w:val="00244027"/>
  </w:style>
  <w:style w:type="paragraph" w:customStyle="1" w:styleId="Tablefin">
    <w:name w:val="Table_fin"/>
    <w:basedOn w:val="Normal"/>
    <w:next w:val="Normal"/>
    <w:rsid w:val="00244027"/>
    <w:pPr>
      <w:spacing w:before="0"/>
    </w:pPr>
    <w:rPr>
      <w:sz w:val="20"/>
      <w:lang w:val="en-GB"/>
    </w:rPr>
  </w:style>
  <w:style w:type="paragraph" w:customStyle="1" w:styleId="Tablehead">
    <w:name w:val="Table_head"/>
    <w:basedOn w:val="Normal"/>
    <w:next w:val="Normal"/>
    <w:rsid w:val="0024402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24402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244027"/>
    <w:pPr>
      <w:keepNext/>
      <w:spacing w:before="360" w:after="120"/>
      <w:jc w:val="center"/>
    </w:pPr>
  </w:style>
  <w:style w:type="character" w:customStyle="1" w:styleId="TableNo0">
    <w:name w:val="Table_No Знак"/>
    <w:link w:val="TableNo"/>
    <w:locked/>
    <w:rsid w:val="00C770FE"/>
    <w:rPr>
      <w:sz w:val="24"/>
      <w:lang w:val="fr-FR" w:eastAsia="en-US"/>
    </w:rPr>
  </w:style>
  <w:style w:type="paragraph" w:customStyle="1" w:styleId="Tabletext">
    <w:name w:val="Table_text"/>
    <w:basedOn w:val="Normal"/>
    <w:link w:val="TabletextChar"/>
    <w:rsid w:val="0024402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locked/>
    <w:rsid w:val="00C770FE"/>
    <w:rPr>
      <w:sz w:val="22"/>
      <w:lang w:val="fr-FR" w:eastAsia="en-US"/>
    </w:rPr>
  </w:style>
  <w:style w:type="paragraph" w:customStyle="1" w:styleId="Equation">
    <w:name w:val="Equation"/>
    <w:basedOn w:val="Normal"/>
    <w:link w:val="EquationChar"/>
    <w:rsid w:val="00244027"/>
    <w:pPr>
      <w:tabs>
        <w:tab w:val="clear" w:pos="1191"/>
        <w:tab w:val="clear" w:pos="1588"/>
        <w:tab w:val="clear" w:pos="1985"/>
        <w:tab w:val="center" w:pos="4820"/>
        <w:tab w:val="right" w:pos="9639"/>
      </w:tabs>
    </w:pPr>
  </w:style>
  <w:style w:type="character" w:customStyle="1" w:styleId="EquationChar">
    <w:name w:val="Equation Char"/>
    <w:link w:val="Equation"/>
    <w:locked/>
    <w:rsid w:val="00C770FE"/>
    <w:rPr>
      <w:sz w:val="24"/>
      <w:lang w:val="fr-FR" w:eastAsia="en-US"/>
    </w:rPr>
  </w:style>
  <w:style w:type="paragraph" w:customStyle="1" w:styleId="Equationlegend">
    <w:name w:val="Equation_legend"/>
    <w:basedOn w:val="NormalIndent"/>
    <w:rsid w:val="0024402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44027"/>
    <w:pPr>
      <w:ind w:left="794"/>
    </w:pPr>
  </w:style>
  <w:style w:type="paragraph" w:customStyle="1" w:styleId="Figurelegend">
    <w:name w:val="Figure_legend"/>
    <w:basedOn w:val="Normal"/>
    <w:rsid w:val="0024402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244027"/>
    <w:pPr>
      <w:keepNext/>
      <w:keepLines/>
      <w:spacing w:before="480" w:after="80"/>
      <w:jc w:val="center"/>
    </w:pPr>
    <w:rPr>
      <w:caps/>
      <w:sz w:val="18"/>
    </w:rPr>
  </w:style>
  <w:style w:type="paragraph" w:customStyle="1" w:styleId="Figuretitle">
    <w:name w:val="Figure_title"/>
    <w:basedOn w:val="Normal"/>
    <w:next w:val="Figure"/>
    <w:link w:val="FiguretitleChar"/>
    <w:rsid w:val="00244027"/>
    <w:pPr>
      <w:keepNext/>
      <w:spacing w:before="0" w:after="120"/>
      <w:jc w:val="center"/>
    </w:pPr>
    <w:rPr>
      <w:rFonts w:ascii="Times New Roman Bold" w:hAnsi="Times New Roman Bold"/>
      <w:b/>
      <w:sz w:val="18"/>
    </w:rPr>
  </w:style>
  <w:style w:type="paragraph" w:customStyle="1" w:styleId="Figure">
    <w:name w:val="Figure"/>
    <w:basedOn w:val="FigureNo"/>
    <w:next w:val="Normal"/>
    <w:rsid w:val="00244027"/>
    <w:pPr>
      <w:keepNext w:val="0"/>
      <w:spacing w:before="0" w:after="240"/>
    </w:pPr>
  </w:style>
  <w:style w:type="character" w:customStyle="1" w:styleId="FiguretitleChar">
    <w:name w:val="Figure_title Char"/>
    <w:link w:val="Figuretitle"/>
    <w:locked/>
    <w:rsid w:val="00C770FE"/>
    <w:rPr>
      <w:rFonts w:ascii="Times New Roman Bold" w:hAnsi="Times New Roman Bold"/>
      <w:b/>
      <w:sz w:val="18"/>
      <w:lang w:val="fr-FR" w:eastAsia="en-US"/>
    </w:rPr>
  </w:style>
  <w:style w:type="character" w:customStyle="1" w:styleId="FigureNoChar">
    <w:name w:val="Figure_No Char"/>
    <w:link w:val="FigureNo"/>
    <w:locked/>
    <w:rsid w:val="00C770FE"/>
    <w:rPr>
      <w:caps/>
      <w:sz w:val="18"/>
      <w:lang w:val="fr-FR" w:eastAsia="en-US"/>
    </w:rPr>
  </w:style>
  <w:style w:type="paragraph" w:customStyle="1" w:styleId="tocpart">
    <w:name w:val="tocpart"/>
    <w:basedOn w:val="Normal"/>
    <w:rsid w:val="0024402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44027"/>
    <w:pPr>
      <w:keepNext/>
      <w:keepLines/>
      <w:spacing w:before="480"/>
      <w:jc w:val="center"/>
    </w:pPr>
    <w:rPr>
      <w:sz w:val="28"/>
    </w:rPr>
  </w:style>
  <w:style w:type="paragraph" w:customStyle="1" w:styleId="Arttitle">
    <w:name w:val="Art_title"/>
    <w:basedOn w:val="Normal"/>
    <w:next w:val="Normalaftertitle"/>
    <w:rsid w:val="00244027"/>
    <w:pPr>
      <w:keepNext/>
      <w:keepLines/>
      <w:spacing w:before="240"/>
      <w:jc w:val="center"/>
    </w:pPr>
    <w:rPr>
      <w:b/>
      <w:sz w:val="28"/>
    </w:rPr>
  </w:style>
  <w:style w:type="paragraph" w:customStyle="1" w:styleId="Blanc">
    <w:name w:val="Blanc"/>
    <w:basedOn w:val="Normal"/>
    <w:next w:val="Tabletext"/>
    <w:rsid w:val="0024402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24402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244027"/>
    <w:pPr>
      <w:keepNext/>
      <w:keepLines/>
      <w:spacing w:before="160"/>
      <w:ind w:left="794"/>
    </w:pPr>
    <w:rPr>
      <w:i/>
    </w:rPr>
  </w:style>
  <w:style w:type="paragraph" w:customStyle="1" w:styleId="ChapNo">
    <w:name w:val="Chap_No"/>
    <w:basedOn w:val="ArtNo"/>
    <w:next w:val="Chaptitle"/>
    <w:rsid w:val="00244027"/>
    <w:rPr>
      <w:b/>
    </w:rPr>
  </w:style>
  <w:style w:type="paragraph" w:customStyle="1" w:styleId="Chaptitle">
    <w:name w:val="Chap_title"/>
    <w:basedOn w:val="Arttitle"/>
    <w:next w:val="Normalaftertitle"/>
    <w:rsid w:val="00244027"/>
  </w:style>
  <w:style w:type="character" w:styleId="FootnoteReference">
    <w:name w:val="footnote reference"/>
    <w:basedOn w:val="DefaultParagraphFont"/>
    <w:semiHidden/>
    <w:rsid w:val="00244027"/>
    <w:rPr>
      <w:position w:val="6"/>
      <w:sz w:val="18"/>
    </w:rPr>
  </w:style>
  <w:style w:type="paragraph" w:styleId="FootnoteText">
    <w:name w:val="footnote text"/>
    <w:basedOn w:val="Normal"/>
    <w:link w:val="FootnoteTextChar"/>
    <w:semiHidden/>
    <w:rsid w:val="00244027"/>
    <w:pPr>
      <w:keepLines/>
      <w:tabs>
        <w:tab w:val="left" w:pos="255"/>
      </w:tabs>
      <w:ind w:left="255" w:hanging="255"/>
    </w:pPr>
    <w:rPr>
      <w:sz w:val="22"/>
    </w:rPr>
  </w:style>
  <w:style w:type="character" w:customStyle="1" w:styleId="FootnoteTextChar">
    <w:name w:val="Footnote Text Char"/>
    <w:basedOn w:val="DefaultParagraphFont"/>
    <w:link w:val="FootnoteText"/>
    <w:semiHidden/>
    <w:rsid w:val="00C770FE"/>
    <w:rPr>
      <w:sz w:val="22"/>
      <w:lang w:val="fr-FR" w:eastAsia="en-US"/>
    </w:rPr>
  </w:style>
  <w:style w:type="paragraph" w:styleId="Index1">
    <w:name w:val="index 1"/>
    <w:basedOn w:val="Normal"/>
    <w:next w:val="Normal"/>
    <w:semiHidden/>
    <w:rsid w:val="00244027"/>
  </w:style>
  <w:style w:type="paragraph" w:styleId="Index2">
    <w:name w:val="index 2"/>
    <w:basedOn w:val="Normal"/>
    <w:next w:val="Normal"/>
    <w:semiHidden/>
    <w:rsid w:val="00244027"/>
    <w:pPr>
      <w:ind w:left="283"/>
    </w:pPr>
  </w:style>
  <w:style w:type="paragraph" w:styleId="Index3">
    <w:name w:val="index 3"/>
    <w:basedOn w:val="Normal"/>
    <w:next w:val="Normal"/>
    <w:semiHidden/>
    <w:rsid w:val="00244027"/>
    <w:pPr>
      <w:ind w:left="566"/>
    </w:pPr>
  </w:style>
  <w:style w:type="paragraph" w:styleId="IndexHeading">
    <w:name w:val="index heading"/>
    <w:basedOn w:val="Normal"/>
    <w:next w:val="Index1"/>
    <w:semiHidden/>
    <w:rsid w:val="00244027"/>
  </w:style>
  <w:style w:type="paragraph" w:customStyle="1" w:styleId="Line">
    <w:name w:val="Line"/>
    <w:basedOn w:val="Normal"/>
    <w:next w:val="Normal"/>
    <w:rsid w:val="0024402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4402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44027"/>
  </w:style>
  <w:style w:type="paragraph" w:customStyle="1" w:styleId="Partref">
    <w:name w:val="Part_ref"/>
    <w:basedOn w:val="Normal"/>
    <w:next w:val="Normal"/>
    <w:rsid w:val="00244027"/>
    <w:pPr>
      <w:keepNext/>
      <w:keepLines/>
      <w:spacing w:after="280"/>
      <w:jc w:val="center"/>
    </w:pPr>
  </w:style>
  <w:style w:type="paragraph" w:customStyle="1" w:styleId="Parttitle">
    <w:name w:val="Part_title"/>
    <w:basedOn w:val="Normal"/>
    <w:next w:val="Normalaftertitle"/>
    <w:rsid w:val="0024402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44027"/>
  </w:style>
  <w:style w:type="paragraph" w:customStyle="1" w:styleId="QuestionNo">
    <w:name w:val="Question_No"/>
    <w:basedOn w:val="RecNo"/>
    <w:next w:val="Normal"/>
    <w:rsid w:val="00244027"/>
  </w:style>
  <w:style w:type="paragraph" w:customStyle="1" w:styleId="Questionref">
    <w:name w:val="Question_ref"/>
    <w:basedOn w:val="Recref"/>
    <w:next w:val="Questiondate"/>
    <w:rsid w:val="00244027"/>
  </w:style>
  <w:style w:type="paragraph" w:customStyle="1" w:styleId="Questiontitle">
    <w:name w:val="Question_title"/>
    <w:basedOn w:val="Normal"/>
    <w:next w:val="Questionref"/>
    <w:rsid w:val="00244027"/>
  </w:style>
  <w:style w:type="paragraph" w:customStyle="1" w:styleId="Reftext">
    <w:name w:val="Ref_text"/>
    <w:basedOn w:val="Normal"/>
    <w:rsid w:val="00244027"/>
    <w:pPr>
      <w:ind w:left="794" w:hanging="794"/>
    </w:pPr>
    <w:rPr>
      <w:sz w:val="22"/>
    </w:rPr>
  </w:style>
  <w:style w:type="paragraph" w:customStyle="1" w:styleId="Reftitle">
    <w:name w:val="Ref_title"/>
    <w:basedOn w:val="Normal"/>
    <w:next w:val="Reftext"/>
    <w:rsid w:val="0024402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44027"/>
  </w:style>
  <w:style w:type="paragraph" w:customStyle="1" w:styleId="RepNo">
    <w:name w:val="Rep_No"/>
    <w:basedOn w:val="RecNo"/>
    <w:next w:val="Reptitle"/>
    <w:rsid w:val="00244027"/>
  </w:style>
  <w:style w:type="paragraph" w:customStyle="1" w:styleId="Reptitle">
    <w:name w:val="Rep_title"/>
    <w:basedOn w:val="Rectitle"/>
    <w:next w:val="Repref"/>
    <w:rsid w:val="00244027"/>
  </w:style>
  <w:style w:type="paragraph" w:customStyle="1" w:styleId="Repref">
    <w:name w:val="Rep_ref"/>
    <w:basedOn w:val="Recref"/>
    <w:next w:val="Repdate"/>
    <w:rsid w:val="00244027"/>
  </w:style>
  <w:style w:type="paragraph" w:customStyle="1" w:styleId="Resdate">
    <w:name w:val="Res_date"/>
    <w:basedOn w:val="Recdate"/>
    <w:next w:val="Normalaftertitle"/>
    <w:rsid w:val="00244027"/>
  </w:style>
  <w:style w:type="paragraph" w:customStyle="1" w:styleId="ResNo">
    <w:name w:val="Res_No"/>
    <w:basedOn w:val="RecNo"/>
    <w:next w:val="Restitle"/>
    <w:rsid w:val="00244027"/>
  </w:style>
  <w:style w:type="paragraph" w:customStyle="1" w:styleId="Restitle">
    <w:name w:val="Res_title"/>
    <w:basedOn w:val="Normal"/>
    <w:next w:val="Resref"/>
    <w:rsid w:val="00244027"/>
    <w:pPr>
      <w:spacing w:before="240"/>
      <w:jc w:val="center"/>
    </w:pPr>
    <w:rPr>
      <w:b/>
      <w:sz w:val="28"/>
    </w:rPr>
  </w:style>
  <w:style w:type="paragraph" w:customStyle="1" w:styleId="Resref">
    <w:name w:val="Res_ref"/>
    <w:basedOn w:val="Recref"/>
    <w:next w:val="Resdate"/>
    <w:rsid w:val="00244027"/>
  </w:style>
  <w:style w:type="paragraph" w:customStyle="1" w:styleId="SectionNo">
    <w:name w:val="Section_No"/>
    <w:basedOn w:val="Normal"/>
    <w:next w:val="Normal"/>
    <w:rsid w:val="00244027"/>
  </w:style>
  <w:style w:type="paragraph" w:customStyle="1" w:styleId="Sectiontitle">
    <w:name w:val="Section_title"/>
    <w:basedOn w:val="Normal"/>
    <w:next w:val="Normalaftertitle"/>
    <w:rsid w:val="0024402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44027"/>
    <w:pPr>
      <w:tabs>
        <w:tab w:val="clear" w:pos="794"/>
        <w:tab w:val="clear" w:pos="1191"/>
        <w:tab w:val="clear" w:pos="1588"/>
        <w:tab w:val="clear" w:pos="1985"/>
        <w:tab w:val="right" w:pos="9611"/>
      </w:tabs>
    </w:pPr>
    <w:rPr>
      <w:i/>
    </w:rPr>
  </w:style>
  <w:style w:type="paragraph" w:styleId="TOC1">
    <w:name w:val="toc 1"/>
    <w:basedOn w:val="Normal"/>
    <w:semiHidden/>
    <w:rsid w:val="0024402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244027"/>
    <w:pPr>
      <w:tabs>
        <w:tab w:val="clear" w:pos="567"/>
        <w:tab w:val="left" w:pos="1276"/>
      </w:tabs>
      <w:spacing w:before="160"/>
      <w:ind w:left="1276" w:hanging="709"/>
    </w:pPr>
  </w:style>
  <w:style w:type="paragraph" w:styleId="TOC3">
    <w:name w:val="toc 3"/>
    <w:basedOn w:val="TOC2"/>
    <w:semiHidden/>
    <w:rsid w:val="00244027"/>
    <w:pPr>
      <w:tabs>
        <w:tab w:val="clear" w:pos="1276"/>
        <w:tab w:val="left" w:pos="2155"/>
      </w:tabs>
      <w:ind w:left="2155" w:hanging="879"/>
    </w:pPr>
  </w:style>
  <w:style w:type="paragraph" w:styleId="TOC4">
    <w:name w:val="toc 4"/>
    <w:basedOn w:val="TOC3"/>
    <w:semiHidden/>
    <w:rsid w:val="00244027"/>
    <w:pPr>
      <w:tabs>
        <w:tab w:val="left" w:pos="3261"/>
      </w:tabs>
      <w:spacing w:before="80"/>
      <w:ind w:left="3261" w:hanging="993"/>
    </w:pPr>
  </w:style>
  <w:style w:type="paragraph" w:styleId="TOC5">
    <w:name w:val="toc 5"/>
    <w:basedOn w:val="TOC4"/>
    <w:semiHidden/>
    <w:rsid w:val="00244027"/>
  </w:style>
  <w:style w:type="paragraph" w:styleId="TOC6">
    <w:name w:val="toc 6"/>
    <w:basedOn w:val="TOC4"/>
    <w:semiHidden/>
    <w:rsid w:val="00244027"/>
  </w:style>
  <w:style w:type="paragraph" w:styleId="TOC7">
    <w:name w:val="toc 7"/>
    <w:basedOn w:val="TOC4"/>
    <w:semiHidden/>
    <w:rsid w:val="00244027"/>
  </w:style>
  <w:style w:type="paragraph" w:styleId="TOC8">
    <w:name w:val="toc 8"/>
    <w:basedOn w:val="TOC4"/>
    <w:semiHidden/>
    <w:rsid w:val="00244027"/>
  </w:style>
  <w:style w:type="paragraph" w:customStyle="1" w:styleId="Annexref">
    <w:name w:val="Annex_ref"/>
    <w:basedOn w:val="Normal"/>
    <w:next w:val="Normalaftertitle"/>
    <w:rsid w:val="00244027"/>
    <w:pPr>
      <w:keepNext/>
      <w:keepLines/>
      <w:spacing w:after="280"/>
      <w:jc w:val="center"/>
    </w:pPr>
  </w:style>
  <w:style w:type="paragraph" w:customStyle="1" w:styleId="Appendixref">
    <w:name w:val="Appendix_ref"/>
    <w:basedOn w:val="Annexref"/>
    <w:next w:val="Normalaftertitle"/>
    <w:rsid w:val="00244027"/>
  </w:style>
  <w:style w:type="paragraph" w:customStyle="1" w:styleId="Tabletitle">
    <w:name w:val="Table_title"/>
    <w:basedOn w:val="Normal"/>
    <w:next w:val="Tablehead"/>
    <w:rsid w:val="00244027"/>
    <w:pPr>
      <w:keepNext/>
      <w:spacing w:before="0" w:after="120"/>
      <w:jc w:val="center"/>
    </w:pPr>
    <w:rPr>
      <w:b/>
    </w:rPr>
  </w:style>
  <w:style w:type="paragraph" w:customStyle="1" w:styleId="Summary">
    <w:name w:val="Summary"/>
    <w:basedOn w:val="Normal"/>
    <w:next w:val="Normalaftertitle"/>
    <w:rsid w:val="00244027"/>
    <w:pPr>
      <w:spacing w:after="480"/>
    </w:pPr>
    <w:rPr>
      <w:sz w:val="22"/>
      <w:lang w:val="es-ES_tradnl"/>
    </w:rPr>
  </w:style>
  <w:style w:type="paragraph" w:customStyle="1" w:styleId="TableLegendNote">
    <w:name w:val="Table_Legend_Note"/>
    <w:basedOn w:val="Tablelegend"/>
    <w:next w:val="Tablelegend"/>
    <w:rsid w:val="00244027"/>
    <w:pPr>
      <w:ind w:left="-85" w:firstLine="0"/>
    </w:pPr>
    <w:rPr>
      <w:lang w:val="en-US"/>
    </w:rPr>
  </w:style>
  <w:style w:type="character" w:styleId="Hyperlink">
    <w:name w:val="Hyperlink"/>
    <w:rsid w:val="00C770FE"/>
    <w:rPr>
      <w:color w:val="0000FF"/>
      <w:u w:val="single"/>
    </w:rPr>
  </w:style>
  <w:style w:type="paragraph" w:customStyle="1" w:styleId="headingb0">
    <w:name w:val="heading_b"/>
    <w:basedOn w:val="Heading3"/>
    <w:next w:val="Normal"/>
    <w:rsid w:val="00C770FE"/>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4.wmf"/><Relationship Id="rId21" Type="http://schemas.openxmlformats.org/officeDocument/2006/relationships/image" Target="media/image5.wmf"/><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image" Target="media/image18.wmf"/><Relationship Id="rId50" Type="http://schemas.openxmlformats.org/officeDocument/2006/relationships/oleObject" Target="embeddings/oleObject18.bin"/><Relationship Id="rId55"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hyperlink" Target="http://www.itu.int/publ/R-REC/es" TargetMode="Externa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12.bin"/><Relationship Id="rId46" Type="http://schemas.openxmlformats.org/officeDocument/2006/relationships/oleObject" Target="embeddings/oleObject16.bin"/><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9.wmf"/><Relationship Id="rId41" Type="http://schemas.openxmlformats.org/officeDocument/2006/relationships/image" Target="media/image15.wmf"/><Relationship Id="rId54" Type="http://schemas.openxmlformats.org/officeDocument/2006/relationships/oleObject" Target="embeddings/oleObject20.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s"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3.wmf"/><Relationship Id="rId40" Type="http://schemas.openxmlformats.org/officeDocument/2006/relationships/oleObject" Target="embeddings/oleObject13.bin"/><Relationship Id="rId45" Type="http://schemas.openxmlformats.org/officeDocument/2006/relationships/image" Target="media/image17.wmf"/><Relationship Id="rId53" Type="http://schemas.openxmlformats.org/officeDocument/2006/relationships/image" Target="media/image21.wmf"/><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19.wmf"/><Relationship Id="rId57"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4.wmf"/><Relationship Id="rId31" Type="http://schemas.openxmlformats.org/officeDocument/2006/relationships/image" Target="media/image10.wmf"/><Relationship Id="rId44" Type="http://schemas.openxmlformats.org/officeDocument/2006/relationships/oleObject" Target="embeddings/oleObject15.bin"/><Relationship Id="rId52" Type="http://schemas.openxmlformats.org/officeDocument/2006/relationships/oleObject" Target="embeddings/oleObject19.bin"/><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image" Target="media/image12.wmf"/><Relationship Id="rId43" Type="http://schemas.openxmlformats.org/officeDocument/2006/relationships/image" Target="media/image16.wmf"/><Relationship Id="rId48" Type="http://schemas.openxmlformats.org/officeDocument/2006/relationships/oleObject" Target="embeddings/oleObject17.bin"/><Relationship Id="rId56" Type="http://schemas.openxmlformats.org/officeDocument/2006/relationships/header" Target="header6.xml"/><Relationship Id="rId8" Type="http://schemas.openxmlformats.org/officeDocument/2006/relationships/endnotes" Target="endnotes.xml"/><Relationship Id="rId51" Type="http://schemas.openxmlformats.org/officeDocument/2006/relationships/image" Target="media/image20.wmf"/><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1A8F7E-2126-4F23-A55A-C5DB127EF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553</TotalTime>
  <Pages>24</Pages>
  <Words>11142</Words>
  <Characters>57617</Characters>
  <Application>Microsoft Office Word</Application>
  <DocSecurity>0</DocSecurity>
  <Lines>1516</Lines>
  <Paragraphs>1403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67356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Julia Marquez, Mari Carmen</dc:creator>
  <cp:keywords/>
  <dc:description/>
  <cp:lastModifiedBy>martiner</cp:lastModifiedBy>
  <cp:revision>25</cp:revision>
  <cp:lastPrinted>2011-06-02T08:40:00Z</cp:lastPrinted>
  <dcterms:created xsi:type="dcterms:W3CDTF">2011-05-15T17:37:00Z</dcterms:created>
  <dcterms:modified xsi:type="dcterms:W3CDTF">2011-06-02T12:42:00Z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