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tbl>
      <w:tblPr>
        <w:tblW w:w="10089" w:type="dxa"/>
        <w:tblLook w:val="01E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3B60B7">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4173A">
              <w:rPr>
                <w:rFonts w:ascii="Tahoma" w:hAnsi="Tahoma" w:cs="Tahoma"/>
                <w:b/>
                <w:bCs/>
                <w:iCs/>
                <w:color w:val="243285"/>
                <w:sz w:val="36"/>
                <w:szCs w:val="36"/>
                <w:lang w:val="en-US"/>
              </w:rPr>
              <w:t>S</w:t>
            </w:r>
            <w:r w:rsidR="00A84B4E">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w:t>
            </w:r>
            <w:r w:rsidR="003B60B7">
              <w:rPr>
                <w:rFonts w:ascii="Tahoma" w:hAnsi="Tahoma" w:cs="Tahoma"/>
                <w:b/>
                <w:bCs/>
                <w:iCs/>
                <w:color w:val="243285"/>
                <w:sz w:val="36"/>
                <w:szCs w:val="36"/>
                <w:lang w:val="en-US"/>
              </w:rPr>
              <w:t>1572</w:t>
            </w:r>
          </w:p>
          <w:p w:rsidR="00FE79FE" w:rsidRPr="001511A6" w:rsidRDefault="00FE79FE" w:rsidP="003B60B7">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813271">
              <w:rPr>
                <w:rFonts w:ascii="Tahoma" w:hAnsi="Tahoma" w:cs="Tahoma"/>
                <w:b/>
                <w:bCs/>
                <w:iCs/>
                <w:color w:val="243285"/>
                <w:szCs w:val="24"/>
                <w:lang w:val="en-US"/>
              </w:rPr>
              <w:t>0</w:t>
            </w:r>
            <w:r w:rsidR="003B60B7">
              <w:rPr>
                <w:rFonts w:ascii="Tahoma" w:hAnsi="Tahoma" w:cs="Tahoma"/>
                <w:b/>
                <w:bCs/>
                <w:iCs/>
                <w:color w:val="243285"/>
                <w:szCs w:val="24"/>
                <w:lang w:val="en-US"/>
              </w:rPr>
              <w:t>5</w:t>
            </w:r>
            <w:r w:rsidRPr="001511A6">
              <w:rPr>
                <w:rFonts w:ascii="Tahoma" w:hAnsi="Tahoma" w:cs="Tahoma"/>
                <w:b/>
                <w:bCs/>
                <w:iCs/>
                <w:color w:val="243285"/>
                <w:szCs w:val="24"/>
                <w:lang w:val="en-US"/>
              </w:rPr>
              <w:t>/</w:t>
            </w:r>
            <w:r w:rsidR="00813271">
              <w:rPr>
                <w:rFonts w:ascii="Tahoma" w:hAnsi="Tahoma" w:cs="Tahoma"/>
                <w:b/>
                <w:bCs/>
                <w:iCs/>
                <w:color w:val="243285"/>
                <w:szCs w:val="24"/>
                <w:lang w:val="en-US"/>
              </w:rPr>
              <w:t>2</w:t>
            </w:r>
            <w:r w:rsidR="003B60B7">
              <w:rPr>
                <w:rFonts w:ascii="Tahoma" w:hAnsi="Tahoma" w:cs="Tahoma"/>
                <w:b/>
                <w:bCs/>
                <w:iCs/>
                <w:color w:val="243285"/>
                <w:szCs w:val="24"/>
                <w:lang w:val="en-US"/>
              </w:rPr>
              <w:t>002</w:t>
            </w:r>
            <w:r w:rsidRPr="001511A6">
              <w:rPr>
                <w:rFonts w:ascii="Tahoma" w:hAnsi="Tahoma" w:cs="Tahoma"/>
                <w:b/>
                <w:bCs/>
                <w:iCs/>
                <w:color w:val="243285"/>
                <w:szCs w:val="24"/>
                <w:lang w:val="en-US"/>
              </w:rPr>
              <w:t>)</w:t>
            </w:r>
          </w:p>
        </w:tc>
      </w:tr>
      <w:tr w:rsidR="00FE79FE" w:rsidRPr="001511A6">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3B60B7" w:rsidP="003B60B7">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Methodology to evaluate the impact</w:t>
            </w:r>
            <w:r>
              <w:rPr>
                <w:rFonts w:ascii="Tahoma" w:hAnsi="Tahoma" w:cs="Tahoma"/>
                <w:b/>
                <w:bCs/>
                <w:iCs/>
                <w:color w:val="243285"/>
                <w:sz w:val="44"/>
                <w:szCs w:val="44"/>
                <w:lang w:val="en-US"/>
              </w:rPr>
              <w:br/>
              <w:t>of space-to-Earth interference from the fixed-satellite service to the fixed service</w:t>
            </w:r>
            <w:r>
              <w:rPr>
                <w:rFonts w:ascii="Tahoma" w:hAnsi="Tahoma" w:cs="Tahoma"/>
                <w:b/>
                <w:bCs/>
                <w:iCs/>
                <w:color w:val="243285"/>
                <w:sz w:val="44"/>
                <w:szCs w:val="44"/>
                <w:lang w:val="en-US"/>
              </w:rPr>
              <w:br/>
              <w:t>in frequency bands where precipitation</w:t>
            </w:r>
            <w:r>
              <w:rPr>
                <w:rFonts w:ascii="Tahoma" w:hAnsi="Tahoma" w:cs="Tahoma"/>
                <w:b/>
                <w:bCs/>
                <w:iCs/>
                <w:color w:val="243285"/>
                <w:sz w:val="44"/>
                <w:szCs w:val="44"/>
                <w:lang w:val="en-US"/>
              </w:rPr>
              <w:br/>
              <w:t>is the predominant fade mechanism</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1F38BB" w:rsidRDefault="001F38BB" w:rsidP="001F38BB">
            <w:pPr>
              <w:spacing w:before="80" w:line="280" w:lineRule="exact"/>
              <w:ind w:right="640"/>
              <w:rPr>
                <w:rFonts w:ascii="Tahoma" w:hAnsi="Tahoma" w:cs="Tahoma"/>
                <w:b/>
                <w:bCs/>
                <w:iCs/>
                <w:color w:val="243285"/>
                <w:sz w:val="32"/>
                <w:szCs w:val="32"/>
                <w:lang w:val="es-ES_tradnl"/>
              </w:rPr>
            </w:pPr>
          </w:p>
          <w:p w:rsidR="001F38BB" w:rsidRDefault="001F38BB" w:rsidP="001F38BB">
            <w:pPr>
              <w:spacing w:before="80" w:line="280" w:lineRule="exact"/>
              <w:ind w:right="640"/>
              <w:rPr>
                <w:rFonts w:ascii="Tahoma" w:hAnsi="Tahoma" w:cs="Tahoma"/>
                <w:b/>
                <w:bCs/>
                <w:iCs/>
                <w:color w:val="243285"/>
                <w:sz w:val="32"/>
                <w:szCs w:val="32"/>
                <w:lang w:val="es-ES_tradnl"/>
              </w:rPr>
            </w:pPr>
          </w:p>
          <w:p w:rsidR="001F38BB" w:rsidRDefault="001F38BB" w:rsidP="001F38BB">
            <w:pPr>
              <w:spacing w:before="80" w:after="180" w:line="360" w:lineRule="exact"/>
              <w:ind w:right="720"/>
              <w:rPr>
                <w:rFonts w:ascii="Tahoma" w:hAnsi="Tahoma" w:cs="Tahoma"/>
                <w:b/>
                <w:bCs/>
                <w:iCs/>
                <w:color w:val="243285"/>
                <w:sz w:val="36"/>
                <w:szCs w:val="36"/>
                <w:lang w:val="es-ES_tradnl"/>
              </w:rPr>
            </w:pPr>
          </w:p>
          <w:p w:rsidR="00013002" w:rsidRPr="001511A6" w:rsidRDefault="00A4173A" w:rsidP="00A84B4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w:t>
            </w:r>
            <w:r w:rsidR="00A84B4E">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A84B4E" w:rsidRDefault="00A84B4E" w:rsidP="00A84B4E">
            <w:pPr>
              <w:spacing w:before="80" w:line="360" w:lineRule="exact"/>
              <w:jc w:val="right"/>
              <w:rPr>
                <w:rFonts w:ascii="Tahoma" w:hAnsi="Tahoma" w:cs="Tahoma"/>
                <w:b/>
                <w:bCs/>
                <w:iCs/>
                <w:color w:val="243285"/>
                <w:sz w:val="36"/>
                <w:szCs w:val="36"/>
                <w:lang w:val="en-US"/>
              </w:rPr>
            </w:pPr>
            <w:r w:rsidRPr="00A84B4E">
              <w:rPr>
                <w:rFonts w:ascii="Tahoma" w:hAnsi="Tahoma" w:cs="Tahoma"/>
                <w:b/>
                <w:bCs/>
                <w:iCs/>
                <w:color w:val="243285"/>
                <w:sz w:val="36"/>
                <w:szCs w:val="36"/>
                <w:lang w:val="en-US"/>
              </w:rPr>
              <w:t>Frequency sharing and coordination between</w:t>
            </w:r>
          </w:p>
          <w:p w:rsidR="00FE79FE" w:rsidRPr="001511A6" w:rsidRDefault="00A84B4E" w:rsidP="00FE79FE">
            <w:pPr>
              <w:spacing w:before="80" w:line="360" w:lineRule="exact"/>
              <w:jc w:val="right"/>
              <w:rPr>
                <w:rFonts w:ascii="Tahoma" w:hAnsi="Tahoma" w:cs="Tahoma"/>
                <w:b/>
                <w:bCs/>
                <w:iCs/>
                <w:color w:val="243285"/>
                <w:sz w:val="32"/>
                <w:szCs w:val="32"/>
                <w:lang w:val="en-US"/>
              </w:rPr>
            </w:pPr>
            <w:r w:rsidRPr="00A84B4E">
              <w:rPr>
                <w:rFonts w:ascii="Tahoma" w:hAnsi="Tahoma" w:cs="Tahoma"/>
                <w:b/>
                <w:bCs/>
                <w:iCs/>
                <w:color w:val="243285"/>
                <w:sz w:val="36"/>
                <w:szCs w:val="36"/>
                <w:lang w:val="en-US"/>
              </w:rPr>
              <w:t>fixed-satellite and fixed service systems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EE04B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A971A1" w:rsidRPr="00036EE3" w:rsidTr="00A4173A">
        <w:tc>
          <w:tcPr>
            <w:tcW w:w="1140" w:type="dxa"/>
            <w:tcBorders>
              <w:bottom w:val="nil"/>
            </w:tcBorders>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Borders>
              <w:bottom w:val="nil"/>
            </w:tcBorders>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A4173A" w:rsidTr="00A4173A">
        <w:tc>
          <w:tcPr>
            <w:tcW w:w="1140" w:type="dxa"/>
            <w:tcBorders>
              <w:top w:val="nil"/>
              <w:bottom w:val="nil"/>
            </w:tcBorders>
            <w:shd w:val="clear" w:color="auto" w:fill="auto"/>
          </w:tcPr>
          <w:p w:rsidR="00A31928" w:rsidRPr="00A4173A" w:rsidRDefault="00A31928" w:rsidP="006B1D2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A31928" w:rsidRPr="00A4173A"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rsidTr="00A84B4E">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A84B4E" w:rsidTr="00A84B4E">
        <w:tc>
          <w:tcPr>
            <w:tcW w:w="1140" w:type="dxa"/>
            <w:tcBorders>
              <w:top w:val="nil"/>
              <w:bottom w:val="nil"/>
            </w:tcBorders>
            <w:shd w:val="clear" w:color="auto" w:fill="auto"/>
          </w:tcPr>
          <w:p w:rsidR="00A31928" w:rsidRPr="00A84B4E" w:rsidRDefault="00A31928" w:rsidP="006B1D2B">
            <w:pPr>
              <w:spacing w:before="30" w:after="30"/>
              <w:ind w:left="57"/>
              <w:jc w:val="left"/>
              <w:rPr>
                <w:b/>
                <w:bCs/>
                <w:sz w:val="20"/>
                <w:lang w:val="en-US"/>
              </w:rPr>
            </w:pPr>
            <w:r w:rsidRPr="00A84B4E">
              <w:rPr>
                <w:b/>
                <w:bCs/>
                <w:sz w:val="20"/>
                <w:lang w:val="en-US"/>
              </w:rPr>
              <w:t>SA</w:t>
            </w:r>
          </w:p>
        </w:tc>
        <w:tc>
          <w:tcPr>
            <w:tcW w:w="8220" w:type="dxa"/>
            <w:tcBorders>
              <w:top w:val="nil"/>
              <w:bottom w:val="nil"/>
            </w:tcBorders>
            <w:shd w:val="clear" w:color="auto" w:fill="auto"/>
          </w:tcPr>
          <w:p w:rsidR="00A31928" w:rsidRPr="00A84B4E" w:rsidRDefault="00A31928" w:rsidP="006B1D2B">
            <w:pPr>
              <w:spacing w:before="30" w:after="30"/>
              <w:jc w:val="left"/>
              <w:rPr>
                <w:sz w:val="20"/>
                <w:lang w:val="en-US"/>
              </w:rPr>
            </w:pPr>
            <w:r w:rsidRPr="00A84B4E">
              <w:rPr>
                <w:sz w:val="20"/>
                <w:lang w:val="en-US"/>
              </w:rPr>
              <w:t>Space applications and meteorology</w:t>
            </w:r>
          </w:p>
        </w:tc>
      </w:tr>
      <w:tr w:rsidR="00A31928" w:rsidRPr="00A84B4E" w:rsidTr="00A84B4E">
        <w:tc>
          <w:tcPr>
            <w:tcW w:w="1140" w:type="dxa"/>
            <w:tcBorders>
              <w:top w:val="nil"/>
              <w:bottom w:val="nil"/>
            </w:tcBorders>
            <w:shd w:val="clear" w:color="auto" w:fill="F3F3F3"/>
          </w:tcPr>
          <w:p w:rsidR="00A31928" w:rsidRPr="00A84B4E" w:rsidRDefault="00A31928" w:rsidP="006B1D2B">
            <w:pPr>
              <w:spacing w:before="30" w:after="30"/>
              <w:ind w:left="57"/>
              <w:jc w:val="left"/>
              <w:rPr>
                <w:b/>
                <w:bCs/>
                <w:color w:val="000080"/>
                <w:sz w:val="20"/>
                <w:lang w:val="en-US"/>
              </w:rPr>
            </w:pPr>
            <w:r w:rsidRPr="00A84B4E">
              <w:rPr>
                <w:b/>
                <w:bCs/>
                <w:color w:val="000080"/>
                <w:sz w:val="20"/>
                <w:lang w:val="en-US"/>
              </w:rPr>
              <w:t>SF</w:t>
            </w:r>
          </w:p>
        </w:tc>
        <w:tc>
          <w:tcPr>
            <w:tcW w:w="8220" w:type="dxa"/>
            <w:tcBorders>
              <w:top w:val="nil"/>
              <w:bottom w:val="nil"/>
            </w:tcBorders>
            <w:shd w:val="clear" w:color="auto" w:fill="F3F3F3"/>
          </w:tcPr>
          <w:p w:rsidR="00A31928" w:rsidRPr="00A84B4E" w:rsidRDefault="00A31928" w:rsidP="006B1D2B">
            <w:pPr>
              <w:spacing w:before="30" w:after="30"/>
              <w:jc w:val="left"/>
              <w:rPr>
                <w:b/>
                <w:bCs/>
                <w:color w:val="000080"/>
                <w:sz w:val="20"/>
                <w:lang w:val="en-US"/>
              </w:rPr>
            </w:pPr>
            <w:r w:rsidRPr="00A84B4E">
              <w:rPr>
                <w:b/>
                <w:bCs/>
                <w:color w:val="000080"/>
                <w:sz w:val="20"/>
                <w:lang w:val="en-US"/>
              </w:rPr>
              <w:t>Frequency sharing and coordination between fixed-satellite and fixed service systems</w:t>
            </w:r>
          </w:p>
        </w:tc>
      </w:tr>
      <w:tr w:rsidR="00A31928" w:rsidRPr="00036EE3" w:rsidTr="001B164E">
        <w:tc>
          <w:tcPr>
            <w:tcW w:w="1140" w:type="dxa"/>
            <w:tcBorders>
              <w:top w:val="nil"/>
              <w:bottom w:val="nil"/>
            </w:tcBorders>
            <w:shd w:val="clear" w:color="auto" w:fill="auto"/>
          </w:tcPr>
          <w:p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7B1357">
            <w:pPr>
              <w:jc w:val="center"/>
              <w:rPr>
                <w:sz w:val="22"/>
                <w:lang w:val="en-US"/>
              </w:rPr>
            </w:pPr>
          </w:p>
        </w:tc>
      </w:tr>
    </w:tbl>
    <w:p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7B1357">
      <w:pPr>
        <w:spacing w:before="0"/>
        <w:jc w:val="right"/>
        <w:rPr>
          <w:i/>
          <w:iCs/>
          <w:sz w:val="20"/>
          <w:lang w:val="en-US"/>
        </w:rPr>
      </w:pPr>
      <w:r w:rsidRPr="002F5199">
        <w:rPr>
          <w:i/>
          <w:iCs/>
          <w:sz w:val="20"/>
          <w:lang w:val="en-US"/>
        </w:rPr>
        <w:t>Electronic Publication</w:t>
      </w:r>
    </w:p>
    <w:p w:rsidR="002F5199" w:rsidRPr="002F5199" w:rsidRDefault="002F5199" w:rsidP="003E72E0">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3E72E0">
        <w:rPr>
          <w:sz w:val="20"/>
          <w:lang w:val="en-US"/>
        </w:rPr>
        <w:t>10</w:t>
      </w:r>
    </w:p>
    <w:p w:rsidR="00470E28" w:rsidRDefault="00470E28" w:rsidP="00906589">
      <w:pPr>
        <w:jc w:val="center"/>
        <w:rPr>
          <w:sz w:val="22"/>
          <w:lang w:val="en-US"/>
        </w:rPr>
      </w:pPr>
    </w:p>
    <w:p w:rsidR="00586EF8" w:rsidRPr="00470E28" w:rsidRDefault="00586EF8" w:rsidP="003E72E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3E72E0">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B60B7" w:rsidRPr="0016670D" w:rsidRDefault="003B60B7" w:rsidP="00974813">
      <w:pPr>
        <w:pStyle w:val="RecNo"/>
        <w:spacing w:before="0"/>
        <w:rPr>
          <w:lang w:val="en-GB"/>
        </w:rPr>
      </w:pPr>
      <w:bookmarkStart w:id="2" w:name="irecnoe"/>
      <w:bookmarkEnd w:id="2"/>
      <w:r>
        <w:rPr>
          <w:lang w:val="en-GB"/>
        </w:rPr>
        <w:lastRenderedPageBreak/>
        <w:t xml:space="preserve">RECOMMENDATION  </w:t>
      </w:r>
      <w:r>
        <w:rPr>
          <w:rStyle w:val="href"/>
          <w:lang w:val="en-GB"/>
        </w:rPr>
        <w:t>ITU-R  SF.1572</w:t>
      </w:r>
      <w:r w:rsidR="00974813">
        <w:rPr>
          <w:rStyle w:val="FootnoteReference"/>
          <w:lang w:val="en-GB"/>
        </w:rPr>
        <w:footnoteReference w:customMarkFollows="1" w:id="1"/>
        <w:t>*</w:t>
      </w:r>
      <w:r w:rsidR="0016670D" w:rsidRPr="0016670D">
        <w:rPr>
          <w:position w:val="8"/>
        </w:rPr>
        <w:t xml:space="preserve">, </w:t>
      </w:r>
      <w:r w:rsidR="0016670D">
        <w:rPr>
          <w:rStyle w:val="FootnoteReference"/>
        </w:rPr>
        <w:footnoteReference w:customMarkFollows="1" w:id="2"/>
        <w:t>**</w:t>
      </w:r>
    </w:p>
    <w:p w:rsidR="003B60B7" w:rsidRDefault="003B60B7" w:rsidP="003B60B7">
      <w:pPr>
        <w:pStyle w:val="Rectitle"/>
        <w:rPr>
          <w:lang w:val="en-US"/>
        </w:rPr>
      </w:pPr>
      <w:bookmarkStart w:id="3" w:name="Pre_title"/>
      <w:r>
        <w:rPr>
          <w:lang w:val="en-US"/>
        </w:rPr>
        <w:t xml:space="preserve">Methodology to evaluate the impact of space-to-Earth interference from </w:t>
      </w:r>
      <w:r>
        <w:rPr>
          <w:lang w:val="en-US"/>
        </w:rPr>
        <w:br/>
        <w:t xml:space="preserve">the fixed-satellite service to the fixed service in frequency bands </w:t>
      </w:r>
      <w:r>
        <w:rPr>
          <w:lang w:val="en-US"/>
        </w:rPr>
        <w:br/>
        <w:t>where precipitation is the predominant fade mechanism</w:t>
      </w:r>
      <w:bookmarkEnd w:id="3"/>
    </w:p>
    <w:p w:rsidR="003B60B7" w:rsidRDefault="003B60B7" w:rsidP="003B60B7">
      <w:pPr>
        <w:pStyle w:val="Recref"/>
        <w:rPr>
          <w:lang w:val="en-US"/>
        </w:rPr>
      </w:pPr>
      <w:bookmarkStart w:id="4" w:name="Related_Questions"/>
      <w:r>
        <w:rPr>
          <w:lang w:val="en-US"/>
        </w:rPr>
        <w:t>(Questions ITU-R 250/4 and ITU-R 217/9)</w:t>
      </w:r>
      <w:bookmarkEnd w:id="4"/>
    </w:p>
    <w:p w:rsidR="0016670D" w:rsidRDefault="0016670D" w:rsidP="003B60B7">
      <w:pPr>
        <w:pStyle w:val="Recdate"/>
        <w:rPr>
          <w:lang w:val="en-US"/>
        </w:rPr>
      </w:pPr>
      <w:bookmarkStart w:id="5" w:name="Revision_history"/>
    </w:p>
    <w:p w:rsidR="003B60B7" w:rsidRDefault="003B60B7" w:rsidP="003B60B7">
      <w:pPr>
        <w:pStyle w:val="Recdate"/>
        <w:rPr>
          <w:lang w:val="en-US"/>
        </w:rPr>
      </w:pPr>
      <w:r>
        <w:rPr>
          <w:lang w:val="en-US"/>
        </w:rPr>
        <w:t>(2002)</w:t>
      </w:r>
      <w:bookmarkEnd w:id="5"/>
    </w:p>
    <w:p w:rsidR="0016670D" w:rsidRDefault="0016670D" w:rsidP="0016670D">
      <w:pPr>
        <w:pStyle w:val="HeadingSum"/>
        <w:rPr>
          <w:lang w:val="en-GB"/>
        </w:rPr>
      </w:pPr>
      <w:r w:rsidRPr="0016670D">
        <w:rPr>
          <w:lang w:val="en-GB"/>
        </w:rPr>
        <w:t>Scope</w:t>
      </w:r>
    </w:p>
    <w:p w:rsidR="0016670D" w:rsidRPr="0016670D" w:rsidRDefault="0016670D" w:rsidP="0016670D">
      <w:pPr>
        <w:pStyle w:val="Summary"/>
      </w:pPr>
      <w:r w:rsidRPr="0016670D">
        <w:rPr>
          <w:bCs/>
          <w:lang w:val="en-GB"/>
        </w:rPr>
        <w:t>This Recommendation provides a methodology for assessing the effect of interference from GSO fixed</w:t>
      </w:r>
      <w:r w:rsidRPr="0016670D">
        <w:rPr>
          <w:bCs/>
          <w:lang w:val="en-GB"/>
        </w:rPr>
        <w:noBreakHyphen/>
        <w:t>satellite service satellites on the availability of fixed service systems in frequency bands where precipitation fading limits the availability of fixed service systems. The methodology is based on a carrier to noise-plus-interference power ratio criterion as it applies to the availability of fixed service systems, both point-to-point and point-to-multipoint, with parameters specified on a statistical basis. Flexibility in the specification of constant and/or statistically variable input parameters allows the consideration of many different examples of fixed service systems.</w:t>
      </w:r>
    </w:p>
    <w:p w:rsidR="003B60B7" w:rsidRDefault="003B60B7" w:rsidP="003B60B7">
      <w:pPr>
        <w:pStyle w:val="Normalaftertitle"/>
      </w:pPr>
      <w:r>
        <w:t>The ITU Radiocommunication Assembly,</w:t>
      </w:r>
    </w:p>
    <w:p w:rsidR="003B60B7" w:rsidRDefault="003B60B7" w:rsidP="003B60B7">
      <w:pPr>
        <w:pStyle w:val="Call"/>
        <w:rPr>
          <w:lang w:val="en-US"/>
        </w:rPr>
      </w:pPr>
      <w:r>
        <w:rPr>
          <w:lang w:val="en-US"/>
        </w:rPr>
        <w:t>considering</w:t>
      </w:r>
    </w:p>
    <w:p w:rsidR="003B60B7" w:rsidRDefault="003B60B7" w:rsidP="003B60B7">
      <w:pPr>
        <w:rPr>
          <w:lang w:val="en-US"/>
        </w:rPr>
      </w:pPr>
      <w:r>
        <w:rPr>
          <w:lang w:val="en-US"/>
        </w:rPr>
        <w:t>a)</w:t>
      </w:r>
      <w:r>
        <w:rPr>
          <w:lang w:val="en-US"/>
        </w:rPr>
        <w:tab/>
        <w:t>that emissions from space stations in the fixed-satellite service (FSS) operating in geo</w:t>
      </w:r>
      <w:r>
        <w:rPr>
          <w:lang w:val="en-US"/>
        </w:rPr>
        <w:softHyphen/>
        <w:t>stationary orbit (GSO) and sharing the same spectrum as the fixed service (FS) may produce interference in receiving stations of the FS;</w:t>
      </w:r>
    </w:p>
    <w:p w:rsidR="003B60B7" w:rsidRDefault="003B60B7" w:rsidP="003B60B7">
      <w:pPr>
        <w:rPr>
          <w:u w:val="single"/>
          <w:lang w:val="en-US"/>
        </w:rPr>
      </w:pPr>
      <w:r>
        <w:rPr>
          <w:lang w:val="en-US"/>
        </w:rPr>
        <w:t>b)</w:t>
      </w:r>
      <w:r>
        <w:rPr>
          <w:lang w:val="en-US"/>
        </w:rPr>
        <w:tab/>
        <w:t>results obtained using a statistical approach compared to a worst-case analysis may lead to a more efficient use of the spectrum than results from criteria developed using worst-case analysis;</w:t>
      </w:r>
    </w:p>
    <w:p w:rsidR="003B60B7" w:rsidRDefault="003B60B7" w:rsidP="003B60B7">
      <w:pPr>
        <w:rPr>
          <w:lang w:val="en-US"/>
        </w:rPr>
      </w:pPr>
      <w:r>
        <w:rPr>
          <w:lang w:val="en-US"/>
        </w:rPr>
        <w:t>c)</w:t>
      </w:r>
      <w:r>
        <w:rPr>
          <w:lang w:val="en-US"/>
        </w:rPr>
        <w:tab/>
        <w:t>that sharing methodologies should take into consideration the performance requirements and deployment characteristics of FS systems being used and planned for use in these frequency bands;</w:t>
      </w:r>
    </w:p>
    <w:p w:rsidR="003B60B7" w:rsidRDefault="003B60B7" w:rsidP="003B60B7">
      <w:pPr>
        <w:rPr>
          <w:lang w:val="en-US"/>
        </w:rPr>
      </w:pPr>
      <w:r>
        <w:rPr>
          <w:lang w:val="en-US"/>
        </w:rPr>
        <w:t>d)</w:t>
      </w:r>
      <w:r>
        <w:rPr>
          <w:lang w:val="en-US"/>
        </w:rPr>
        <w:tab/>
        <w:t xml:space="preserve">that in spectrum where precipitation is the predominant fade mechanism it is desirable to have an interference evaluation tool using </w:t>
      </w:r>
      <w:r>
        <w:rPr>
          <w:i/>
          <w:iCs/>
          <w:lang w:val="en-US"/>
        </w:rPr>
        <w:t>C</w:t>
      </w:r>
      <w:r>
        <w:rPr>
          <w:lang w:val="en-US"/>
        </w:rPr>
        <w:t>/</w:t>
      </w:r>
      <w:r>
        <w:rPr>
          <w:i/>
          <w:iCs/>
          <w:lang w:val="en-US"/>
        </w:rPr>
        <w:t>N</w:t>
      </w:r>
      <w:r>
        <w:rPr>
          <w:lang w:val="en-US"/>
        </w:rPr>
        <w:t xml:space="preserve">, </w:t>
      </w:r>
      <w:r>
        <w:rPr>
          <w:i/>
          <w:iCs/>
          <w:lang w:val="en-US"/>
        </w:rPr>
        <w:t>C</w:t>
      </w:r>
      <w:r>
        <w:rPr>
          <w:lang w:val="en-US"/>
        </w:rPr>
        <w:t>/</w:t>
      </w:r>
      <w:r>
        <w:rPr>
          <w:i/>
          <w:iCs/>
          <w:lang w:val="en-US"/>
        </w:rPr>
        <w:t>I</w:t>
      </w:r>
      <w:r>
        <w:rPr>
          <w:lang w:val="en-US"/>
        </w:rPr>
        <w:t xml:space="preserve"> and </w:t>
      </w:r>
      <w:r>
        <w:rPr>
          <w:i/>
          <w:iCs/>
          <w:lang w:val="en-US"/>
        </w:rPr>
        <w:t>C</w:t>
      </w:r>
      <w:r>
        <w:rPr>
          <w:lang w:val="en-US"/>
        </w:rPr>
        <w:t>/(</w:t>
      </w:r>
      <w:r>
        <w:rPr>
          <w:i/>
          <w:iCs/>
          <w:lang w:val="en-US"/>
        </w:rPr>
        <w:t>N</w:t>
      </w:r>
      <w:r>
        <w:rPr>
          <w:lang w:val="en-US"/>
        </w:rPr>
        <w:t> + </w:t>
      </w:r>
      <w:r>
        <w:rPr>
          <w:i/>
          <w:iCs/>
          <w:lang w:val="en-US"/>
        </w:rPr>
        <w:t>I</w:t>
      </w:r>
      <w:r>
        <w:rPr>
          <w:lang w:val="en-US"/>
        </w:rPr>
        <w:t>) statistics to determine impact on availability;</w:t>
      </w:r>
    </w:p>
    <w:p w:rsidR="003B60B7" w:rsidRDefault="003B60B7" w:rsidP="003B60B7">
      <w:pPr>
        <w:rPr>
          <w:lang w:val="en-US"/>
        </w:rPr>
      </w:pPr>
      <w:r>
        <w:rPr>
          <w:lang w:val="en-US"/>
        </w:rPr>
        <w:t>e)</w:t>
      </w:r>
      <w:r>
        <w:rPr>
          <w:lang w:val="en-US"/>
        </w:rPr>
        <w:tab/>
        <w:t>that such an interference evaluation tool may have application in bands above about 17 GHz to assist administrations in performing sharing studies,</w:t>
      </w:r>
    </w:p>
    <w:p w:rsidR="003B60B7" w:rsidRDefault="003B60B7" w:rsidP="003B60B7">
      <w:pPr>
        <w:pStyle w:val="Call"/>
        <w:rPr>
          <w:lang w:val="en-US"/>
        </w:rPr>
      </w:pPr>
      <w:r>
        <w:rPr>
          <w:lang w:val="en-US"/>
        </w:rPr>
        <w:t>recommends</w:t>
      </w:r>
    </w:p>
    <w:p w:rsidR="003B60B7" w:rsidRDefault="003B60B7" w:rsidP="003B60B7">
      <w:pPr>
        <w:rPr>
          <w:lang w:val="en-US"/>
        </w:rPr>
      </w:pPr>
      <w:r>
        <w:rPr>
          <w:b/>
          <w:bCs/>
          <w:lang w:val="en-US"/>
        </w:rPr>
        <w:t>1</w:t>
      </w:r>
      <w:r>
        <w:rPr>
          <w:lang w:val="en-US"/>
        </w:rPr>
        <w:tab/>
        <w:t>that the methodology as described in Annex 1 can be used for developing computer simulation tools which evaluate the impact of interference from FSS systems to digital FS systems operating in frequency bands above 17 GHz.</w:t>
      </w:r>
    </w:p>
    <w:p w:rsidR="003B60B7" w:rsidRDefault="003B60B7" w:rsidP="0016670D">
      <w:pPr>
        <w:pStyle w:val="AnnexNoTitle"/>
        <w:rPr>
          <w:lang w:val="en-US"/>
        </w:rPr>
      </w:pPr>
      <w:r>
        <w:rPr>
          <w:lang w:val="en-US"/>
        </w:rPr>
        <w:lastRenderedPageBreak/>
        <w:t>A</w:t>
      </w:r>
      <w:r w:rsidR="0016670D">
        <w:rPr>
          <w:lang w:val="en-US"/>
        </w:rPr>
        <w:t>nnex</w:t>
      </w:r>
      <w:r>
        <w:rPr>
          <w:lang w:val="en-US"/>
        </w:rPr>
        <w:t xml:space="preserve"> 1</w:t>
      </w:r>
    </w:p>
    <w:p w:rsidR="003B60B7" w:rsidRDefault="003B60B7" w:rsidP="003B60B7">
      <w:pPr>
        <w:pStyle w:val="Heading1"/>
        <w:rPr>
          <w:lang w:val="en-US"/>
        </w:rPr>
      </w:pPr>
      <w:r>
        <w:rPr>
          <w:lang w:val="en-US"/>
        </w:rPr>
        <w:t>1</w:t>
      </w:r>
      <w:r>
        <w:rPr>
          <w:lang w:val="en-US"/>
        </w:rPr>
        <w:tab/>
        <w:t>Introduction</w:t>
      </w:r>
    </w:p>
    <w:p w:rsidR="003B60B7" w:rsidRDefault="003B60B7" w:rsidP="003B60B7">
      <w:pPr>
        <w:rPr>
          <w:lang w:val="en-US"/>
        </w:rPr>
      </w:pPr>
      <w:r>
        <w:rPr>
          <w:lang w:val="en-US"/>
        </w:rPr>
        <w:t>The methodology described in this Annex provides a model for an analysis of all of the FS system parameters and local geoclimatic parameters of both point-to-point (P-P) and point-to-multipoint (P-MP) systems, which may contribute to the susceptibility of FS receivers to interfe</w:t>
      </w:r>
      <w:r>
        <w:rPr>
          <w:lang w:val="en-US"/>
        </w:rPr>
        <w:softHyphen/>
        <w:t xml:space="preserve">rence from FSS downlinks. </w:t>
      </w:r>
    </w:p>
    <w:p w:rsidR="003B60B7" w:rsidRDefault="003B60B7" w:rsidP="003B60B7">
      <w:pPr>
        <w:pStyle w:val="Heading2"/>
        <w:rPr>
          <w:lang w:val="en-US"/>
        </w:rPr>
      </w:pPr>
      <w:r>
        <w:rPr>
          <w:lang w:val="en-US"/>
        </w:rPr>
        <w:t>1.1</w:t>
      </w:r>
      <w:r>
        <w:rPr>
          <w:lang w:val="en-US"/>
        </w:rPr>
        <w:tab/>
        <w:t>Definitions</w:t>
      </w:r>
    </w:p>
    <w:p w:rsidR="003B60B7" w:rsidRDefault="003B60B7" w:rsidP="003B60B7">
      <w:pPr>
        <w:spacing w:line="280" w:lineRule="exact"/>
        <w:rPr>
          <w:lang w:val="en-US"/>
        </w:rPr>
      </w:pPr>
      <w:r>
        <w:rPr>
          <w:lang w:val="en-US"/>
        </w:rPr>
        <w:t xml:space="preserve">In the frequency bands where precipitation is the predominant fade mechanism, FS design objectives are determined by availability performance rather than error performance. For the purpose of this Recommendation, the term “designed availability” is considered based upon severely errored second (SES) threshold taking into account that in these frequency bands the percentage of events with consecutive SESs less than 10 s is negligible. Hereafter the designed availability for any FS link is estimated by the percentage of time in an average year that a receiver signal, </w:t>
      </w:r>
      <w:r>
        <w:rPr>
          <w:i/>
          <w:iCs/>
          <w:lang w:val="en-US"/>
        </w:rPr>
        <w:t>C</w:t>
      </w:r>
      <w:r>
        <w:rPr>
          <w:lang w:val="en-US"/>
        </w:rPr>
        <w:t>/</w:t>
      </w:r>
      <w:r>
        <w:rPr>
          <w:i/>
          <w:iCs/>
          <w:lang w:val="en-US"/>
        </w:rPr>
        <w:t>N</w:t>
      </w:r>
      <w:r>
        <w:rPr>
          <w:lang w:val="en-US"/>
        </w:rPr>
        <w:t xml:space="preserve">, falls below the threshold, </w:t>
      </w:r>
      <w:r>
        <w:rPr>
          <w:i/>
          <w:iCs/>
          <w:lang w:val="en-US"/>
        </w:rPr>
        <w:t>C</w:t>
      </w:r>
      <w:r>
        <w:rPr>
          <w:lang w:val="en-US"/>
        </w:rPr>
        <w:t>/</w:t>
      </w:r>
      <w:r>
        <w:rPr>
          <w:i/>
          <w:iCs/>
          <w:lang w:val="en-US"/>
        </w:rPr>
        <w:t>N</w:t>
      </w:r>
      <w:r>
        <w:rPr>
          <w:i/>
          <w:position w:val="-4"/>
          <w:sz w:val="20"/>
          <w:lang w:val="en-US"/>
        </w:rPr>
        <w:t>th</w:t>
      </w:r>
      <w:r>
        <w:rPr>
          <w:lang w:val="en-US"/>
        </w:rPr>
        <w:t xml:space="preserve">, which corresponds to SES events. Throughout this Annex, unavailability (100% – availability) is indicated by the symbol </w:t>
      </w:r>
      <w:r>
        <w:rPr>
          <w:i/>
          <w:lang w:val="en-US"/>
        </w:rPr>
        <w:t>p</w:t>
      </w:r>
      <w:r>
        <w:rPr>
          <w:i/>
          <w:position w:val="-4"/>
          <w:sz w:val="20"/>
          <w:lang w:val="en-US"/>
        </w:rPr>
        <w:t>D</w:t>
      </w:r>
      <w:r>
        <w:rPr>
          <w:lang w:val="en-US"/>
        </w:rPr>
        <w:t>(%).</w:t>
      </w:r>
    </w:p>
    <w:p w:rsidR="003B60B7" w:rsidRDefault="003B60B7" w:rsidP="003B60B7">
      <w:pPr>
        <w:spacing w:line="280" w:lineRule="exact"/>
        <w:rPr>
          <w:lang w:val="en-US"/>
        </w:rPr>
      </w:pPr>
      <w:r>
        <w:rPr>
          <w:i/>
          <w:iCs/>
          <w:lang w:val="en-US"/>
        </w:rPr>
        <w:t>Designed availability for P</w:t>
      </w:r>
      <w:r>
        <w:rPr>
          <w:i/>
          <w:iCs/>
          <w:lang w:val="en-US"/>
        </w:rPr>
        <w:noBreakHyphen/>
        <w:t>MP system</w:t>
      </w:r>
      <w:r>
        <w:rPr>
          <w:lang w:val="en-US"/>
        </w:rPr>
        <w:t xml:space="preserve"> – The design availability is the percentage of time in an average year that the carrier-to-total noise plus interference, </w:t>
      </w:r>
      <w:r>
        <w:rPr>
          <w:i/>
          <w:iCs/>
          <w:lang w:val="en-US"/>
        </w:rPr>
        <w:t>C</w:t>
      </w:r>
      <w:r>
        <w:rPr>
          <w:lang w:val="en-US"/>
        </w:rPr>
        <w:t>/(</w:t>
      </w:r>
      <w:r>
        <w:rPr>
          <w:i/>
          <w:iCs/>
          <w:lang w:val="en-US"/>
        </w:rPr>
        <w:t>N </w:t>
      </w:r>
      <w:r>
        <w:rPr>
          <w:lang w:val="en-US"/>
        </w:rPr>
        <w:t>+ </w:t>
      </w:r>
      <w:r>
        <w:rPr>
          <w:i/>
          <w:iCs/>
          <w:lang w:val="en-US"/>
        </w:rPr>
        <w:t>I</w:t>
      </w:r>
      <w:r>
        <w:rPr>
          <w:rFonts w:ascii="Tms Rmn" w:hAnsi="Tms Rmn"/>
          <w:sz w:val="12"/>
          <w:lang w:val="en-US"/>
        </w:rPr>
        <w:t> </w:t>
      </w:r>
      <w:r>
        <w:rPr>
          <w:lang w:val="en-US"/>
        </w:rPr>
        <w:t>), into a reference subscriber located at the maximum radius of a P-MP cell will receive at or above the threshold </w:t>
      </w:r>
      <w:r>
        <w:rPr>
          <w:i/>
          <w:iCs/>
          <w:lang w:val="en-US"/>
        </w:rPr>
        <w:t>C</w:t>
      </w:r>
      <w:r>
        <w:rPr>
          <w:lang w:val="en-US"/>
        </w:rPr>
        <w:t>/</w:t>
      </w:r>
      <w:r>
        <w:rPr>
          <w:i/>
          <w:iCs/>
          <w:lang w:val="en-US"/>
        </w:rPr>
        <w:t>N</w:t>
      </w:r>
      <w:r>
        <w:rPr>
          <w:i/>
          <w:position w:val="-4"/>
          <w:sz w:val="20"/>
          <w:lang w:val="en-US"/>
        </w:rPr>
        <w:t>th</w:t>
      </w:r>
      <w:r>
        <w:rPr>
          <w:lang w:val="en-US"/>
        </w:rPr>
        <w:t>.</w:t>
      </w:r>
    </w:p>
    <w:p w:rsidR="003B60B7" w:rsidRDefault="003B60B7" w:rsidP="003B60B7">
      <w:pPr>
        <w:spacing w:line="280" w:lineRule="exact"/>
        <w:rPr>
          <w:lang w:val="en-US"/>
        </w:rPr>
      </w:pPr>
      <w:r>
        <w:rPr>
          <w:i/>
          <w:iCs/>
          <w:lang w:val="en-US"/>
        </w:rPr>
        <w:t>Designed availability for P</w:t>
      </w:r>
      <w:r>
        <w:rPr>
          <w:i/>
          <w:iCs/>
          <w:lang w:val="en-US"/>
        </w:rPr>
        <w:noBreakHyphen/>
        <w:t>P</w:t>
      </w:r>
      <w:r>
        <w:rPr>
          <w:lang w:val="en-US"/>
        </w:rPr>
        <w:t xml:space="preserve"> – The design availability is the percentage of time in an average year that the carrier-to-total noise plus interference, </w:t>
      </w:r>
      <w:r>
        <w:rPr>
          <w:i/>
          <w:iCs/>
          <w:lang w:val="en-US"/>
        </w:rPr>
        <w:t>C</w:t>
      </w:r>
      <w:r>
        <w:rPr>
          <w:lang w:val="en-US"/>
        </w:rPr>
        <w:t>/(</w:t>
      </w:r>
      <w:r>
        <w:rPr>
          <w:i/>
          <w:iCs/>
          <w:lang w:val="en-US"/>
        </w:rPr>
        <w:t>N </w:t>
      </w:r>
      <w:r>
        <w:rPr>
          <w:lang w:val="en-US"/>
        </w:rPr>
        <w:t>+ </w:t>
      </w:r>
      <w:r>
        <w:rPr>
          <w:i/>
          <w:iCs/>
          <w:lang w:val="en-US"/>
        </w:rPr>
        <w:t>I</w:t>
      </w:r>
      <w:r>
        <w:rPr>
          <w:rFonts w:ascii="Tms Rmn" w:hAnsi="Tms Rmn"/>
          <w:sz w:val="12"/>
          <w:lang w:val="en-US"/>
        </w:rPr>
        <w:t> </w:t>
      </w:r>
      <w:r>
        <w:rPr>
          <w:lang w:val="en-US"/>
        </w:rPr>
        <w:t xml:space="preserve">), into the receiver will receive at or above the threshold </w:t>
      </w:r>
      <w:r>
        <w:rPr>
          <w:i/>
          <w:iCs/>
          <w:lang w:val="en-US"/>
        </w:rPr>
        <w:t>C</w:t>
      </w:r>
      <w:r>
        <w:rPr>
          <w:lang w:val="en-US"/>
        </w:rPr>
        <w:t>/</w:t>
      </w:r>
      <w:r>
        <w:rPr>
          <w:i/>
          <w:iCs/>
          <w:lang w:val="en-US"/>
        </w:rPr>
        <w:t>N</w:t>
      </w:r>
      <w:r>
        <w:rPr>
          <w:i/>
          <w:position w:val="-4"/>
          <w:sz w:val="20"/>
          <w:lang w:val="en-US"/>
        </w:rPr>
        <w:t>th</w:t>
      </w:r>
      <w:r>
        <w:rPr>
          <w:lang w:val="en-US"/>
        </w:rPr>
        <w:t>.</w:t>
      </w:r>
    </w:p>
    <w:p w:rsidR="003B60B7" w:rsidRDefault="003B60B7" w:rsidP="003B60B7">
      <w:pPr>
        <w:rPr>
          <w:lang w:val="en-US"/>
        </w:rPr>
      </w:pPr>
      <w:r>
        <w:rPr>
          <w:i/>
          <w:iCs/>
          <w:lang w:val="en-US"/>
        </w:rPr>
        <w:t>Reference subscriber for a P</w:t>
      </w:r>
      <w:r>
        <w:rPr>
          <w:i/>
          <w:iCs/>
          <w:lang w:val="en-US"/>
        </w:rPr>
        <w:noBreakHyphen/>
        <w:t>MP system</w:t>
      </w:r>
      <w:r>
        <w:rPr>
          <w:lang w:val="en-US"/>
        </w:rPr>
        <w:t xml:space="preserve"> – The receiver which is located at the maximum distance from the transmitting hub antenna which is used to calculate the transmit power necessary to achieve the designed availability. In P-MP systems, which are modelled with subscriber antennas that have heights, which follow a statistical distribution, the height of the reference receiver is the most probable height. In such a P</w:t>
      </w:r>
      <w:r>
        <w:rPr>
          <w:lang w:val="en-US"/>
        </w:rPr>
        <w:noBreakHyphen/>
        <w:t>MP system model, a hub antenna to which just sufficient transmitter power is delivered to achieve the designed availability on a link to the reference receiver, will not have sufficient transmit power to meet the designed availability of 100% of all possible subscribers. This is due to a combination of lesser hub antenna gain and greater free space loss in the direction of subscribers also at or near the maximum distance from the hub antenna. Additional power delivered to the hub antenna would be required for all possible subscribers to achieve their designed availability in a P-MP system characterized by subscriber antennas that have heights, which follow a statistical distribution.</w:t>
      </w:r>
    </w:p>
    <w:p w:rsidR="003B60B7" w:rsidRDefault="003B60B7" w:rsidP="003B60B7">
      <w:pPr>
        <w:rPr>
          <w:lang w:val="en-US"/>
        </w:rPr>
      </w:pPr>
      <w:r>
        <w:rPr>
          <w:lang w:val="en-US"/>
        </w:rPr>
        <w:t>Four types of modulations employed by FS systems are referred to in this Annex. These types of modulation are: quadrature phase shift keying (QPSK) and three different types of quadrature amplitude modulation (16-QAM, 64-QAM and 256-QAM).</w:t>
      </w:r>
    </w:p>
    <w:p w:rsidR="003B60B7" w:rsidRDefault="003B60B7" w:rsidP="003B60B7">
      <w:pPr>
        <w:pStyle w:val="Heading1"/>
        <w:rPr>
          <w:lang w:val="en-US"/>
        </w:rPr>
      </w:pPr>
      <w:r>
        <w:rPr>
          <w:lang w:val="en-US"/>
        </w:rPr>
        <w:br w:type="page"/>
      </w:r>
      <w:r>
        <w:rPr>
          <w:lang w:val="en-US"/>
        </w:rPr>
        <w:lastRenderedPageBreak/>
        <w:t>2</w:t>
      </w:r>
      <w:r>
        <w:rPr>
          <w:lang w:val="en-US"/>
        </w:rPr>
        <w:tab/>
        <w:t>Types of FS systems analysed for susceptibility to GSO FSS interference</w:t>
      </w:r>
    </w:p>
    <w:p w:rsidR="003B60B7" w:rsidRDefault="003B60B7" w:rsidP="003B60B7">
      <w:pPr>
        <w:rPr>
          <w:lang w:val="en-US"/>
        </w:rPr>
      </w:pPr>
      <w:r>
        <w:rPr>
          <w:lang w:val="en-US"/>
        </w:rPr>
        <w:t xml:space="preserve">Based on the systems described in Recommendation ITU-R F.758, there are two distinctly different implementations of FS systems. </w:t>
      </w:r>
    </w:p>
    <w:p w:rsidR="003B60B7" w:rsidRDefault="003B60B7" w:rsidP="003B60B7">
      <w:pPr>
        <w:pStyle w:val="Heading2"/>
        <w:rPr>
          <w:lang w:val="en-US"/>
        </w:rPr>
      </w:pPr>
      <w:r>
        <w:rPr>
          <w:lang w:val="en-US"/>
        </w:rPr>
        <w:t>2.1</w:t>
      </w:r>
      <w:r>
        <w:rPr>
          <w:lang w:val="en-US"/>
        </w:rPr>
        <w:tab/>
        <w:t>P-MP system</w:t>
      </w:r>
    </w:p>
    <w:p w:rsidR="003B60B7" w:rsidRDefault="003B60B7" w:rsidP="003B60B7">
      <w:pPr>
        <w:rPr>
          <w:lang w:val="en-US"/>
        </w:rPr>
      </w:pPr>
      <w:r>
        <w:rPr>
          <w:lang w:val="en-US"/>
        </w:rPr>
        <w:t>The P-MP system is characterized by a central or “hub” transmitting antenna that radiates omnidirectionally in the horizontal plane (azimuth) and directionally in the vertical plane (elevation). The hub antenna radiation pattern is accomplished by combining a number of sector antennas together and may be given a negative elevation angle bias in order to maximize coverage from a high point on the top of a tall building or tower. The user or “subscriber” antennas, in contrast, are directive and for computational purposes may be assumed to be axially symmetric. The distribution of subscribers over a specified range of possible values of hop length may be statistically modelled or user defined. Some of today’s modern, third generation P-MP systems operate on up to three modulations simultaneously such as: QPSK, 16-QAM, 64-QAM and 256</w:t>
      </w:r>
      <w:r>
        <w:rPr>
          <w:lang w:val="en-US"/>
        </w:rPr>
        <w:noBreakHyphen/>
        <w:t>QAM. Such a configuration allows a higher traffic capacity per sector, which is essential to make the networks more economical. The result is that in every cell site, up to three concentric rings may exist where the same minimum availability objective is encountered. This means that a much larger number of subscribers that receive higher capacities have higher average elevation angles than in P</w:t>
      </w:r>
      <w:r>
        <w:rPr>
          <w:lang w:val="en-US"/>
        </w:rPr>
        <w:noBreakHyphen/>
        <w:t xml:space="preserve">MP cells and are modelled using a single modulation scheme throughout the whole cell. Subscribers operating at the higher modulation levels in the inner-most rings are inherently subject to higher power flux-density (pfd) levels from satellites operating in the GSO due to having higher elevation angles than those subscribers in the outer rings. The overall impact from FSS interference on the availability of such a P-MP system may be statistically modelled by weighting either the number of subscribers (independent of the capacity) in each of the rings or by weighting the number of subscribers of equivalent capacity by post processing the availability data obtained from analysing each of the rings individually. </w:t>
      </w:r>
    </w:p>
    <w:p w:rsidR="003B60B7" w:rsidRDefault="003B60B7" w:rsidP="003B60B7">
      <w:pPr>
        <w:rPr>
          <w:lang w:val="en-US"/>
        </w:rPr>
      </w:pPr>
      <w:r>
        <w:rPr>
          <w:lang w:val="en-US"/>
        </w:rPr>
        <w:t xml:space="preserve">Applying the methodology over a large range of possible deployment scenarios allows the sensitivity of P-MP systems to a variety of FS system parameters, including FS receiver antenna diameter, receiver system noise figure, P-MP cell characteristics and geoclimatic factors, to be assessed parametrically. </w:t>
      </w:r>
    </w:p>
    <w:p w:rsidR="003B60B7" w:rsidRDefault="003B60B7" w:rsidP="003B60B7">
      <w:pPr>
        <w:pStyle w:val="Heading2"/>
        <w:rPr>
          <w:lang w:val="en-US"/>
        </w:rPr>
      </w:pPr>
      <w:r>
        <w:rPr>
          <w:lang w:val="en-US"/>
        </w:rPr>
        <w:t>2.2</w:t>
      </w:r>
      <w:r>
        <w:rPr>
          <w:lang w:val="en-US"/>
        </w:rPr>
        <w:tab/>
        <w:t>P-P system</w:t>
      </w:r>
    </w:p>
    <w:p w:rsidR="003B60B7" w:rsidRDefault="003B60B7" w:rsidP="003B60B7">
      <w:pPr>
        <w:rPr>
          <w:lang w:val="en-US"/>
        </w:rPr>
      </w:pPr>
      <w:r>
        <w:rPr>
          <w:lang w:val="en-US"/>
        </w:rPr>
        <w:t>This type of system is characterized by randomly oriented microwave links having a wide range of hop lengths and elevation angles. When considering the impact of interference from the FSS systems into a P-P FS network, the impact of the FSS interference is examined into both ends of the FS link.</w:t>
      </w:r>
    </w:p>
    <w:p w:rsidR="003B60B7" w:rsidRDefault="003B60B7" w:rsidP="003B60B7">
      <w:pPr>
        <w:rPr>
          <w:lang w:val="en-US"/>
        </w:rPr>
      </w:pPr>
      <w:r>
        <w:rPr>
          <w:lang w:val="en-US"/>
        </w:rPr>
        <w:t>A subset of P-P systems is that of an implementation of a P-MP system or a “star” configured network where the traffic may or may not be asymmetrical (i.e. higher capacity from centrally located transmitter to the subscriber). In this case, a higher proportion of P-P receivers will have higher elevation angles, much like that of the receivers in a P-MP network and thus have an increased susceptibility to interference from space-to-Earth links. In the “star” type configuration of a P-P network, the distribution of subscribers over a specified range of possible values of hop length may be specified in the same way as for a P-MP network.</w:t>
      </w:r>
    </w:p>
    <w:p w:rsidR="003B60B7" w:rsidRDefault="003B60B7" w:rsidP="003B60B7">
      <w:pPr>
        <w:rPr>
          <w:lang w:val="en-US"/>
        </w:rPr>
      </w:pPr>
      <w:r>
        <w:rPr>
          <w:lang w:val="en-US"/>
        </w:rPr>
        <w:br w:type="page"/>
      </w:r>
      <w:r>
        <w:rPr>
          <w:lang w:val="en-US"/>
        </w:rPr>
        <w:lastRenderedPageBreak/>
        <w:t>In some FS deployments, it may be possible to encounter hybrid developments consisting of P-P (both random and star configurations), and P-MP deployments that are optimized based on network efficiency considerations. In all such cases, the dominant interference scenario is the FSS inter</w:t>
      </w:r>
      <w:r>
        <w:rPr>
          <w:lang w:val="en-US"/>
        </w:rPr>
        <w:softHyphen/>
        <w:t>ference into the FS subscriber receiver.</w:t>
      </w:r>
    </w:p>
    <w:p w:rsidR="003B60B7" w:rsidRDefault="003B60B7" w:rsidP="003B60B7">
      <w:pPr>
        <w:pStyle w:val="Heading1"/>
        <w:rPr>
          <w:lang w:val="en-US"/>
        </w:rPr>
      </w:pPr>
      <w:r>
        <w:rPr>
          <w:lang w:val="en-US"/>
        </w:rPr>
        <w:t>3</w:t>
      </w:r>
      <w:r>
        <w:rPr>
          <w:lang w:val="en-US"/>
        </w:rPr>
        <w:tab/>
        <w:t>General considerations</w:t>
      </w:r>
    </w:p>
    <w:p w:rsidR="003B60B7" w:rsidRDefault="003B60B7" w:rsidP="003B60B7">
      <w:pPr>
        <w:pStyle w:val="Heading2"/>
        <w:rPr>
          <w:lang w:val="en-US"/>
        </w:rPr>
      </w:pPr>
      <w:r>
        <w:rPr>
          <w:lang w:val="en-US"/>
        </w:rPr>
        <w:t>3.1</w:t>
      </w:r>
      <w:r>
        <w:rPr>
          <w:lang w:val="en-US"/>
        </w:rPr>
        <w:tab/>
        <w:t>P-MP systems</w:t>
      </w:r>
    </w:p>
    <w:p w:rsidR="003B60B7" w:rsidRDefault="003B60B7" w:rsidP="003B60B7">
      <w:pPr>
        <w:rPr>
          <w:lang w:val="en-US"/>
        </w:rPr>
      </w:pPr>
      <w:r>
        <w:rPr>
          <w:lang w:val="en-US"/>
        </w:rPr>
        <w:t xml:space="preserve">The P-MP cell geometry and the hub and subscriber antenna patterns affect the statistical distribution of the levels of interference over the population of possible receivers as well as their susceptibility to interference. Also, in frequency bands above 17 GHz, long-term attenuation by atmospheric gases, the effects of scintillation and short-term attenuation due to rain, which are in-turn affected by geoclimatic factors related to latitude, are important in determining the susceptibility of subscriber terminals to space-to-Earth interference from FSS satellites. The effect of each of these factors on the susceptibility of subscriber terminals to interference from GSO FSS satellites can be parametrically determined. </w:t>
      </w:r>
    </w:p>
    <w:p w:rsidR="003B60B7" w:rsidRDefault="003B60B7" w:rsidP="003B60B7">
      <w:pPr>
        <w:pStyle w:val="Heading2"/>
        <w:rPr>
          <w:lang w:val="en-US"/>
        </w:rPr>
      </w:pPr>
      <w:r>
        <w:rPr>
          <w:lang w:val="en-US"/>
        </w:rPr>
        <w:t>3.2</w:t>
      </w:r>
      <w:r>
        <w:rPr>
          <w:lang w:val="en-US"/>
        </w:rPr>
        <w:tab/>
        <w:t>Fixed P</w:t>
      </w:r>
      <w:r>
        <w:rPr>
          <w:lang w:val="en-US"/>
        </w:rPr>
        <w:noBreakHyphen/>
        <w:t>P systems (including star configuration)</w:t>
      </w:r>
    </w:p>
    <w:p w:rsidR="003B60B7" w:rsidRDefault="003B60B7" w:rsidP="003B60B7">
      <w:pPr>
        <w:rPr>
          <w:lang w:val="en-US"/>
        </w:rPr>
      </w:pPr>
      <w:r>
        <w:rPr>
          <w:lang w:val="en-US"/>
        </w:rPr>
        <w:t>In P-P systems, in the frequency bands above 17 GHz, a number of factors including receive antenna diameter, elevation angle and system fade margins contribute to the susceptibility of receiving terminals to external interference. System fade margin in a P-P system is dependent on the hop distance and by the same geoclimatic factors and in a similar manner as for P-MP systems.</w:t>
      </w:r>
    </w:p>
    <w:p w:rsidR="003B60B7" w:rsidRDefault="003B60B7" w:rsidP="003B60B7">
      <w:pPr>
        <w:pStyle w:val="Heading1"/>
        <w:rPr>
          <w:lang w:val="en-US"/>
        </w:rPr>
      </w:pPr>
      <w:r>
        <w:rPr>
          <w:lang w:val="en-US"/>
        </w:rPr>
        <w:t>4</w:t>
      </w:r>
      <w:r>
        <w:rPr>
          <w:lang w:val="en-US"/>
        </w:rPr>
        <w:tab/>
        <w:t>Assumptions</w:t>
      </w:r>
    </w:p>
    <w:p w:rsidR="003B60B7" w:rsidRDefault="003B60B7" w:rsidP="003B60B7">
      <w:pPr>
        <w:rPr>
          <w:lang w:val="en-US"/>
        </w:rPr>
      </w:pPr>
      <w:r>
        <w:rPr>
          <w:lang w:val="en-US"/>
        </w:rPr>
        <w:t xml:space="preserve">The methodology presented in this Annex makes certain assumptions. </w:t>
      </w:r>
    </w:p>
    <w:p w:rsidR="003B60B7" w:rsidRDefault="003B60B7" w:rsidP="003B60B7">
      <w:pPr>
        <w:pStyle w:val="Heading2"/>
        <w:rPr>
          <w:lang w:val="en-US"/>
        </w:rPr>
      </w:pPr>
      <w:r>
        <w:rPr>
          <w:lang w:val="en-US"/>
        </w:rPr>
        <w:t>4.1</w:t>
      </w:r>
      <w:r>
        <w:rPr>
          <w:lang w:val="en-US"/>
        </w:rPr>
        <w:tab/>
        <w:t>Basic assumptions</w:t>
      </w:r>
    </w:p>
    <w:p w:rsidR="003B60B7" w:rsidRDefault="003B60B7" w:rsidP="003B60B7">
      <w:pPr>
        <w:rPr>
          <w:lang w:val="en-US"/>
        </w:rPr>
      </w:pPr>
      <w:r>
        <w:rPr>
          <w:lang w:val="en-US"/>
        </w:rPr>
        <w:t>The following basic assumptions, summarized below, are common to both P-MP and to P-P FS systems and are important considerations in the implementation of the methodology:</w:t>
      </w:r>
    </w:p>
    <w:p w:rsidR="003B60B7" w:rsidRDefault="003B60B7" w:rsidP="003B60B7">
      <w:pPr>
        <w:pStyle w:val="enumlev1"/>
        <w:rPr>
          <w:lang w:val="en-US"/>
        </w:rPr>
      </w:pPr>
      <w:r>
        <w:rPr>
          <w:lang w:val="en-US"/>
        </w:rPr>
        <w:t>a)</w:t>
      </w:r>
      <w:r>
        <w:rPr>
          <w:lang w:val="en-US"/>
        </w:rPr>
        <w:tab/>
        <w:t>The path design takes into account any</w:t>
      </w:r>
      <w:r>
        <w:rPr>
          <w:color w:val="FF0000"/>
          <w:lang w:val="en-US"/>
        </w:rPr>
        <w:t xml:space="preserve"> </w:t>
      </w:r>
      <w:r>
        <w:rPr>
          <w:lang w:val="en-US"/>
        </w:rPr>
        <w:t>performance objectives and the fade margin required to comply with the applicable recommended or desired short-term performance objectives.</w:t>
      </w:r>
    </w:p>
    <w:p w:rsidR="003B60B7" w:rsidRDefault="003B60B7" w:rsidP="003B60B7">
      <w:pPr>
        <w:pStyle w:val="enumlev1"/>
        <w:rPr>
          <w:lang w:val="en-US"/>
        </w:rPr>
      </w:pPr>
      <w:r>
        <w:rPr>
          <w:lang w:val="en-US"/>
        </w:rPr>
        <w:t>b)</w:t>
      </w:r>
      <w:r>
        <w:rPr>
          <w:lang w:val="en-US"/>
        </w:rPr>
        <w:tab/>
        <w:t>The impact of the interference to an FS network may be assessed, for instance as a percentage of the total possible FS receivers that achieve an availability at or above a given level of degraded availability.</w:t>
      </w:r>
    </w:p>
    <w:p w:rsidR="003B60B7" w:rsidRDefault="003B60B7" w:rsidP="003B60B7">
      <w:pPr>
        <w:pStyle w:val="enumlev1"/>
        <w:rPr>
          <w:lang w:val="en-US"/>
        </w:rPr>
      </w:pPr>
      <w:r>
        <w:rPr>
          <w:lang w:val="en-US"/>
        </w:rPr>
        <w:t>c)</w:t>
      </w:r>
      <w:r>
        <w:rPr>
          <w:lang w:val="en-US"/>
        </w:rPr>
        <w:tab/>
        <w:t>The portion of the GSO arc above the horizontal plane is visible to all FS receive terminals and no part of the arc in any direction is blocked from the view of any FS receive antenna.</w:t>
      </w:r>
    </w:p>
    <w:p w:rsidR="003B60B7" w:rsidRDefault="003B60B7" w:rsidP="003B60B7">
      <w:pPr>
        <w:pStyle w:val="enumlev1"/>
        <w:rPr>
          <w:lang w:val="en-US"/>
        </w:rPr>
      </w:pPr>
      <w:r>
        <w:rPr>
          <w:lang w:val="en-US"/>
        </w:rPr>
        <w:t>d)</w:t>
      </w:r>
      <w:r>
        <w:rPr>
          <w:lang w:val="en-US"/>
        </w:rPr>
        <w:tab/>
        <w:t xml:space="preserve">The height above mean sea level (amsl) of the entire wanted signal path is assumed to be the same for the purpose of calculating the attenuation due to atmospheric gaseous (when the option of implementing Recommendation ITU-R P.676 is used) and the long-term </w:t>
      </w:r>
      <w:r>
        <w:rPr>
          <w:lang w:val="en-US"/>
        </w:rPr>
        <w:br w:type="page"/>
      </w:r>
      <w:r>
        <w:rPr>
          <w:lang w:val="en-US"/>
        </w:rPr>
        <w:lastRenderedPageBreak/>
        <w:t>attenuation due to rain (Recommendation ITU-R P.530). The height used is the average of heights of the transmitting and the receiving antenna in a P-P system and the minimum antenna height of the subscriber in a P-MP system.</w:t>
      </w:r>
    </w:p>
    <w:p w:rsidR="003B60B7" w:rsidRDefault="003B60B7" w:rsidP="003B60B7">
      <w:pPr>
        <w:pStyle w:val="enumlev1"/>
        <w:rPr>
          <w:lang w:val="en-US"/>
        </w:rPr>
      </w:pPr>
      <w:r>
        <w:rPr>
          <w:lang w:val="en-US"/>
        </w:rPr>
        <w:t>e)</w:t>
      </w:r>
      <w:r>
        <w:rPr>
          <w:lang w:val="en-US"/>
        </w:rPr>
        <w:tab/>
        <w:t>The maximum equivalent isotropically radiated power (e.i.r.p.) value of 55 dBW is observed. The channel bandwidth for the FS system under consideration in conjunction with the 55 dBW e.i.r.p. value will establish the maximum transmit power density limit for that FS system.</w:t>
      </w:r>
    </w:p>
    <w:p w:rsidR="003B60B7" w:rsidRDefault="003B60B7" w:rsidP="003B60B7">
      <w:pPr>
        <w:pStyle w:val="enumlev1"/>
        <w:rPr>
          <w:lang w:val="en-US"/>
        </w:rPr>
      </w:pPr>
      <w:r>
        <w:rPr>
          <w:lang w:val="en-US"/>
        </w:rPr>
        <w:t>f)</w:t>
      </w:r>
      <w:r>
        <w:rPr>
          <w:lang w:val="en-US"/>
        </w:rPr>
        <w:tab/>
        <w:t>FS characteristics used to model any P-P or P</w:t>
      </w:r>
      <w:r>
        <w:rPr>
          <w:lang w:val="en-US"/>
        </w:rPr>
        <w:noBreakHyphen/>
        <w:t>MP link should be representative of typically deployed networks.</w:t>
      </w:r>
    </w:p>
    <w:p w:rsidR="003B60B7" w:rsidRDefault="003B60B7" w:rsidP="003B60B7">
      <w:pPr>
        <w:pStyle w:val="enumlev1"/>
        <w:rPr>
          <w:lang w:val="en-US"/>
        </w:rPr>
      </w:pPr>
      <w:r>
        <w:rPr>
          <w:lang w:val="en-US"/>
        </w:rPr>
        <w:t>g)</w:t>
      </w:r>
      <w:r>
        <w:rPr>
          <w:lang w:val="en-US"/>
        </w:rPr>
        <w:tab/>
        <w:t>FS availability is always defined based on an annual average.</w:t>
      </w:r>
    </w:p>
    <w:p w:rsidR="003B60B7" w:rsidRDefault="003B60B7" w:rsidP="003B60B7">
      <w:pPr>
        <w:pStyle w:val="Heading2"/>
        <w:rPr>
          <w:lang w:val="en-US"/>
        </w:rPr>
      </w:pPr>
      <w:r>
        <w:rPr>
          <w:lang w:val="en-US"/>
        </w:rPr>
        <w:t>4.2</w:t>
      </w:r>
      <w:r>
        <w:rPr>
          <w:lang w:val="en-US"/>
        </w:rPr>
        <w:tab/>
        <w:t>P-MP assumptions</w:t>
      </w:r>
    </w:p>
    <w:p w:rsidR="003B60B7" w:rsidRDefault="003B60B7" w:rsidP="003B60B7">
      <w:pPr>
        <w:pStyle w:val="Heading3"/>
        <w:rPr>
          <w:lang w:val="en-US"/>
        </w:rPr>
      </w:pPr>
      <w:r>
        <w:rPr>
          <w:lang w:val="en-US"/>
        </w:rPr>
        <w:t>4.2.1</w:t>
      </w:r>
      <w:r>
        <w:rPr>
          <w:lang w:val="en-US"/>
        </w:rPr>
        <w:tab/>
        <w:t>Intra-service (including intra-system) interference</w:t>
      </w:r>
    </w:p>
    <w:p w:rsidR="003B60B7" w:rsidRDefault="003B60B7" w:rsidP="003B60B7">
      <w:pPr>
        <w:rPr>
          <w:lang w:val="en-US"/>
        </w:rPr>
      </w:pPr>
      <w:r>
        <w:rPr>
          <w:lang w:val="en-US"/>
        </w:rPr>
        <w:t>In the most basic system model, the FS system could be assumed to have been allocated a level of intra-service interference for a reference subscriber terminal located at the edge of the P-MP cell at a specified height above ground level (agl). This assumption results in the total noise, thermal plus intra-service, being a specified level above the thermal noise level alone. Actual levels of intra</w:t>
      </w:r>
      <w:r>
        <w:rPr>
          <w:lang w:val="en-US"/>
        </w:rPr>
        <w:noBreakHyphen/>
        <w:t>service interference can be considered, for example, if it is desired to assess the change in the impact from space-to-Earth interference (e.g. if all systems in a given region were to increase their modulation to a higher order to achieve greater capacities). Also, the methodology allows for a specific model of the FS deployment characteristics to compute the levels of intra-service interference.</w:t>
      </w:r>
    </w:p>
    <w:p w:rsidR="003B60B7" w:rsidRDefault="003B60B7" w:rsidP="003B60B7">
      <w:pPr>
        <w:pStyle w:val="Heading3"/>
        <w:rPr>
          <w:lang w:val="en-US"/>
        </w:rPr>
      </w:pPr>
      <w:r>
        <w:rPr>
          <w:lang w:val="en-US"/>
        </w:rPr>
        <w:t>4.2.2</w:t>
      </w:r>
      <w:r>
        <w:rPr>
          <w:lang w:val="en-US"/>
        </w:rPr>
        <w:tab/>
        <w:t>Omni hub</w:t>
      </w:r>
    </w:p>
    <w:p w:rsidR="003B60B7" w:rsidRDefault="003B60B7" w:rsidP="003B60B7">
      <w:pPr>
        <w:rPr>
          <w:lang w:val="en-US"/>
        </w:rPr>
      </w:pPr>
      <w:r>
        <w:rPr>
          <w:lang w:val="en-US"/>
        </w:rPr>
        <w:t>In most cases, the hub antenna gain pattern envelope is circularly symmetrical in the horizontal plane and the gain of the antenna is independent of azimuth for a given angle in the vertical plane (i.e. declination angle). This assumption applies whether the hub antenna is a single omnidirectional antenna or composed of multiple sector antennas. In the case that a single sector antenna is used, the off-axis pattern in both the horizontal and the vertical plane would be required as an input to permit calculation of the gain at any given point.</w:t>
      </w:r>
    </w:p>
    <w:p w:rsidR="003B60B7" w:rsidRDefault="003B60B7" w:rsidP="003B60B7">
      <w:pPr>
        <w:pStyle w:val="Heading3"/>
        <w:rPr>
          <w:lang w:val="en-US"/>
        </w:rPr>
      </w:pPr>
      <w:r>
        <w:rPr>
          <w:lang w:val="en-US"/>
        </w:rPr>
        <w:t>4.2.3</w:t>
      </w:r>
      <w:r>
        <w:rPr>
          <w:lang w:val="en-US"/>
        </w:rPr>
        <w:tab/>
        <w:t>Subscriber distribution</w:t>
      </w:r>
    </w:p>
    <w:p w:rsidR="003B60B7" w:rsidRDefault="003B60B7" w:rsidP="003B60B7">
      <w:pPr>
        <w:rPr>
          <w:lang w:val="en-US"/>
        </w:rPr>
      </w:pPr>
      <w:r>
        <w:rPr>
          <w:lang w:val="en-US"/>
        </w:rPr>
        <w:t>There are many possible ways to model the distribution of the subscribers throughout a P-MP cell including statistically described distributions such as uniform or Rayleigh, or other user defined distributions. Where possible, the selection of a model may be made through validation based on statistical data concerning actual subscriber locations. Actual data giving the relative position of a subscriber in a P-MP cell may be used when examining real links. A combination of statistical distribution and actual data can also be used.</w:t>
      </w:r>
    </w:p>
    <w:p w:rsidR="003B60B7" w:rsidRDefault="003B60B7" w:rsidP="003B60B7">
      <w:pPr>
        <w:pStyle w:val="Heading3"/>
        <w:rPr>
          <w:lang w:val="en-US"/>
        </w:rPr>
      </w:pPr>
      <w:r>
        <w:rPr>
          <w:lang w:val="en-US"/>
        </w:rPr>
        <w:t>4.2.4</w:t>
      </w:r>
      <w:r>
        <w:rPr>
          <w:lang w:val="en-US"/>
        </w:rPr>
        <w:tab/>
        <w:t>Level ground</w:t>
      </w:r>
    </w:p>
    <w:p w:rsidR="003B60B7" w:rsidRDefault="003B60B7" w:rsidP="003B60B7">
      <w:pPr>
        <w:rPr>
          <w:lang w:val="en-US"/>
        </w:rPr>
      </w:pPr>
      <w:r>
        <w:rPr>
          <w:lang w:val="en-US"/>
        </w:rPr>
        <w:t>The ground elevation, amsl, throughout the entire cell may be considered to be the same as the ground elevation for the hub. Alternatively, actual data giving the ground elevation for each subscriber position is located in a P-MP cell may be used when examining links on a case-by-case basis.</w:t>
      </w:r>
    </w:p>
    <w:p w:rsidR="003B60B7" w:rsidRDefault="003B60B7" w:rsidP="003B60B7">
      <w:pPr>
        <w:pStyle w:val="Heading3"/>
        <w:rPr>
          <w:lang w:val="en-US"/>
        </w:rPr>
      </w:pPr>
      <w:r>
        <w:rPr>
          <w:lang w:val="en-US"/>
        </w:rPr>
        <w:br w:type="page"/>
      </w:r>
      <w:r>
        <w:rPr>
          <w:lang w:val="en-US"/>
        </w:rPr>
        <w:lastRenderedPageBreak/>
        <w:t>4.2.5</w:t>
      </w:r>
      <w:r>
        <w:rPr>
          <w:lang w:val="en-US"/>
        </w:rPr>
        <w:tab/>
        <w:t>Subscriber antenna heights</w:t>
      </w:r>
    </w:p>
    <w:p w:rsidR="003B60B7" w:rsidRDefault="003B60B7" w:rsidP="003B60B7">
      <w:pPr>
        <w:rPr>
          <w:lang w:val="en-US"/>
        </w:rPr>
      </w:pPr>
      <w:r>
        <w:rPr>
          <w:lang w:val="en-US"/>
        </w:rPr>
        <w:t>The height of subscriber antennas, agl, may be statistically modelled per Recommendation ITU</w:t>
      </w:r>
      <w:r>
        <w:rPr>
          <w:lang w:val="en-US"/>
        </w:rPr>
        <w:noBreakHyphen/>
        <w:t xml:space="preserve">R P.1410 if the Rayleigh, </w:t>
      </w:r>
      <w:r>
        <w:sym w:font="Symbol" w:char="F073"/>
      </w:r>
      <w:r>
        <w:rPr>
          <w:lang w:val="en-US"/>
        </w:rPr>
        <w:t>, height for the city being modelled is known. In the case of a Rayleigh antenna height model, practical considerations should be used in truncating the height at some maximum and minimum values. Actual data giving the height of each subscriber terminal may be used when examining links on a case-by-case basis. A combination of statistical distribution and actual data can also be used.</w:t>
      </w:r>
    </w:p>
    <w:p w:rsidR="003B60B7" w:rsidRDefault="003B60B7" w:rsidP="003B60B7">
      <w:pPr>
        <w:pStyle w:val="Heading3"/>
        <w:rPr>
          <w:lang w:val="en-US"/>
        </w:rPr>
      </w:pPr>
      <w:r>
        <w:rPr>
          <w:lang w:val="en-US"/>
        </w:rPr>
        <w:t>4.2.6</w:t>
      </w:r>
      <w:r>
        <w:rPr>
          <w:lang w:val="en-US"/>
        </w:rPr>
        <w:tab/>
        <w:t>0% blockage</w:t>
      </w:r>
    </w:p>
    <w:p w:rsidR="003B60B7" w:rsidRDefault="003B60B7" w:rsidP="003B60B7">
      <w:pPr>
        <w:rPr>
          <w:lang w:val="en-US"/>
        </w:rPr>
      </w:pPr>
      <w:r>
        <w:rPr>
          <w:lang w:val="en-US"/>
        </w:rPr>
        <w:t>The hub antenna is assumed to be visible to every subscriber antenna in a P-MP cell and is not blocked from the view by any building upon which other subscriber antennas may be situated even if the randomization employed by a given antenna height model would result in a closer building blocking the view of a more distant subscriber antenna.</w:t>
      </w:r>
    </w:p>
    <w:p w:rsidR="003B60B7" w:rsidRDefault="003B60B7" w:rsidP="003B60B7">
      <w:pPr>
        <w:pStyle w:val="Heading3"/>
        <w:rPr>
          <w:lang w:val="en-US"/>
        </w:rPr>
      </w:pPr>
      <w:r>
        <w:rPr>
          <w:lang w:val="en-US"/>
        </w:rPr>
        <w:t>4.2.7</w:t>
      </w:r>
      <w:r>
        <w:rPr>
          <w:lang w:val="en-US"/>
        </w:rPr>
        <w:tab/>
        <w:t>No diversity</w:t>
      </w:r>
    </w:p>
    <w:p w:rsidR="003B60B7" w:rsidRDefault="003B60B7" w:rsidP="003B60B7">
      <w:pPr>
        <w:rPr>
          <w:lang w:val="en-US"/>
        </w:rPr>
      </w:pPr>
      <w:r>
        <w:rPr>
          <w:lang w:val="en-US"/>
        </w:rPr>
        <w:t>Every remote subscriber terminal is assumed to be pointed toward the same point and thus no account of a worst-case azimuth exposure is made in siting a subscriber terminal. Only in this way can the impact of GSO orbit intersection with the FS receiving antenna boresight be meaningfully established on the performance of the FS system.</w:t>
      </w:r>
    </w:p>
    <w:p w:rsidR="003B60B7" w:rsidRDefault="003B60B7" w:rsidP="003B60B7">
      <w:pPr>
        <w:pStyle w:val="Heading3"/>
        <w:rPr>
          <w:lang w:val="en-US"/>
        </w:rPr>
      </w:pPr>
      <w:r>
        <w:rPr>
          <w:lang w:val="en-US"/>
        </w:rPr>
        <w:t>4.2.8</w:t>
      </w:r>
      <w:r>
        <w:rPr>
          <w:lang w:val="en-US"/>
        </w:rPr>
        <w:tab/>
        <w:t>Hub height, cell radius and hub elevation angle bias in P-MP systems</w:t>
      </w:r>
    </w:p>
    <w:p w:rsidR="003B60B7" w:rsidRDefault="003B60B7" w:rsidP="003B60B7">
      <w:pPr>
        <w:rPr>
          <w:lang w:val="en-US"/>
        </w:rPr>
      </w:pPr>
      <w:r>
        <w:rPr>
          <w:lang w:val="en-US"/>
        </w:rPr>
        <w:t>The bias angle of the hub antenna can be optimized so that the maximum gain of the hub is coincident with the most probable height for a subscriber terminal at the maximum distance from the cell centre. Alternatively, the hub elevation bias angle can be user specified. Given that a subscriber at the edge of a P-MP cell may have a height, agl, which varies over a considerable range of values, the hub antenna would have maximum gain toward only one subscriber antenna height at the maximum cell distance. When using a statistical model of antenna height, some subscribers at the edge of a cell may have insufficient margin under clear-sky conditions, in the absence of any space-to-Earth interference. If the hub antenna is biased to point toward the most probable subscriber height, the percentage of subscribers having insufficient margin, under clear</w:t>
      </w:r>
      <w:r>
        <w:rPr>
          <w:lang w:val="en-US"/>
        </w:rPr>
        <w:noBreakHyphen/>
        <w:t>sky conditions can be minimized. The most probable subscriber height is calculated according to the antenna height probability distribution for each antenna height model. The calculation of hub antenna bias angle for optimal hub gain at the edge of the cell is given by the following expression:</w:t>
      </w:r>
    </w:p>
    <w:p w:rsidR="003B60B7" w:rsidRDefault="003B60B7" w:rsidP="003B60B7">
      <w:pPr>
        <w:pStyle w:val="Equation"/>
        <w:jc w:val="center"/>
        <w:rPr>
          <w:lang w:val="es-ES_tradnl"/>
        </w:rPr>
      </w:pPr>
      <w:r>
        <w:rPr>
          <w:rFonts w:ascii="Symbol" w:hAnsi="Symbol"/>
          <w:lang w:val="es-ES_tradnl"/>
        </w:rPr>
        <w:sym w:font="Symbol" w:char="F06A"/>
      </w:r>
      <w:r>
        <w:rPr>
          <w:i/>
          <w:iCs/>
          <w:position w:val="-4"/>
          <w:sz w:val="20"/>
          <w:lang w:val="es-ES_tradnl"/>
        </w:rPr>
        <w:t>Hub</w:t>
      </w:r>
      <w:r>
        <w:rPr>
          <w:lang w:val="es-ES_tradnl"/>
        </w:rPr>
        <w:t> </w:t>
      </w:r>
      <w:r>
        <w:rPr>
          <w:rFonts w:ascii="Symbol" w:hAnsi="Symbol"/>
          <w:lang w:val="es-ES_tradnl"/>
        </w:rPr>
        <w:t></w:t>
      </w:r>
      <w:r>
        <w:rPr>
          <w:lang w:val="es-ES_tradnl"/>
        </w:rPr>
        <w:t> tan</w:t>
      </w:r>
      <w:r>
        <w:rPr>
          <w:position w:val="6"/>
          <w:sz w:val="20"/>
          <w:lang w:val="es-ES_tradnl"/>
        </w:rPr>
        <w:t>–1</w:t>
      </w:r>
      <w:r>
        <w:rPr>
          <w:lang w:val="es-ES_tradnl"/>
        </w:rPr>
        <w:t>((</w:t>
      </w:r>
      <w:r>
        <w:rPr>
          <w:i/>
          <w:iCs/>
          <w:lang w:val="es-ES_tradnl"/>
        </w:rPr>
        <w:t>h</w:t>
      </w:r>
      <w:r>
        <w:rPr>
          <w:i/>
          <w:iCs/>
          <w:position w:val="-4"/>
          <w:sz w:val="20"/>
          <w:lang w:val="es-ES_tradnl"/>
        </w:rPr>
        <w:t>Hub</w:t>
      </w:r>
      <w:r>
        <w:rPr>
          <w:lang w:val="es-ES_tradnl"/>
        </w:rPr>
        <w:t> – </w:t>
      </w:r>
      <w:r>
        <w:rPr>
          <w:i/>
          <w:iCs/>
          <w:lang w:val="es-ES_tradnl"/>
        </w:rPr>
        <w:t>h</w:t>
      </w:r>
      <w:r>
        <w:rPr>
          <w:i/>
          <w:iCs/>
          <w:position w:val="-4"/>
          <w:sz w:val="20"/>
          <w:lang w:val="es-ES_tradnl"/>
        </w:rPr>
        <w:t>sub</w:t>
      </w:r>
      <w:r>
        <w:rPr>
          <w:lang w:val="es-ES_tradnl"/>
        </w:rPr>
        <w:t>)/</w:t>
      </w:r>
      <w:r>
        <w:rPr>
          <w:i/>
          <w:iCs/>
          <w:lang w:val="es-ES_tradnl"/>
        </w:rPr>
        <w:t>R</w:t>
      </w:r>
      <w:r>
        <w:rPr>
          <w:i/>
          <w:iCs/>
          <w:position w:val="-4"/>
          <w:sz w:val="20"/>
          <w:lang w:val="es-ES_tradnl"/>
        </w:rPr>
        <w:t>max</w:t>
      </w:r>
      <w:r>
        <w:rPr>
          <w:lang w:val="es-ES_tradnl"/>
        </w:rPr>
        <w:t>)</w:t>
      </w:r>
    </w:p>
    <w:p w:rsidR="003B60B7" w:rsidRDefault="003B60B7" w:rsidP="003B60B7">
      <w:pPr>
        <w:pStyle w:val="Equation"/>
        <w:rPr>
          <w:lang w:val="en-US"/>
        </w:rPr>
      </w:pPr>
      <w:r>
        <w:rPr>
          <w:lang w:val="en-US"/>
        </w:rPr>
        <w:t>where:</w:t>
      </w:r>
    </w:p>
    <w:p w:rsidR="003B60B7" w:rsidRDefault="003B60B7" w:rsidP="003B60B7">
      <w:pPr>
        <w:pStyle w:val="Equationlegend"/>
      </w:pPr>
      <w:r>
        <w:tab/>
      </w:r>
      <w:r>
        <w:rPr>
          <w:i/>
          <w:iCs/>
        </w:rPr>
        <w:t>h</w:t>
      </w:r>
      <w:r>
        <w:rPr>
          <w:i/>
          <w:iCs/>
          <w:position w:val="-4"/>
          <w:sz w:val="20"/>
        </w:rPr>
        <w:t>Hub</w:t>
      </w:r>
      <w:r>
        <w:rPr>
          <w:rFonts w:ascii="Tms Rmn" w:hAnsi="Tms Rmn"/>
          <w:sz w:val="12"/>
        </w:rPr>
        <w:t> </w:t>
      </w:r>
      <w:r>
        <w:rPr>
          <w:rFonts w:ascii="Tms Rmn" w:hAnsi="Tms Rmn"/>
          <w:sz w:val="20"/>
        </w:rPr>
        <w:t>:</w:t>
      </w:r>
      <w:r>
        <w:rPr>
          <w:vertAlign w:val="subscript"/>
        </w:rPr>
        <w:tab/>
      </w:r>
      <w:r>
        <w:t>height of the hub above ground level (m)</w:t>
      </w:r>
    </w:p>
    <w:p w:rsidR="003B60B7" w:rsidRDefault="003B60B7" w:rsidP="003B60B7">
      <w:pPr>
        <w:pStyle w:val="Equationlegend"/>
      </w:pPr>
      <w:r>
        <w:tab/>
      </w:r>
      <w:r>
        <w:rPr>
          <w:i/>
          <w:iCs/>
        </w:rPr>
        <w:t>h</w:t>
      </w:r>
      <w:r>
        <w:rPr>
          <w:i/>
          <w:iCs/>
          <w:position w:val="-4"/>
          <w:sz w:val="20"/>
        </w:rPr>
        <w:t>sub</w:t>
      </w:r>
      <w:r>
        <w:rPr>
          <w:rFonts w:ascii="Tms Rmn" w:hAnsi="Tms Rmn"/>
          <w:sz w:val="12"/>
        </w:rPr>
        <w:t> </w:t>
      </w:r>
      <w:r>
        <w:rPr>
          <w:rFonts w:ascii="Tms Rmn" w:hAnsi="Tms Rmn"/>
          <w:sz w:val="20"/>
        </w:rPr>
        <w:t>:</w:t>
      </w:r>
      <w:r>
        <w:rPr>
          <w:vertAlign w:val="subscript"/>
        </w:rPr>
        <w:tab/>
      </w:r>
      <w:r>
        <w:t xml:space="preserve">most probable height of the subscriber at distance </w:t>
      </w:r>
      <w:r>
        <w:rPr>
          <w:i/>
          <w:iCs/>
        </w:rPr>
        <w:t>R</w:t>
      </w:r>
      <w:r>
        <w:rPr>
          <w:i/>
          <w:iCs/>
          <w:position w:val="-4"/>
          <w:sz w:val="20"/>
          <w:lang w:val="es-ES_tradnl"/>
        </w:rPr>
        <w:t>max</w:t>
      </w:r>
      <w:r>
        <w:t xml:space="preserve"> from the hub (m)</w:t>
      </w:r>
    </w:p>
    <w:p w:rsidR="003B60B7" w:rsidRDefault="003B60B7" w:rsidP="003B60B7">
      <w:pPr>
        <w:pStyle w:val="Equationlegend"/>
      </w:pPr>
      <w:r>
        <w:tab/>
      </w:r>
      <w:r>
        <w:rPr>
          <w:i/>
          <w:iCs/>
        </w:rPr>
        <w:t>R</w:t>
      </w:r>
      <w:r>
        <w:rPr>
          <w:i/>
          <w:iCs/>
          <w:position w:val="-4"/>
          <w:sz w:val="20"/>
        </w:rPr>
        <w:t>max</w:t>
      </w:r>
      <w:r>
        <w:rPr>
          <w:rFonts w:ascii="Tms Rmn" w:hAnsi="Tms Rmn"/>
          <w:sz w:val="12"/>
        </w:rPr>
        <w:t> </w:t>
      </w:r>
      <w:r>
        <w:rPr>
          <w:rFonts w:ascii="Tms Rmn" w:hAnsi="Tms Rmn"/>
          <w:sz w:val="20"/>
        </w:rPr>
        <w:t>:</w:t>
      </w:r>
      <w:r>
        <w:tab/>
        <w:t>maximum distance of a subscriber in a P-MP cell (m).</w:t>
      </w:r>
    </w:p>
    <w:p w:rsidR="003B60B7" w:rsidRDefault="003B60B7" w:rsidP="003B60B7">
      <w:pPr>
        <w:rPr>
          <w:lang w:val="en-US"/>
        </w:rPr>
      </w:pPr>
      <w:r>
        <w:rPr>
          <w:lang w:val="en-US"/>
        </w:rPr>
        <w:t>The most simplistic implementation of this model is for that of a hub having a 360°</w:t>
      </w:r>
      <w:r>
        <w:rPr>
          <w:b/>
          <w:lang w:val="en-US"/>
        </w:rPr>
        <w:t xml:space="preserve"> </w:t>
      </w:r>
      <w:r>
        <w:rPr>
          <w:lang w:val="en-US"/>
        </w:rPr>
        <w:t xml:space="preserve">symmetry. For P-MP cells having individual sectors that need to have a different bias angle in order to more efficiently accommodate their respective subscriber populations, the methodology may be applied </w:t>
      </w:r>
      <w:r>
        <w:rPr>
          <w:lang w:val="en-US"/>
        </w:rPr>
        <w:br w:type="page"/>
      </w:r>
      <w:r>
        <w:rPr>
          <w:lang w:val="en-US"/>
        </w:rPr>
        <w:lastRenderedPageBreak/>
        <w:t>individually to each sector and statistics for the whole cell may be calculated by weighting the results according to the number of subscribers in each sector.</w:t>
      </w:r>
    </w:p>
    <w:p w:rsidR="003B60B7" w:rsidRDefault="003B60B7" w:rsidP="003B60B7">
      <w:pPr>
        <w:pStyle w:val="Heading3"/>
        <w:rPr>
          <w:lang w:val="en-US"/>
        </w:rPr>
      </w:pPr>
      <w:r>
        <w:rPr>
          <w:lang w:val="en-US"/>
        </w:rPr>
        <w:t>4.3</w:t>
      </w:r>
      <w:r>
        <w:rPr>
          <w:lang w:val="en-US"/>
        </w:rPr>
        <w:tab/>
        <w:t>P-P FS assumptions</w:t>
      </w:r>
    </w:p>
    <w:p w:rsidR="003B60B7" w:rsidRDefault="003B60B7" w:rsidP="003B60B7">
      <w:pPr>
        <w:pStyle w:val="Heading3"/>
        <w:rPr>
          <w:lang w:val="en-US"/>
        </w:rPr>
      </w:pPr>
      <w:r>
        <w:rPr>
          <w:lang w:val="en-US"/>
        </w:rPr>
        <w:t>4.3.1</w:t>
      </w:r>
      <w:r>
        <w:rPr>
          <w:lang w:val="en-US"/>
        </w:rPr>
        <w:tab/>
        <w:t>Location of FS receiver</w:t>
      </w:r>
    </w:p>
    <w:p w:rsidR="003B60B7" w:rsidRDefault="003B60B7" w:rsidP="003B60B7">
      <w:pPr>
        <w:rPr>
          <w:lang w:val="en-US"/>
        </w:rPr>
      </w:pPr>
      <w:r>
        <w:rPr>
          <w:lang w:val="en-US"/>
        </w:rPr>
        <w:t>In the most simplistic implementation of the methodology, it is assumed that an FS antenna has an equal probability of being located at any azimuth for a given hop distance and elevation angle. Alternatively, when actual data is available, the azimuth and elevation angle of an FS path may be used when examining links on a case-by-case basis.</w:t>
      </w:r>
    </w:p>
    <w:p w:rsidR="003B60B7" w:rsidRDefault="003B60B7" w:rsidP="003B60B7">
      <w:pPr>
        <w:pStyle w:val="Heading3"/>
        <w:rPr>
          <w:lang w:val="en-US"/>
        </w:rPr>
      </w:pPr>
      <w:r>
        <w:rPr>
          <w:lang w:val="en-US"/>
        </w:rPr>
        <w:t>4.3.2</w:t>
      </w:r>
      <w:r>
        <w:rPr>
          <w:lang w:val="en-US"/>
        </w:rPr>
        <w:tab/>
        <w:t>Maximum hop distance</w:t>
      </w:r>
    </w:p>
    <w:p w:rsidR="003B60B7" w:rsidRDefault="003B60B7" w:rsidP="003B60B7">
      <w:pPr>
        <w:rPr>
          <w:lang w:val="en-US"/>
        </w:rPr>
      </w:pPr>
      <w:r>
        <w:rPr>
          <w:lang w:val="en-US"/>
        </w:rPr>
        <w:t xml:space="preserve">The maximum possible hop distance depends upon geoclimatic factors as well as FS system design parameters such as designed availability, the </w:t>
      </w:r>
      <w:r>
        <w:rPr>
          <w:i/>
          <w:iCs/>
          <w:lang w:val="en-US"/>
        </w:rPr>
        <w:t>C</w:t>
      </w:r>
      <w:r>
        <w:rPr>
          <w:lang w:val="en-US"/>
        </w:rPr>
        <w:t>/</w:t>
      </w:r>
      <w:r>
        <w:rPr>
          <w:i/>
          <w:iCs/>
          <w:lang w:val="en-US"/>
        </w:rPr>
        <w:t>N</w:t>
      </w:r>
      <w:r>
        <w:rPr>
          <w:lang w:val="en-US"/>
        </w:rPr>
        <w:t xml:space="preserve"> threshold for a given level of bit-error ratio (BER) performance and the type of modulation employed. The transmit antenna size, the designed availability, the type of modulation, the receiver noise figure and the channel bandwidth, coupled with the maximum power limit specified in § 4.1 e) will have the effect of limiting the maximum distance.</w:t>
      </w:r>
    </w:p>
    <w:p w:rsidR="003B60B7" w:rsidRDefault="003B60B7" w:rsidP="003B60B7">
      <w:pPr>
        <w:pStyle w:val="Heading3"/>
        <w:rPr>
          <w:lang w:val="en-US"/>
        </w:rPr>
      </w:pPr>
      <w:r>
        <w:rPr>
          <w:lang w:val="en-US"/>
        </w:rPr>
        <w:t>4.3.3</w:t>
      </w:r>
      <w:r>
        <w:rPr>
          <w:lang w:val="en-US"/>
        </w:rPr>
        <w:tab/>
        <w:t>Minimum/maximum antenna diameter</w:t>
      </w:r>
    </w:p>
    <w:p w:rsidR="003B60B7" w:rsidRDefault="003B60B7" w:rsidP="003B60B7">
      <w:pPr>
        <w:rPr>
          <w:lang w:val="en-US"/>
        </w:rPr>
      </w:pPr>
      <w:r>
        <w:rPr>
          <w:lang w:val="en-US"/>
        </w:rPr>
        <w:t>The methodology can accommodate any size of antenna typically used in shared bands above 17 GHz.</w:t>
      </w:r>
    </w:p>
    <w:p w:rsidR="003B60B7" w:rsidRDefault="003B60B7" w:rsidP="003B60B7">
      <w:pPr>
        <w:pStyle w:val="Heading3"/>
        <w:rPr>
          <w:lang w:val="en-US"/>
        </w:rPr>
      </w:pPr>
      <w:r>
        <w:rPr>
          <w:lang w:val="en-US"/>
        </w:rPr>
        <w:t>4.3.4</w:t>
      </w:r>
      <w:r>
        <w:rPr>
          <w:lang w:val="en-US"/>
        </w:rPr>
        <w:tab/>
        <w:t>Antenna height models</w:t>
      </w:r>
    </w:p>
    <w:p w:rsidR="003B60B7" w:rsidRDefault="003B60B7" w:rsidP="003B60B7">
      <w:pPr>
        <w:rPr>
          <w:lang w:val="en-US"/>
        </w:rPr>
      </w:pPr>
      <w:r>
        <w:rPr>
          <w:lang w:val="en-US"/>
        </w:rPr>
        <w:t>The same models used for modelling antenna heights for subscribers in P-MP systems can be used for modelling the antenna heights for P-P FS receivers. Given the fact, however, that there is some preferential selection involved in choosing higher buildings upon which to situate antennas for P</w:t>
      </w:r>
      <w:r>
        <w:rPr>
          <w:lang w:val="en-US"/>
        </w:rPr>
        <w:noBreakHyphen/>
        <w:t>P networks, statistical data for antenna heights, as derived from national frequency databases, where available, may be used.</w:t>
      </w:r>
    </w:p>
    <w:p w:rsidR="003B60B7" w:rsidRDefault="003B60B7" w:rsidP="003B60B7">
      <w:pPr>
        <w:rPr>
          <w:lang w:val="en-US"/>
        </w:rPr>
      </w:pPr>
      <w:r>
        <w:rPr>
          <w:lang w:val="en-US"/>
        </w:rPr>
        <w:t>In the case of a P</w:t>
      </w:r>
      <w:r>
        <w:rPr>
          <w:lang w:val="en-US"/>
        </w:rPr>
        <w:noBreakHyphen/>
        <w:t>P implementation of a P-MP system or a star network or a symmetrical P-P network, the same models used for modelling antenna heights for subscribers in P</w:t>
      </w:r>
      <w:r>
        <w:rPr>
          <w:lang w:val="en-US"/>
        </w:rPr>
        <w:noBreakHyphen/>
        <w:t>MP systems can be used for modelling the antenna heights for star configured P-P FS receivers.</w:t>
      </w:r>
    </w:p>
    <w:p w:rsidR="003B60B7" w:rsidRDefault="003B60B7" w:rsidP="003B60B7">
      <w:pPr>
        <w:rPr>
          <w:lang w:val="en-US"/>
        </w:rPr>
      </w:pPr>
      <w:r>
        <w:rPr>
          <w:lang w:val="en-US"/>
        </w:rPr>
        <w:t>Note that the difference in the thresholds associated with long</w:t>
      </w:r>
      <w:r>
        <w:rPr>
          <w:lang w:val="en-US"/>
        </w:rPr>
        <w:noBreakHyphen/>
        <w:t xml:space="preserve">term and short-term performance varies depending upon which type of modulation is being used. Links utilizing higher modulation levels with higher </w:t>
      </w:r>
      <w:r>
        <w:rPr>
          <w:i/>
          <w:iCs/>
          <w:lang w:val="en-US"/>
        </w:rPr>
        <w:t>C</w:t>
      </w:r>
      <w:r>
        <w:rPr>
          <w:lang w:val="en-US"/>
        </w:rPr>
        <w:t>/</w:t>
      </w:r>
      <w:r>
        <w:rPr>
          <w:i/>
          <w:iCs/>
          <w:lang w:val="en-US"/>
        </w:rPr>
        <w:t>N</w:t>
      </w:r>
      <w:r>
        <w:rPr>
          <w:lang w:val="en-US"/>
        </w:rPr>
        <w:t xml:space="preserve"> thresholds will require higher transmit powers for links of a given distance and channel bandwidth. This fact coupled with the maximum power limit in any radio-frequency channel specified in § 4.1 e) will have the effect of limiting the maximum distance of a link for a given availability or reducing the availability achievable for a given distance.</w:t>
      </w:r>
    </w:p>
    <w:p w:rsidR="003B60B7" w:rsidRDefault="003B60B7" w:rsidP="003B60B7">
      <w:pPr>
        <w:pStyle w:val="Heading1"/>
        <w:rPr>
          <w:lang w:val="en-US"/>
        </w:rPr>
      </w:pPr>
      <w:r>
        <w:rPr>
          <w:lang w:val="en-US"/>
        </w:rPr>
        <w:t>5</w:t>
      </w:r>
      <w:r>
        <w:rPr>
          <w:lang w:val="en-US"/>
        </w:rPr>
        <w:tab/>
        <w:t>Clear-sky atmospheric attenuation</w:t>
      </w:r>
    </w:p>
    <w:p w:rsidR="003B60B7" w:rsidRDefault="003B60B7" w:rsidP="003B60B7">
      <w:pPr>
        <w:pStyle w:val="Heading2"/>
        <w:rPr>
          <w:lang w:val="en-US"/>
        </w:rPr>
      </w:pPr>
      <w:r>
        <w:rPr>
          <w:lang w:val="en-US"/>
        </w:rPr>
        <w:t>5.1</w:t>
      </w:r>
      <w:r>
        <w:rPr>
          <w:lang w:val="en-US"/>
        </w:rPr>
        <w:tab/>
        <w:t>Geoclimatic parameters and applicable ranges</w:t>
      </w:r>
    </w:p>
    <w:p w:rsidR="003B60B7" w:rsidRDefault="003B60B7" w:rsidP="003B60B7">
      <w:pPr>
        <w:rPr>
          <w:lang w:val="en-US"/>
        </w:rPr>
      </w:pPr>
      <w:r>
        <w:rPr>
          <w:lang w:val="en-US"/>
        </w:rPr>
        <w:t>If it is desired to test the sensitivity of specific FS system parameters and the associated geoclimatic factors with respect to interference susceptibility, the methodology can be applied parametrically over a wide range of system parameters and geoclimatic factors.</w:t>
      </w:r>
    </w:p>
    <w:p w:rsidR="003B60B7" w:rsidRDefault="003B60B7" w:rsidP="003B60B7">
      <w:pPr>
        <w:rPr>
          <w:lang w:val="en-US"/>
        </w:rPr>
      </w:pPr>
      <w:r>
        <w:rPr>
          <w:lang w:val="en-US"/>
        </w:rPr>
        <w:br w:type="page"/>
      </w:r>
      <w:r>
        <w:rPr>
          <w:lang w:val="en-US"/>
        </w:rPr>
        <w:lastRenderedPageBreak/>
        <w:t>Two possible ITU-R Recommendations for calculating the atmospheric absorption loss may be considered. Recommendation ITU-R P.676-4 may be used on a location specific basis for making this determination, both for the space-to-Earth and for the FS paths using the method in Annex 2 to the Recommendation. Recommendation ITU-R SF.1395, based on Annex 1 to Recommendation ITU-R P.676 and Recommendation ITU-R P.835, provides the minimum space-to-Earth attenuation in the driest month and was developed for use in sharing studies between the FSS and the FS. The space-to-Earth attenuation method of Recommendation ITU</w:t>
      </w:r>
      <w:r>
        <w:rPr>
          <w:lang w:val="en-US"/>
        </w:rPr>
        <w:noBreakHyphen/>
        <w:t>R P.676 requires location specific data, which are available in other ITU-R propagation series Recommendations. Table 1 contains representative values of the necessary geoclimatic parameters for 13 example locations. Geoclimatic factors needed to implement Recommendation ITU</w:t>
      </w:r>
      <w:r>
        <w:rPr>
          <w:lang w:val="en-US"/>
        </w:rPr>
        <w:noBreakHyphen/>
        <w:t>R P.676 for the purpose of calculating the atmospheric attenuation are listed in Table 2.</w:t>
      </w:r>
    </w:p>
    <w:p w:rsidR="003B60B7" w:rsidRDefault="003B60B7" w:rsidP="003B60B7">
      <w:pPr>
        <w:rPr>
          <w:lang w:val="en-US"/>
        </w:rPr>
      </w:pPr>
    </w:p>
    <w:p w:rsidR="003B60B7" w:rsidRDefault="003B60B7" w:rsidP="003B60B7">
      <w:pPr>
        <w:rPr>
          <w:lang w:val="en-US"/>
        </w:rPr>
      </w:pPr>
    </w:p>
    <w:p w:rsidR="003B60B7" w:rsidRDefault="003B60B7" w:rsidP="003B60B7">
      <w:pPr>
        <w:rPr>
          <w:lang w:val="en-US"/>
        </w:rPr>
      </w:pPr>
    </w:p>
    <w:p w:rsidR="003B60B7" w:rsidRDefault="003B60B7" w:rsidP="003B60B7">
      <w:pPr>
        <w:pStyle w:val="TableNo"/>
        <w:rPr>
          <w:lang w:val="en-US"/>
        </w:rPr>
      </w:pPr>
      <w:r>
        <w:rPr>
          <w:lang w:val="en-US"/>
        </w:rPr>
        <w:t>TABLE  1</w:t>
      </w:r>
    </w:p>
    <w:p w:rsidR="003B60B7" w:rsidRDefault="003B60B7" w:rsidP="003B60B7">
      <w:pPr>
        <w:pStyle w:val="Tabletitle"/>
        <w:rPr>
          <w:lang w:val="en-US"/>
        </w:rPr>
      </w:pPr>
      <w:r>
        <w:rPr>
          <w:lang w:val="en-US"/>
        </w:rPr>
        <w:t>Example of location specific geoclimatic parameters to permit sensitivity</w:t>
      </w:r>
      <w:r>
        <w:rPr>
          <w:lang w:val="en-US"/>
        </w:rPr>
        <w:br/>
        <w:t>analysis of FSS/FS space-to-Earth pfd interference with respect to</w:t>
      </w:r>
      <w:r>
        <w:rPr>
          <w:b w:val="0"/>
          <w:lang w:val="en-US"/>
        </w:rPr>
        <w:br/>
      </w:r>
      <w:r>
        <w:rPr>
          <w:lang w:val="en-US"/>
        </w:rPr>
        <w:t>location (latitude) and local geoclimatic parameters</w:t>
      </w:r>
    </w:p>
    <w:p w:rsidR="003B60B7" w:rsidRDefault="003B60B7" w:rsidP="003B60B7">
      <w:pPr>
        <w:spacing w:before="0"/>
        <w:rPr>
          <w:sz w:val="8"/>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3"/>
        <w:gridCol w:w="718"/>
        <w:gridCol w:w="720"/>
        <w:gridCol w:w="1395"/>
        <w:gridCol w:w="632"/>
        <w:gridCol w:w="778"/>
        <w:gridCol w:w="630"/>
        <w:gridCol w:w="779"/>
        <w:gridCol w:w="778"/>
        <w:gridCol w:w="729"/>
        <w:gridCol w:w="655"/>
        <w:gridCol w:w="862"/>
      </w:tblGrid>
      <w:tr w:rsidR="003B60B7" w:rsidTr="00636600">
        <w:trPr>
          <w:jc w:val="center"/>
        </w:trPr>
        <w:tc>
          <w:tcPr>
            <w:tcW w:w="963" w:type="dxa"/>
            <w:tcBorders>
              <w:bottom w:val="single" w:sz="4" w:space="0" w:color="auto"/>
            </w:tcBorders>
          </w:tcPr>
          <w:p w:rsidR="003B60B7" w:rsidRDefault="003B60B7" w:rsidP="00636600">
            <w:pPr>
              <w:pStyle w:val="Tablehead"/>
              <w:framePr w:hSpace="181" w:wrap="notBeside" w:vAnchor="text" w:hAnchor="text" w:xAlign="center" w:y="1"/>
              <w:rPr>
                <w:sz w:val="20"/>
                <w:lang w:val="en-US"/>
              </w:rPr>
            </w:pPr>
          </w:p>
        </w:tc>
        <w:tc>
          <w:tcPr>
            <w:tcW w:w="2833" w:type="dxa"/>
            <w:gridSpan w:val="3"/>
            <w:tcBorders>
              <w:bottom w:val="single" w:sz="4" w:space="0" w:color="auto"/>
            </w:tcBorders>
          </w:tcPr>
          <w:p w:rsidR="003B60B7" w:rsidRDefault="003B60B7" w:rsidP="00636600">
            <w:pPr>
              <w:pStyle w:val="Tablehead"/>
              <w:framePr w:hSpace="181" w:wrap="notBeside" w:vAnchor="text" w:hAnchor="text" w:xAlign="center" w:y="1"/>
              <w:rPr>
                <w:sz w:val="20"/>
                <w:lang w:val="en-US"/>
              </w:rPr>
            </w:pPr>
            <w:r>
              <w:rPr>
                <w:sz w:val="20"/>
                <w:lang w:val="en-US"/>
              </w:rPr>
              <w:t>Coordinates of FS system</w:t>
            </w:r>
          </w:p>
        </w:tc>
        <w:tc>
          <w:tcPr>
            <w:tcW w:w="632" w:type="dxa"/>
            <w:tcBorders>
              <w:bottom w:val="single" w:sz="4" w:space="0" w:color="auto"/>
            </w:tcBorders>
          </w:tcPr>
          <w:p w:rsidR="003B60B7" w:rsidRDefault="003B60B7" w:rsidP="00636600">
            <w:pPr>
              <w:pStyle w:val="Tablehead"/>
              <w:framePr w:hSpace="181" w:wrap="notBeside" w:vAnchor="text" w:hAnchor="text" w:xAlign="center" w:y="1"/>
              <w:rPr>
                <w:sz w:val="20"/>
                <w:lang w:val="en-US"/>
              </w:rPr>
            </w:pPr>
          </w:p>
        </w:tc>
        <w:tc>
          <w:tcPr>
            <w:tcW w:w="5211" w:type="dxa"/>
            <w:gridSpan w:val="7"/>
            <w:tcBorders>
              <w:bottom w:val="single" w:sz="4" w:space="0" w:color="auto"/>
            </w:tcBorders>
          </w:tcPr>
          <w:p w:rsidR="003B60B7" w:rsidRDefault="003B60B7" w:rsidP="00636600">
            <w:pPr>
              <w:pStyle w:val="Tablehead"/>
              <w:framePr w:hSpace="181" w:wrap="notBeside" w:vAnchor="text" w:hAnchor="text" w:xAlign="center" w:y="1"/>
              <w:rPr>
                <w:sz w:val="20"/>
                <w:lang w:val="en-US"/>
              </w:rPr>
            </w:pPr>
            <w:r>
              <w:rPr>
                <w:sz w:val="20"/>
                <w:lang w:val="en-US"/>
              </w:rPr>
              <w:t>Winter parameters</w:t>
            </w:r>
            <w:r>
              <w:rPr>
                <w:position w:val="6"/>
                <w:sz w:val="16"/>
                <w:lang w:val="en-US"/>
              </w:rPr>
              <w:t>(1)</w:t>
            </w:r>
          </w:p>
        </w:tc>
      </w:tr>
      <w:tr w:rsidR="003B60B7" w:rsidTr="00636600">
        <w:trPr>
          <w:cantSplit/>
          <w:trHeight w:val="695"/>
          <w:jc w:val="center"/>
        </w:trPr>
        <w:tc>
          <w:tcPr>
            <w:tcW w:w="963" w:type="dxa"/>
            <w:tcBorders>
              <w:bottom w:val="single" w:sz="4" w:space="0" w:color="auto"/>
            </w:tcBorders>
            <w:vAlign w:val="center"/>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0"/>
              <w:jc w:val="center"/>
              <w:rPr>
                <w:b/>
                <w:bCs/>
                <w:sz w:val="18"/>
                <w:lang w:val="en-US"/>
              </w:rPr>
            </w:pPr>
            <w:r>
              <w:rPr>
                <w:b/>
                <w:bCs/>
                <w:sz w:val="18"/>
                <w:lang w:val="en-US"/>
              </w:rPr>
              <w:t>Location</w:t>
            </w:r>
          </w:p>
        </w:tc>
        <w:tc>
          <w:tcPr>
            <w:tcW w:w="718" w:type="dxa"/>
            <w:tcBorders>
              <w:bottom w:val="single" w:sz="4" w:space="0" w:color="auto"/>
            </w:tcBorders>
            <w:vAlign w:val="center"/>
          </w:tcPr>
          <w:p w:rsidR="003B60B7" w:rsidRDefault="003B60B7" w:rsidP="00636600">
            <w:pPr>
              <w:pStyle w:val="Tabletext"/>
              <w:framePr w:hSpace="181" w:wrap="notBeside" w:vAnchor="text" w:hAnchor="text" w:xAlign="center" w:y="1"/>
              <w:spacing w:after="80"/>
              <w:jc w:val="center"/>
              <w:rPr>
                <w:b/>
                <w:bCs/>
                <w:sz w:val="18"/>
                <w:lang w:val="en-US"/>
              </w:rPr>
            </w:pPr>
            <w:r>
              <w:rPr>
                <w:b/>
                <w:bCs/>
                <w:sz w:val="18"/>
                <w:lang w:val="en-US"/>
              </w:rPr>
              <w:t>Lat.</w:t>
            </w:r>
            <w:r>
              <w:rPr>
                <w:b/>
                <w:bCs/>
                <w:sz w:val="18"/>
                <w:lang w:val="en-US"/>
              </w:rPr>
              <w:br/>
              <w:t>(+°N)</w:t>
            </w:r>
          </w:p>
        </w:tc>
        <w:tc>
          <w:tcPr>
            <w:tcW w:w="720" w:type="dxa"/>
            <w:tcBorders>
              <w:bottom w:val="single" w:sz="4" w:space="0" w:color="auto"/>
            </w:tcBorders>
            <w:vAlign w:val="center"/>
          </w:tcPr>
          <w:p w:rsidR="003B60B7" w:rsidRDefault="003B60B7" w:rsidP="00636600">
            <w:pPr>
              <w:pStyle w:val="Tabletext"/>
              <w:framePr w:hSpace="181" w:wrap="notBeside" w:vAnchor="text" w:hAnchor="text" w:xAlign="center" w:y="1"/>
              <w:spacing w:after="80"/>
              <w:jc w:val="center"/>
              <w:rPr>
                <w:b/>
                <w:bCs/>
                <w:sz w:val="18"/>
                <w:lang w:val="en-US"/>
              </w:rPr>
            </w:pPr>
            <w:r>
              <w:rPr>
                <w:b/>
                <w:bCs/>
                <w:sz w:val="18"/>
                <w:lang w:val="en-US"/>
              </w:rPr>
              <w:t>Lon.</w:t>
            </w:r>
            <w:r>
              <w:rPr>
                <w:b/>
                <w:bCs/>
                <w:sz w:val="18"/>
                <w:lang w:val="en-US"/>
              </w:rPr>
              <w:br/>
              <w:t>(+°E)</w:t>
            </w:r>
          </w:p>
        </w:tc>
        <w:tc>
          <w:tcPr>
            <w:tcW w:w="1395" w:type="dxa"/>
            <w:tcBorders>
              <w:bottom w:val="single" w:sz="4" w:space="0" w:color="auto"/>
            </w:tcBorders>
            <w:vAlign w:val="center"/>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0"/>
              <w:jc w:val="center"/>
              <w:rPr>
                <w:b/>
                <w:bCs/>
                <w:sz w:val="18"/>
                <w:lang w:val="en-US"/>
              </w:rPr>
            </w:pPr>
            <w:r>
              <w:rPr>
                <w:b/>
                <w:bCs/>
                <w:sz w:val="18"/>
                <w:lang w:val="en-US"/>
              </w:rPr>
              <w:t>Location</w:t>
            </w:r>
          </w:p>
        </w:tc>
        <w:tc>
          <w:tcPr>
            <w:tcW w:w="632" w:type="dxa"/>
            <w:tcBorders>
              <w:bottom w:val="single" w:sz="4" w:space="0" w:color="auto"/>
            </w:tcBorders>
            <w:vAlign w:val="center"/>
          </w:tcPr>
          <w:p w:rsidR="003B60B7" w:rsidRDefault="003B60B7" w:rsidP="00636600">
            <w:pPr>
              <w:pStyle w:val="Tabletext"/>
              <w:framePr w:hSpace="181" w:wrap="notBeside" w:vAnchor="text" w:hAnchor="text" w:xAlign="center" w:y="1"/>
              <w:spacing w:after="80"/>
              <w:jc w:val="center"/>
              <w:rPr>
                <w:b/>
                <w:bCs/>
                <w:sz w:val="18"/>
                <w:lang w:val="en-US"/>
              </w:rPr>
            </w:pPr>
            <w:r>
              <w:rPr>
                <w:b/>
                <w:bCs/>
                <w:i/>
                <w:iCs/>
                <w:sz w:val="18"/>
                <w:lang w:val="en-US"/>
              </w:rPr>
              <w:t>h</w:t>
            </w:r>
            <w:r>
              <w:rPr>
                <w:b/>
                <w:bCs/>
                <w:i/>
                <w:iCs/>
                <w:position w:val="-4"/>
                <w:sz w:val="14"/>
                <w:lang w:val="en-US"/>
              </w:rPr>
              <w:t>s</w:t>
            </w:r>
            <w:r>
              <w:rPr>
                <w:b/>
                <w:bCs/>
                <w:sz w:val="18"/>
                <w:lang w:val="en-US"/>
              </w:rPr>
              <w:br/>
              <w:t>(km)</w:t>
            </w:r>
          </w:p>
        </w:tc>
        <w:tc>
          <w:tcPr>
            <w:tcW w:w="778" w:type="dxa"/>
            <w:tcBorders>
              <w:bottom w:val="single" w:sz="4" w:space="0" w:color="auto"/>
            </w:tcBorders>
            <w:vAlign w:val="center"/>
          </w:tcPr>
          <w:p w:rsidR="003B60B7" w:rsidRDefault="003B60B7" w:rsidP="00636600">
            <w:pPr>
              <w:pStyle w:val="Tabletext"/>
              <w:framePr w:hSpace="181" w:wrap="notBeside" w:vAnchor="text" w:hAnchor="text" w:xAlign="center" w:y="1"/>
              <w:spacing w:after="80"/>
              <w:jc w:val="center"/>
              <w:rPr>
                <w:b/>
                <w:bCs/>
                <w:i/>
                <w:iCs/>
                <w:sz w:val="18"/>
                <w:lang w:val="en-US"/>
              </w:rPr>
            </w:pPr>
            <w:r>
              <w:rPr>
                <w:b/>
                <w:bCs/>
                <w:i/>
                <w:iCs/>
                <w:sz w:val="18"/>
                <w:lang w:val="en-US"/>
              </w:rPr>
              <w:t>P</w:t>
            </w:r>
            <w:r>
              <w:rPr>
                <w:b/>
                <w:bCs/>
                <w:i/>
                <w:iCs/>
                <w:sz w:val="18"/>
                <w:lang w:val="en-US"/>
              </w:rPr>
              <w:br/>
            </w:r>
            <w:r>
              <w:rPr>
                <w:b/>
                <w:bCs/>
                <w:sz w:val="18"/>
                <w:lang w:val="en-US"/>
              </w:rPr>
              <w:t>(hPa)</w:t>
            </w:r>
          </w:p>
        </w:tc>
        <w:tc>
          <w:tcPr>
            <w:tcW w:w="630" w:type="dxa"/>
            <w:tcBorders>
              <w:bottom w:val="single" w:sz="4" w:space="0" w:color="auto"/>
            </w:tcBorders>
            <w:vAlign w:val="center"/>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0"/>
              <w:jc w:val="center"/>
              <w:rPr>
                <w:b/>
                <w:bCs/>
                <w:sz w:val="18"/>
                <w:lang w:val="en-US"/>
              </w:rPr>
            </w:pPr>
            <w:r>
              <w:rPr>
                <w:b/>
                <w:bCs/>
                <w:i/>
                <w:iCs/>
                <w:sz w:val="18"/>
                <w:lang w:val="en-US"/>
              </w:rPr>
              <w:t>N</w:t>
            </w:r>
            <w:r>
              <w:rPr>
                <w:b/>
                <w:bCs/>
                <w:position w:val="-4"/>
                <w:sz w:val="18"/>
                <w:lang w:val="en-US"/>
              </w:rPr>
              <w:t>0</w:t>
            </w:r>
          </w:p>
        </w:tc>
        <w:tc>
          <w:tcPr>
            <w:tcW w:w="779" w:type="dxa"/>
            <w:tcBorders>
              <w:bottom w:val="single" w:sz="4" w:space="0" w:color="auto"/>
            </w:tcBorders>
            <w:vAlign w:val="center"/>
          </w:tcPr>
          <w:p w:rsidR="003B60B7" w:rsidRDefault="003B60B7" w:rsidP="00636600">
            <w:pPr>
              <w:pStyle w:val="Tabletext"/>
              <w:framePr w:hSpace="181" w:wrap="notBeside" w:vAnchor="text" w:hAnchor="text" w:xAlign="center" w:y="1"/>
              <w:spacing w:after="80"/>
              <w:jc w:val="center"/>
              <w:rPr>
                <w:b/>
                <w:bCs/>
                <w:sz w:val="18"/>
                <w:lang w:val="en-US"/>
              </w:rPr>
            </w:pPr>
            <w:r>
              <w:rPr>
                <w:b/>
                <w:bCs/>
                <w:sz w:val="18"/>
              </w:rPr>
              <w:sym w:font="Symbol" w:char="F072"/>
            </w:r>
            <w:r>
              <w:rPr>
                <w:b/>
                <w:bCs/>
                <w:position w:val="-4"/>
                <w:sz w:val="14"/>
              </w:rPr>
              <w:t>1</w:t>
            </w:r>
            <w:r>
              <w:rPr>
                <w:b/>
                <w:bCs/>
                <w:sz w:val="18"/>
                <w:lang w:val="en-US"/>
              </w:rPr>
              <w:br/>
              <w:t>(g/m</w:t>
            </w:r>
            <w:r>
              <w:rPr>
                <w:b/>
                <w:bCs/>
                <w:position w:val="6"/>
                <w:sz w:val="14"/>
                <w:lang w:val="en-US"/>
              </w:rPr>
              <w:t>3</w:t>
            </w:r>
            <w:r>
              <w:rPr>
                <w:b/>
                <w:bCs/>
                <w:sz w:val="18"/>
                <w:lang w:val="en-US"/>
              </w:rPr>
              <w:t>)</w:t>
            </w:r>
          </w:p>
        </w:tc>
        <w:tc>
          <w:tcPr>
            <w:tcW w:w="778" w:type="dxa"/>
            <w:tcBorders>
              <w:bottom w:val="single" w:sz="4" w:space="0" w:color="auto"/>
            </w:tcBorders>
            <w:vAlign w:val="center"/>
          </w:tcPr>
          <w:p w:rsidR="003B60B7" w:rsidRDefault="003B60B7" w:rsidP="00636600">
            <w:pPr>
              <w:pStyle w:val="Tabletext"/>
              <w:framePr w:hSpace="181" w:wrap="notBeside" w:vAnchor="text" w:hAnchor="text" w:xAlign="center" w:y="1"/>
              <w:spacing w:after="80"/>
              <w:jc w:val="center"/>
              <w:rPr>
                <w:b/>
                <w:bCs/>
                <w:i/>
                <w:iCs/>
                <w:sz w:val="18"/>
                <w:lang w:val="en-US"/>
              </w:rPr>
            </w:pPr>
            <w:r>
              <w:rPr>
                <w:b/>
                <w:bCs/>
                <w:i/>
                <w:iCs/>
                <w:sz w:val="18"/>
                <w:lang w:val="en-US"/>
              </w:rPr>
              <w:t>T</w:t>
            </w:r>
            <w:r>
              <w:rPr>
                <w:b/>
                <w:bCs/>
                <w:i/>
                <w:iCs/>
                <w:sz w:val="18"/>
                <w:lang w:val="en-US"/>
              </w:rPr>
              <w:br/>
            </w:r>
            <w:r>
              <w:rPr>
                <w:b/>
                <w:bCs/>
                <w:sz w:val="18"/>
                <w:lang w:val="en-US"/>
              </w:rPr>
              <w:t>(K)</w:t>
            </w:r>
          </w:p>
        </w:tc>
        <w:tc>
          <w:tcPr>
            <w:tcW w:w="729" w:type="dxa"/>
            <w:tcBorders>
              <w:bottom w:val="single" w:sz="4" w:space="0" w:color="auto"/>
            </w:tcBorders>
            <w:vAlign w:val="center"/>
          </w:tcPr>
          <w:p w:rsidR="003B60B7" w:rsidRDefault="003B60B7" w:rsidP="00636600">
            <w:pPr>
              <w:pStyle w:val="Tabletext"/>
              <w:framePr w:hSpace="181" w:wrap="notBeside" w:vAnchor="text" w:hAnchor="text" w:xAlign="center" w:y="1"/>
              <w:spacing w:after="80"/>
              <w:jc w:val="center"/>
              <w:rPr>
                <w:b/>
                <w:bCs/>
                <w:i/>
                <w:iCs/>
                <w:sz w:val="18"/>
                <w:lang w:val="en-US"/>
              </w:rPr>
            </w:pPr>
            <w:r>
              <w:rPr>
                <w:b/>
                <w:bCs/>
                <w:i/>
                <w:iCs/>
                <w:sz w:val="18"/>
                <w:lang w:val="en-US"/>
              </w:rPr>
              <w:t>T</w:t>
            </w:r>
            <w:r>
              <w:rPr>
                <w:b/>
                <w:bCs/>
                <w:i/>
                <w:iCs/>
                <w:sz w:val="18"/>
                <w:lang w:val="en-US"/>
              </w:rPr>
              <w:br/>
            </w:r>
            <w:r>
              <w:rPr>
                <w:b/>
                <w:bCs/>
                <w:sz w:val="18"/>
                <w:lang w:val="en-US"/>
              </w:rPr>
              <w:t>(°C)</w:t>
            </w:r>
          </w:p>
        </w:tc>
        <w:tc>
          <w:tcPr>
            <w:tcW w:w="655" w:type="dxa"/>
            <w:tcBorders>
              <w:bottom w:val="single" w:sz="4" w:space="0" w:color="auto"/>
            </w:tcBorders>
            <w:vAlign w:val="center"/>
          </w:tcPr>
          <w:p w:rsidR="003B60B7" w:rsidRDefault="003B60B7" w:rsidP="00636600">
            <w:pPr>
              <w:pStyle w:val="Tabletext"/>
              <w:framePr w:hSpace="181" w:wrap="notBeside" w:vAnchor="text" w:hAnchor="text" w:xAlign="center" w:y="1"/>
              <w:spacing w:after="80"/>
              <w:jc w:val="center"/>
              <w:rPr>
                <w:b/>
                <w:bCs/>
                <w:i/>
                <w:iCs/>
                <w:sz w:val="18"/>
                <w:lang w:val="en-US"/>
              </w:rPr>
            </w:pPr>
            <w:r>
              <w:rPr>
                <w:b/>
                <w:bCs/>
                <w:i/>
                <w:iCs/>
                <w:sz w:val="18"/>
                <w:lang w:val="en-US"/>
              </w:rPr>
              <w:t>h</w:t>
            </w:r>
            <w:r>
              <w:rPr>
                <w:b/>
                <w:bCs/>
                <w:i/>
                <w:iCs/>
                <w:position w:val="-4"/>
                <w:sz w:val="18"/>
                <w:lang w:val="en-US"/>
              </w:rPr>
              <w:t xml:space="preserve"> </w:t>
            </w:r>
            <w:r>
              <w:rPr>
                <w:b/>
                <w:bCs/>
                <w:i/>
                <w:iCs/>
                <w:position w:val="-4"/>
                <w:sz w:val="14"/>
                <w:lang w:val="en-US"/>
              </w:rPr>
              <w:t>R</w:t>
            </w:r>
            <w:r>
              <w:rPr>
                <w:b/>
                <w:bCs/>
                <w:i/>
                <w:iCs/>
                <w:sz w:val="18"/>
                <w:lang w:val="en-US"/>
              </w:rPr>
              <w:br/>
            </w:r>
            <w:r>
              <w:rPr>
                <w:b/>
                <w:bCs/>
                <w:sz w:val="18"/>
                <w:lang w:val="en-US"/>
              </w:rPr>
              <w:t>(km)</w:t>
            </w:r>
          </w:p>
        </w:tc>
        <w:tc>
          <w:tcPr>
            <w:tcW w:w="862" w:type="dxa"/>
            <w:tcBorders>
              <w:bottom w:val="single" w:sz="4" w:space="0" w:color="auto"/>
            </w:tcBorders>
            <w:vAlign w:val="center"/>
          </w:tcPr>
          <w:p w:rsidR="003B60B7" w:rsidRDefault="003B60B7" w:rsidP="00636600">
            <w:pPr>
              <w:pStyle w:val="Tabletext"/>
              <w:framePr w:hSpace="181" w:wrap="notBeside" w:vAnchor="text" w:hAnchor="text" w:xAlign="center" w:y="1"/>
              <w:spacing w:after="80"/>
              <w:jc w:val="center"/>
              <w:rPr>
                <w:b/>
                <w:bCs/>
                <w:sz w:val="18"/>
                <w:lang w:val="en-US"/>
              </w:rPr>
            </w:pPr>
            <w:r>
              <w:rPr>
                <w:b/>
                <w:bCs/>
                <w:i/>
                <w:iCs/>
                <w:sz w:val="18"/>
                <w:lang w:val="en-US"/>
              </w:rPr>
              <w:t>R</w:t>
            </w:r>
            <w:r>
              <w:rPr>
                <w:b/>
                <w:bCs/>
                <w:position w:val="-4"/>
                <w:sz w:val="18"/>
                <w:lang w:val="en-US"/>
              </w:rPr>
              <w:t>0.01</w:t>
            </w:r>
            <w:r>
              <w:rPr>
                <w:b/>
                <w:bCs/>
                <w:sz w:val="18"/>
                <w:lang w:val="en-US"/>
              </w:rPr>
              <w:br/>
              <w:t>(mm/h)</w:t>
            </w:r>
          </w:p>
        </w:tc>
      </w:tr>
      <w:tr w:rsidR="003B60B7" w:rsidTr="00636600">
        <w:trPr>
          <w:jc w:val="center"/>
        </w:trPr>
        <w:tc>
          <w:tcPr>
            <w:tcW w:w="963" w:type="dxa"/>
          </w:tcPr>
          <w:p w:rsidR="003B60B7" w:rsidRDefault="003B60B7" w:rsidP="00636600">
            <w:pPr>
              <w:pStyle w:val="Tabletext"/>
              <w:framePr w:hSpace="181" w:wrap="notBeside" w:vAnchor="text" w:hAnchor="text" w:xAlign="center" w:y="1"/>
              <w:jc w:val="center"/>
              <w:rPr>
                <w:sz w:val="18"/>
                <w:lang w:val="en-US"/>
              </w:rPr>
            </w:pPr>
            <w:r>
              <w:rPr>
                <w:sz w:val="18"/>
                <w:lang w:val="en-US"/>
              </w:rPr>
              <w:t>01</w:t>
            </w:r>
          </w:p>
        </w:tc>
        <w:tc>
          <w:tcPr>
            <w:tcW w:w="718" w:type="dxa"/>
          </w:tcPr>
          <w:p w:rsidR="003B60B7" w:rsidRDefault="003B60B7" w:rsidP="00636600">
            <w:pPr>
              <w:pStyle w:val="Tabletext"/>
              <w:framePr w:hSpace="181" w:wrap="notBeside" w:vAnchor="text" w:hAnchor="text" w:xAlign="center" w:y="1"/>
              <w:jc w:val="center"/>
              <w:rPr>
                <w:sz w:val="18"/>
                <w:lang w:val="en-US"/>
              </w:rPr>
            </w:pPr>
            <w:r>
              <w:rPr>
                <w:sz w:val="18"/>
              </w:rPr>
              <w:sym w:font="Symbol" w:char="F02D"/>
            </w:r>
            <w:r>
              <w:rPr>
                <w:sz w:val="18"/>
                <w:lang w:val="en-US"/>
              </w:rPr>
              <w:t>60</w:t>
            </w:r>
          </w:p>
        </w:tc>
        <w:tc>
          <w:tcPr>
            <w:tcW w:w="720" w:type="dxa"/>
          </w:tcPr>
          <w:p w:rsidR="003B60B7" w:rsidRDefault="003B60B7" w:rsidP="00636600">
            <w:pPr>
              <w:pStyle w:val="Tabletext"/>
              <w:framePr w:hSpace="181" w:wrap="notBeside" w:vAnchor="text" w:hAnchor="text" w:xAlign="center" w:y="1"/>
              <w:jc w:val="center"/>
              <w:rPr>
                <w:sz w:val="18"/>
                <w:lang w:val="en-US"/>
              </w:rPr>
            </w:pPr>
            <w:r>
              <w:rPr>
                <w:sz w:val="18"/>
              </w:rPr>
              <w:sym w:font="Symbol" w:char="F02D"/>
            </w:r>
            <w:r>
              <w:rPr>
                <w:sz w:val="18"/>
                <w:lang w:val="en-US"/>
              </w:rPr>
              <w:t>56.0</w:t>
            </w:r>
          </w:p>
        </w:tc>
        <w:tc>
          <w:tcPr>
            <w:tcW w:w="1395" w:type="dxa"/>
          </w:tcPr>
          <w:p w:rsidR="003B60B7" w:rsidRDefault="003B60B7" w:rsidP="00636600">
            <w:pPr>
              <w:pStyle w:val="Tabletext"/>
              <w:framePr w:hSpace="181" w:wrap="notBeside" w:vAnchor="text" w:hAnchor="text" w:xAlign="center" w:y="1"/>
              <w:jc w:val="left"/>
              <w:rPr>
                <w:sz w:val="18"/>
                <w:lang w:val="en-US"/>
              </w:rPr>
            </w:pPr>
            <w:r>
              <w:rPr>
                <w:sz w:val="18"/>
                <w:lang w:val="en-US"/>
              </w:rPr>
              <w:t>Antarctica</w:t>
            </w:r>
          </w:p>
        </w:tc>
        <w:tc>
          <w:tcPr>
            <w:tcW w:w="63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0.01</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w:t>
            </w:r>
            <w:r>
              <w:rPr>
                <w:rFonts w:ascii="Tms Rmn" w:hAnsi="Tms Rmn"/>
                <w:sz w:val="12"/>
                <w:lang w:val="en-US"/>
              </w:rPr>
              <w:t> </w:t>
            </w:r>
            <w:r>
              <w:rPr>
                <w:sz w:val="18"/>
                <w:lang w:val="en-US"/>
              </w:rPr>
              <w:t>010.8</w:t>
            </w:r>
          </w:p>
        </w:tc>
        <w:tc>
          <w:tcPr>
            <w:tcW w:w="630"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302</w:t>
            </w:r>
          </w:p>
        </w:tc>
        <w:tc>
          <w:tcPr>
            <w:tcW w:w="77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3</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270.9</w:t>
            </w:r>
          </w:p>
        </w:tc>
        <w:tc>
          <w:tcPr>
            <w:tcW w:w="72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jc w:val="center"/>
              <w:rPr>
                <w:sz w:val="18"/>
                <w:lang w:val="en-US"/>
              </w:rPr>
            </w:pPr>
            <w:r>
              <w:rPr>
                <w:sz w:val="18"/>
              </w:rPr>
              <w:sym w:font="Symbol" w:char="F02D"/>
            </w:r>
            <w:r>
              <w:rPr>
                <w:sz w:val="18"/>
                <w:lang w:val="en-US"/>
              </w:rPr>
              <w:t>2.2</w:t>
            </w:r>
          </w:p>
        </w:tc>
        <w:tc>
          <w:tcPr>
            <w:tcW w:w="655"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1.01</w:t>
            </w:r>
          </w:p>
        </w:tc>
        <w:tc>
          <w:tcPr>
            <w:tcW w:w="86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16.2</w:t>
            </w:r>
          </w:p>
        </w:tc>
      </w:tr>
      <w:tr w:rsidR="003B60B7" w:rsidTr="00636600">
        <w:trPr>
          <w:jc w:val="center"/>
        </w:trPr>
        <w:tc>
          <w:tcPr>
            <w:tcW w:w="963" w:type="dxa"/>
          </w:tcPr>
          <w:p w:rsidR="003B60B7" w:rsidRDefault="003B60B7" w:rsidP="00636600">
            <w:pPr>
              <w:pStyle w:val="Tabletext"/>
              <w:framePr w:hSpace="181" w:wrap="notBeside" w:vAnchor="text" w:hAnchor="text" w:xAlign="center" w:y="1"/>
              <w:jc w:val="center"/>
              <w:rPr>
                <w:sz w:val="18"/>
                <w:lang w:val="en-US"/>
              </w:rPr>
            </w:pPr>
            <w:r>
              <w:rPr>
                <w:sz w:val="18"/>
                <w:lang w:val="en-US"/>
              </w:rPr>
              <w:t>02</w:t>
            </w:r>
          </w:p>
        </w:tc>
        <w:tc>
          <w:tcPr>
            <w:tcW w:w="718" w:type="dxa"/>
          </w:tcPr>
          <w:p w:rsidR="003B60B7" w:rsidRDefault="003B60B7" w:rsidP="00636600">
            <w:pPr>
              <w:pStyle w:val="Tabletext"/>
              <w:framePr w:hSpace="181" w:wrap="notBeside" w:vAnchor="text" w:hAnchor="text" w:xAlign="center" w:y="1"/>
              <w:jc w:val="center"/>
              <w:rPr>
                <w:sz w:val="18"/>
                <w:lang w:val="en-US"/>
              </w:rPr>
            </w:pPr>
            <w:r>
              <w:rPr>
                <w:sz w:val="18"/>
              </w:rPr>
              <w:sym w:font="Symbol" w:char="F02D"/>
            </w:r>
            <w:r>
              <w:rPr>
                <w:sz w:val="18"/>
                <w:lang w:val="en-US"/>
              </w:rPr>
              <w:t>45</w:t>
            </w:r>
          </w:p>
        </w:tc>
        <w:tc>
          <w:tcPr>
            <w:tcW w:w="720" w:type="dxa"/>
          </w:tcPr>
          <w:p w:rsidR="003B60B7" w:rsidRDefault="003B60B7" w:rsidP="00636600">
            <w:pPr>
              <w:pStyle w:val="Tabletext"/>
              <w:framePr w:hSpace="181" w:wrap="notBeside" w:vAnchor="text" w:hAnchor="text" w:xAlign="center" w:y="1"/>
              <w:jc w:val="center"/>
              <w:rPr>
                <w:sz w:val="18"/>
                <w:lang w:val="en-US"/>
              </w:rPr>
            </w:pPr>
            <w:r>
              <w:rPr>
                <w:sz w:val="18"/>
              </w:rPr>
              <w:sym w:font="Symbol" w:char="F02D"/>
            </w:r>
            <w:r>
              <w:rPr>
                <w:sz w:val="18"/>
                <w:lang w:val="en-US"/>
              </w:rPr>
              <w:t>70.0</w:t>
            </w:r>
          </w:p>
        </w:tc>
        <w:tc>
          <w:tcPr>
            <w:tcW w:w="1395" w:type="dxa"/>
          </w:tcPr>
          <w:p w:rsidR="003B60B7" w:rsidRDefault="003B60B7" w:rsidP="00636600">
            <w:pPr>
              <w:pStyle w:val="Tabletext"/>
              <w:framePr w:hSpace="181" w:wrap="notBeside" w:vAnchor="text" w:hAnchor="text" w:xAlign="center" w:y="1"/>
              <w:jc w:val="left"/>
              <w:rPr>
                <w:sz w:val="18"/>
                <w:lang w:val="en-US"/>
              </w:rPr>
            </w:pPr>
            <w:r>
              <w:rPr>
                <w:sz w:val="18"/>
                <w:lang w:val="en-US"/>
              </w:rPr>
              <w:t>South America</w:t>
            </w:r>
          </w:p>
        </w:tc>
        <w:tc>
          <w:tcPr>
            <w:tcW w:w="63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0.50</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w:t>
            </w:r>
            <w:r>
              <w:rPr>
                <w:rFonts w:ascii="Tms Rmn" w:hAnsi="Tms Rmn"/>
                <w:sz w:val="12"/>
                <w:lang w:val="en-US"/>
              </w:rPr>
              <w:t> </w:t>
            </w:r>
            <w:r>
              <w:rPr>
                <w:sz w:val="18"/>
                <w:lang w:val="en-US"/>
              </w:rPr>
              <w:t>018.9</w:t>
            </w:r>
          </w:p>
        </w:tc>
        <w:tc>
          <w:tcPr>
            <w:tcW w:w="630"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295</w:t>
            </w:r>
          </w:p>
        </w:tc>
        <w:tc>
          <w:tcPr>
            <w:tcW w:w="77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279.5</w:t>
            </w:r>
          </w:p>
        </w:tc>
        <w:tc>
          <w:tcPr>
            <w:tcW w:w="72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6.3</w:t>
            </w:r>
          </w:p>
        </w:tc>
        <w:tc>
          <w:tcPr>
            <w:tcW w:w="655"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2.39</w:t>
            </w:r>
          </w:p>
        </w:tc>
        <w:tc>
          <w:tcPr>
            <w:tcW w:w="86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10.8</w:t>
            </w:r>
          </w:p>
        </w:tc>
      </w:tr>
      <w:tr w:rsidR="003B60B7" w:rsidTr="00636600">
        <w:trPr>
          <w:jc w:val="center"/>
        </w:trPr>
        <w:tc>
          <w:tcPr>
            <w:tcW w:w="963" w:type="dxa"/>
          </w:tcPr>
          <w:p w:rsidR="003B60B7" w:rsidRDefault="003B60B7" w:rsidP="00636600">
            <w:pPr>
              <w:pStyle w:val="Tabletext"/>
              <w:framePr w:hSpace="181" w:wrap="notBeside" w:vAnchor="text" w:hAnchor="text" w:xAlign="center" w:y="1"/>
              <w:jc w:val="center"/>
              <w:rPr>
                <w:sz w:val="18"/>
                <w:lang w:val="en-US"/>
              </w:rPr>
            </w:pPr>
            <w:r>
              <w:rPr>
                <w:sz w:val="18"/>
                <w:lang w:val="en-US"/>
              </w:rPr>
              <w:t>03</w:t>
            </w:r>
          </w:p>
        </w:tc>
        <w:tc>
          <w:tcPr>
            <w:tcW w:w="718" w:type="dxa"/>
          </w:tcPr>
          <w:p w:rsidR="003B60B7" w:rsidRDefault="003B60B7" w:rsidP="00636600">
            <w:pPr>
              <w:pStyle w:val="Tabletext"/>
              <w:framePr w:hSpace="181" w:wrap="notBeside" w:vAnchor="text" w:hAnchor="text" w:xAlign="center" w:y="1"/>
              <w:jc w:val="center"/>
              <w:rPr>
                <w:sz w:val="18"/>
                <w:lang w:val="en-US"/>
              </w:rPr>
            </w:pPr>
            <w:r>
              <w:rPr>
                <w:sz w:val="18"/>
              </w:rPr>
              <w:sym w:font="Symbol" w:char="F02D"/>
            </w:r>
            <w:r>
              <w:rPr>
                <w:sz w:val="18"/>
                <w:lang w:val="en-US"/>
              </w:rPr>
              <w:t>30</w:t>
            </w:r>
          </w:p>
        </w:tc>
        <w:tc>
          <w:tcPr>
            <w:tcW w:w="720" w:type="dxa"/>
          </w:tcPr>
          <w:p w:rsidR="003B60B7" w:rsidRDefault="003B60B7" w:rsidP="00636600">
            <w:pPr>
              <w:pStyle w:val="Tabletext"/>
              <w:framePr w:hSpace="181" w:wrap="notBeside" w:vAnchor="text" w:hAnchor="text" w:xAlign="center" w:y="1"/>
              <w:jc w:val="center"/>
              <w:rPr>
                <w:sz w:val="18"/>
                <w:lang w:val="en-US"/>
              </w:rPr>
            </w:pPr>
            <w:r>
              <w:rPr>
                <w:sz w:val="18"/>
                <w:lang w:val="en-US"/>
              </w:rPr>
              <w:t>30.5</w:t>
            </w:r>
          </w:p>
        </w:tc>
        <w:tc>
          <w:tcPr>
            <w:tcW w:w="1395" w:type="dxa"/>
          </w:tcPr>
          <w:p w:rsidR="003B60B7" w:rsidRDefault="003B60B7" w:rsidP="00636600">
            <w:pPr>
              <w:pStyle w:val="Tabletext"/>
              <w:framePr w:hSpace="181" w:wrap="notBeside" w:vAnchor="text" w:hAnchor="text" w:xAlign="center" w:y="1"/>
              <w:jc w:val="left"/>
              <w:rPr>
                <w:sz w:val="18"/>
                <w:lang w:val="en-US"/>
              </w:rPr>
            </w:pPr>
            <w:r>
              <w:rPr>
                <w:sz w:val="18"/>
                <w:lang w:val="en-US"/>
              </w:rPr>
              <w:t>South Africa</w:t>
            </w:r>
          </w:p>
        </w:tc>
        <w:tc>
          <w:tcPr>
            <w:tcW w:w="63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0.50</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w:t>
            </w:r>
            <w:r>
              <w:rPr>
                <w:rFonts w:ascii="Tms Rmn" w:hAnsi="Tms Rmn"/>
                <w:sz w:val="12"/>
                <w:lang w:val="en-US"/>
              </w:rPr>
              <w:t> </w:t>
            </w:r>
            <w:r>
              <w:rPr>
                <w:sz w:val="18"/>
                <w:lang w:val="en-US"/>
              </w:rPr>
              <w:t>018.9</w:t>
            </w:r>
          </w:p>
        </w:tc>
        <w:tc>
          <w:tcPr>
            <w:tcW w:w="630"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307</w:t>
            </w:r>
          </w:p>
        </w:tc>
        <w:tc>
          <w:tcPr>
            <w:tcW w:w="77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6</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290.9</w:t>
            </w:r>
          </w:p>
        </w:tc>
        <w:tc>
          <w:tcPr>
            <w:tcW w:w="72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17.7</w:t>
            </w:r>
          </w:p>
        </w:tc>
        <w:tc>
          <w:tcPr>
            <w:tcW w:w="655"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4.36</w:t>
            </w:r>
          </w:p>
        </w:tc>
        <w:tc>
          <w:tcPr>
            <w:tcW w:w="86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59.2</w:t>
            </w:r>
          </w:p>
        </w:tc>
      </w:tr>
      <w:tr w:rsidR="003B60B7" w:rsidTr="00636600">
        <w:trPr>
          <w:jc w:val="center"/>
        </w:trPr>
        <w:tc>
          <w:tcPr>
            <w:tcW w:w="963" w:type="dxa"/>
          </w:tcPr>
          <w:p w:rsidR="003B60B7" w:rsidRDefault="003B60B7" w:rsidP="00636600">
            <w:pPr>
              <w:pStyle w:val="Tabletext"/>
              <w:framePr w:hSpace="181" w:wrap="notBeside" w:vAnchor="text" w:hAnchor="text" w:xAlign="center" w:y="1"/>
              <w:jc w:val="center"/>
              <w:rPr>
                <w:sz w:val="18"/>
                <w:lang w:val="en-US"/>
              </w:rPr>
            </w:pPr>
            <w:r>
              <w:rPr>
                <w:sz w:val="18"/>
                <w:lang w:val="en-US"/>
              </w:rPr>
              <w:t>04</w:t>
            </w:r>
          </w:p>
        </w:tc>
        <w:tc>
          <w:tcPr>
            <w:tcW w:w="718" w:type="dxa"/>
          </w:tcPr>
          <w:p w:rsidR="003B60B7" w:rsidRDefault="003B60B7" w:rsidP="00636600">
            <w:pPr>
              <w:pStyle w:val="Tabletext"/>
              <w:framePr w:hSpace="181" w:wrap="notBeside" w:vAnchor="text" w:hAnchor="text" w:xAlign="center" w:y="1"/>
              <w:jc w:val="center"/>
              <w:rPr>
                <w:sz w:val="18"/>
                <w:lang w:val="en-US"/>
              </w:rPr>
            </w:pPr>
            <w:r>
              <w:rPr>
                <w:sz w:val="18"/>
              </w:rPr>
              <w:sym w:font="Symbol" w:char="F02D"/>
            </w:r>
            <w:r>
              <w:rPr>
                <w:sz w:val="18"/>
                <w:lang w:val="en-US"/>
              </w:rPr>
              <w:t>15</w:t>
            </w:r>
          </w:p>
        </w:tc>
        <w:tc>
          <w:tcPr>
            <w:tcW w:w="720" w:type="dxa"/>
          </w:tcPr>
          <w:p w:rsidR="003B60B7" w:rsidRDefault="003B60B7" w:rsidP="00636600">
            <w:pPr>
              <w:pStyle w:val="Tabletext"/>
              <w:framePr w:hSpace="181" w:wrap="notBeside" w:vAnchor="text" w:hAnchor="text" w:xAlign="center" w:y="1"/>
              <w:jc w:val="center"/>
              <w:rPr>
                <w:sz w:val="18"/>
                <w:lang w:val="en-US"/>
              </w:rPr>
            </w:pPr>
            <w:r>
              <w:rPr>
                <w:sz w:val="18"/>
              </w:rPr>
              <w:sym w:font="Symbol" w:char="F02D"/>
            </w:r>
            <w:r>
              <w:rPr>
                <w:sz w:val="18"/>
                <w:lang w:val="en-US"/>
              </w:rPr>
              <w:t>48.0</w:t>
            </w:r>
          </w:p>
        </w:tc>
        <w:tc>
          <w:tcPr>
            <w:tcW w:w="1395" w:type="dxa"/>
          </w:tcPr>
          <w:p w:rsidR="003B60B7" w:rsidRDefault="003B60B7" w:rsidP="00636600">
            <w:pPr>
              <w:pStyle w:val="Tabletext"/>
              <w:framePr w:hSpace="181" w:wrap="notBeside" w:vAnchor="text" w:hAnchor="text" w:xAlign="center" w:y="1"/>
              <w:jc w:val="left"/>
              <w:rPr>
                <w:sz w:val="18"/>
                <w:lang w:val="en-US"/>
              </w:rPr>
            </w:pPr>
            <w:r>
              <w:rPr>
                <w:sz w:val="18"/>
                <w:lang w:val="en-US"/>
              </w:rPr>
              <w:t>Brazil (East)</w:t>
            </w:r>
          </w:p>
        </w:tc>
        <w:tc>
          <w:tcPr>
            <w:tcW w:w="63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0.50</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w:t>
            </w:r>
            <w:r>
              <w:rPr>
                <w:rFonts w:ascii="Tms Rmn" w:hAnsi="Tms Rmn"/>
                <w:sz w:val="12"/>
                <w:lang w:val="en-US"/>
              </w:rPr>
              <w:t> </w:t>
            </w:r>
            <w:r>
              <w:rPr>
                <w:sz w:val="18"/>
                <w:lang w:val="en-US"/>
              </w:rPr>
              <w:t>012</w:t>
            </w:r>
          </w:p>
        </w:tc>
        <w:tc>
          <w:tcPr>
            <w:tcW w:w="630"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329</w:t>
            </w:r>
          </w:p>
        </w:tc>
        <w:tc>
          <w:tcPr>
            <w:tcW w:w="77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10</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297.1</w:t>
            </w:r>
          </w:p>
        </w:tc>
        <w:tc>
          <w:tcPr>
            <w:tcW w:w="72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23.9</w:t>
            </w:r>
          </w:p>
        </w:tc>
        <w:tc>
          <w:tcPr>
            <w:tcW w:w="655"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4.81</w:t>
            </w:r>
          </w:p>
        </w:tc>
        <w:tc>
          <w:tcPr>
            <w:tcW w:w="86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96.4</w:t>
            </w:r>
          </w:p>
        </w:tc>
      </w:tr>
      <w:tr w:rsidR="003B60B7" w:rsidTr="00636600">
        <w:trPr>
          <w:jc w:val="center"/>
        </w:trPr>
        <w:tc>
          <w:tcPr>
            <w:tcW w:w="963" w:type="dxa"/>
          </w:tcPr>
          <w:p w:rsidR="003B60B7" w:rsidRDefault="003B60B7" w:rsidP="00636600">
            <w:pPr>
              <w:pStyle w:val="Tabletext"/>
              <w:framePr w:hSpace="181" w:wrap="notBeside" w:vAnchor="text" w:hAnchor="text" w:xAlign="center" w:y="1"/>
              <w:jc w:val="center"/>
              <w:rPr>
                <w:sz w:val="18"/>
                <w:lang w:val="en-US"/>
              </w:rPr>
            </w:pPr>
            <w:r>
              <w:rPr>
                <w:sz w:val="18"/>
                <w:lang w:val="en-US"/>
              </w:rPr>
              <w:t>05</w:t>
            </w:r>
          </w:p>
        </w:tc>
        <w:tc>
          <w:tcPr>
            <w:tcW w:w="718" w:type="dxa"/>
          </w:tcPr>
          <w:p w:rsidR="003B60B7" w:rsidRDefault="003B60B7" w:rsidP="00636600">
            <w:pPr>
              <w:pStyle w:val="Tabletext"/>
              <w:framePr w:hSpace="181" w:wrap="notBeside" w:vAnchor="text" w:hAnchor="text" w:xAlign="center" w:y="1"/>
              <w:jc w:val="center"/>
              <w:rPr>
                <w:sz w:val="18"/>
                <w:lang w:val="en-US"/>
              </w:rPr>
            </w:pPr>
            <w:r>
              <w:rPr>
                <w:sz w:val="18"/>
                <w:lang w:val="en-US"/>
              </w:rPr>
              <w:t>0</w:t>
            </w:r>
          </w:p>
        </w:tc>
        <w:tc>
          <w:tcPr>
            <w:tcW w:w="720" w:type="dxa"/>
          </w:tcPr>
          <w:p w:rsidR="003B60B7" w:rsidRDefault="003B60B7" w:rsidP="00636600">
            <w:pPr>
              <w:pStyle w:val="Tabletext"/>
              <w:framePr w:hSpace="181" w:wrap="notBeside" w:vAnchor="text" w:hAnchor="text" w:xAlign="center" w:y="1"/>
              <w:jc w:val="center"/>
              <w:rPr>
                <w:sz w:val="18"/>
                <w:lang w:val="en-US"/>
              </w:rPr>
            </w:pPr>
            <w:r>
              <w:rPr>
                <w:sz w:val="18"/>
                <w:lang w:val="en-US"/>
              </w:rPr>
              <w:t>100.0</w:t>
            </w:r>
          </w:p>
        </w:tc>
        <w:tc>
          <w:tcPr>
            <w:tcW w:w="1395" w:type="dxa"/>
          </w:tcPr>
          <w:p w:rsidR="003B60B7" w:rsidRDefault="003B60B7" w:rsidP="00636600">
            <w:pPr>
              <w:pStyle w:val="Tabletext"/>
              <w:framePr w:hSpace="181" w:wrap="notBeside" w:vAnchor="text" w:hAnchor="text" w:xAlign="center" w:y="1"/>
              <w:jc w:val="left"/>
              <w:rPr>
                <w:sz w:val="18"/>
                <w:lang w:val="en-US"/>
              </w:rPr>
            </w:pPr>
            <w:r>
              <w:rPr>
                <w:sz w:val="18"/>
                <w:lang w:val="en-US"/>
              </w:rPr>
              <w:t>Indonesia</w:t>
            </w:r>
          </w:p>
        </w:tc>
        <w:tc>
          <w:tcPr>
            <w:tcW w:w="63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0.01</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w:t>
            </w:r>
            <w:r>
              <w:rPr>
                <w:rFonts w:ascii="Tms Rmn" w:hAnsi="Tms Rmn"/>
                <w:sz w:val="12"/>
                <w:lang w:val="en-US"/>
              </w:rPr>
              <w:t> </w:t>
            </w:r>
            <w:r>
              <w:rPr>
                <w:sz w:val="18"/>
                <w:lang w:val="en-US"/>
              </w:rPr>
              <w:t>012</w:t>
            </w:r>
          </w:p>
        </w:tc>
        <w:tc>
          <w:tcPr>
            <w:tcW w:w="630"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389</w:t>
            </w:r>
          </w:p>
        </w:tc>
        <w:tc>
          <w:tcPr>
            <w:tcW w:w="77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22</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299.7</w:t>
            </w:r>
          </w:p>
        </w:tc>
        <w:tc>
          <w:tcPr>
            <w:tcW w:w="72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26.6</w:t>
            </w:r>
          </w:p>
        </w:tc>
        <w:tc>
          <w:tcPr>
            <w:tcW w:w="655"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4.91</w:t>
            </w:r>
          </w:p>
        </w:tc>
        <w:tc>
          <w:tcPr>
            <w:tcW w:w="86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119.7</w:t>
            </w:r>
          </w:p>
        </w:tc>
      </w:tr>
      <w:tr w:rsidR="003B60B7" w:rsidTr="00636600">
        <w:trPr>
          <w:jc w:val="center"/>
        </w:trPr>
        <w:tc>
          <w:tcPr>
            <w:tcW w:w="963" w:type="dxa"/>
          </w:tcPr>
          <w:p w:rsidR="003B60B7" w:rsidRDefault="003B60B7" w:rsidP="00636600">
            <w:pPr>
              <w:pStyle w:val="Tabletext"/>
              <w:framePr w:hSpace="181" w:wrap="notBeside" w:vAnchor="text" w:hAnchor="text" w:xAlign="center" w:y="1"/>
              <w:jc w:val="center"/>
              <w:rPr>
                <w:sz w:val="18"/>
                <w:lang w:val="en-US"/>
              </w:rPr>
            </w:pPr>
            <w:r>
              <w:rPr>
                <w:sz w:val="18"/>
                <w:lang w:val="en-US"/>
              </w:rPr>
              <w:t>06</w:t>
            </w:r>
          </w:p>
        </w:tc>
        <w:tc>
          <w:tcPr>
            <w:tcW w:w="718" w:type="dxa"/>
          </w:tcPr>
          <w:p w:rsidR="003B60B7" w:rsidRDefault="003B60B7" w:rsidP="00636600">
            <w:pPr>
              <w:pStyle w:val="Tabletext"/>
              <w:framePr w:hSpace="181" w:wrap="notBeside" w:vAnchor="text" w:hAnchor="text" w:xAlign="center" w:y="1"/>
              <w:jc w:val="center"/>
              <w:rPr>
                <w:sz w:val="18"/>
                <w:lang w:val="en-US"/>
              </w:rPr>
            </w:pPr>
            <w:r>
              <w:rPr>
                <w:sz w:val="18"/>
                <w:lang w:val="en-US"/>
              </w:rPr>
              <w:t>15</w:t>
            </w:r>
          </w:p>
        </w:tc>
        <w:tc>
          <w:tcPr>
            <w:tcW w:w="720" w:type="dxa"/>
          </w:tcPr>
          <w:p w:rsidR="003B60B7" w:rsidRDefault="003B60B7" w:rsidP="00636600">
            <w:pPr>
              <w:pStyle w:val="Tabletext"/>
              <w:framePr w:hSpace="181" w:wrap="notBeside" w:vAnchor="text" w:hAnchor="text" w:xAlign="center" w:y="1"/>
              <w:jc w:val="center"/>
              <w:rPr>
                <w:sz w:val="18"/>
                <w:lang w:val="en-US"/>
              </w:rPr>
            </w:pPr>
            <w:r>
              <w:rPr>
                <w:sz w:val="18"/>
                <w:lang w:val="en-US"/>
              </w:rPr>
              <w:t>102.5</w:t>
            </w:r>
          </w:p>
        </w:tc>
        <w:tc>
          <w:tcPr>
            <w:tcW w:w="1395" w:type="dxa"/>
          </w:tcPr>
          <w:p w:rsidR="003B60B7" w:rsidRDefault="003B60B7" w:rsidP="00636600">
            <w:pPr>
              <w:pStyle w:val="Tabletext"/>
              <w:framePr w:hSpace="181" w:wrap="notBeside" w:vAnchor="text" w:hAnchor="text" w:xAlign="center" w:y="1"/>
              <w:jc w:val="left"/>
              <w:rPr>
                <w:sz w:val="18"/>
                <w:lang w:val="en-US"/>
              </w:rPr>
            </w:pPr>
            <w:r>
              <w:rPr>
                <w:sz w:val="18"/>
                <w:lang w:val="en-US"/>
              </w:rPr>
              <w:t xml:space="preserve">Asia </w:t>
            </w:r>
            <w:r>
              <w:rPr>
                <w:sz w:val="18"/>
                <w:lang w:val="en-US"/>
              </w:rPr>
              <w:br/>
              <w:t>(South East)</w:t>
            </w:r>
          </w:p>
        </w:tc>
        <w:tc>
          <w:tcPr>
            <w:tcW w:w="63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0.20</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w:t>
            </w:r>
            <w:r>
              <w:rPr>
                <w:rFonts w:ascii="Tms Rmn" w:hAnsi="Tms Rmn"/>
                <w:sz w:val="12"/>
                <w:lang w:val="en-US"/>
              </w:rPr>
              <w:t> </w:t>
            </w:r>
            <w:r>
              <w:rPr>
                <w:sz w:val="18"/>
                <w:lang w:val="en-US"/>
              </w:rPr>
              <w:t>012</w:t>
            </w:r>
          </w:p>
        </w:tc>
        <w:tc>
          <w:tcPr>
            <w:tcW w:w="630"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360</w:t>
            </w:r>
          </w:p>
        </w:tc>
        <w:tc>
          <w:tcPr>
            <w:tcW w:w="77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16</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294.6</w:t>
            </w:r>
          </w:p>
        </w:tc>
        <w:tc>
          <w:tcPr>
            <w:tcW w:w="72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21.5</w:t>
            </w:r>
          </w:p>
        </w:tc>
        <w:tc>
          <w:tcPr>
            <w:tcW w:w="655"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5.07</w:t>
            </w:r>
          </w:p>
        </w:tc>
        <w:tc>
          <w:tcPr>
            <w:tcW w:w="86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96.2</w:t>
            </w:r>
          </w:p>
        </w:tc>
      </w:tr>
      <w:tr w:rsidR="003B60B7" w:rsidTr="00636600">
        <w:trPr>
          <w:jc w:val="center"/>
        </w:trPr>
        <w:tc>
          <w:tcPr>
            <w:tcW w:w="963" w:type="dxa"/>
          </w:tcPr>
          <w:p w:rsidR="003B60B7" w:rsidRDefault="003B60B7" w:rsidP="00636600">
            <w:pPr>
              <w:pStyle w:val="Tabletext"/>
              <w:framePr w:hSpace="181" w:wrap="notBeside" w:vAnchor="text" w:hAnchor="text" w:xAlign="center" w:y="1"/>
              <w:jc w:val="center"/>
              <w:rPr>
                <w:sz w:val="18"/>
                <w:lang w:val="en-US"/>
              </w:rPr>
            </w:pPr>
            <w:r>
              <w:rPr>
                <w:sz w:val="18"/>
                <w:lang w:val="en-US"/>
              </w:rPr>
              <w:t>07</w:t>
            </w:r>
          </w:p>
        </w:tc>
        <w:tc>
          <w:tcPr>
            <w:tcW w:w="718" w:type="dxa"/>
          </w:tcPr>
          <w:p w:rsidR="003B60B7" w:rsidRDefault="003B60B7" w:rsidP="00636600">
            <w:pPr>
              <w:pStyle w:val="Tabletext"/>
              <w:framePr w:hSpace="181" w:wrap="notBeside" w:vAnchor="text" w:hAnchor="text" w:xAlign="center" w:y="1"/>
              <w:jc w:val="center"/>
              <w:rPr>
                <w:sz w:val="18"/>
                <w:lang w:val="en-US"/>
              </w:rPr>
            </w:pPr>
            <w:r>
              <w:rPr>
                <w:sz w:val="18"/>
                <w:lang w:val="en-US"/>
              </w:rPr>
              <w:t>15</w:t>
            </w:r>
          </w:p>
        </w:tc>
        <w:tc>
          <w:tcPr>
            <w:tcW w:w="720" w:type="dxa"/>
          </w:tcPr>
          <w:p w:rsidR="003B60B7" w:rsidRDefault="003B60B7" w:rsidP="00636600">
            <w:pPr>
              <w:pStyle w:val="Tabletext"/>
              <w:framePr w:hSpace="181" w:wrap="notBeside" w:vAnchor="text" w:hAnchor="text" w:xAlign="center" w:y="1"/>
              <w:jc w:val="center"/>
              <w:rPr>
                <w:sz w:val="18"/>
                <w:lang w:val="en-US"/>
              </w:rPr>
            </w:pPr>
            <w:r>
              <w:rPr>
                <w:sz w:val="18"/>
                <w:lang w:val="en-US"/>
              </w:rPr>
              <w:t>50.0</w:t>
            </w:r>
          </w:p>
        </w:tc>
        <w:tc>
          <w:tcPr>
            <w:tcW w:w="1395" w:type="dxa"/>
          </w:tcPr>
          <w:p w:rsidR="003B60B7" w:rsidRDefault="003B60B7" w:rsidP="00636600">
            <w:pPr>
              <w:pStyle w:val="Tabletext"/>
              <w:framePr w:hSpace="181" w:wrap="notBeside" w:vAnchor="text" w:hAnchor="text" w:xAlign="center" w:y="1"/>
              <w:jc w:val="left"/>
              <w:rPr>
                <w:sz w:val="18"/>
                <w:lang w:val="en-US"/>
              </w:rPr>
            </w:pPr>
            <w:r>
              <w:rPr>
                <w:sz w:val="18"/>
                <w:lang w:val="en-US"/>
              </w:rPr>
              <w:t>Middle East</w:t>
            </w:r>
          </w:p>
        </w:tc>
        <w:tc>
          <w:tcPr>
            <w:tcW w:w="63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Pr>
                <w:sz w:val="18"/>
                <w:lang w:val="es-ES"/>
              </w:rPr>
              <w:t>0.15</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Pr>
                <w:sz w:val="18"/>
                <w:lang w:val="es-ES"/>
              </w:rPr>
              <w:t>1</w:t>
            </w:r>
            <w:r>
              <w:rPr>
                <w:rFonts w:ascii="Tms Rmn" w:hAnsi="Tms Rmn"/>
                <w:sz w:val="12"/>
                <w:lang w:val="en-US"/>
              </w:rPr>
              <w:t> </w:t>
            </w:r>
            <w:r>
              <w:rPr>
                <w:sz w:val="18"/>
                <w:lang w:val="es-ES"/>
              </w:rPr>
              <w:t>012</w:t>
            </w:r>
          </w:p>
        </w:tc>
        <w:tc>
          <w:tcPr>
            <w:tcW w:w="630"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Pr>
                <w:sz w:val="18"/>
                <w:lang w:val="es-ES"/>
              </w:rPr>
              <w:t>353</w:t>
            </w:r>
          </w:p>
        </w:tc>
        <w:tc>
          <w:tcPr>
            <w:tcW w:w="77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Pr>
                <w:sz w:val="18"/>
                <w:lang w:val="es-ES"/>
              </w:rPr>
              <w:t>15</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Pr>
                <w:sz w:val="18"/>
                <w:lang w:val="es-ES"/>
              </w:rPr>
              <w:t>295.1</w:t>
            </w:r>
          </w:p>
        </w:tc>
        <w:tc>
          <w:tcPr>
            <w:tcW w:w="72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Pr>
                <w:sz w:val="18"/>
                <w:lang w:val="es-ES"/>
              </w:rPr>
              <w:t>21.9</w:t>
            </w:r>
          </w:p>
        </w:tc>
        <w:tc>
          <w:tcPr>
            <w:tcW w:w="655"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Pr>
                <w:sz w:val="18"/>
                <w:lang w:val="es-ES"/>
              </w:rPr>
              <w:t>4.75</w:t>
            </w:r>
          </w:p>
        </w:tc>
        <w:tc>
          <w:tcPr>
            <w:tcW w:w="86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Pr>
                <w:sz w:val="18"/>
                <w:lang w:val="es-ES"/>
              </w:rPr>
              <w:t>17.1</w:t>
            </w:r>
          </w:p>
        </w:tc>
      </w:tr>
      <w:tr w:rsidR="003B60B7" w:rsidTr="00636600">
        <w:trPr>
          <w:jc w:val="center"/>
        </w:trPr>
        <w:tc>
          <w:tcPr>
            <w:tcW w:w="963" w:type="dxa"/>
          </w:tcPr>
          <w:p w:rsidR="003B60B7" w:rsidRDefault="003B60B7" w:rsidP="00636600">
            <w:pPr>
              <w:pStyle w:val="Tabletext"/>
              <w:framePr w:hSpace="181" w:wrap="notBeside" w:vAnchor="text" w:hAnchor="text" w:xAlign="center" w:y="1"/>
              <w:jc w:val="center"/>
              <w:rPr>
                <w:sz w:val="18"/>
                <w:lang w:val="es-ES"/>
              </w:rPr>
            </w:pPr>
            <w:r>
              <w:rPr>
                <w:sz w:val="18"/>
                <w:lang w:val="es-ES"/>
              </w:rPr>
              <w:t>08</w:t>
            </w:r>
          </w:p>
        </w:tc>
        <w:tc>
          <w:tcPr>
            <w:tcW w:w="718" w:type="dxa"/>
          </w:tcPr>
          <w:p w:rsidR="003B60B7" w:rsidRDefault="003B60B7" w:rsidP="00636600">
            <w:pPr>
              <w:pStyle w:val="Tabletext"/>
              <w:framePr w:hSpace="181" w:wrap="notBeside" w:vAnchor="text" w:hAnchor="text" w:xAlign="center" w:y="1"/>
              <w:jc w:val="center"/>
              <w:rPr>
                <w:sz w:val="18"/>
                <w:lang w:val="es-ES"/>
              </w:rPr>
            </w:pPr>
            <w:r>
              <w:rPr>
                <w:sz w:val="18"/>
                <w:lang w:val="es-ES"/>
              </w:rPr>
              <w:t>30</w:t>
            </w:r>
          </w:p>
        </w:tc>
        <w:tc>
          <w:tcPr>
            <w:tcW w:w="720" w:type="dxa"/>
          </w:tcPr>
          <w:p w:rsidR="003B60B7" w:rsidRDefault="003B60B7" w:rsidP="00636600">
            <w:pPr>
              <w:pStyle w:val="Tabletext"/>
              <w:framePr w:hSpace="181" w:wrap="notBeside" w:vAnchor="text" w:hAnchor="text" w:xAlign="center" w:y="1"/>
              <w:jc w:val="center"/>
              <w:rPr>
                <w:sz w:val="18"/>
                <w:lang w:val="es-ES"/>
              </w:rPr>
            </w:pPr>
            <w:r>
              <w:rPr>
                <w:sz w:val="18"/>
              </w:rPr>
              <w:sym w:font="Symbol" w:char="F02D"/>
            </w:r>
            <w:r>
              <w:rPr>
                <w:sz w:val="18"/>
                <w:lang w:val="es-ES"/>
              </w:rPr>
              <w:t>91.5</w:t>
            </w:r>
          </w:p>
        </w:tc>
        <w:tc>
          <w:tcPr>
            <w:tcW w:w="1395" w:type="dxa"/>
          </w:tcPr>
          <w:p w:rsidR="003B60B7" w:rsidRDefault="003B60B7" w:rsidP="00636600">
            <w:pPr>
              <w:pStyle w:val="Tabletext"/>
              <w:framePr w:hSpace="181" w:wrap="notBeside" w:vAnchor="text" w:hAnchor="text" w:xAlign="center" w:y="1"/>
              <w:jc w:val="left"/>
              <w:rPr>
                <w:sz w:val="18"/>
                <w:lang w:val="en-US"/>
              </w:rPr>
            </w:pPr>
            <w:r>
              <w:rPr>
                <w:sz w:val="18"/>
                <w:lang w:val="en-US"/>
              </w:rPr>
              <w:t>United States</w:t>
            </w:r>
            <w:r>
              <w:rPr>
                <w:sz w:val="18"/>
                <w:lang w:val="en-US"/>
              </w:rPr>
              <w:br/>
              <w:t>of America (South)</w:t>
            </w:r>
          </w:p>
        </w:tc>
        <w:tc>
          <w:tcPr>
            <w:tcW w:w="63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0.01</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Pr>
                <w:sz w:val="18"/>
                <w:lang w:val="es-ES"/>
              </w:rPr>
              <w:t>1</w:t>
            </w:r>
            <w:r>
              <w:rPr>
                <w:rFonts w:ascii="Tms Rmn" w:hAnsi="Tms Rmn"/>
                <w:sz w:val="12"/>
                <w:lang w:val="en-US"/>
              </w:rPr>
              <w:t> </w:t>
            </w:r>
            <w:r>
              <w:rPr>
                <w:sz w:val="18"/>
                <w:lang w:val="es-ES"/>
              </w:rPr>
              <w:t>018.9</w:t>
            </w:r>
          </w:p>
        </w:tc>
        <w:tc>
          <w:tcPr>
            <w:tcW w:w="630"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Pr>
                <w:sz w:val="18"/>
                <w:lang w:val="es-ES"/>
              </w:rPr>
              <w:t>338</w:t>
            </w:r>
          </w:p>
        </w:tc>
        <w:tc>
          <w:tcPr>
            <w:tcW w:w="77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Pr>
                <w:sz w:val="18"/>
                <w:lang w:val="es-ES"/>
              </w:rPr>
              <w:t>10</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Pr>
                <w:sz w:val="18"/>
                <w:lang w:val="es-ES"/>
              </w:rPr>
              <w:t>285.3</w:t>
            </w:r>
          </w:p>
        </w:tc>
        <w:tc>
          <w:tcPr>
            <w:tcW w:w="72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Pr>
                <w:sz w:val="18"/>
                <w:lang w:val="es-ES"/>
              </w:rPr>
              <w:t>12.1</w:t>
            </w:r>
          </w:p>
        </w:tc>
        <w:tc>
          <w:tcPr>
            <w:tcW w:w="655"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Pr>
                <w:sz w:val="18"/>
                <w:lang w:val="es-ES"/>
              </w:rPr>
              <w:t>4.58</w:t>
            </w:r>
          </w:p>
        </w:tc>
        <w:tc>
          <w:tcPr>
            <w:tcW w:w="86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Pr>
                <w:sz w:val="18"/>
                <w:lang w:val="es-ES"/>
              </w:rPr>
              <w:t>83.7</w:t>
            </w:r>
          </w:p>
        </w:tc>
      </w:tr>
      <w:tr w:rsidR="003B60B7" w:rsidTr="00636600">
        <w:trPr>
          <w:jc w:val="center"/>
        </w:trPr>
        <w:tc>
          <w:tcPr>
            <w:tcW w:w="963" w:type="dxa"/>
          </w:tcPr>
          <w:p w:rsidR="003B60B7" w:rsidRDefault="003B60B7" w:rsidP="00636600">
            <w:pPr>
              <w:pStyle w:val="Tabletext"/>
              <w:framePr w:hSpace="181" w:wrap="notBeside" w:vAnchor="text" w:hAnchor="text" w:xAlign="center" w:y="1"/>
              <w:jc w:val="center"/>
              <w:rPr>
                <w:sz w:val="18"/>
                <w:lang w:val="es-ES"/>
              </w:rPr>
            </w:pPr>
            <w:r>
              <w:rPr>
                <w:sz w:val="18"/>
                <w:lang w:val="es-ES"/>
              </w:rPr>
              <w:t>09</w:t>
            </w:r>
          </w:p>
        </w:tc>
        <w:tc>
          <w:tcPr>
            <w:tcW w:w="718" w:type="dxa"/>
          </w:tcPr>
          <w:p w:rsidR="003B60B7" w:rsidRDefault="003B60B7" w:rsidP="00636600">
            <w:pPr>
              <w:pStyle w:val="Tabletext"/>
              <w:framePr w:hSpace="181" w:wrap="notBeside" w:vAnchor="text" w:hAnchor="text" w:xAlign="center" w:y="1"/>
              <w:jc w:val="center"/>
              <w:rPr>
                <w:sz w:val="18"/>
                <w:lang w:val="es-ES"/>
              </w:rPr>
            </w:pPr>
            <w:r>
              <w:rPr>
                <w:sz w:val="18"/>
                <w:lang w:val="es-ES"/>
              </w:rPr>
              <w:t>30</w:t>
            </w:r>
          </w:p>
        </w:tc>
        <w:tc>
          <w:tcPr>
            <w:tcW w:w="720" w:type="dxa"/>
          </w:tcPr>
          <w:p w:rsidR="003B60B7" w:rsidRDefault="003B60B7" w:rsidP="00636600">
            <w:pPr>
              <w:pStyle w:val="Tabletext"/>
              <w:framePr w:hSpace="181" w:wrap="notBeside" w:vAnchor="text" w:hAnchor="text" w:xAlign="center" w:y="1"/>
              <w:jc w:val="center"/>
              <w:rPr>
                <w:sz w:val="18"/>
                <w:lang w:val="es-ES"/>
              </w:rPr>
            </w:pPr>
            <w:r>
              <w:rPr>
                <w:sz w:val="18"/>
                <w:lang w:val="es-ES"/>
              </w:rPr>
              <w:t>120.0</w:t>
            </w:r>
          </w:p>
        </w:tc>
        <w:tc>
          <w:tcPr>
            <w:tcW w:w="1395" w:type="dxa"/>
          </w:tcPr>
          <w:p w:rsidR="003B60B7" w:rsidRDefault="003B60B7" w:rsidP="00636600">
            <w:pPr>
              <w:pStyle w:val="Tabletext"/>
              <w:framePr w:hSpace="181" w:wrap="notBeside" w:vAnchor="text" w:hAnchor="text" w:xAlign="center" w:y="1"/>
              <w:jc w:val="left"/>
              <w:rPr>
                <w:sz w:val="18"/>
                <w:lang w:val="es-ES"/>
              </w:rPr>
            </w:pPr>
            <w:r>
              <w:rPr>
                <w:sz w:val="18"/>
                <w:lang w:val="es-ES"/>
              </w:rPr>
              <w:t>China</w:t>
            </w:r>
          </w:p>
        </w:tc>
        <w:tc>
          <w:tcPr>
            <w:tcW w:w="63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0.10</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w:t>
            </w:r>
            <w:r>
              <w:rPr>
                <w:rFonts w:ascii="Tms Rmn" w:hAnsi="Tms Rmn"/>
                <w:sz w:val="12"/>
                <w:lang w:val="en-US"/>
              </w:rPr>
              <w:t> </w:t>
            </w:r>
            <w:r>
              <w:rPr>
                <w:sz w:val="18"/>
                <w:lang w:val="en-US"/>
              </w:rPr>
              <w:t>018.9</w:t>
            </w:r>
          </w:p>
        </w:tc>
        <w:tc>
          <w:tcPr>
            <w:tcW w:w="630"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324</w:t>
            </w:r>
          </w:p>
        </w:tc>
        <w:tc>
          <w:tcPr>
            <w:tcW w:w="77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6.5</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279.0</w:t>
            </w:r>
          </w:p>
        </w:tc>
        <w:tc>
          <w:tcPr>
            <w:tcW w:w="72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5.8</w:t>
            </w:r>
          </w:p>
        </w:tc>
        <w:tc>
          <w:tcPr>
            <w:tcW w:w="655"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5.06</w:t>
            </w:r>
          </w:p>
        </w:tc>
        <w:tc>
          <w:tcPr>
            <w:tcW w:w="86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50.3</w:t>
            </w:r>
          </w:p>
        </w:tc>
      </w:tr>
      <w:tr w:rsidR="003B60B7" w:rsidTr="00636600">
        <w:trPr>
          <w:jc w:val="center"/>
        </w:trPr>
        <w:tc>
          <w:tcPr>
            <w:tcW w:w="963" w:type="dxa"/>
          </w:tcPr>
          <w:p w:rsidR="003B60B7" w:rsidRDefault="003B60B7" w:rsidP="00636600">
            <w:pPr>
              <w:pStyle w:val="Tabletext"/>
              <w:framePr w:hSpace="181" w:wrap="notBeside" w:vAnchor="text" w:hAnchor="text" w:xAlign="center" w:y="1"/>
              <w:jc w:val="center"/>
              <w:rPr>
                <w:sz w:val="18"/>
                <w:lang w:val="en-US"/>
              </w:rPr>
            </w:pPr>
            <w:r>
              <w:rPr>
                <w:sz w:val="18"/>
                <w:lang w:val="en-US"/>
              </w:rPr>
              <w:t>10</w:t>
            </w:r>
          </w:p>
        </w:tc>
        <w:tc>
          <w:tcPr>
            <w:tcW w:w="718" w:type="dxa"/>
          </w:tcPr>
          <w:p w:rsidR="003B60B7" w:rsidRDefault="003B60B7" w:rsidP="00636600">
            <w:pPr>
              <w:pStyle w:val="Tabletext"/>
              <w:framePr w:hSpace="181" w:wrap="notBeside" w:vAnchor="text" w:hAnchor="text" w:xAlign="center" w:y="1"/>
              <w:jc w:val="center"/>
              <w:rPr>
                <w:sz w:val="18"/>
                <w:lang w:val="en-US"/>
              </w:rPr>
            </w:pPr>
            <w:r>
              <w:rPr>
                <w:sz w:val="18"/>
                <w:lang w:val="en-US"/>
              </w:rPr>
              <w:t>45</w:t>
            </w:r>
          </w:p>
        </w:tc>
        <w:tc>
          <w:tcPr>
            <w:tcW w:w="720" w:type="dxa"/>
          </w:tcPr>
          <w:p w:rsidR="003B60B7" w:rsidRDefault="003B60B7" w:rsidP="00636600">
            <w:pPr>
              <w:pStyle w:val="Tabletext"/>
              <w:framePr w:hSpace="181" w:wrap="notBeside" w:vAnchor="text" w:hAnchor="text" w:xAlign="center" w:y="1"/>
              <w:jc w:val="center"/>
              <w:rPr>
                <w:sz w:val="18"/>
                <w:lang w:val="en-US"/>
              </w:rPr>
            </w:pPr>
            <w:r>
              <w:rPr>
                <w:sz w:val="18"/>
                <w:lang w:val="en-US"/>
              </w:rPr>
              <w:t>6.0</w:t>
            </w:r>
          </w:p>
        </w:tc>
        <w:tc>
          <w:tcPr>
            <w:tcW w:w="1395" w:type="dxa"/>
          </w:tcPr>
          <w:p w:rsidR="003B60B7" w:rsidRDefault="003B60B7" w:rsidP="00636600">
            <w:pPr>
              <w:pStyle w:val="Tabletext"/>
              <w:framePr w:hSpace="181" w:wrap="notBeside" w:vAnchor="text" w:hAnchor="text" w:xAlign="center" w:y="1"/>
              <w:jc w:val="left"/>
              <w:rPr>
                <w:sz w:val="18"/>
                <w:lang w:val="en-US"/>
              </w:rPr>
            </w:pPr>
            <w:r>
              <w:rPr>
                <w:sz w:val="18"/>
                <w:lang w:val="en-US"/>
              </w:rPr>
              <w:t>Western. Europe</w:t>
            </w:r>
          </w:p>
        </w:tc>
        <w:tc>
          <w:tcPr>
            <w:tcW w:w="63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0.30</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w:t>
            </w:r>
            <w:r>
              <w:rPr>
                <w:rFonts w:ascii="Tms Rmn" w:hAnsi="Tms Rmn"/>
                <w:sz w:val="12"/>
                <w:lang w:val="en-US"/>
              </w:rPr>
              <w:t> </w:t>
            </w:r>
            <w:r>
              <w:rPr>
                <w:sz w:val="18"/>
                <w:lang w:val="en-US"/>
              </w:rPr>
              <w:t>018.9</w:t>
            </w:r>
          </w:p>
        </w:tc>
        <w:tc>
          <w:tcPr>
            <w:tcW w:w="630"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315</w:t>
            </w:r>
          </w:p>
        </w:tc>
        <w:tc>
          <w:tcPr>
            <w:tcW w:w="77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4.5</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275.7</w:t>
            </w:r>
          </w:p>
        </w:tc>
        <w:tc>
          <w:tcPr>
            <w:tcW w:w="72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2.6</w:t>
            </w:r>
          </w:p>
        </w:tc>
        <w:tc>
          <w:tcPr>
            <w:tcW w:w="655"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3.18</w:t>
            </w:r>
          </w:p>
        </w:tc>
        <w:tc>
          <w:tcPr>
            <w:tcW w:w="86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24.7</w:t>
            </w:r>
          </w:p>
        </w:tc>
      </w:tr>
      <w:tr w:rsidR="003B60B7" w:rsidTr="00636600">
        <w:trPr>
          <w:jc w:val="center"/>
        </w:trPr>
        <w:tc>
          <w:tcPr>
            <w:tcW w:w="963" w:type="dxa"/>
          </w:tcPr>
          <w:p w:rsidR="003B60B7" w:rsidRDefault="003B60B7" w:rsidP="00636600">
            <w:pPr>
              <w:pStyle w:val="Tabletext"/>
              <w:framePr w:hSpace="181" w:wrap="notBeside" w:vAnchor="text" w:hAnchor="text" w:xAlign="center" w:y="1"/>
              <w:jc w:val="center"/>
              <w:rPr>
                <w:sz w:val="18"/>
                <w:lang w:val="en-US"/>
              </w:rPr>
            </w:pPr>
            <w:r>
              <w:rPr>
                <w:sz w:val="18"/>
                <w:lang w:val="en-US"/>
              </w:rPr>
              <w:t>11</w:t>
            </w:r>
          </w:p>
        </w:tc>
        <w:tc>
          <w:tcPr>
            <w:tcW w:w="718" w:type="dxa"/>
          </w:tcPr>
          <w:p w:rsidR="003B60B7" w:rsidRDefault="003B60B7" w:rsidP="00636600">
            <w:pPr>
              <w:pStyle w:val="Tabletext"/>
              <w:framePr w:hSpace="181" w:wrap="notBeside" w:vAnchor="text" w:hAnchor="text" w:xAlign="center" w:y="1"/>
              <w:jc w:val="center"/>
              <w:rPr>
                <w:sz w:val="18"/>
                <w:lang w:val="en-US"/>
              </w:rPr>
            </w:pPr>
            <w:r>
              <w:rPr>
                <w:sz w:val="18"/>
                <w:lang w:val="en-US"/>
              </w:rPr>
              <w:t>45</w:t>
            </w:r>
          </w:p>
        </w:tc>
        <w:tc>
          <w:tcPr>
            <w:tcW w:w="720" w:type="dxa"/>
          </w:tcPr>
          <w:p w:rsidR="003B60B7" w:rsidRDefault="003B60B7" w:rsidP="00636600">
            <w:pPr>
              <w:pStyle w:val="Tabletext"/>
              <w:framePr w:hSpace="181" w:wrap="notBeside" w:vAnchor="text" w:hAnchor="text" w:xAlign="center" w:y="1"/>
              <w:jc w:val="center"/>
              <w:rPr>
                <w:sz w:val="18"/>
                <w:lang w:val="en-US"/>
              </w:rPr>
            </w:pPr>
            <w:r>
              <w:rPr>
                <w:sz w:val="18"/>
              </w:rPr>
              <w:sym w:font="Symbol" w:char="F02D"/>
            </w:r>
            <w:r>
              <w:rPr>
                <w:sz w:val="18"/>
                <w:lang w:val="en-US"/>
              </w:rPr>
              <w:t>67.5</w:t>
            </w:r>
          </w:p>
        </w:tc>
        <w:tc>
          <w:tcPr>
            <w:tcW w:w="1395" w:type="dxa"/>
          </w:tcPr>
          <w:p w:rsidR="003B60B7" w:rsidRDefault="003B60B7" w:rsidP="00636600">
            <w:pPr>
              <w:pStyle w:val="Tabletext"/>
              <w:framePr w:hSpace="181" w:wrap="notBeside" w:vAnchor="text" w:hAnchor="text" w:xAlign="center" w:y="1"/>
              <w:jc w:val="left"/>
              <w:rPr>
                <w:sz w:val="18"/>
                <w:lang w:val="en-US"/>
              </w:rPr>
            </w:pPr>
            <w:r>
              <w:rPr>
                <w:sz w:val="18"/>
                <w:lang w:val="en-US"/>
              </w:rPr>
              <w:t>United States of America (North-East)</w:t>
            </w:r>
          </w:p>
        </w:tc>
        <w:tc>
          <w:tcPr>
            <w:tcW w:w="63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0.01</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w:t>
            </w:r>
            <w:r>
              <w:rPr>
                <w:rFonts w:ascii="Tms Rmn" w:hAnsi="Tms Rmn"/>
                <w:sz w:val="12"/>
                <w:lang w:val="en-US"/>
              </w:rPr>
              <w:t> </w:t>
            </w:r>
            <w:r>
              <w:rPr>
                <w:sz w:val="18"/>
                <w:lang w:val="en-US"/>
              </w:rPr>
              <w:t>018.9</w:t>
            </w:r>
          </w:p>
        </w:tc>
        <w:tc>
          <w:tcPr>
            <w:tcW w:w="630"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314</w:t>
            </w:r>
          </w:p>
        </w:tc>
        <w:tc>
          <w:tcPr>
            <w:tcW w:w="77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5</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279.6</w:t>
            </w:r>
          </w:p>
        </w:tc>
        <w:tc>
          <w:tcPr>
            <w:tcW w:w="72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6.5</w:t>
            </w:r>
          </w:p>
        </w:tc>
        <w:tc>
          <w:tcPr>
            <w:tcW w:w="655"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3.64</w:t>
            </w:r>
          </w:p>
        </w:tc>
        <w:tc>
          <w:tcPr>
            <w:tcW w:w="86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32.6</w:t>
            </w:r>
          </w:p>
        </w:tc>
      </w:tr>
      <w:tr w:rsidR="003B60B7" w:rsidTr="00636600">
        <w:trPr>
          <w:jc w:val="center"/>
        </w:trPr>
        <w:tc>
          <w:tcPr>
            <w:tcW w:w="963" w:type="dxa"/>
          </w:tcPr>
          <w:p w:rsidR="003B60B7" w:rsidRDefault="003B60B7" w:rsidP="00636600">
            <w:pPr>
              <w:pStyle w:val="Tabletext"/>
              <w:framePr w:hSpace="181" w:wrap="notBeside" w:vAnchor="text" w:hAnchor="text" w:xAlign="center" w:y="1"/>
              <w:jc w:val="center"/>
              <w:rPr>
                <w:sz w:val="18"/>
                <w:lang w:val="en-US"/>
              </w:rPr>
            </w:pPr>
            <w:r>
              <w:rPr>
                <w:sz w:val="18"/>
                <w:lang w:val="en-US"/>
              </w:rPr>
              <w:t>12</w:t>
            </w:r>
          </w:p>
        </w:tc>
        <w:tc>
          <w:tcPr>
            <w:tcW w:w="718" w:type="dxa"/>
          </w:tcPr>
          <w:p w:rsidR="003B60B7" w:rsidRDefault="003B60B7" w:rsidP="00636600">
            <w:pPr>
              <w:pStyle w:val="Tabletext"/>
              <w:framePr w:hSpace="181" w:wrap="notBeside" w:vAnchor="text" w:hAnchor="text" w:xAlign="center" w:y="1"/>
              <w:jc w:val="center"/>
              <w:rPr>
                <w:sz w:val="18"/>
                <w:lang w:val="en-US"/>
              </w:rPr>
            </w:pPr>
            <w:r>
              <w:rPr>
                <w:sz w:val="18"/>
                <w:lang w:val="en-US"/>
              </w:rPr>
              <w:t>60</w:t>
            </w:r>
          </w:p>
        </w:tc>
        <w:tc>
          <w:tcPr>
            <w:tcW w:w="720" w:type="dxa"/>
          </w:tcPr>
          <w:p w:rsidR="003B60B7" w:rsidRDefault="003B60B7" w:rsidP="00636600">
            <w:pPr>
              <w:pStyle w:val="Tabletext"/>
              <w:framePr w:hSpace="181" w:wrap="notBeside" w:vAnchor="text" w:hAnchor="text" w:xAlign="center" w:y="1"/>
              <w:jc w:val="center"/>
              <w:rPr>
                <w:sz w:val="18"/>
                <w:lang w:val="en-US"/>
              </w:rPr>
            </w:pPr>
            <w:r>
              <w:rPr>
                <w:sz w:val="18"/>
                <w:lang w:val="en-US"/>
              </w:rPr>
              <w:t>18.8</w:t>
            </w:r>
          </w:p>
        </w:tc>
        <w:tc>
          <w:tcPr>
            <w:tcW w:w="1395" w:type="dxa"/>
          </w:tcPr>
          <w:p w:rsidR="003B60B7" w:rsidRDefault="003B60B7" w:rsidP="00636600">
            <w:pPr>
              <w:pStyle w:val="Tabletext"/>
              <w:framePr w:hSpace="181" w:wrap="notBeside" w:vAnchor="text" w:hAnchor="text" w:xAlign="center" w:y="1"/>
              <w:jc w:val="left"/>
              <w:rPr>
                <w:sz w:val="18"/>
                <w:lang w:val="en-US"/>
              </w:rPr>
            </w:pPr>
            <w:r>
              <w:rPr>
                <w:sz w:val="18"/>
                <w:lang w:val="en-US"/>
              </w:rPr>
              <w:t>Scandinavia</w:t>
            </w:r>
          </w:p>
        </w:tc>
        <w:tc>
          <w:tcPr>
            <w:tcW w:w="63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0.01</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w:t>
            </w:r>
            <w:r>
              <w:rPr>
                <w:rFonts w:ascii="Tms Rmn" w:hAnsi="Tms Rmn"/>
                <w:sz w:val="12"/>
                <w:lang w:val="en-US"/>
              </w:rPr>
              <w:t> </w:t>
            </w:r>
            <w:r>
              <w:rPr>
                <w:sz w:val="18"/>
                <w:lang w:val="en-US"/>
              </w:rPr>
              <w:t>010.8</w:t>
            </w:r>
          </w:p>
        </w:tc>
        <w:tc>
          <w:tcPr>
            <w:tcW w:w="630"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313</w:t>
            </w:r>
          </w:p>
        </w:tc>
        <w:tc>
          <w:tcPr>
            <w:tcW w:w="77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3</w:t>
            </w:r>
          </w:p>
        </w:tc>
        <w:tc>
          <w:tcPr>
            <w:tcW w:w="778"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267.5</w:t>
            </w:r>
          </w:p>
        </w:tc>
        <w:tc>
          <w:tcPr>
            <w:tcW w:w="729"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jc w:val="center"/>
              <w:rPr>
                <w:sz w:val="18"/>
                <w:lang w:val="en-US"/>
              </w:rPr>
            </w:pPr>
            <w:r>
              <w:rPr>
                <w:sz w:val="18"/>
              </w:rPr>
              <w:sym w:font="Symbol" w:char="F02D"/>
            </w:r>
            <w:r>
              <w:rPr>
                <w:sz w:val="18"/>
                <w:lang w:val="en-US"/>
              </w:rPr>
              <w:t>5.7</w:t>
            </w:r>
          </w:p>
        </w:tc>
        <w:tc>
          <w:tcPr>
            <w:tcW w:w="655"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2.16</w:t>
            </w:r>
          </w:p>
        </w:tc>
        <w:tc>
          <w:tcPr>
            <w:tcW w:w="862" w:type="dxa"/>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21.5</w:t>
            </w:r>
          </w:p>
        </w:tc>
      </w:tr>
      <w:tr w:rsidR="003B60B7" w:rsidTr="00636600">
        <w:trPr>
          <w:jc w:val="center"/>
        </w:trPr>
        <w:tc>
          <w:tcPr>
            <w:tcW w:w="963" w:type="dxa"/>
            <w:tcBorders>
              <w:bottom w:val="single" w:sz="4" w:space="0" w:color="auto"/>
            </w:tcBorders>
          </w:tcPr>
          <w:p w:rsidR="003B60B7" w:rsidRDefault="003B60B7" w:rsidP="00636600">
            <w:pPr>
              <w:pStyle w:val="Tabletext"/>
              <w:framePr w:hSpace="181" w:wrap="notBeside" w:vAnchor="text" w:hAnchor="text" w:xAlign="center" w:y="1"/>
              <w:jc w:val="center"/>
              <w:rPr>
                <w:sz w:val="18"/>
                <w:lang w:val="en-US"/>
              </w:rPr>
            </w:pPr>
            <w:r>
              <w:rPr>
                <w:sz w:val="18"/>
                <w:lang w:val="en-US"/>
              </w:rPr>
              <w:t>13</w:t>
            </w:r>
          </w:p>
        </w:tc>
        <w:tc>
          <w:tcPr>
            <w:tcW w:w="718" w:type="dxa"/>
            <w:tcBorders>
              <w:bottom w:val="single" w:sz="4" w:space="0" w:color="auto"/>
            </w:tcBorders>
          </w:tcPr>
          <w:p w:rsidR="003B60B7" w:rsidRDefault="003B60B7" w:rsidP="00636600">
            <w:pPr>
              <w:pStyle w:val="Tabletext"/>
              <w:framePr w:hSpace="181" w:wrap="notBeside" w:vAnchor="text" w:hAnchor="text" w:xAlign="center" w:y="1"/>
              <w:jc w:val="center"/>
              <w:rPr>
                <w:sz w:val="18"/>
                <w:lang w:val="en-US"/>
              </w:rPr>
            </w:pPr>
            <w:r>
              <w:rPr>
                <w:sz w:val="18"/>
                <w:lang w:val="en-US"/>
              </w:rPr>
              <w:t>60</w:t>
            </w:r>
          </w:p>
        </w:tc>
        <w:tc>
          <w:tcPr>
            <w:tcW w:w="720" w:type="dxa"/>
            <w:tcBorders>
              <w:bottom w:val="single" w:sz="4" w:space="0" w:color="auto"/>
            </w:tcBorders>
          </w:tcPr>
          <w:p w:rsidR="003B60B7" w:rsidRDefault="003B60B7" w:rsidP="00636600">
            <w:pPr>
              <w:pStyle w:val="Tabletext"/>
              <w:framePr w:hSpace="181" w:wrap="notBeside" w:vAnchor="text" w:hAnchor="text" w:xAlign="center" w:y="1"/>
              <w:jc w:val="center"/>
              <w:rPr>
                <w:sz w:val="18"/>
                <w:lang w:val="en-US"/>
              </w:rPr>
            </w:pPr>
            <w:r>
              <w:rPr>
                <w:sz w:val="18"/>
                <w:lang w:val="en-US"/>
              </w:rPr>
              <w:t>30.5</w:t>
            </w:r>
          </w:p>
        </w:tc>
        <w:tc>
          <w:tcPr>
            <w:tcW w:w="1395" w:type="dxa"/>
            <w:tcBorders>
              <w:bottom w:val="single" w:sz="4" w:space="0" w:color="auto"/>
            </w:tcBorders>
          </w:tcPr>
          <w:p w:rsidR="003B60B7" w:rsidRDefault="003B60B7" w:rsidP="00636600">
            <w:pPr>
              <w:pStyle w:val="Tabletext"/>
              <w:framePr w:hSpace="181" w:wrap="notBeside" w:vAnchor="text" w:hAnchor="text" w:xAlign="center" w:y="1"/>
              <w:jc w:val="left"/>
              <w:rPr>
                <w:sz w:val="18"/>
                <w:lang w:val="en-US"/>
              </w:rPr>
            </w:pPr>
            <w:r>
              <w:rPr>
                <w:sz w:val="18"/>
                <w:lang w:val="en-US"/>
              </w:rPr>
              <w:t>Baltics</w:t>
            </w:r>
          </w:p>
        </w:tc>
        <w:tc>
          <w:tcPr>
            <w:tcW w:w="632" w:type="dxa"/>
            <w:tcBorders>
              <w:bottom w:val="single" w:sz="4" w:space="0" w:color="auto"/>
            </w:tcBorders>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0.01</w:t>
            </w:r>
          </w:p>
        </w:tc>
        <w:tc>
          <w:tcPr>
            <w:tcW w:w="778" w:type="dxa"/>
            <w:tcBorders>
              <w:bottom w:val="single" w:sz="4" w:space="0" w:color="auto"/>
            </w:tcBorders>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w:t>
            </w:r>
            <w:r>
              <w:rPr>
                <w:rFonts w:ascii="Tms Rmn" w:hAnsi="Tms Rmn"/>
                <w:sz w:val="12"/>
                <w:lang w:val="en-US"/>
              </w:rPr>
              <w:t> </w:t>
            </w:r>
            <w:r>
              <w:rPr>
                <w:sz w:val="18"/>
                <w:lang w:val="en-US"/>
              </w:rPr>
              <w:t>010.8</w:t>
            </w:r>
          </w:p>
        </w:tc>
        <w:tc>
          <w:tcPr>
            <w:tcW w:w="630" w:type="dxa"/>
            <w:tcBorders>
              <w:bottom w:val="single" w:sz="4" w:space="0" w:color="auto"/>
            </w:tcBorders>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310</w:t>
            </w:r>
          </w:p>
        </w:tc>
        <w:tc>
          <w:tcPr>
            <w:tcW w:w="779" w:type="dxa"/>
            <w:tcBorders>
              <w:bottom w:val="single" w:sz="4" w:space="0" w:color="auto"/>
            </w:tcBorders>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1.5</w:t>
            </w:r>
          </w:p>
        </w:tc>
        <w:tc>
          <w:tcPr>
            <w:tcW w:w="778" w:type="dxa"/>
            <w:tcBorders>
              <w:bottom w:val="single" w:sz="4" w:space="0" w:color="auto"/>
            </w:tcBorders>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261.7</w:t>
            </w:r>
          </w:p>
        </w:tc>
        <w:tc>
          <w:tcPr>
            <w:tcW w:w="729" w:type="dxa"/>
            <w:tcBorders>
              <w:bottom w:val="single" w:sz="4" w:space="0" w:color="auto"/>
            </w:tcBorders>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jc w:val="center"/>
              <w:rPr>
                <w:sz w:val="18"/>
                <w:lang w:val="en-US"/>
              </w:rPr>
            </w:pPr>
            <w:r>
              <w:rPr>
                <w:sz w:val="18"/>
              </w:rPr>
              <w:sym w:font="Symbol" w:char="F02D"/>
            </w:r>
            <w:r>
              <w:rPr>
                <w:sz w:val="18"/>
                <w:lang w:val="en-US"/>
              </w:rPr>
              <w:t>11.4</w:t>
            </w:r>
          </w:p>
        </w:tc>
        <w:tc>
          <w:tcPr>
            <w:tcW w:w="655" w:type="dxa"/>
            <w:tcBorders>
              <w:bottom w:val="single" w:sz="4" w:space="0" w:color="auto"/>
            </w:tcBorders>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2.44</w:t>
            </w:r>
          </w:p>
        </w:tc>
        <w:tc>
          <w:tcPr>
            <w:tcW w:w="862" w:type="dxa"/>
            <w:tcBorders>
              <w:bottom w:val="single" w:sz="4" w:space="0" w:color="auto"/>
            </w:tcBorders>
          </w:tcPr>
          <w:p w:rsidR="003B60B7" w:rsidRDefault="003B60B7" w:rsidP="0063660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25.3</w:t>
            </w:r>
          </w:p>
        </w:tc>
      </w:tr>
      <w:tr w:rsidR="003B60B7" w:rsidTr="00636600">
        <w:trPr>
          <w:jc w:val="center"/>
        </w:trPr>
        <w:tc>
          <w:tcPr>
            <w:tcW w:w="9639" w:type="dxa"/>
            <w:gridSpan w:val="12"/>
            <w:tcBorders>
              <w:left w:val="nil"/>
              <w:bottom w:val="nil"/>
              <w:right w:val="nil"/>
            </w:tcBorders>
          </w:tcPr>
          <w:p w:rsidR="003B60B7" w:rsidRDefault="003B60B7" w:rsidP="00636600">
            <w:pPr>
              <w:pStyle w:val="Tablelegend"/>
              <w:framePr w:hSpace="181" w:wrap="notBeside" w:vAnchor="text" w:hAnchor="text" w:xAlign="center" w:y="1"/>
              <w:rPr>
                <w:sz w:val="20"/>
                <w:lang w:val="en-US"/>
              </w:rPr>
            </w:pPr>
            <w:r>
              <w:rPr>
                <w:sz w:val="20"/>
                <w:lang w:val="en-US"/>
              </w:rPr>
              <w:t xml:space="preserve">NOTE – The temperatures given are calculated from the other parameters, which are supplied. </w:t>
            </w:r>
          </w:p>
          <w:p w:rsidR="003B60B7" w:rsidRDefault="003B60B7" w:rsidP="00636600">
            <w:pPr>
              <w:pStyle w:val="Tablelegend"/>
              <w:framePr w:hSpace="181" w:wrap="notBeside" w:vAnchor="text" w:hAnchor="text" w:xAlign="center" w:y="1"/>
              <w:rPr>
                <w:sz w:val="18"/>
                <w:lang w:val="en-US"/>
              </w:rPr>
            </w:pPr>
            <w:r>
              <w:rPr>
                <w:position w:val="6"/>
                <w:sz w:val="16"/>
                <w:lang w:val="en-GB"/>
              </w:rPr>
              <w:t>(1)</w:t>
            </w:r>
            <w:r>
              <w:rPr>
                <w:lang w:val="en-GB"/>
              </w:rPr>
              <w:tab/>
            </w:r>
            <w:r>
              <w:rPr>
                <w:sz w:val="20"/>
                <w:lang w:val="en-GB"/>
              </w:rPr>
              <w:t>T</w:t>
            </w:r>
            <w:r>
              <w:rPr>
                <w:sz w:val="20"/>
                <w:lang w:val="en-US"/>
              </w:rPr>
              <w:t>hese geoclimatic parameters are defined in Table 2.</w:t>
            </w:r>
          </w:p>
        </w:tc>
      </w:tr>
    </w:tbl>
    <w:p w:rsidR="003B60B7" w:rsidRDefault="003B60B7" w:rsidP="003B60B7">
      <w:pPr>
        <w:pStyle w:val="Tablefin"/>
      </w:pPr>
    </w:p>
    <w:p w:rsidR="003B60B7" w:rsidRDefault="003B60B7" w:rsidP="003B60B7">
      <w:pPr>
        <w:pStyle w:val="TableNo"/>
        <w:rPr>
          <w:lang w:val="en-US"/>
        </w:rPr>
      </w:pPr>
      <w:r>
        <w:rPr>
          <w:lang w:val="en-GB"/>
        </w:rPr>
        <w:br w:type="page"/>
      </w:r>
      <w:r>
        <w:rPr>
          <w:lang w:val="en-US"/>
        </w:rPr>
        <w:lastRenderedPageBreak/>
        <w:t>TABLE  2</w:t>
      </w:r>
    </w:p>
    <w:p w:rsidR="003B60B7" w:rsidRDefault="003B60B7" w:rsidP="003B60B7">
      <w:pPr>
        <w:pStyle w:val="Tabletitle"/>
        <w:rPr>
          <w:lang w:val="en-US"/>
        </w:rPr>
      </w:pPr>
      <w:r>
        <w:rPr>
          <w:lang w:val="en-US"/>
        </w:rPr>
        <w:t>Geoclimatic parameters</w:t>
      </w:r>
    </w:p>
    <w:p w:rsidR="003B60B7" w:rsidRDefault="003B60B7" w:rsidP="003B60B7">
      <w:pPr>
        <w:spacing w:before="0"/>
        <w:rPr>
          <w:sz w:val="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2"/>
        <w:gridCol w:w="3506"/>
        <w:gridCol w:w="2954"/>
      </w:tblGrid>
      <w:tr w:rsidR="003B60B7" w:rsidTr="00636600">
        <w:trPr>
          <w:jc w:val="center"/>
        </w:trPr>
        <w:tc>
          <w:tcPr>
            <w:tcW w:w="2402" w:type="dxa"/>
          </w:tcPr>
          <w:p w:rsidR="003B60B7" w:rsidRDefault="003B60B7" w:rsidP="00636600">
            <w:pPr>
              <w:pStyle w:val="Tablehead"/>
              <w:framePr w:hSpace="181" w:wrap="notBeside" w:vAnchor="text" w:hAnchor="text" w:xAlign="center" w:y="1"/>
            </w:pPr>
            <w:r>
              <w:t>Symbol</w:t>
            </w:r>
          </w:p>
        </w:tc>
        <w:tc>
          <w:tcPr>
            <w:tcW w:w="3506" w:type="dxa"/>
          </w:tcPr>
          <w:p w:rsidR="003B60B7" w:rsidRDefault="003B60B7" w:rsidP="00636600">
            <w:pPr>
              <w:pStyle w:val="Tablehead"/>
              <w:framePr w:hSpace="181" w:wrap="notBeside" w:vAnchor="text" w:hAnchor="text" w:xAlign="center" w:y="1"/>
            </w:pPr>
            <w:r>
              <w:t>Parameter</w:t>
            </w:r>
          </w:p>
        </w:tc>
        <w:tc>
          <w:tcPr>
            <w:tcW w:w="2954" w:type="dxa"/>
          </w:tcPr>
          <w:p w:rsidR="003B60B7" w:rsidRDefault="003B60B7" w:rsidP="00636600">
            <w:pPr>
              <w:pStyle w:val="Tablehead"/>
              <w:framePr w:hSpace="181" w:wrap="notBeside" w:vAnchor="text" w:hAnchor="text" w:xAlign="center" w:y="1"/>
            </w:pPr>
            <w:r>
              <w:t>Units</w:t>
            </w:r>
          </w:p>
        </w:tc>
      </w:tr>
      <w:tr w:rsidR="003B60B7" w:rsidTr="00636600">
        <w:trPr>
          <w:jc w:val="center"/>
        </w:trPr>
        <w:tc>
          <w:tcPr>
            <w:tcW w:w="2402" w:type="dxa"/>
          </w:tcPr>
          <w:p w:rsidR="003B60B7" w:rsidRDefault="003B60B7" w:rsidP="00636600">
            <w:pPr>
              <w:pStyle w:val="Tabletext"/>
              <w:framePr w:hSpace="181" w:wrap="notBeside" w:vAnchor="text" w:hAnchor="text" w:xAlign="center" w:y="1"/>
              <w:jc w:val="center"/>
            </w:pPr>
            <w:r>
              <w:sym w:font="Symbol" w:char="F06C"/>
            </w:r>
          </w:p>
        </w:tc>
        <w:tc>
          <w:tcPr>
            <w:tcW w:w="3506" w:type="dxa"/>
          </w:tcPr>
          <w:p w:rsidR="003B60B7" w:rsidRDefault="003B60B7" w:rsidP="00636600">
            <w:pPr>
              <w:pStyle w:val="Tabletext"/>
              <w:framePr w:hSpace="181" w:wrap="notBeside" w:vAnchor="text" w:hAnchor="text" w:xAlign="center" w:y="1"/>
            </w:pPr>
            <w:r>
              <w:t>P-MP cell latitude</w:t>
            </w:r>
          </w:p>
        </w:tc>
        <w:tc>
          <w:tcPr>
            <w:tcW w:w="2954" w:type="dxa"/>
          </w:tcPr>
          <w:p w:rsidR="003B60B7" w:rsidRDefault="003B60B7" w:rsidP="00636600">
            <w:pPr>
              <w:pStyle w:val="Tabletext"/>
              <w:framePr w:hSpace="181" w:wrap="notBeside" w:vAnchor="text" w:hAnchor="text" w:xAlign="center" w:y="1"/>
              <w:jc w:val="center"/>
            </w:pPr>
            <w:r>
              <w:t>+°N/–°S</w:t>
            </w:r>
          </w:p>
        </w:tc>
      </w:tr>
      <w:tr w:rsidR="003B60B7" w:rsidTr="00636600">
        <w:trPr>
          <w:jc w:val="center"/>
        </w:trPr>
        <w:tc>
          <w:tcPr>
            <w:tcW w:w="2402" w:type="dxa"/>
          </w:tcPr>
          <w:p w:rsidR="003B60B7" w:rsidRDefault="003B60B7" w:rsidP="00636600">
            <w:pPr>
              <w:pStyle w:val="Tabletext"/>
              <w:framePr w:hSpace="181" w:wrap="notBeside" w:vAnchor="text" w:hAnchor="text" w:xAlign="center" w:y="1"/>
              <w:jc w:val="center"/>
            </w:pPr>
            <w:r>
              <w:sym w:font="Symbol" w:char="F072"/>
            </w:r>
          </w:p>
        </w:tc>
        <w:tc>
          <w:tcPr>
            <w:tcW w:w="3506" w:type="dxa"/>
          </w:tcPr>
          <w:p w:rsidR="003B60B7" w:rsidRDefault="003B60B7" w:rsidP="00636600">
            <w:pPr>
              <w:pStyle w:val="Tabletext"/>
              <w:framePr w:hSpace="181" w:wrap="notBeside" w:vAnchor="text" w:hAnchor="text" w:xAlign="center" w:y="1"/>
            </w:pPr>
            <w:r>
              <w:t>Water vapour density</w:t>
            </w:r>
          </w:p>
        </w:tc>
        <w:tc>
          <w:tcPr>
            <w:tcW w:w="2954" w:type="dxa"/>
          </w:tcPr>
          <w:p w:rsidR="003B60B7" w:rsidRDefault="003B60B7" w:rsidP="00636600">
            <w:pPr>
              <w:pStyle w:val="Tabletext"/>
              <w:framePr w:hSpace="181" w:wrap="notBeside" w:vAnchor="text" w:hAnchor="text" w:xAlign="center" w:y="1"/>
              <w:jc w:val="center"/>
            </w:pPr>
            <w:r>
              <w:t>g/m</w:t>
            </w:r>
            <w:r>
              <w:rPr>
                <w:position w:val="6"/>
                <w:sz w:val="18"/>
                <w:lang w:val="es-ES_tradnl"/>
              </w:rPr>
              <w:t>3</w:t>
            </w:r>
          </w:p>
        </w:tc>
      </w:tr>
      <w:tr w:rsidR="003B60B7" w:rsidTr="00636600">
        <w:trPr>
          <w:jc w:val="center"/>
        </w:trPr>
        <w:tc>
          <w:tcPr>
            <w:tcW w:w="2402" w:type="dxa"/>
          </w:tcPr>
          <w:p w:rsidR="003B60B7" w:rsidRDefault="003B60B7" w:rsidP="00636600">
            <w:pPr>
              <w:pStyle w:val="Tabletext"/>
              <w:framePr w:hSpace="181" w:wrap="notBeside" w:vAnchor="text" w:hAnchor="text" w:xAlign="center" w:y="1"/>
              <w:jc w:val="center"/>
              <w:rPr>
                <w:i/>
                <w:iCs/>
              </w:rPr>
            </w:pPr>
            <w:r>
              <w:rPr>
                <w:i/>
                <w:iCs/>
              </w:rPr>
              <w:t>P</w:t>
            </w:r>
          </w:p>
        </w:tc>
        <w:tc>
          <w:tcPr>
            <w:tcW w:w="3506" w:type="dxa"/>
          </w:tcPr>
          <w:p w:rsidR="003B60B7" w:rsidRDefault="003B60B7" w:rsidP="00636600">
            <w:pPr>
              <w:pStyle w:val="Tabletext"/>
              <w:framePr w:hSpace="181" w:wrap="notBeside" w:vAnchor="text" w:hAnchor="text" w:xAlign="center" w:y="1"/>
            </w:pPr>
            <w:r>
              <w:t>Atmospheric pressure (0 m amsl)</w:t>
            </w:r>
          </w:p>
        </w:tc>
        <w:tc>
          <w:tcPr>
            <w:tcW w:w="2954" w:type="dxa"/>
          </w:tcPr>
          <w:p w:rsidR="003B60B7" w:rsidRDefault="003B60B7" w:rsidP="00636600">
            <w:pPr>
              <w:pStyle w:val="Tabletext"/>
              <w:framePr w:hSpace="181" w:wrap="notBeside" w:vAnchor="text" w:hAnchor="text" w:xAlign="center" w:y="1"/>
              <w:jc w:val="center"/>
            </w:pPr>
            <w:r>
              <w:t>hPa</w:t>
            </w:r>
          </w:p>
        </w:tc>
      </w:tr>
      <w:tr w:rsidR="003B60B7" w:rsidTr="00636600">
        <w:trPr>
          <w:jc w:val="center"/>
        </w:trPr>
        <w:tc>
          <w:tcPr>
            <w:tcW w:w="2402" w:type="dxa"/>
          </w:tcPr>
          <w:p w:rsidR="003B60B7" w:rsidRDefault="003B60B7" w:rsidP="00636600">
            <w:pPr>
              <w:pStyle w:val="Tabletext"/>
              <w:framePr w:hSpace="181" w:wrap="notBeside" w:vAnchor="text" w:hAnchor="text" w:xAlign="center" w:y="1"/>
              <w:jc w:val="center"/>
            </w:pPr>
            <w:r>
              <w:rPr>
                <w:i/>
                <w:iCs/>
              </w:rPr>
              <w:t>N</w:t>
            </w:r>
            <w:r>
              <w:rPr>
                <w:position w:val="-4"/>
                <w:sz w:val="18"/>
                <w:lang w:val="en-US"/>
              </w:rPr>
              <w:t>0</w:t>
            </w:r>
          </w:p>
        </w:tc>
        <w:tc>
          <w:tcPr>
            <w:tcW w:w="3506" w:type="dxa"/>
          </w:tcPr>
          <w:p w:rsidR="003B60B7" w:rsidRDefault="003B60B7" w:rsidP="00636600">
            <w:pPr>
              <w:pStyle w:val="Tabletext"/>
              <w:framePr w:hSpace="181" w:wrap="notBeside" w:vAnchor="text" w:hAnchor="text" w:xAlign="center" w:y="1"/>
            </w:pPr>
            <w:r>
              <w:t>Radio refractive index</w:t>
            </w:r>
          </w:p>
        </w:tc>
        <w:tc>
          <w:tcPr>
            <w:tcW w:w="2954" w:type="dxa"/>
          </w:tcPr>
          <w:p w:rsidR="003B60B7" w:rsidRDefault="003B60B7" w:rsidP="00636600">
            <w:pPr>
              <w:pStyle w:val="Tabletext"/>
              <w:framePr w:hSpace="181" w:wrap="notBeside" w:vAnchor="text" w:hAnchor="text" w:xAlign="center" w:y="1"/>
              <w:jc w:val="center"/>
            </w:pPr>
          </w:p>
        </w:tc>
      </w:tr>
      <w:tr w:rsidR="003B60B7" w:rsidTr="00636600">
        <w:trPr>
          <w:jc w:val="center"/>
        </w:trPr>
        <w:tc>
          <w:tcPr>
            <w:tcW w:w="2402" w:type="dxa"/>
          </w:tcPr>
          <w:p w:rsidR="003B60B7" w:rsidRDefault="003B60B7" w:rsidP="00636600">
            <w:pPr>
              <w:pStyle w:val="Tabletext"/>
              <w:framePr w:hSpace="181" w:wrap="notBeside" w:vAnchor="text" w:hAnchor="text" w:xAlign="center" w:y="1"/>
              <w:jc w:val="center"/>
              <w:rPr>
                <w:i/>
                <w:iCs/>
                <w:vertAlign w:val="subscript"/>
              </w:rPr>
            </w:pPr>
            <w:r>
              <w:rPr>
                <w:i/>
                <w:iCs/>
              </w:rPr>
              <w:t>h</w:t>
            </w:r>
            <w:r>
              <w:rPr>
                <w:i/>
                <w:iCs/>
                <w:position w:val="-4"/>
                <w:sz w:val="18"/>
                <w:lang w:val="en-US"/>
              </w:rPr>
              <w:t>R</w:t>
            </w:r>
          </w:p>
        </w:tc>
        <w:tc>
          <w:tcPr>
            <w:tcW w:w="3506" w:type="dxa"/>
          </w:tcPr>
          <w:p w:rsidR="003B60B7" w:rsidRDefault="003B60B7" w:rsidP="00636600">
            <w:pPr>
              <w:pStyle w:val="Tabletext"/>
              <w:framePr w:hSpace="181" w:wrap="notBeside" w:vAnchor="text" w:hAnchor="text" w:xAlign="center" w:y="1"/>
              <w:jc w:val="left"/>
              <w:rPr>
                <w:lang w:val="en-US"/>
              </w:rPr>
            </w:pPr>
            <w:r>
              <w:rPr>
                <w:lang w:val="en-US"/>
              </w:rPr>
              <w:t>Rain height (amsl) as determined from Recommendation ITU-R P.839</w:t>
            </w:r>
          </w:p>
        </w:tc>
        <w:tc>
          <w:tcPr>
            <w:tcW w:w="2954" w:type="dxa"/>
          </w:tcPr>
          <w:p w:rsidR="003B60B7" w:rsidRDefault="003B60B7" w:rsidP="00636600">
            <w:pPr>
              <w:pStyle w:val="Tabletext"/>
              <w:framePr w:hSpace="181" w:wrap="notBeside" w:vAnchor="text" w:hAnchor="text" w:xAlign="center" w:y="1"/>
              <w:jc w:val="center"/>
            </w:pPr>
            <w:r>
              <w:t>km</w:t>
            </w:r>
          </w:p>
        </w:tc>
      </w:tr>
      <w:tr w:rsidR="003B60B7" w:rsidTr="00636600">
        <w:trPr>
          <w:jc w:val="center"/>
        </w:trPr>
        <w:tc>
          <w:tcPr>
            <w:tcW w:w="2402" w:type="dxa"/>
          </w:tcPr>
          <w:p w:rsidR="003B60B7" w:rsidRDefault="003B60B7" w:rsidP="00636600">
            <w:pPr>
              <w:pStyle w:val="Tabletext"/>
              <w:framePr w:hSpace="181" w:wrap="notBeside" w:vAnchor="text" w:hAnchor="text" w:xAlign="center" w:y="1"/>
              <w:jc w:val="center"/>
            </w:pPr>
            <w:r>
              <w:rPr>
                <w:i/>
                <w:iCs/>
              </w:rPr>
              <w:t>R</w:t>
            </w:r>
            <w:r>
              <w:rPr>
                <w:position w:val="-4"/>
                <w:sz w:val="18"/>
                <w:lang w:val="en-US"/>
              </w:rPr>
              <w:t>0.01</w:t>
            </w:r>
          </w:p>
        </w:tc>
        <w:tc>
          <w:tcPr>
            <w:tcW w:w="3506" w:type="dxa"/>
          </w:tcPr>
          <w:p w:rsidR="003B60B7" w:rsidRDefault="003B60B7" w:rsidP="00636600">
            <w:pPr>
              <w:pStyle w:val="Tabletext"/>
              <w:framePr w:hSpace="181" w:wrap="notBeside" w:vAnchor="text" w:hAnchor="text" w:xAlign="center" w:y="1"/>
            </w:pPr>
            <w:r>
              <w:t>Rain rate (exceeded 0.01% of time)</w:t>
            </w:r>
          </w:p>
        </w:tc>
        <w:tc>
          <w:tcPr>
            <w:tcW w:w="2954" w:type="dxa"/>
          </w:tcPr>
          <w:p w:rsidR="003B60B7" w:rsidRDefault="003B60B7" w:rsidP="00636600">
            <w:pPr>
              <w:pStyle w:val="Tabletext"/>
              <w:framePr w:hSpace="181" w:wrap="notBeside" w:vAnchor="text" w:hAnchor="text" w:xAlign="center" w:y="1"/>
              <w:jc w:val="center"/>
            </w:pPr>
            <w:r>
              <w:t>mm/h</w:t>
            </w:r>
          </w:p>
        </w:tc>
      </w:tr>
      <w:tr w:rsidR="003B60B7" w:rsidTr="00636600">
        <w:trPr>
          <w:jc w:val="center"/>
        </w:trPr>
        <w:tc>
          <w:tcPr>
            <w:tcW w:w="2402" w:type="dxa"/>
          </w:tcPr>
          <w:p w:rsidR="003B60B7" w:rsidRDefault="003B60B7" w:rsidP="00636600">
            <w:pPr>
              <w:pStyle w:val="Tabletext"/>
              <w:framePr w:hSpace="181" w:wrap="notBeside" w:vAnchor="text" w:hAnchor="text" w:xAlign="center" w:y="1"/>
              <w:jc w:val="center"/>
            </w:pPr>
            <w:r>
              <w:sym w:font="Symbol" w:char="F078"/>
            </w:r>
          </w:p>
        </w:tc>
        <w:tc>
          <w:tcPr>
            <w:tcW w:w="3506" w:type="dxa"/>
          </w:tcPr>
          <w:p w:rsidR="003B60B7" w:rsidRDefault="003B60B7" w:rsidP="00636600">
            <w:pPr>
              <w:pStyle w:val="Tabletext"/>
              <w:framePr w:hSpace="181" w:wrap="notBeside" w:vAnchor="text" w:hAnchor="text" w:xAlign="center" w:y="1"/>
              <w:rPr>
                <w:lang w:val="es-ES"/>
              </w:rPr>
            </w:pPr>
            <w:r>
              <w:rPr>
                <w:lang w:val="es-ES"/>
              </w:rPr>
              <w:t>Longitude</w:t>
            </w:r>
          </w:p>
        </w:tc>
        <w:tc>
          <w:tcPr>
            <w:tcW w:w="2954" w:type="dxa"/>
          </w:tcPr>
          <w:p w:rsidR="003B60B7" w:rsidRDefault="003B60B7" w:rsidP="00636600">
            <w:pPr>
              <w:pStyle w:val="Tabletext"/>
              <w:framePr w:hSpace="181" w:wrap="notBeside" w:vAnchor="text" w:hAnchor="text" w:xAlign="center" w:y="1"/>
              <w:jc w:val="center"/>
              <w:rPr>
                <w:lang w:val="es-ES"/>
              </w:rPr>
            </w:pPr>
            <w:r>
              <w:rPr>
                <w:lang w:val="es-ES"/>
              </w:rPr>
              <w:t>+°E/–°W</w:t>
            </w:r>
          </w:p>
        </w:tc>
      </w:tr>
    </w:tbl>
    <w:p w:rsidR="003B60B7" w:rsidRDefault="003B60B7" w:rsidP="003B60B7">
      <w:pPr>
        <w:pStyle w:val="Tablefin"/>
      </w:pPr>
    </w:p>
    <w:p w:rsidR="003B60B7" w:rsidRDefault="003B60B7" w:rsidP="003B60B7">
      <w:pPr>
        <w:rPr>
          <w:lang w:val="en-GB"/>
        </w:rPr>
      </w:pPr>
    </w:p>
    <w:p w:rsidR="003B60B7" w:rsidRDefault="003B60B7" w:rsidP="003B60B7">
      <w:pPr>
        <w:rPr>
          <w:lang w:val="en-US"/>
        </w:rPr>
      </w:pPr>
      <w:r>
        <w:rPr>
          <w:lang w:val="en-US"/>
        </w:rPr>
        <w:t>It should also be noted that some of the parameters are interrelated. A list of these interrelated parameters is given in § 5.2.</w:t>
      </w:r>
    </w:p>
    <w:p w:rsidR="003B60B7" w:rsidRDefault="003B60B7" w:rsidP="003B60B7">
      <w:pPr>
        <w:pStyle w:val="Heading2"/>
        <w:rPr>
          <w:lang w:val="en-US"/>
        </w:rPr>
      </w:pPr>
      <w:r>
        <w:rPr>
          <w:lang w:val="en-US"/>
        </w:rPr>
        <w:t>5.2</w:t>
      </w:r>
      <w:r>
        <w:rPr>
          <w:lang w:val="en-US"/>
        </w:rPr>
        <w:tab/>
        <w:t>Water vapour density, atmospheric pressure and radio refractive index</w:t>
      </w:r>
    </w:p>
    <w:p w:rsidR="003B60B7" w:rsidRDefault="003B60B7" w:rsidP="003B60B7">
      <w:pPr>
        <w:spacing w:line="280" w:lineRule="exact"/>
        <w:rPr>
          <w:lang w:val="en-US"/>
        </w:rPr>
      </w:pPr>
      <w:r>
        <w:rPr>
          <w:lang w:val="en-US"/>
        </w:rPr>
        <w:t>Given that the site-specific model specified in Recommendation ITU-R P.676 is complex in its implementation for calculating slant path atmospheric attenuation, the details regarding the implementation of this model are provided below. Recommendation ITU-R SF.1395 contains the details regarding the implementation of this model. The parameters water vapour density, atmospheric pressure, temperature, and radio refractive index are all interrelated by Recommendation ITU</w:t>
      </w:r>
      <w:r>
        <w:rPr>
          <w:lang w:val="en-US"/>
        </w:rPr>
        <w:noBreakHyphen/>
        <w:t>R P.453</w:t>
      </w:r>
      <w:r>
        <w:rPr>
          <w:lang w:val="en-US"/>
        </w:rPr>
        <w:noBreakHyphen/>
        <w:t>7. When implementing the Recommendation ITU-R P.676 method, only the atmospheric pressure parameter, which has the least global variability of all of the parameters from Recommendation ITU</w:t>
      </w:r>
      <w:r>
        <w:rPr>
          <w:lang w:val="en-US"/>
        </w:rPr>
        <w:noBreakHyphen/>
        <w:t>R SF.1395 is used in the list of specific geoclimatic parameters in Table 1</w:t>
      </w:r>
      <w:r>
        <w:rPr>
          <w:rStyle w:val="FootnoteReference"/>
          <w:lang w:val="en-US"/>
        </w:rPr>
        <w:footnoteReference w:customMarkFollows="1" w:id="3"/>
        <w:t>1</w:t>
      </w:r>
      <w:r>
        <w:rPr>
          <w:lang w:val="en-US"/>
        </w:rPr>
        <w:t>. This is done for simplicity. If more accurate local data is available, it may be used instead.</w:t>
      </w:r>
    </w:p>
    <w:p w:rsidR="003B60B7" w:rsidRDefault="003B60B7" w:rsidP="003B60B7">
      <w:pPr>
        <w:spacing w:line="280" w:lineRule="exact"/>
        <w:rPr>
          <w:lang w:val="en-US"/>
        </w:rPr>
      </w:pPr>
      <w:r>
        <w:rPr>
          <w:lang w:val="en-US"/>
        </w:rPr>
        <w:t xml:space="preserve">The water vapour density, </w:t>
      </w:r>
      <w:r>
        <w:sym w:font="Symbol" w:char="F072"/>
      </w:r>
      <w:r>
        <w:rPr>
          <w:lang w:val="en-US"/>
        </w:rPr>
        <w:t xml:space="preserve">, and mean radio refractive index, </w:t>
      </w:r>
      <w:r>
        <w:rPr>
          <w:i/>
          <w:iCs/>
          <w:lang w:val="en-US"/>
        </w:rPr>
        <w:t>N</w:t>
      </w:r>
      <w:r>
        <w:rPr>
          <w:rStyle w:val="FootnoteReference"/>
          <w:position w:val="-4"/>
          <w:sz w:val="20"/>
          <w:lang w:val="en-US"/>
        </w:rPr>
        <w:t>0</w:t>
      </w:r>
      <w:r>
        <w:rPr>
          <w:lang w:val="en-US"/>
        </w:rPr>
        <w:t>, are determined from world maps in Recommendations ITU-R P.836 and ITU-R P.453 respectively. The February (winter) values of </w:t>
      </w:r>
      <w:r>
        <w:sym w:font="Symbol" w:char="F072"/>
      </w:r>
      <w:r>
        <w:rPr>
          <w:lang w:val="en-US"/>
        </w:rPr>
        <w:t xml:space="preserve"> and </w:t>
      </w:r>
      <w:r>
        <w:rPr>
          <w:i/>
          <w:iCs/>
          <w:lang w:val="en-US"/>
        </w:rPr>
        <w:t>N</w:t>
      </w:r>
      <w:r>
        <w:rPr>
          <w:position w:val="-4"/>
          <w:sz w:val="20"/>
          <w:lang w:val="en-US"/>
        </w:rPr>
        <w:t>0</w:t>
      </w:r>
      <w:r>
        <w:rPr>
          <w:lang w:val="en-US"/>
        </w:rPr>
        <w:t xml:space="preserve"> for the Northern Hemisphere (and July (winter) values for the Southern Hemisphere) are used since they yield minimum values of gaseous atmospheric attenuation (</w:t>
      </w:r>
      <w:r>
        <w:sym w:font="Symbol" w:char="F067"/>
      </w:r>
      <w:r>
        <w:rPr>
          <w:lang w:val="en-US"/>
        </w:rPr>
        <w:t xml:space="preserve"> (dB/km)) on the path in the direction of the interference. The winter values of calculated atmospheric attenuations are applied to both the wanted (terrestrial) and the interfering (from the satellite) paths. Since temperature is a function of the water vapour density, atmospheric pressure and radio refractive index, it can be calculated from the other parameters. The temperature together with water vapour </w:t>
      </w:r>
      <w:r>
        <w:rPr>
          <w:lang w:val="en-US"/>
        </w:rPr>
        <w:br w:type="page"/>
      </w:r>
      <w:r>
        <w:rPr>
          <w:lang w:val="en-US"/>
        </w:rPr>
        <w:lastRenderedPageBreak/>
        <w:t xml:space="preserve">density, </w:t>
      </w:r>
      <w:r>
        <w:sym w:font="Symbol" w:char="F072"/>
      </w:r>
      <w:r>
        <w:rPr>
          <w:lang w:val="en-US"/>
        </w:rPr>
        <w:t xml:space="preserve">, and atmospheric pressure, </w:t>
      </w:r>
      <w:r>
        <w:rPr>
          <w:i/>
          <w:iCs/>
          <w:lang w:val="en-US"/>
        </w:rPr>
        <w:t>P</w:t>
      </w:r>
      <w:r>
        <w:rPr>
          <w:lang w:val="en-US"/>
        </w:rPr>
        <w:t>, are used to calculate attenuation due to atmospheric gases on both the wanted and the interference paths using Recommendation ITU</w:t>
      </w:r>
      <w:r>
        <w:rPr>
          <w:lang w:val="en-US"/>
        </w:rPr>
        <w:noBreakHyphen/>
        <w:t>R P.676. The expression used in equation (1) to calculate temperature is derived from equations (1) through (9) in Recommendation ITU-R P.453. Appropriate world maps of annual minimum and maximum mean monthly temperatures are used as a means to verify the temperatures.</w:t>
      </w:r>
    </w:p>
    <w:p w:rsidR="003B60B7" w:rsidRDefault="003B60B7" w:rsidP="003B60B7">
      <w:pPr>
        <w:pStyle w:val="Equation"/>
        <w:rPr>
          <w:lang w:val="es-ES_tradnl"/>
        </w:rPr>
      </w:pPr>
      <w:r>
        <w:rPr>
          <w:lang w:val="es-ES_tradnl"/>
        </w:rPr>
        <w:tab/>
      </w:r>
      <w:r>
        <w:rPr>
          <w:lang w:val="es-ES_tradnl"/>
        </w:rPr>
        <w:tab/>
      </w:r>
      <w:r w:rsidRPr="00C91B3E">
        <w:rPr>
          <w:position w:val="-38"/>
          <w:lang w:val="es-ES_tradnl"/>
        </w:rPr>
        <w:object w:dxaOrig="39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2pt;height:37.8pt" o:ole="" fillcolor="window">
            <v:imagedata r:id="rId14" o:title=""/>
          </v:shape>
          <o:OLEObject Type="Embed" ProgID="Equation.3" ShapeID="_x0000_i1025" DrawAspect="Content" ObjectID="_1349506782" r:id="rId15"/>
        </w:object>
      </w:r>
      <w:r>
        <w:rPr>
          <w:lang w:val="es-ES_tradnl"/>
        </w:rPr>
        <w:tab/>
        <w:t>(1)</w:t>
      </w:r>
    </w:p>
    <w:p w:rsidR="003B60B7" w:rsidRDefault="003B60B7" w:rsidP="003B60B7">
      <w:pPr>
        <w:rPr>
          <w:lang w:val="en-US"/>
        </w:rPr>
      </w:pPr>
      <w:r>
        <w:rPr>
          <w:lang w:val="en-US"/>
        </w:rPr>
        <w:t>where:</w:t>
      </w:r>
    </w:p>
    <w:p w:rsidR="003B60B7" w:rsidRDefault="003B60B7" w:rsidP="003B60B7">
      <w:pPr>
        <w:pStyle w:val="Equationlegend"/>
      </w:pPr>
      <w:r>
        <w:tab/>
      </w:r>
      <w:r>
        <w:rPr>
          <w:rFonts w:ascii="Symbol" w:hAnsi="Symbol"/>
          <w:lang w:val="es-ES_tradnl"/>
        </w:rPr>
        <w:sym w:font="Symbol" w:char="F072"/>
      </w:r>
      <w:r>
        <w:rPr>
          <w:rFonts w:ascii="Tms Rmn" w:hAnsi="Tms Rmn"/>
          <w:sz w:val="12"/>
        </w:rPr>
        <w:t> </w:t>
      </w:r>
      <w:r>
        <w:rPr>
          <w:rFonts w:ascii="Tms Rmn" w:hAnsi="Tms Rmn"/>
          <w:sz w:val="20"/>
        </w:rPr>
        <w:t>:</w:t>
      </w:r>
      <w:r>
        <w:tab/>
        <w:t>water vapour density (g/m</w:t>
      </w:r>
      <w:r>
        <w:rPr>
          <w:position w:val="6"/>
          <w:sz w:val="20"/>
        </w:rPr>
        <w:t>3</w:t>
      </w:r>
      <w:r>
        <w:t>)</w:t>
      </w:r>
    </w:p>
    <w:p w:rsidR="003B60B7" w:rsidRDefault="003B60B7" w:rsidP="003B60B7">
      <w:pPr>
        <w:pStyle w:val="Equationlegend"/>
      </w:pPr>
      <w:r>
        <w:tab/>
      </w:r>
      <w:r>
        <w:rPr>
          <w:i/>
          <w:iCs/>
        </w:rPr>
        <w:t>P</w:t>
      </w:r>
      <w:r>
        <w:rPr>
          <w:rFonts w:ascii="Tms Rmn" w:hAnsi="Tms Rmn"/>
          <w:sz w:val="12"/>
        </w:rPr>
        <w:t> </w:t>
      </w:r>
      <w:r>
        <w:rPr>
          <w:rFonts w:ascii="Tms Rmn" w:hAnsi="Tms Rmn"/>
          <w:sz w:val="20"/>
        </w:rPr>
        <w:t>:</w:t>
      </w:r>
      <w:r>
        <w:tab/>
        <w:t>atmospheric pressure (hPa)</w:t>
      </w:r>
    </w:p>
    <w:p w:rsidR="003B60B7" w:rsidRDefault="003B60B7" w:rsidP="003B60B7">
      <w:pPr>
        <w:pStyle w:val="Equationlegend"/>
      </w:pPr>
      <w:r>
        <w:tab/>
      </w:r>
      <w:r>
        <w:rPr>
          <w:i/>
          <w:iCs/>
        </w:rPr>
        <w:t>N</w:t>
      </w:r>
      <w:r>
        <w:rPr>
          <w:position w:val="-4"/>
          <w:sz w:val="20"/>
        </w:rPr>
        <w:t>0</w:t>
      </w:r>
      <w:r>
        <w:rPr>
          <w:rFonts w:ascii="Tms Rmn" w:hAnsi="Tms Rmn"/>
          <w:sz w:val="12"/>
        </w:rPr>
        <w:t> </w:t>
      </w:r>
      <w:r>
        <w:rPr>
          <w:rFonts w:ascii="Tms Rmn" w:hAnsi="Tms Rmn"/>
          <w:sz w:val="20"/>
        </w:rPr>
        <w:t>:</w:t>
      </w:r>
      <w:r>
        <w:tab/>
        <w:t>radio refractive index</w:t>
      </w:r>
    </w:p>
    <w:p w:rsidR="003B60B7" w:rsidRDefault="003B60B7" w:rsidP="003B60B7">
      <w:pPr>
        <w:pStyle w:val="Equationlegend"/>
      </w:pPr>
      <w:r>
        <w:tab/>
      </w:r>
      <w:r>
        <w:rPr>
          <w:i/>
          <w:iCs/>
        </w:rPr>
        <w:t>h</w:t>
      </w:r>
      <w:r>
        <w:rPr>
          <w:rStyle w:val="FootnoteReference"/>
          <w:i/>
          <w:iCs/>
          <w:position w:val="-4"/>
          <w:sz w:val="20"/>
        </w:rPr>
        <w:t>s</w:t>
      </w:r>
      <w:r>
        <w:rPr>
          <w:rFonts w:ascii="Tms Rmn" w:hAnsi="Tms Rmn"/>
          <w:sz w:val="12"/>
        </w:rPr>
        <w:t> </w:t>
      </w:r>
      <w:r>
        <w:rPr>
          <w:rFonts w:ascii="Tms Rmn" w:hAnsi="Tms Rmn"/>
          <w:sz w:val="20"/>
        </w:rPr>
        <w:t>:</w:t>
      </w:r>
      <w:r>
        <w:tab/>
        <w:t>height of Earth surface above sea level (km).</w:t>
      </w:r>
    </w:p>
    <w:p w:rsidR="003B60B7" w:rsidRDefault="003B60B7" w:rsidP="003B60B7">
      <w:pPr>
        <w:spacing w:line="280" w:lineRule="exact"/>
        <w:rPr>
          <w:lang w:val="en-US"/>
        </w:rPr>
      </w:pPr>
      <w:r>
        <w:rPr>
          <w:lang w:val="en-US"/>
        </w:rPr>
        <w:t xml:space="preserve">The value </w:t>
      </w:r>
      <w:r>
        <w:sym w:font="Symbol" w:char="F072"/>
      </w:r>
      <w:r>
        <w:rPr>
          <w:lang w:val="en-US"/>
        </w:rPr>
        <w:t xml:space="preserve"> of the water vapour density used in equation (1) is the hypothetical value at sea level calculated as follows:</w:t>
      </w:r>
    </w:p>
    <w:p w:rsidR="003B60B7" w:rsidRDefault="003B60B7" w:rsidP="003B60B7">
      <w:pPr>
        <w:pStyle w:val="Equation"/>
        <w:rPr>
          <w:lang w:val="en-US"/>
        </w:rPr>
      </w:pPr>
      <w:r>
        <w:rPr>
          <w:lang w:val="es-ES_tradnl"/>
        </w:rPr>
        <w:tab/>
      </w:r>
      <w:r>
        <w:rPr>
          <w:lang w:val="es-ES_tradnl"/>
        </w:rPr>
        <w:tab/>
      </w:r>
      <w:r w:rsidRPr="00C91B3E">
        <w:rPr>
          <w:position w:val="-12"/>
          <w:lang w:val="es-ES_tradnl"/>
        </w:rPr>
        <w:object w:dxaOrig="1939" w:dyaOrig="360">
          <v:shape id="_x0000_i1026" type="#_x0000_t75" style="width:96.6pt;height:18.6pt" o:ole="">
            <v:imagedata r:id="rId16" o:title=""/>
          </v:shape>
          <o:OLEObject Type="Embed" ProgID="Equation.3" ShapeID="_x0000_i1026" DrawAspect="Content" ObjectID="_1349506783" r:id="rId17"/>
        </w:object>
      </w:r>
      <w:r>
        <w:rPr>
          <w:lang w:val="en-US"/>
        </w:rPr>
        <w:tab/>
        <w:t>(2)</w:t>
      </w:r>
    </w:p>
    <w:p w:rsidR="003B60B7" w:rsidRDefault="003B60B7" w:rsidP="003B60B7">
      <w:pPr>
        <w:spacing w:line="280" w:lineRule="exact"/>
        <w:rPr>
          <w:lang w:val="en-US"/>
        </w:rPr>
      </w:pPr>
      <w:r>
        <w:rPr>
          <w:lang w:val="en-US"/>
        </w:rPr>
        <w:t xml:space="preserve">where </w:t>
      </w:r>
      <w:r>
        <w:sym w:font="Symbol" w:char="F072"/>
      </w:r>
      <w:r>
        <w:rPr>
          <w:position w:val="-4"/>
          <w:sz w:val="20"/>
          <w:lang w:val="en-US"/>
        </w:rPr>
        <w:t>1</w:t>
      </w:r>
      <w:r>
        <w:rPr>
          <w:lang w:val="en-US"/>
        </w:rPr>
        <w:t xml:space="preserve"> is the value corresponding to altitude </w:t>
      </w:r>
      <w:r>
        <w:rPr>
          <w:i/>
          <w:lang w:val="en-US"/>
        </w:rPr>
        <w:t>h</w:t>
      </w:r>
      <w:r>
        <w:rPr>
          <w:i/>
          <w:position w:val="-4"/>
          <w:sz w:val="20"/>
          <w:lang w:val="en-US"/>
        </w:rPr>
        <w:t>s</w:t>
      </w:r>
      <w:r>
        <w:rPr>
          <w:lang w:val="en-US"/>
        </w:rPr>
        <w:t xml:space="preserve"> of the station in question, and the equivalent height of water vapour density is assumed as 2 km (see Recommendation ITU</w:t>
      </w:r>
      <w:r>
        <w:rPr>
          <w:lang w:val="en-US"/>
        </w:rPr>
        <w:noBreakHyphen/>
        <w:t>R P.835).</w:t>
      </w:r>
    </w:p>
    <w:p w:rsidR="003B60B7" w:rsidRDefault="003B60B7" w:rsidP="003B60B7">
      <w:pPr>
        <w:spacing w:line="280" w:lineRule="exact"/>
        <w:rPr>
          <w:lang w:val="en-US"/>
        </w:rPr>
      </w:pPr>
      <w:r>
        <w:rPr>
          <w:lang w:val="en-US"/>
        </w:rPr>
        <w:t xml:space="preserve">Although the radio refractive index, </w:t>
      </w:r>
      <w:r>
        <w:rPr>
          <w:i/>
          <w:iCs/>
          <w:lang w:val="en-US"/>
        </w:rPr>
        <w:t>N</w:t>
      </w:r>
      <w:r>
        <w:rPr>
          <w:position w:val="-4"/>
          <w:sz w:val="20"/>
          <w:lang w:val="en-US"/>
        </w:rPr>
        <w:t>0</w:t>
      </w:r>
      <w:r>
        <w:rPr>
          <w:lang w:val="en-US"/>
        </w:rPr>
        <w:t>, is not required for the calculation of attenuation due to atmospheric gases using the approximate method in Annex 2 of Recommendation ITU</w:t>
      </w:r>
      <w:r>
        <w:rPr>
          <w:lang w:val="en-US"/>
        </w:rPr>
        <w:noBreakHyphen/>
        <w:t>R P.676, it is used to calculate the temperature together with latitudinally banded values of atmospheric pressure and local values of water vapour density. This ensures that the temperature calculated using Recommendation ITU-R P.453 is consistent with the values of pressure and water vapour density.</w:t>
      </w:r>
    </w:p>
    <w:p w:rsidR="003B60B7" w:rsidRDefault="003B60B7" w:rsidP="003B60B7">
      <w:pPr>
        <w:pStyle w:val="Heading2"/>
        <w:rPr>
          <w:lang w:val="en-US"/>
        </w:rPr>
      </w:pPr>
      <w:r>
        <w:rPr>
          <w:lang w:val="en-US"/>
        </w:rPr>
        <w:t>5.3</w:t>
      </w:r>
      <w:r>
        <w:rPr>
          <w:lang w:val="en-US"/>
        </w:rPr>
        <w:tab/>
        <w:t>Discussion on the consequence of propagation related effects</w:t>
      </w:r>
    </w:p>
    <w:p w:rsidR="003B60B7" w:rsidRDefault="003B60B7" w:rsidP="003B60B7">
      <w:pPr>
        <w:rPr>
          <w:lang w:val="en-US"/>
        </w:rPr>
      </w:pPr>
      <w:r>
        <w:rPr>
          <w:lang w:val="en-US"/>
        </w:rPr>
        <w:t>Path losses due to atmospheric gases are calculated based upon February (winter) values of water vapour density and thus the analysis gives conservative (minimum) values of atmospheric attenuation leading to higher estimates of interference. At most other times of the year the attenuation due to atmospheric gases will be greater than the worst month. Thus, the net effect of long-term interference into both P-MP and P-P FS systems will be less than the levels of degradation to the performance calculated using minimum winter atmospheric gas attenuation values.</w:t>
      </w:r>
    </w:p>
    <w:p w:rsidR="003B60B7" w:rsidRDefault="003B60B7" w:rsidP="003B60B7">
      <w:pPr>
        <w:rPr>
          <w:lang w:val="en-US"/>
        </w:rPr>
      </w:pPr>
      <w:r>
        <w:rPr>
          <w:lang w:val="en-US"/>
        </w:rPr>
        <w:t>In any actual operating environment, attenuation due to vegetation and man-made structures is inevitable. The amount of interference on the interfering path from the GSO arc will be less than calculated in this analysis because a portion of the arc will likely be blocked from the view of the receiving antenna. In practice, an FS subscriber that is fully exposed to the GSO arc will receive a dominating interference contribution from a single satellite and lesser contributions from adjacent satellites that are 2° or more away. Thus the amount of interference actually received will be a function of which portion of the GSO arc is subject to blockage.</w:t>
      </w:r>
    </w:p>
    <w:p w:rsidR="003B60B7" w:rsidRDefault="003B60B7" w:rsidP="003B60B7">
      <w:pPr>
        <w:pStyle w:val="Heading1"/>
        <w:rPr>
          <w:lang w:val="en-US"/>
        </w:rPr>
      </w:pPr>
      <w:r>
        <w:rPr>
          <w:lang w:val="en-US"/>
        </w:rPr>
        <w:br w:type="page"/>
      </w:r>
      <w:r>
        <w:rPr>
          <w:lang w:val="en-US"/>
        </w:rPr>
        <w:lastRenderedPageBreak/>
        <w:t>6</w:t>
      </w:r>
      <w:r>
        <w:rPr>
          <w:lang w:val="en-US"/>
        </w:rPr>
        <w:tab/>
        <w:t>System and interference calculations</w:t>
      </w:r>
    </w:p>
    <w:p w:rsidR="003B60B7" w:rsidRDefault="003B60B7" w:rsidP="003B60B7">
      <w:pPr>
        <w:rPr>
          <w:lang w:val="en-US"/>
        </w:rPr>
      </w:pPr>
      <w:r>
        <w:rPr>
          <w:lang w:val="en-US"/>
        </w:rPr>
        <w:t xml:space="preserve">The calculations in this methodology compare the received </w:t>
      </w:r>
      <w:r>
        <w:rPr>
          <w:i/>
          <w:iCs/>
          <w:lang w:val="en-US"/>
        </w:rPr>
        <w:t>C</w:t>
      </w:r>
      <w:r>
        <w:rPr>
          <w:lang w:val="en-US"/>
        </w:rPr>
        <w:t>/(</w:t>
      </w:r>
      <w:r>
        <w:rPr>
          <w:i/>
          <w:iCs/>
          <w:lang w:val="en-US"/>
        </w:rPr>
        <w:t>N </w:t>
      </w:r>
      <w:r>
        <w:rPr>
          <w:lang w:val="en-US"/>
        </w:rPr>
        <w:t>+ </w:t>
      </w:r>
      <w:r>
        <w:rPr>
          <w:i/>
          <w:iCs/>
          <w:lang w:val="en-US"/>
        </w:rPr>
        <w:t>I</w:t>
      </w:r>
      <w:r>
        <w:rPr>
          <w:sz w:val="8"/>
          <w:lang w:val="en-US"/>
        </w:rPr>
        <w:t> </w:t>
      </w:r>
      <w:r>
        <w:rPr>
          <w:lang w:val="en-US"/>
        </w:rPr>
        <w:t xml:space="preserve">) to the receiver </w:t>
      </w:r>
      <w:r>
        <w:rPr>
          <w:i/>
          <w:iCs/>
          <w:lang w:val="en-US"/>
        </w:rPr>
        <w:t>C</w:t>
      </w:r>
      <w:r>
        <w:rPr>
          <w:lang w:val="en-US"/>
        </w:rPr>
        <w:t>/</w:t>
      </w:r>
      <w:r>
        <w:rPr>
          <w:i/>
          <w:iCs/>
          <w:lang w:val="en-US"/>
        </w:rPr>
        <w:t>N</w:t>
      </w:r>
      <w:r>
        <w:rPr>
          <w:lang w:val="en-US"/>
        </w:rPr>
        <w:t xml:space="preserve"> threshold criteria to evaluate the interference potential, rather than using </w:t>
      </w:r>
      <w:r>
        <w:rPr>
          <w:i/>
          <w:iCs/>
          <w:lang w:val="en-US"/>
        </w:rPr>
        <w:t>I</w:t>
      </w:r>
      <w:r>
        <w:rPr>
          <w:lang w:val="en-US"/>
        </w:rPr>
        <w:t>/</w:t>
      </w:r>
      <w:r>
        <w:rPr>
          <w:i/>
          <w:iCs/>
          <w:lang w:val="en-US"/>
        </w:rPr>
        <w:t>N</w:t>
      </w:r>
      <w:r>
        <w:rPr>
          <w:lang w:val="en-US"/>
        </w:rPr>
        <w:t xml:space="preserve"> as the criterion. Since the interference originating from GSO satellites is long-term in nature and at a constant level under clear-sky conditions, the impact to the long-term availability is measured by the percentage of time that the FS system is operating with a BER worse than the long-term BER threshold in an average year in the presence of interference. </w:t>
      </w:r>
    </w:p>
    <w:p w:rsidR="003B60B7" w:rsidRDefault="003B60B7" w:rsidP="003B60B7">
      <w:pPr>
        <w:pStyle w:val="Heading2"/>
        <w:rPr>
          <w:lang w:val="en-US"/>
        </w:rPr>
      </w:pPr>
      <w:r>
        <w:rPr>
          <w:lang w:val="en-US"/>
        </w:rPr>
        <w:t>6.1</w:t>
      </w:r>
      <w:r>
        <w:rPr>
          <w:lang w:val="en-US"/>
        </w:rPr>
        <w:tab/>
        <w:t>Required margin calculations</w:t>
      </w:r>
    </w:p>
    <w:p w:rsidR="003B60B7" w:rsidRDefault="003B60B7" w:rsidP="003B60B7">
      <w:pPr>
        <w:spacing w:line="280" w:lineRule="exact"/>
        <w:rPr>
          <w:lang w:val="en-US"/>
        </w:rPr>
      </w:pPr>
      <w:r>
        <w:rPr>
          <w:lang w:val="en-US"/>
        </w:rPr>
        <w:t xml:space="preserve">The maximum received carrier level in a 1 MHz reference bandwidth, </w:t>
      </w:r>
      <w:r>
        <w:rPr>
          <w:i/>
          <w:lang w:val="en-US"/>
        </w:rPr>
        <w:t>P</w:t>
      </w:r>
      <w:r>
        <w:rPr>
          <w:i/>
          <w:position w:val="-4"/>
          <w:sz w:val="20"/>
          <w:lang w:val="en-US"/>
        </w:rPr>
        <w:t>Rx</w:t>
      </w:r>
      <w:r>
        <w:rPr>
          <w:lang w:val="en-US"/>
        </w:rPr>
        <w:t>, at the FS receiver, under clear</w:t>
      </w:r>
      <w:r>
        <w:rPr>
          <w:lang w:val="en-US"/>
        </w:rPr>
        <w:noBreakHyphen/>
        <w:t>sky conditions is:</w:t>
      </w:r>
    </w:p>
    <w:p w:rsidR="003B60B7" w:rsidRDefault="003B60B7" w:rsidP="003B60B7">
      <w:pPr>
        <w:pStyle w:val="Equation"/>
        <w:rPr>
          <w:lang w:val="en-US"/>
        </w:rPr>
      </w:pPr>
      <w:r>
        <w:rPr>
          <w:lang w:val="en-US"/>
        </w:rPr>
        <w:tab/>
      </w:r>
      <w:r>
        <w:rPr>
          <w:lang w:val="en-US"/>
        </w:rPr>
        <w:tab/>
      </w:r>
      <w:r w:rsidRPr="00C91B3E">
        <w:rPr>
          <w:position w:val="-16"/>
          <w:lang w:val="es-ES_tradnl"/>
        </w:rPr>
        <w:object w:dxaOrig="6540" w:dyaOrig="400">
          <v:shape id="_x0000_i1027" type="#_x0000_t75" style="width:327pt;height:19.8pt" o:ole="" fillcolor="window">
            <v:imagedata r:id="rId18" o:title=""/>
          </v:shape>
          <o:OLEObject Type="Embed" ProgID="Equation.3" ShapeID="_x0000_i1027" DrawAspect="Content" ObjectID="_1349506784" r:id="rId19"/>
        </w:object>
      </w:r>
      <w:r>
        <w:rPr>
          <w:lang w:val="en-US"/>
        </w:rPr>
        <w:tab/>
        <w:t>(3)</w:t>
      </w:r>
    </w:p>
    <w:p w:rsidR="003B60B7" w:rsidRDefault="003B60B7" w:rsidP="003B60B7">
      <w:pPr>
        <w:rPr>
          <w:lang w:val="en-US"/>
        </w:rPr>
      </w:pPr>
      <w:r>
        <w:rPr>
          <w:lang w:val="en-US"/>
        </w:rPr>
        <w:t>where:</w:t>
      </w:r>
    </w:p>
    <w:p w:rsidR="003B60B7" w:rsidRDefault="003B60B7" w:rsidP="003B60B7">
      <w:pPr>
        <w:pStyle w:val="Equationlegend"/>
      </w:pPr>
      <w:r>
        <w:tab/>
      </w:r>
      <w:r>
        <w:rPr>
          <w:i/>
          <w:iCs/>
        </w:rPr>
        <w:t>P</w:t>
      </w:r>
      <w:r>
        <w:rPr>
          <w:i/>
          <w:iCs/>
          <w:position w:val="-4"/>
          <w:sz w:val="20"/>
        </w:rPr>
        <w:t>Tx</w:t>
      </w:r>
      <w:r>
        <w:rPr>
          <w:rFonts w:ascii="Tms Rmn" w:hAnsi="Tms Rmn"/>
          <w:sz w:val="12"/>
        </w:rPr>
        <w:t> </w:t>
      </w:r>
      <w:r>
        <w:rPr>
          <w:rFonts w:ascii="Tms Rmn" w:hAnsi="Tms Rmn"/>
          <w:sz w:val="20"/>
        </w:rPr>
        <w:t>:</w:t>
      </w:r>
      <w:r>
        <w:tab/>
        <w:t>transmitter power in the reference bandwidth (dB(W/MHz))</w:t>
      </w:r>
    </w:p>
    <w:p w:rsidR="003B60B7" w:rsidRDefault="003B60B7" w:rsidP="003B60B7">
      <w:pPr>
        <w:pStyle w:val="Equationlegend"/>
      </w:pPr>
      <w:r>
        <w:tab/>
      </w:r>
      <w:r>
        <w:rPr>
          <w:i/>
          <w:iCs/>
        </w:rPr>
        <w:t>G</w:t>
      </w:r>
      <w:r>
        <w:rPr>
          <w:i/>
          <w:iCs/>
          <w:position w:val="-4"/>
          <w:sz w:val="20"/>
        </w:rPr>
        <w:t>Tx</w:t>
      </w:r>
      <w:r>
        <w:rPr>
          <w:rFonts w:ascii="Tms Rmn" w:hAnsi="Tms Rmn"/>
          <w:sz w:val="12"/>
        </w:rPr>
        <w:t> </w:t>
      </w:r>
      <w:r>
        <w:rPr>
          <w:rFonts w:ascii="Tms Rmn" w:hAnsi="Tms Rmn"/>
          <w:sz w:val="20"/>
        </w:rPr>
        <w:t>:</w:t>
      </w:r>
      <w:r>
        <w:tab/>
        <w:t>maximum gain of the FS transmitting antenna (dBi)</w:t>
      </w:r>
    </w:p>
    <w:p w:rsidR="003B60B7" w:rsidRDefault="003B60B7" w:rsidP="003B60B7">
      <w:pPr>
        <w:pStyle w:val="Equationlegend"/>
      </w:pPr>
      <w:r>
        <w:tab/>
      </w:r>
      <w:r>
        <w:rPr>
          <w:i/>
          <w:iCs/>
        </w:rPr>
        <w:t>G</w:t>
      </w:r>
      <w:r>
        <w:rPr>
          <w:i/>
          <w:iCs/>
          <w:position w:val="-4"/>
          <w:sz w:val="20"/>
        </w:rPr>
        <w:t>Rx</w:t>
      </w:r>
      <w:r>
        <w:rPr>
          <w:rFonts w:ascii="Tms Rmn" w:hAnsi="Tms Rmn"/>
          <w:sz w:val="12"/>
        </w:rPr>
        <w:t> </w:t>
      </w:r>
      <w:r>
        <w:rPr>
          <w:rFonts w:ascii="Tms Rmn" w:hAnsi="Tms Rmn"/>
          <w:sz w:val="20"/>
        </w:rPr>
        <w:t>:</w:t>
      </w:r>
      <w:r>
        <w:tab/>
        <w:t>maximum gain of the FS receiving antenna (dBi)</w:t>
      </w:r>
    </w:p>
    <w:p w:rsidR="003B60B7" w:rsidRDefault="003B60B7" w:rsidP="003B60B7">
      <w:pPr>
        <w:pStyle w:val="Equationlegend"/>
        <w:ind w:left="2160" w:hanging="2160"/>
      </w:pPr>
      <w:r>
        <w:tab/>
      </w:r>
      <w:r>
        <w:rPr>
          <w:i/>
          <w:iCs/>
        </w:rPr>
        <w:t>L</w:t>
      </w:r>
      <w:r>
        <w:rPr>
          <w:i/>
          <w:iCs/>
          <w:position w:val="-4"/>
          <w:sz w:val="20"/>
        </w:rPr>
        <w:t>FS</w:t>
      </w:r>
      <w:r>
        <w:rPr>
          <w:rFonts w:ascii="Tms Rmn" w:hAnsi="Tms Rmn"/>
          <w:sz w:val="12"/>
        </w:rPr>
        <w:t> </w:t>
      </w:r>
      <w:r>
        <w:rPr>
          <w:rFonts w:ascii="Tms Rmn" w:hAnsi="Tms Rmn"/>
          <w:sz w:val="20"/>
        </w:rPr>
        <w:t>:</w:t>
      </w:r>
      <w:r>
        <w:tab/>
        <w:t>free space loss from the transmitting antenna to the receiving antenna (dB)</w:t>
      </w:r>
    </w:p>
    <w:p w:rsidR="003B60B7" w:rsidRDefault="003B60B7" w:rsidP="003B60B7">
      <w:pPr>
        <w:pStyle w:val="Equationlegend"/>
        <w:ind w:left="2160" w:hanging="2160"/>
      </w:pPr>
      <w:r>
        <w:rPr>
          <w:i/>
        </w:rPr>
        <w:tab/>
      </w:r>
      <w:r>
        <w:rPr>
          <w:i/>
          <w:iCs/>
        </w:rPr>
        <w:t>L</w:t>
      </w:r>
      <w:r>
        <w:rPr>
          <w:i/>
          <w:iCs/>
          <w:position w:val="-4"/>
          <w:sz w:val="20"/>
        </w:rPr>
        <w:t>Atm_t</w:t>
      </w:r>
      <w:r>
        <w:rPr>
          <w:rFonts w:ascii="Tms Rmn" w:hAnsi="Tms Rmn"/>
          <w:sz w:val="12"/>
        </w:rPr>
        <w:t> </w:t>
      </w:r>
      <w:r>
        <w:rPr>
          <w:rFonts w:ascii="Tms Rmn" w:hAnsi="Tms Rmn"/>
          <w:sz w:val="20"/>
        </w:rPr>
        <w:t>:</w:t>
      </w:r>
      <w:r>
        <w:tab/>
        <w:t>loss due to atmospheric gases on the wanted terrestrial path:</w:t>
      </w:r>
    </w:p>
    <w:p w:rsidR="003B60B7" w:rsidRDefault="003B60B7" w:rsidP="003B60B7">
      <w:pPr>
        <w:pStyle w:val="enumlev2"/>
        <w:tabs>
          <w:tab w:val="clear" w:pos="794"/>
          <w:tab w:val="clear" w:pos="1191"/>
          <w:tab w:val="clear" w:pos="1588"/>
          <w:tab w:val="left" w:pos="2381"/>
        </w:tabs>
        <w:spacing w:line="280" w:lineRule="exact"/>
        <w:ind w:left="2382" w:hanging="1588"/>
        <w:rPr>
          <w:lang w:val="en-US"/>
        </w:rPr>
      </w:pPr>
      <w:r>
        <w:rPr>
          <w:lang w:val="en-US"/>
        </w:rPr>
        <w:tab/>
        <w:t>–</w:t>
      </w:r>
      <w:r>
        <w:rPr>
          <w:lang w:val="en-US"/>
        </w:rPr>
        <w:tab/>
      </w:r>
      <w:r>
        <w:rPr>
          <w:i/>
          <w:iCs/>
          <w:lang w:val="en-US"/>
        </w:rPr>
        <w:t>L</w:t>
      </w:r>
      <w:r>
        <w:rPr>
          <w:i/>
          <w:iCs/>
          <w:position w:val="-4"/>
          <w:sz w:val="20"/>
          <w:lang w:val="en-US"/>
        </w:rPr>
        <w:t>Atm_t</w:t>
      </w:r>
      <w:r>
        <w:rPr>
          <w:rFonts w:ascii="Tms Rmn" w:hAnsi="Tms Rmn"/>
          <w:sz w:val="12"/>
          <w:lang w:val="en-US"/>
        </w:rPr>
        <w:t> </w:t>
      </w:r>
      <w:r>
        <w:rPr>
          <w:lang w:val="en-US"/>
        </w:rPr>
        <w:t xml:space="preserve"> for a </w:t>
      </w:r>
      <w:r>
        <w:rPr>
          <w:iCs/>
          <w:lang w:val="en-US"/>
        </w:rPr>
        <w:t>P</w:t>
      </w:r>
      <w:r>
        <w:rPr>
          <w:iCs/>
          <w:lang w:val="en-US"/>
        </w:rPr>
        <w:noBreakHyphen/>
        <w:t>MP</w:t>
      </w:r>
      <w:r>
        <w:rPr>
          <w:lang w:val="en-US"/>
        </w:rPr>
        <w:t xml:space="preserve"> system is calculated at the minimum antenna height, agl, since this represents the worst case where </w:t>
      </w:r>
      <w:r>
        <w:sym w:font="Symbol" w:char="F072"/>
      </w:r>
      <w:r>
        <w:rPr>
          <w:lang w:val="en-US"/>
        </w:rPr>
        <w:t xml:space="preserve"> is highest and the path length is the longest, and</w:t>
      </w:r>
    </w:p>
    <w:p w:rsidR="003B60B7" w:rsidRDefault="003B60B7" w:rsidP="003B60B7">
      <w:pPr>
        <w:pStyle w:val="enumlev2"/>
        <w:tabs>
          <w:tab w:val="clear" w:pos="794"/>
          <w:tab w:val="clear" w:pos="1191"/>
          <w:tab w:val="clear" w:pos="1588"/>
          <w:tab w:val="left" w:pos="2381"/>
        </w:tabs>
        <w:ind w:left="2381" w:hanging="1587"/>
        <w:rPr>
          <w:lang w:val="en-US"/>
        </w:rPr>
      </w:pPr>
      <w:r>
        <w:rPr>
          <w:lang w:val="en-US"/>
        </w:rPr>
        <w:tab/>
        <w:t>–</w:t>
      </w:r>
      <w:r>
        <w:rPr>
          <w:lang w:val="en-US"/>
        </w:rPr>
        <w:tab/>
      </w:r>
      <w:r>
        <w:rPr>
          <w:i/>
          <w:iCs/>
          <w:lang w:val="en-US"/>
        </w:rPr>
        <w:t>L</w:t>
      </w:r>
      <w:r>
        <w:rPr>
          <w:i/>
          <w:iCs/>
          <w:position w:val="-4"/>
          <w:sz w:val="20"/>
          <w:lang w:val="en-US"/>
        </w:rPr>
        <w:t>Atm_t</w:t>
      </w:r>
      <w:r>
        <w:rPr>
          <w:rFonts w:ascii="Tms Rmn" w:hAnsi="Tms Rmn"/>
          <w:sz w:val="12"/>
          <w:lang w:val="en-US"/>
        </w:rPr>
        <w:t> </w:t>
      </w:r>
      <w:r>
        <w:rPr>
          <w:lang w:val="en-US"/>
        </w:rPr>
        <w:t xml:space="preserve"> for a </w:t>
      </w:r>
      <w:r>
        <w:rPr>
          <w:iCs/>
          <w:lang w:val="en-US"/>
        </w:rPr>
        <w:t>P-P</w:t>
      </w:r>
      <w:r>
        <w:rPr>
          <w:lang w:val="en-US"/>
        </w:rPr>
        <w:t xml:space="preserve"> system is calculated at the average height of the path amsl.</w:t>
      </w:r>
    </w:p>
    <w:p w:rsidR="003B60B7" w:rsidRDefault="003B60B7" w:rsidP="003B60B7">
      <w:pPr>
        <w:spacing w:line="280" w:lineRule="exact"/>
        <w:rPr>
          <w:lang w:val="en-US"/>
        </w:rPr>
      </w:pPr>
      <w:r>
        <w:rPr>
          <w:lang w:val="en-US"/>
        </w:rPr>
        <w:t xml:space="preserve">A fixed service link is designed such that the received </w:t>
      </w:r>
      <w:r>
        <w:rPr>
          <w:i/>
          <w:iCs/>
          <w:lang w:val="en-US"/>
        </w:rPr>
        <w:t>C</w:t>
      </w:r>
      <w:r>
        <w:rPr>
          <w:lang w:val="en-US"/>
        </w:rPr>
        <w:t>/(</w:t>
      </w:r>
      <w:r>
        <w:rPr>
          <w:i/>
          <w:iCs/>
          <w:lang w:val="en-US"/>
        </w:rPr>
        <w:t>N</w:t>
      </w:r>
      <w:r>
        <w:rPr>
          <w:lang w:val="en-US"/>
        </w:rPr>
        <w:t> </w:t>
      </w:r>
      <w:r>
        <w:rPr>
          <w:rFonts w:ascii="Symbol" w:hAnsi="Symbol"/>
          <w:lang w:val="en-US"/>
        </w:rPr>
        <w:t></w:t>
      </w:r>
      <w:r>
        <w:rPr>
          <w:lang w:val="en-US"/>
        </w:rPr>
        <w:t> </w:t>
      </w:r>
      <w:r>
        <w:rPr>
          <w:i/>
          <w:iCs/>
          <w:lang w:val="en-US"/>
        </w:rPr>
        <w:t>I</w:t>
      </w:r>
      <w:r>
        <w:rPr>
          <w:rFonts w:ascii="Tms Rmn" w:hAnsi="Tms Rmn"/>
          <w:i/>
          <w:iCs/>
          <w:sz w:val="12"/>
          <w:lang w:val="en-US"/>
        </w:rPr>
        <w:t> </w:t>
      </w:r>
      <w:r>
        <w:rPr>
          <w:lang w:val="en-US"/>
        </w:rPr>
        <w:t xml:space="preserve">) is at or above the receiver’s </w:t>
      </w:r>
      <w:r>
        <w:rPr>
          <w:i/>
          <w:iCs/>
          <w:lang w:val="en-US"/>
        </w:rPr>
        <w:t>C</w:t>
      </w:r>
      <w:r>
        <w:rPr>
          <w:lang w:val="en-US"/>
        </w:rPr>
        <w:t>/</w:t>
      </w:r>
      <w:r>
        <w:rPr>
          <w:i/>
          <w:iCs/>
          <w:lang w:val="en-US"/>
        </w:rPr>
        <w:t>N</w:t>
      </w:r>
      <w:r>
        <w:rPr>
          <w:lang w:val="en-US"/>
        </w:rPr>
        <w:t xml:space="preserve"> threshold corresponding to the long-term BER performance criterion. The required system margin for fading due to rain for which a receiver is intended to receive the wanted signal at a given </w:t>
      </w:r>
      <w:r>
        <w:rPr>
          <w:i/>
          <w:iCs/>
          <w:lang w:val="en-US"/>
        </w:rPr>
        <w:t>C</w:t>
      </w:r>
      <w:r>
        <w:rPr>
          <w:lang w:val="en-US"/>
        </w:rPr>
        <w:t>/</w:t>
      </w:r>
      <w:r>
        <w:rPr>
          <w:i/>
          <w:iCs/>
          <w:lang w:val="en-US"/>
        </w:rPr>
        <w:t>N</w:t>
      </w:r>
      <w:r>
        <w:rPr>
          <w:lang w:val="en-US"/>
        </w:rPr>
        <w:t xml:space="preserve"> threshold (corresponding to a desired BER performance threshold) at the designed availability of 100 – </w:t>
      </w:r>
      <w:r>
        <w:rPr>
          <w:i/>
          <w:lang w:val="en-US"/>
        </w:rPr>
        <w:t>p</w:t>
      </w:r>
      <w:r>
        <w:rPr>
          <w:i/>
          <w:iCs/>
          <w:position w:val="-4"/>
          <w:sz w:val="20"/>
          <w:lang w:val="en-US"/>
        </w:rPr>
        <w:t>D</w:t>
      </w:r>
      <w:r>
        <w:rPr>
          <w:lang w:val="en-US"/>
        </w:rPr>
        <w:t xml:space="preserve"> (%) is given by:</w:t>
      </w:r>
    </w:p>
    <w:p w:rsidR="003B60B7" w:rsidRDefault="003B60B7" w:rsidP="003B60B7">
      <w:pPr>
        <w:pStyle w:val="Equation"/>
        <w:rPr>
          <w:lang w:val="en-US"/>
        </w:rPr>
      </w:pPr>
      <w:r>
        <w:rPr>
          <w:lang w:val="es-ES_tradnl"/>
        </w:rPr>
        <w:tab/>
      </w:r>
      <w:r>
        <w:rPr>
          <w:lang w:val="es-ES_tradnl"/>
        </w:rPr>
        <w:tab/>
      </w:r>
      <w:r w:rsidRPr="00C91B3E">
        <w:rPr>
          <w:position w:val="-16"/>
          <w:lang w:val="es-ES_tradnl"/>
        </w:rPr>
        <w:object w:dxaOrig="3040" w:dyaOrig="400">
          <v:shape id="_x0000_i1028" type="#_x0000_t75" style="width:152.4pt;height:19.8pt" o:ole="" fillcolor="window">
            <v:imagedata r:id="rId20" o:title=""/>
          </v:shape>
          <o:OLEObject Type="Embed" ProgID="Equation.3" ShapeID="_x0000_i1028" DrawAspect="Content" ObjectID="_1349506785" r:id="rId21"/>
        </w:object>
      </w:r>
      <w:r>
        <w:rPr>
          <w:lang w:val="en-US"/>
        </w:rPr>
        <w:tab/>
        <w:t>(4)</w:t>
      </w:r>
    </w:p>
    <w:p w:rsidR="003B60B7" w:rsidRDefault="003B60B7" w:rsidP="003B60B7">
      <w:pPr>
        <w:pStyle w:val="Equation"/>
        <w:spacing w:line="280" w:lineRule="exact"/>
        <w:rPr>
          <w:lang w:val="en-US"/>
        </w:rPr>
      </w:pPr>
      <w:r>
        <w:rPr>
          <w:lang w:val="en-US"/>
        </w:rPr>
        <w:t xml:space="preserve">where </w:t>
      </w:r>
      <w:r>
        <w:rPr>
          <w:i/>
          <w:iCs/>
          <w:lang w:val="en-US"/>
        </w:rPr>
        <w:t>A</w:t>
      </w:r>
      <w:r>
        <w:rPr>
          <w:i/>
          <w:iCs/>
          <w:position w:val="-4"/>
          <w:sz w:val="20"/>
          <w:lang w:val="en-US"/>
        </w:rPr>
        <w:t>p</w:t>
      </w:r>
      <w:r>
        <w:rPr>
          <w:lang w:val="en-US"/>
        </w:rPr>
        <w:t>(</w:t>
      </w:r>
      <w:r>
        <w:rPr>
          <w:i/>
          <w:iCs/>
          <w:lang w:val="en-US"/>
        </w:rPr>
        <w:t>p</w:t>
      </w:r>
      <w:r>
        <w:rPr>
          <w:i/>
          <w:iCs/>
          <w:position w:val="-4"/>
          <w:sz w:val="20"/>
          <w:lang w:val="en-US"/>
        </w:rPr>
        <w:t>D</w:t>
      </w:r>
      <w:r>
        <w:rPr>
          <w:lang w:val="en-US"/>
        </w:rPr>
        <w:t xml:space="preserve">) is the fade due to rain exceeded for the worst </w:t>
      </w:r>
      <w:r>
        <w:rPr>
          <w:i/>
          <w:lang w:val="en-US"/>
        </w:rPr>
        <w:t>p</w:t>
      </w:r>
      <w:r>
        <w:rPr>
          <w:i/>
          <w:iCs/>
          <w:position w:val="-4"/>
          <w:sz w:val="20"/>
          <w:lang w:val="en-US"/>
        </w:rPr>
        <w:t>D</w:t>
      </w:r>
      <w:r>
        <w:rPr>
          <w:lang w:val="en-US"/>
        </w:rPr>
        <w:t>% of the time and is determined according to § 2.4 of Recommendation ITU</w:t>
      </w:r>
      <w:r>
        <w:rPr>
          <w:lang w:val="en-US"/>
        </w:rPr>
        <w:noBreakHyphen/>
        <w:t>R P.530-8.</w:t>
      </w:r>
    </w:p>
    <w:p w:rsidR="003B60B7" w:rsidRDefault="003B60B7" w:rsidP="003B60B7">
      <w:pPr>
        <w:rPr>
          <w:lang w:val="en-US"/>
        </w:rPr>
      </w:pPr>
      <w:r>
        <w:rPr>
          <w:lang w:val="en-US"/>
        </w:rPr>
        <w:t>In many P-P systems, uses of automatic transmit power control (ATPC) may permit operation at lower fade margins for the same availability. This methodology does not currently accommodate P</w:t>
      </w:r>
      <w:r>
        <w:rPr>
          <w:lang w:val="en-US"/>
        </w:rPr>
        <w:noBreakHyphen/>
        <w:t>P links, which implement ATPC.</w:t>
      </w:r>
    </w:p>
    <w:p w:rsidR="003B60B7" w:rsidRDefault="003B60B7" w:rsidP="003B60B7">
      <w:pPr>
        <w:pStyle w:val="Heading3"/>
        <w:rPr>
          <w:lang w:val="en-US"/>
        </w:rPr>
      </w:pPr>
      <w:r>
        <w:rPr>
          <w:lang w:val="en-US"/>
        </w:rPr>
        <w:br w:type="page"/>
      </w:r>
      <w:r>
        <w:rPr>
          <w:lang w:val="en-US"/>
        </w:rPr>
        <w:lastRenderedPageBreak/>
        <w:t>6.1.1</w:t>
      </w:r>
      <w:r>
        <w:rPr>
          <w:lang w:val="en-US"/>
        </w:rPr>
        <w:tab/>
        <w:t>Intra-service (including intra-system) and inter-service interference determination</w:t>
      </w:r>
    </w:p>
    <w:p w:rsidR="003B60B7" w:rsidRDefault="003B60B7" w:rsidP="003B60B7">
      <w:pPr>
        <w:rPr>
          <w:lang w:val="en-US"/>
        </w:rPr>
      </w:pPr>
      <w:r>
        <w:rPr>
          <w:lang w:val="en-US"/>
        </w:rPr>
        <w:t>Under clear-sky conditions the total noise including intra-service interference is given by the following expression:</w:t>
      </w:r>
    </w:p>
    <w:p w:rsidR="003B60B7" w:rsidRDefault="003B60B7" w:rsidP="003B60B7">
      <w:pPr>
        <w:pStyle w:val="Equation"/>
        <w:rPr>
          <w:lang w:val="es-ES_tradnl"/>
        </w:rPr>
      </w:pPr>
      <w:r w:rsidRPr="00C91B3E">
        <w:rPr>
          <w:position w:val="-12"/>
          <w:lang w:val="es-ES_tradnl"/>
        </w:rPr>
        <w:object w:dxaOrig="9100" w:dyaOrig="480">
          <v:shape id="_x0000_i1029" type="#_x0000_t75" style="width:454.8pt;height:23.4pt" o:ole="">
            <v:imagedata r:id="rId22" o:title=""/>
          </v:shape>
          <o:OLEObject Type="Embed" ProgID="Equation.3" ShapeID="_x0000_i1029" DrawAspect="Content" ObjectID="_1349506786" r:id="rId23"/>
        </w:object>
      </w:r>
      <w:r>
        <w:rPr>
          <w:lang w:val="es-ES_tradnl"/>
        </w:rPr>
        <w:tab/>
        <w:t>(5)</w:t>
      </w:r>
    </w:p>
    <w:p w:rsidR="003B60B7" w:rsidRDefault="003B60B7" w:rsidP="003B60B7">
      <w:pPr>
        <w:rPr>
          <w:lang w:val="en-US"/>
        </w:rPr>
      </w:pPr>
      <w:r>
        <w:rPr>
          <w:lang w:val="en-US"/>
        </w:rPr>
        <w:t>where:</w:t>
      </w:r>
    </w:p>
    <w:p w:rsidR="003B60B7" w:rsidRDefault="003B60B7" w:rsidP="003B60B7">
      <w:pPr>
        <w:spacing w:line="280" w:lineRule="exact"/>
        <w:rPr>
          <w:lang w:val="en-US"/>
        </w:rPr>
      </w:pPr>
      <w:r>
        <w:rPr>
          <w:bCs/>
          <w:i/>
          <w:lang w:val="en-US"/>
        </w:rPr>
        <w:t>N</w:t>
      </w:r>
      <w:r>
        <w:rPr>
          <w:i/>
          <w:iCs/>
          <w:position w:val="-4"/>
          <w:sz w:val="20"/>
          <w:lang w:val="en-US"/>
        </w:rPr>
        <w:t>Thermal</w:t>
      </w:r>
      <w:r>
        <w:rPr>
          <w:bCs/>
          <w:lang w:val="en-US"/>
        </w:rPr>
        <w:t xml:space="preserve"> is the system thermal noise in a 1 MHz reference bandwidth of a given FS receiver and is</w:t>
      </w:r>
      <w:r>
        <w:rPr>
          <w:lang w:val="en-US"/>
        </w:rPr>
        <w:t xml:space="preserve"> calculated in accordance with the procedure described in § 6.5 given the following:</w:t>
      </w:r>
    </w:p>
    <w:p w:rsidR="003B60B7" w:rsidRDefault="003B60B7" w:rsidP="003B60B7">
      <w:pPr>
        <w:pStyle w:val="enumlev1"/>
        <w:rPr>
          <w:lang w:val="en-US"/>
        </w:rPr>
      </w:pPr>
      <w:r>
        <w:rPr>
          <w:lang w:val="en-US"/>
        </w:rPr>
        <w:t>–</w:t>
      </w:r>
      <w:r>
        <w:rPr>
          <w:lang w:val="en-US"/>
        </w:rPr>
        <w:tab/>
        <w:t xml:space="preserve">receiver noise figure, </w:t>
      </w:r>
      <w:r>
        <w:rPr>
          <w:i/>
          <w:iCs/>
          <w:lang w:val="en-US"/>
        </w:rPr>
        <w:t>F</w:t>
      </w:r>
      <w:r>
        <w:rPr>
          <w:lang w:val="en-US"/>
        </w:rPr>
        <w:t xml:space="preserve">, and feed loss, </w:t>
      </w:r>
      <w:r>
        <w:rPr>
          <w:i/>
          <w:iCs/>
          <w:lang w:val="en-US"/>
        </w:rPr>
        <w:t>L</w:t>
      </w:r>
      <w:r>
        <w:rPr>
          <w:i/>
          <w:iCs/>
          <w:position w:val="-4"/>
          <w:sz w:val="20"/>
          <w:lang w:val="en-US"/>
        </w:rPr>
        <w:t>F</w:t>
      </w:r>
      <w:r>
        <w:rPr>
          <w:lang w:val="en-US"/>
        </w:rPr>
        <w:t>;</w:t>
      </w:r>
    </w:p>
    <w:p w:rsidR="003B60B7" w:rsidRDefault="003B60B7" w:rsidP="003B60B7">
      <w:pPr>
        <w:pStyle w:val="enumlev1"/>
        <w:rPr>
          <w:lang w:val="en-US"/>
        </w:rPr>
      </w:pPr>
      <w:r>
        <w:rPr>
          <w:lang w:val="en-US"/>
        </w:rPr>
        <w:t>–</w:t>
      </w:r>
      <w:r>
        <w:rPr>
          <w:lang w:val="en-US"/>
        </w:rPr>
        <w:tab/>
        <w:t>elevation angle of FS receive antenna;</w:t>
      </w:r>
    </w:p>
    <w:p w:rsidR="003B60B7" w:rsidRDefault="003B60B7" w:rsidP="003B60B7">
      <w:pPr>
        <w:pStyle w:val="enumlev1"/>
        <w:rPr>
          <w:lang w:val="en-US"/>
        </w:rPr>
      </w:pPr>
      <w:r>
        <w:rPr>
          <w:lang w:val="en-US"/>
        </w:rPr>
        <w:t>–</w:t>
      </w:r>
      <w:r>
        <w:rPr>
          <w:lang w:val="en-US"/>
        </w:rPr>
        <w:tab/>
        <w:t>atmospheric absorption over the entire slant path through the atmosphere, and</w:t>
      </w:r>
    </w:p>
    <w:p w:rsidR="003B60B7" w:rsidRDefault="003B60B7" w:rsidP="003B60B7">
      <w:pPr>
        <w:spacing w:line="280" w:lineRule="exact"/>
        <w:rPr>
          <w:lang w:val="en-US"/>
        </w:rPr>
      </w:pPr>
      <w:r>
        <w:rPr>
          <w:i/>
          <w:iCs/>
          <w:lang w:val="en-US"/>
        </w:rPr>
        <w:t>I</w:t>
      </w:r>
      <w:r>
        <w:rPr>
          <w:i/>
          <w:iCs/>
          <w:position w:val="-4"/>
          <w:sz w:val="20"/>
          <w:lang w:val="en-US"/>
        </w:rPr>
        <w:t>Intra</w:t>
      </w:r>
      <w:r>
        <w:rPr>
          <w:vertAlign w:val="subscript"/>
          <w:lang w:val="en-US"/>
        </w:rPr>
        <w:t xml:space="preserve"> </w:t>
      </w:r>
      <w:r>
        <w:rPr>
          <w:i/>
          <w:iCs/>
          <w:position w:val="-4"/>
          <w:sz w:val="20"/>
          <w:lang w:val="en-US"/>
        </w:rPr>
        <w:t>CS</w:t>
      </w:r>
      <w:r>
        <w:rPr>
          <w:lang w:val="en-US"/>
        </w:rPr>
        <w:t xml:space="preserve"> is the intra-service interference, including intra-system interference, from all other FS transmitters under clear-sky conditions. In the case of both P-P and P-MP systems, it was assumed, for the implementation of the methodology given in § 6.1.1.1, that the intra-service interference propagates along horizontal paths. </w:t>
      </w:r>
    </w:p>
    <w:p w:rsidR="003B60B7" w:rsidRDefault="003B60B7" w:rsidP="003B60B7">
      <w:pPr>
        <w:spacing w:line="280" w:lineRule="exact"/>
        <w:rPr>
          <w:lang w:val="en-US"/>
        </w:rPr>
      </w:pPr>
      <w:r>
        <w:rPr>
          <w:lang w:val="en-US"/>
        </w:rPr>
        <w:t xml:space="preserve">The level of intra-service interference, </w:t>
      </w:r>
      <w:r>
        <w:rPr>
          <w:i/>
          <w:iCs/>
          <w:lang w:val="en-US"/>
        </w:rPr>
        <w:t>I</w:t>
      </w:r>
      <w:r>
        <w:rPr>
          <w:i/>
          <w:iCs/>
          <w:position w:val="-4"/>
          <w:sz w:val="20"/>
          <w:lang w:val="en-US"/>
        </w:rPr>
        <w:t>Intra</w:t>
      </w:r>
      <w:r>
        <w:rPr>
          <w:lang w:val="en-US"/>
        </w:rPr>
        <w:t xml:space="preserve">, into an FS receiver may be set to a level that causes the total noise into that receiver to be increased by a user specified allocation of </w:t>
      </w:r>
      <w:r>
        <w:rPr>
          <w:i/>
          <w:lang w:val="en-US"/>
        </w:rPr>
        <w:t>Y</w:t>
      </w:r>
      <w:r>
        <w:rPr>
          <w:lang w:val="en-US"/>
        </w:rPr>
        <w:t xml:space="preserve"> (dB) above the system thermal noise. Alternatively, the intra-service interference allocation under clear-sky conditions may be stated in terms of the ratio of intra-service interference-to-thermal noise and the intra-service interference can be calculated directly. Unless a specific model for the FS deployment is generated to compute the intra-service interference into each FS receiver of a </w:t>
      </w:r>
      <w:r>
        <w:rPr>
          <w:iCs/>
          <w:lang w:val="en-US"/>
        </w:rPr>
        <w:t>P</w:t>
      </w:r>
      <w:r>
        <w:rPr>
          <w:iCs/>
          <w:lang w:val="en-US"/>
        </w:rPr>
        <w:noBreakHyphen/>
        <w:t>MP</w:t>
      </w:r>
      <w:r>
        <w:rPr>
          <w:lang w:val="en-US"/>
        </w:rPr>
        <w:t xml:space="preserve"> or a </w:t>
      </w:r>
      <w:r>
        <w:rPr>
          <w:iCs/>
          <w:lang w:val="en-US"/>
        </w:rPr>
        <w:t>P-P</w:t>
      </w:r>
      <w:r>
        <w:rPr>
          <w:lang w:val="en-US"/>
        </w:rPr>
        <w:t xml:space="preserve"> system, the methodology of § 6.1.1.1 may be used.</w:t>
      </w:r>
    </w:p>
    <w:p w:rsidR="003B60B7" w:rsidRDefault="003B60B7" w:rsidP="003B60B7">
      <w:pPr>
        <w:spacing w:line="280" w:lineRule="exact"/>
        <w:rPr>
          <w:lang w:val="en-US"/>
        </w:rPr>
      </w:pPr>
      <w:r>
        <w:rPr>
          <w:i/>
          <w:iCs/>
          <w:lang w:val="en-US"/>
        </w:rPr>
        <w:t>I</w:t>
      </w:r>
      <w:r>
        <w:rPr>
          <w:i/>
          <w:iCs/>
          <w:position w:val="-4"/>
          <w:sz w:val="20"/>
          <w:lang w:val="en-US"/>
        </w:rPr>
        <w:t>Inter</w:t>
      </w:r>
      <w:r>
        <w:rPr>
          <w:lang w:val="en-US"/>
        </w:rPr>
        <w:t xml:space="preserve"> is the inter-service interference from the FSS. The level of inter-system interference, </w:t>
      </w:r>
      <w:r>
        <w:rPr>
          <w:i/>
          <w:iCs/>
          <w:lang w:val="en-US"/>
        </w:rPr>
        <w:t>I</w:t>
      </w:r>
      <w:r>
        <w:rPr>
          <w:i/>
          <w:iCs/>
          <w:position w:val="-4"/>
          <w:sz w:val="20"/>
          <w:lang w:val="en-US"/>
        </w:rPr>
        <w:t>Inter</w:t>
      </w:r>
      <w:r>
        <w:rPr>
          <w:lang w:val="en-US"/>
        </w:rPr>
        <w:t xml:space="preserve">, into an FS receiver may be set to a level that causes the total noise into that receiver to be increased by a user specified allocation of </w:t>
      </w:r>
      <w:r>
        <w:rPr>
          <w:bCs/>
          <w:i/>
          <w:lang w:val="en-US"/>
        </w:rPr>
        <w:t>Z</w:t>
      </w:r>
      <w:r>
        <w:rPr>
          <w:lang w:val="en-US"/>
        </w:rPr>
        <w:t xml:space="preserve"> (dB) above the system thermal noise. The inter-system interference allocation is assumed to be constant with respect to thermal noise under both rain-faded and clear-sky conditions.</w:t>
      </w:r>
    </w:p>
    <w:p w:rsidR="003B60B7" w:rsidRDefault="003B60B7" w:rsidP="003B60B7">
      <w:pPr>
        <w:pStyle w:val="Heading4"/>
        <w:rPr>
          <w:lang w:val="en-US"/>
        </w:rPr>
      </w:pPr>
      <w:r>
        <w:rPr>
          <w:lang w:val="en-US"/>
        </w:rPr>
        <w:t>6.1.1.1</w:t>
      </w:r>
      <w:r>
        <w:rPr>
          <w:lang w:val="en-US"/>
        </w:rPr>
        <w:tab/>
        <w:t>Intra-service (including intra-system) interference calculation into FS receivers</w:t>
      </w:r>
    </w:p>
    <w:p w:rsidR="003B60B7" w:rsidRDefault="003B60B7" w:rsidP="003B60B7">
      <w:pPr>
        <w:spacing w:line="280" w:lineRule="exact"/>
        <w:rPr>
          <w:lang w:val="en-US"/>
        </w:rPr>
      </w:pPr>
      <w:r>
        <w:rPr>
          <w:lang w:val="en-US"/>
        </w:rPr>
        <w:t xml:space="preserve">The level of intra-service interference, </w:t>
      </w:r>
      <w:r>
        <w:rPr>
          <w:i/>
          <w:iCs/>
          <w:lang w:val="en-US"/>
        </w:rPr>
        <w:t>I</w:t>
      </w:r>
      <w:r>
        <w:rPr>
          <w:i/>
          <w:iCs/>
          <w:position w:val="-4"/>
          <w:sz w:val="20"/>
          <w:lang w:val="en-US"/>
        </w:rPr>
        <w:t>Intra</w:t>
      </w:r>
      <w:r>
        <w:rPr>
          <w:vertAlign w:val="subscript"/>
          <w:lang w:val="en-US"/>
        </w:rPr>
        <w:t xml:space="preserve"> </w:t>
      </w:r>
      <w:r>
        <w:rPr>
          <w:position w:val="-4"/>
          <w:sz w:val="20"/>
          <w:lang w:val="en-US"/>
        </w:rPr>
        <w:t>0</w:t>
      </w:r>
      <w:r>
        <w:rPr>
          <w:lang w:val="en-US"/>
        </w:rPr>
        <w:t xml:space="preserve">, into a reference subscriber receiver of a P-MP or P-P system with an elevation angle of </w:t>
      </w:r>
      <w:r>
        <w:sym w:font="Symbol" w:char="F065"/>
      </w:r>
      <w:r>
        <w:rPr>
          <w:position w:val="-4"/>
          <w:sz w:val="20"/>
        </w:rPr>
        <w:t>0</w:t>
      </w:r>
      <w:r>
        <w:rPr>
          <w:lang w:val="en-US"/>
        </w:rPr>
        <w:t xml:space="preserve"> is set to a level that causes the thermal noise into a receiver at the maximum radius to be increased by a user specified value of </w:t>
      </w:r>
      <w:r>
        <w:rPr>
          <w:i/>
          <w:lang w:val="en-US"/>
        </w:rPr>
        <w:t>Y</w:t>
      </w:r>
      <w:r>
        <w:rPr>
          <w:lang w:val="en-US"/>
        </w:rPr>
        <w:t xml:space="preserve"> (dB). The level of inter-service interference, </w:t>
      </w:r>
      <w:r>
        <w:rPr>
          <w:i/>
          <w:iCs/>
          <w:lang w:val="en-US"/>
        </w:rPr>
        <w:t>I</w:t>
      </w:r>
      <w:r>
        <w:rPr>
          <w:i/>
          <w:iCs/>
          <w:position w:val="-4"/>
          <w:sz w:val="20"/>
          <w:lang w:val="en-US"/>
        </w:rPr>
        <w:t>Inter</w:t>
      </w:r>
      <w:r>
        <w:rPr>
          <w:lang w:val="en-US"/>
        </w:rPr>
        <w:t xml:space="preserve">, into a subscriber receiver of a P-MP or P-P system may be set to a level that causes the thermal noise into a receiver to be increased by a user specified allocation of </w:t>
      </w:r>
      <w:r>
        <w:rPr>
          <w:i/>
          <w:lang w:val="en-US"/>
        </w:rPr>
        <w:t>Z</w:t>
      </w:r>
      <w:r>
        <w:rPr>
          <w:lang w:val="en-US"/>
        </w:rPr>
        <w:t xml:space="preserve"> (dB). The intra-service interference level received by this reference receiver in the reference bandwidth is calculated using equation (6):</w:t>
      </w:r>
    </w:p>
    <w:p w:rsidR="003B60B7" w:rsidRDefault="003B60B7" w:rsidP="003B60B7">
      <w:pPr>
        <w:pStyle w:val="Equation"/>
        <w:rPr>
          <w:lang w:val="en-US"/>
        </w:rPr>
      </w:pPr>
      <w:r>
        <w:rPr>
          <w:lang w:val="en-US"/>
        </w:rPr>
        <w:tab/>
      </w:r>
      <w:r>
        <w:rPr>
          <w:lang w:val="en-US"/>
        </w:rPr>
        <w:tab/>
      </w:r>
      <w:r w:rsidRPr="00C91B3E">
        <w:rPr>
          <w:position w:val="-16"/>
          <w:lang w:val="es-ES_tradnl"/>
        </w:rPr>
        <w:object w:dxaOrig="6140" w:dyaOrig="480">
          <v:shape id="_x0000_i1030" type="#_x0000_t75" style="width:306.6pt;height:23.4pt" o:ole="">
            <v:imagedata r:id="rId24" o:title=""/>
          </v:shape>
          <o:OLEObject Type="Embed" ProgID="Equation.3" ShapeID="_x0000_i1030" DrawAspect="Content" ObjectID="_1349506787" r:id="rId25"/>
        </w:object>
      </w:r>
      <w:r>
        <w:rPr>
          <w:lang w:val="en-US"/>
        </w:rPr>
        <w:tab/>
        <w:t>(6)</w:t>
      </w:r>
    </w:p>
    <w:p w:rsidR="003B60B7" w:rsidRDefault="003B60B7" w:rsidP="003B60B7">
      <w:pPr>
        <w:rPr>
          <w:lang w:val="en-US"/>
        </w:rPr>
      </w:pPr>
      <w:r>
        <w:rPr>
          <w:lang w:val="en-US"/>
        </w:rPr>
        <w:br w:type="page"/>
      </w:r>
      <w:r>
        <w:rPr>
          <w:lang w:val="en-US"/>
        </w:rPr>
        <w:lastRenderedPageBreak/>
        <w:t>For all other subscribers the level of interference is calculated relative to the intra-service inter</w:t>
      </w:r>
      <w:r>
        <w:rPr>
          <w:lang w:val="en-US"/>
        </w:rPr>
        <w:softHyphen/>
        <w:t>ference received by the reference subscriber using equation (7):</w:t>
      </w:r>
    </w:p>
    <w:p w:rsidR="003B60B7" w:rsidRDefault="003B60B7" w:rsidP="003B60B7">
      <w:pPr>
        <w:pStyle w:val="Equation"/>
        <w:rPr>
          <w:lang w:val="en-US"/>
        </w:rPr>
      </w:pPr>
      <w:r>
        <w:rPr>
          <w:lang w:val="en-US"/>
        </w:rPr>
        <w:tab/>
      </w:r>
      <w:r>
        <w:rPr>
          <w:lang w:val="en-US"/>
        </w:rPr>
        <w:tab/>
      </w:r>
      <w:r w:rsidRPr="00C91B3E">
        <w:rPr>
          <w:position w:val="-16"/>
          <w:lang w:val="es-ES_tradnl"/>
        </w:rPr>
        <w:object w:dxaOrig="5620" w:dyaOrig="400">
          <v:shape id="_x0000_i1031" type="#_x0000_t75" style="width:280.8pt;height:19.8pt" o:ole="" fillcolor="window">
            <v:imagedata r:id="rId26" o:title=""/>
          </v:shape>
          <o:OLEObject Type="Embed" ProgID="Equation.3" ShapeID="_x0000_i1031" DrawAspect="Content" ObjectID="_1349506788" r:id="rId27"/>
        </w:object>
      </w:r>
      <w:r>
        <w:rPr>
          <w:lang w:val="en-US"/>
        </w:rPr>
        <w:tab/>
        <w:t>(7)</w:t>
      </w:r>
    </w:p>
    <w:p w:rsidR="003B60B7" w:rsidRDefault="003B60B7" w:rsidP="003B60B7">
      <w:pPr>
        <w:tabs>
          <w:tab w:val="left" w:pos="2160"/>
        </w:tabs>
        <w:rPr>
          <w:lang w:val="en-US"/>
        </w:rPr>
      </w:pPr>
      <w:r>
        <w:rPr>
          <w:lang w:val="en-US"/>
        </w:rPr>
        <w:t>where:</w:t>
      </w:r>
    </w:p>
    <w:p w:rsidR="003B60B7" w:rsidRDefault="003B60B7" w:rsidP="003B60B7">
      <w:pPr>
        <w:pStyle w:val="Equationlegend"/>
      </w:pPr>
      <w:r>
        <w:tab/>
      </w:r>
      <w:r>
        <w:rPr>
          <w:i/>
        </w:rPr>
        <w:t>i</w:t>
      </w:r>
      <w:r>
        <w:rPr>
          <w:rFonts w:ascii="Tms Rmn" w:hAnsi="Tms Rmn"/>
          <w:iCs/>
          <w:sz w:val="12"/>
        </w:rPr>
        <w:t> </w:t>
      </w:r>
      <w:r>
        <w:rPr>
          <w:rFonts w:ascii="Tms Rmn" w:hAnsi="Tms Rmn"/>
          <w:iCs/>
          <w:sz w:val="20"/>
        </w:rPr>
        <w:t>:</w:t>
      </w:r>
      <w:r>
        <w:tab/>
        <w:t xml:space="preserve">index value for the </w:t>
      </w:r>
      <w:r>
        <w:rPr>
          <w:i/>
          <w:iCs/>
        </w:rPr>
        <w:t>i</w:t>
      </w:r>
      <w:r>
        <w:t>-th receiver</w:t>
      </w:r>
    </w:p>
    <w:p w:rsidR="003B60B7" w:rsidRDefault="003B60B7" w:rsidP="003B60B7">
      <w:pPr>
        <w:pStyle w:val="Equationlegend"/>
      </w:pPr>
      <w:r>
        <w:tab/>
      </w:r>
      <w:r>
        <w:rPr>
          <w:i/>
          <w:iCs/>
        </w:rPr>
        <w:t>n</w:t>
      </w:r>
      <w:r>
        <w:rPr>
          <w:rFonts w:ascii="Tms Rmn" w:hAnsi="Tms Rmn"/>
          <w:sz w:val="12"/>
        </w:rPr>
        <w:t> </w:t>
      </w:r>
      <w:r>
        <w:t>:</w:t>
      </w:r>
      <w:r>
        <w:tab/>
        <w:t>total number of possible receivers</w:t>
      </w:r>
    </w:p>
    <w:p w:rsidR="003B60B7" w:rsidRDefault="003B60B7" w:rsidP="003B60B7">
      <w:pPr>
        <w:pStyle w:val="Equationlegend"/>
      </w:pPr>
      <w:r>
        <w:tab/>
      </w:r>
      <w:r>
        <w:rPr>
          <w:i/>
          <w:iCs/>
        </w:rPr>
        <w:t>G</w:t>
      </w:r>
      <w:r>
        <w:t>(</w:t>
      </w:r>
      <w:r>
        <w:rPr>
          <w:rFonts w:ascii="Symbol" w:hAnsi="Symbol"/>
          <w:lang w:val="es-ES_tradnl"/>
        </w:rPr>
        <w:sym w:font="Symbol" w:char="F065"/>
      </w:r>
      <w:r>
        <w:rPr>
          <w:position w:val="-4"/>
          <w:sz w:val="20"/>
        </w:rPr>
        <w:t>0</w:t>
      </w:r>
      <w:r>
        <w:t>)</w:t>
      </w:r>
      <w:r>
        <w:rPr>
          <w:rFonts w:ascii="Tms Rmn" w:hAnsi="Tms Rmn"/>
          <w:sz w:val="12"/>
        </w:rPr>
        <w:t> </w:t>
      </w:r>
      <w:r>
        <w:rPr>
          <w:rFonts w:ascii="Tms Rmn" w:hAnsi="Tms Rmn"/>
          <w:sz w:val="20"/>
        </w:rPr>
        <w:t>:</w:t>
      </w:r>
      <w:r>
        <w:rPr>
          <w:rFonts w:ascii="Tms Rmn" w:hAnsi="Tms Rmn"/>
          <w:sz w:val="20"/>
        </w:rPr>
        <w:tab/>
      </w:r>
      <w:r>
        <w:t>gain of the reference subscriber receiving antenna toward the horizon (dBi)</w:t>
      </w:r>
    </w:p>
    <w:p w:rsidR="003B60B7" w:rsidRDefault="003B60B7" w:rsidP="003B60B7">
      <w:pPr>
        <w:pStyle w:val="Equationlegend"/>
        <w:ind w:left="2160" w:hanging="2160"/>
      </w:pPr>
      <w:r>
        <w:rPr>
          <w:i/>
        </w:rPr>
        <w:tab/>
      </w:r>
      <w:r>
        <w:rPr>
          <w:i/>
          <w:iCs/>
        </w:rPr>
        <w:t>G</w:t>
      </w:r>
      <w:r>
        <w:t>(</w:t>
      </w:r>
      <w:r>
        <w:rPr>
          <w:rFonts w:ascii="Symbol" w:hAnsi="Symbol"/>
          <w:lang w:val="es-ES_tradnl"/>
        </w:rPr>
        <w:sym w:font="Symbol" w:char="F065"/>
      </w:r>
      <w:r>
        <w:rPr>
          <w:i/>
          <w:iCs/>
          <w:position w:val="-4"/>
          <w:sz w:val="20"/>
        </w:rPr>
        <w:t>i</w:t>
      </w:r>
      <w:r>
        <w:t>)</w:t>
      </w:r>
      <w:r>
        <w:rPr>
          <w:rFonts w:ascii="Tms Rmn" w:hAnsi="Tms Rmn"/>
          <w:sz w:val="12"/>
        </w:rPr>
        <w:t> </w:t>
      </w:r>
      <w:r>
        <w:rPr>
          <w:rFonts w:ascii="Tms Rmn" w:hAnsi="Tms Rmn"/>
          <w:sz w:val="20"/>
        </w:rPr>
        <w:t>:</w:t>
      </w:r>
      <w:r>
        <w:tab/>
        <w:t xml:space="preserve">gain of the </w:t>
      </w:r>
      <w:r>
        <w:rPr>
          <w:i/>
          <w:iCs/>
        </w:rPr>
        <w:t>i</w:t>
      </w:r>
      <w:r>
        <w:t>-th subscriber receiving antenna toward the horizon (dBi)</w:t>
      </w:r>
    </w:p>
    <w:p w:rsidR="003B60B7" w:rsidRDefault="003B60B7" w:rsidP="003B60B7">
      <w:pPr>
        <w:pStyle w:val="Equationlegend"/>
        <w:rPr>
          <w:i/>
        </w:rPr>
      </w:pPr>
      <w:r>
        <w:rPr>
          <w:i/>
        </w:rPr>
        <w:tab/>
      </w:r>
      <w:r>
        <w:rPr>
          <w:lang w:val="es-ES_tradnl"/>
        </w:rPr>
        <w:sym w:font="Symbol" w:char="F065"/>
      </w:r>
      <w:r>
        <w:rPr>
          <w:position w:val="-4"/>
          <w:sz w:val="20"/>
        </w:rPr>
        <w:t>0</w:t>
      </w:r>
      <w:r>
        <w:rPr>
          <w:rFonts w:ascii="Tms Rmn" w:hAnsi="Tms Rmn"/>
          <w:sz w:val="12"/>
        </w:rPr>
        <w:t> </w:t>
      </w:r>
      <w:r>
        <w:rPr>
          <w:rFonts w:ascii="Tms Rmn" w:hAnsi="Tms Rmn"/>
          <w:sz w:val="20"/>
        </w:rPr>
        <w:t>:</w:t>
      </w:r>
      <w:r>
        <w:tab/>
        <w:t>elevation angle from the reference subscriber to the transmitting FS antenna (degrees)</w:t>
      </w:r>
    </w:p>
    <w:p w:rsidR="003B60B7" w:rsidRDefault="003B60B7" w:rsidP="003B60B7">
      <w:pPr>
        <w:pStyle w:val="Equationlegend"/>
      </w:pPr>
      <w:r>
        <w:rPr>
          <w:i/>
        </w:rPr>
        <w:tab/>
      </w:r>
      <w:r>
        <w:rPr>
          <w:rFonts w:ascii="Symbol" w:hAnsi="Symbol"/>
          <w:lang w:val="es-ES_tradnl"/>
        </w:rPr>
        <w:sym w:font="Symbol" w:char="F065"/>
      </w:r>
      <w:r>
        <w:rPr>
          <w:i/>
          <w:iCs/>
          <w:position w:val="-4"/>
          <w:sz w:val="20"/>
        </w:rPr>
        <w:t>i</w:t>
      </w:r>
      <w:r>
        <w:rPr>
          <w:rFonts w:ascii="Tms Rmn" w:hAnsi="Tms Rmn"/>
          <w:sz w:val="12"/>
        </w:rPr>
        <w:t> </w:t>
      </w:r>
      <w:r>
        <w:rPr>
          <w:rFonts w:ascii="Tms Rmn" w:hAnsi="Tms Rmn"/>
          <w:sz w:val="20"/>
        </w:rPr>
        <w:t>:</w:t>
      </w:r>
      <w:r>
        <w:tab/>
        <w:t xml:space="preserve">elevation angle of the </w:t>
      </w:r>
      <w:r>
        <w:rPr>
          <w:i/>
          <w:iCs/>
        </w:rPr>
        <w:t>i</w:t>
      </w:r>
      <w:r>
        <w:t>-th</w:t>
      </w:r>
      <w:r>
        <w:rPr>
          <w:iCs/>
        </w:rPr>
        <w:t xml:space="preserve"> </w:t>
      </w:r>
      <w:r>
        <w:t>subscriber towards the transmitting FS antenna (degrees).</w:t>
      </w:r>
    </w:p>
    <w:p w:rsidR="003B60B7" w:rsidRDefault="003B60B7" w:rsidP="003B60B7">
      <w:pPr>
        <w:rPr>
          <w:lang w:val="en-US"/>
        </w:rPr>
      </w:pPr>
      <w:r>
        <w:rPr>
          <w:lang w:val="en-US"/>
        </w:rPr>
        <w:t>The inter-service interference level received by this reference receiver in the reference bandwidth is calculated using equation (8):</w:t>
      </w:r>
    </w:p>
    <w:p w:rsidR="003B60B7" w:rsidRDefault="003B60B7" w:rsidP="003B60B7">
      <w:pPr>
        <w:pStyle w:val="Equation"/>
        <w:rPr>
          <w:lang w:val="en-US"/>
        </w:rPr>
      </w:pPr>
      <w:r>
        <w:rPr>
          <w:lang w:val="en-US"/>
        </w:rPr>
        <w:tab/>
      </w:r>
      <w:r>
        <w:rPr>
          <w:lang w:val="en-US"/>
        </w:rPr>
        <w:tab/>
      </w:r>
      <w:r w:rsidRPr="00C91B3E">
        <w:rPr>
          <w:position w:val="-12"/>
          <w:lang w:val="es-ES_tradnl"/>
        </w:rPr>
        <w:object w:dxaOrig="6000" w:dyaOrig="440">
          <v:shape id="_x0000_i1032" type="#_x0000_t75" style="width:300.6pt;height:21.6pt" o:ole="">
            <v:imagedata r:id="rId28" o:title=""/>
          </v:shape>
          <o:OLEObject Type="Embed" ProgID="Equation.3" ShapeID="_x0000_i1032" DrawAspect="Content" ObjectID="_1349506789" r:id="rId29"/>
        </w:object>
      </w:r>
      <w:r>
        <w:rPr>
          <w:lang w:val="en-US"/>
        </w:rPr>
        <w:tab/>
        <w:t>(8)</w:t>
      </w:r>
    </w:p>
    <w:p w:rsidR="003B60B7" w:rsidRDefault="003B60B7" w:rsidP="003B60B7">
      <w:pPr>
        <w:spacing w:line="280" w:lineRule="exact"/>
        <w:rPr>
          <w:bCs/>
          <w:lang w:val="en-US"/>
        </w:rPr>
      </w:pPr>
      <w:r>
        <w:rPr>
          <w:lang w:val="en-US"/>
        </w:rPr>
        <w:t xml:space="preserve">In the case of </w:t>
      </w:r>
      <w:r>
        <w:rPr>
          <w:i/>
          <w:iCs/>
          <w:lang w:val="en-US"/>
        </w:rPr>
        <w:t>i</w:t>
      </w:r>
      <w:r>
        <w:rPr>
          <w:lang w:val="en-US"/>
        </w:rPr>
        <w:t xml:space="preserve">, subscriber receivers located on high buildings near the edge of a cell could receive higher levels of interference than a reference receiver since they are more exposed as a consequence of having a higher gain toward the horizon. This case is handled by equation (7) when </w:t>
      </w:r>
      <w:r>
        <w:rPr>
          <w:rFonts w:ascii="Symbol" w:hAnsi="Symbol"/>
          <w:lang w:val="es-ES_tradnl"/>
        </w:rPr>
        <w:sym w:font="Symbol" w:char="F065"/>
      </w:r>
      <w:r>
        <w:rPr>
          <w:i/>
          <w:iCs/>
          <w:position w:val="-4"/>
          <w:sz w:val="20"/>
          <w:lang w:val="en-US"/>
        </w:rPr>
        <w:t>i</w:t>
      </w:r>
      <w:r>
        <w:rPr>
          <w:rFonts w:ascii="Symbol" w:hAnsi="Symbol"/>
          <w:lang w:val="es-ES_tradnl"/>
        </w:rPr>
        <w:t></w:t>
      </w:r>
      <w:r>
        <w:rPr>
          <w:rFonts w:ascii="Symbol" w:hAnsi="Symbol"/>
          <w:lang w:val="es-ES_tradnl"/>
        </w:rPr>
        <w:t></w:t>
      </w:r>
      <w:r>
        <w:rPr>
          <w:lang w:val="en-US"/>
        </w:rPr>
        <w:t> </w:t>
      </w:r>
      <w:r>
        <w:rPr>
          <w:rFonts w:ascii="Symbol" w:hAnsi="Symbol"/>
          <w:lang w:val="es-ES_tradnl"/>
        </w:rPr>
        <w:sym w:font="Symbol" w:char="F065"/>
      </w:r>
      <w:r>
        <w:rPr>
          <w:position w:val="-4"/>
          <w:sz w:val="20"/>
          <w:lang w:val="en-US"/>
        </w:rPr>
        <w:t>0</w:t>
      </w:r>
      <w:r>
        <w:rPr>
          <w:lang w:val="en-US"/>
        </w:rPr>
        <w:t xml:space="preserve"> and </w:t>
      </w:r>
      <w:r>
        <w:rPr>
          <w:i/>
          <w:iCs/>
          <w:lang w:val="en-US"/>
        </w:rPr>
        <w:t>G</w:t>
      </w:r>
      <w:r>
        <w:rPr>
          <w:lang w:val="en-US"/>
        </w:rPr>
        <w:t>(</w:t>
      </w:r>
      <w:r>
        <w:rPr>
          <w:rFonts w:ascii="Symbol" w:hAnsi="Symbol"/>
          <w:lang w:val="es-ES_tradnl"/>
        </w:rPr>
        <w:sym w:font="Symbol" w:char="F065"/>
      </w:r>
      <w:r>
        <w:rPr>
          <w:i/>
          <w:iCs/>
          <w:position w:val="-4"/>
          <w:sz w:val="20"/>
          <w:lang w:val="en-US"/>
        </w:rPr>
        <w:t>i</w:t>
      </w:r>
      <w:r>
        <w:rPr>
          <w:lang w:val="en-US"/>
        </w:rPr>
        <w:t>) </w:t>
      </w:r>
      <w:r>
        <w:rPr>
          <w:rFonts w:ascii="Symbol" w:hAnsi="Symbol"/>
          <w:lang w:val="es-ES_tradnl"/>
        </w:rPr>
        <w:t></w:t>
      </w:r>
      <w:r>
        <w:rPr>
          <w:lang w:val="en-US"/>
        </w:rPr>
        <w:t> </w:t>
      </w:r>
      <w:r>
        <w:rPr>
          <w:i/>
          <w:iCs/>
          <w:lang w:val="en-US"/>
        </w:rPr>
        <w:t>G</w:t>
      </w:r>
      <w:r>
        <w:rPr>
          <w:lang w:val="en-US"/>
        </w:rPr>
        <w:t>(</w:t>
      </w:r>
      <w:r>
        <w:rPr>
          <w:rFonts w:ascii="Symbol" w:hAnsi="Symbol"/>
          <w:lang w:val="es-ES_tradnl"/>
        </w:rPr>
        <w:sym w:font="Symbol" w:char="F065"/>
      </w:r>
      <w:r>
        <w:rPr>
          <w:position w:val="-4"/>
          <w:sz w:val="20"/>
          <w:lang w:val="en-US"/>
        </w:rPr>
        <w:t>0</w:t>
      </w:r>
      <w:r>
        <w:rPr>
          <w:lang w:val="en-US"/>
        </w:rPr>
        <w:t>)</w:t>
      </w:r>
      <w:r>
        <w:rPr>
          <w:bCs/>
          <w:lang w:val="en-US"/>
        </w:rPr>
        <w:t xml:space="preserve"> causing </w:t>
      </w:r>
      <w:r>
        <w:rPr>
          <w:i/>
          <w:iCs/>
          <w:lang w:val="en-US"/>
        </w:rPr>
        <w:t>I</w:t>
      </w:r>
      <w:r>
        <w:rPr>
          <w:i/>
          <w:iCs/>
          <w:position w:val="-4"/>
          <w:sz w:val="20"/>
          <w:lang w:val="en-US"/>
        </w:rPr>
        <w:t>Intra i</w:t>
      </w:r>
      <w:r>
        <w:rPr>
          <w:lang w:val="en-US"/>
        </w:rPr>
        <w:t xml:space="preserve"> &gt; </w:t>
      </w:r>
      <w:r>
        <w:rPr>
          <w:i/>
          <w:iCs/>
          <w:lang w:val="en-US"/>
        </w:rPr>
        <w:t>I</w:t>
      </w:r>
      <w:r>
        <w:rPr>
          <w:i/>
          <w:iCs/>
          <w:position w:val="-4"/>
          <w:sz w:val="20"/>
          <w:lang w:val="en-US"/>
        </w:rPr>
        <w:t>Intra </w:t>
      </w:r>
      <w:r>
        <w:rPr>
          <w:position w:val="-4"/>
          <w:sz w:val="20"/>
          <w:lang w:val="en-US"/>
        </w:rPr>
        <w:t>0</w:t>
      </w:r>
      <w:r>
        <w:rPr>
          <w:bCs/>
          <w:lang w:val="en-US"/>
        </w:rPr>
        <w:t>.</w:t>
      </w:r>
    </w:p>
    <w:p w:rsidR="003B60B7" w:rsidRDefault="003B60B7" w:rsidP="003B60B7">
      <w:pPr>
        <w:pStyle w:val="Heading4"/>
        <w:rPr>
          <w:lang w:val="en-US"/>
        </w:rPr>
      </w:pPr>
      <w:r>
        <w:rPr>
          <w:lang w:val="en-US"/>
        </w:rPr>
        <w:t>6.1.1.2</w:t>
      </w:r>
      <w:r>
        <w:rPr>
          <w:lang w:val="en-US"/>
        </w:rPr>
        <w:tab/>
        <w:t>Calculation of contribution of intra-service and external interference under rain faded conditions</w:t>
      </w:r>
    </w:p>
    <w:p w:rsidR="003B60B7" w:rsidRDefault="003B60B7" w:rsidP="003B60B7">
      <w:pPr>
        <w:spacing w:line="280" w:lineRule="exact"/>
        <w:rPr>
          <w:lang w:val="en-US"/>
        </w:rPr>
      </w:pPr>
      <w:r>
        <w:rPr>
          <w:lang w:val="en-US"/>
        </w:rPr>
        <w:t>During rain-faded conditions, the levels of interference, which contribute to the total thermal noise</w:t>
      </w:r>
      <w:r>
        <w:rPr>
          <w:lang w:val="en-US"/>
        </w:rPr>
        <w:noBreakHyphen/>
        <w:t>plus-interference will be attenuated from their clear-sky levels. Given that both the intra</w:t>
      </w:r>
      <w:r>
        <w:rPr>
          <w:lang w:val="en-US"/>
        </w:rPr>
        <w:noBreakHyphen/>
        <w:t xml:space="preserve">service interference from other FS systems and the external interference from the entire visible arc of GSO satellites comes from many different directions, the correlation between the fading along the wanted path and all interfering paths will not be 100%. The external interference, </w:t>
      </w:r>
      <w:r>
        <w:rPr>
          <w:i/>
          <w:lang w:val="en-US"/>
        </w:rPr>
        <w:t>I</w:t>
      </w:r>
      <w:r>
        <w:rPr>
          <w:i/>
          <w:iCs/>
          <w:position w:val="-4"/>
          <w:sz w:val="20"/>
          <w:lang w:val="en-US"/>
        </w:rPr>
        <w:t>GSO i</w:t>
      </w:r>
      <w:r>
        <w:rPr>
          <w:lang w:val="en-US"/>
        </w:rPr>
        <w:t xml:space="preserve">, is assumed to be attenuated only when the GSO satellite is located within an angle </w:t>
      </w:r>
      <w:r>
        <w:rPr>
          <w:i/>
          <w:lang w:val="en-US"/>
        </w:rPr>
        <w:t>u</w:t>
      </w:r>
      <w:r>
        <w:sym w:font="Symbol" w:char="F06A"/>
      </w:r>
      <w:r>
        <w:rPr>
          <w:i/>
          <w:iCs/>
          <w:position w:val="-4"/>
          <w:sz w:val="20"/>
          <w:lang w:val="en-US"/>
        </w:rPr>
        <w:t>m</w:t>
      </w:r>
      <w:r>
        <w:rPr>
          <w:lang w:val="en-US"/>
        </w:rPr>
        <w:t xml:space="preserve"> of the main</w:t>
      </w:r>
      <w:r>
        <w:rPr>
          <w:lang w:val="en-US"/>
        </w:rPr>
        <w:noBreakHyphen/>
        <w:t xml:space="preserve">beam axis of the receiving FS antenna where </w:t>
      </w:r>
      <w:r>
        <w:rPr>
          <w:i/>
          <w:lang w:val="en-US"/>
        </w:rPr>
        <w:t>u</w:t>
      </w:r>
      <w:r>
        <w:rPr>
          <w:lang w:val="en-US"/>
        </w:rPr>
        <w:t xml:space="preserve"> is a constant provisionally between 1 and 2.5. Pending further results from propagation studies, that would enable Working Party 3M to provide advice on the appropriate off-axis angle over which correlated fading on the interfering and wanted FS path occurs, the value of </w:t>
      </w:r>
      <w:r>
        <w:rPr>
          <w:i/>
          <w:lang w:val="en-US"/>
        </w:rPr>
        <w:t>u</w:t>
      </w:r>
      <w:r>
        <w:rPr>
          <w:lang w:val="en-US"/>
        </w:rPr>
        <w:t xml:space="preserve"> is provisional. The angle </w:t>
      </w:r>
      <w:r>
        <w:sym w:font="Symbol" w:char="F06A"/>
      </w:r>
      <w:r>
        <w:rPr>
          <w:i/>
          <w:iCs/>
          <w:position w:val="-4"/>
          <w:sz w:val="20"/>
          <w:lang w:val="en-US"/>
        </w:rPr>
        <w:t>m</w:t>
      </w:r>
      <w:r>
        <w:rPr>
          <w:lang w:val="en-US"/>
        </w:rPr>
        <w:t xml:space="preserve"> is the half angle bounding the FS antenna main beam as defined in Recommendation ITU-R F.1245.</w:t>
      </w:r>
    </w:p>
    <w:p w:rsidR="003B60B7" w:rsidRDefault="003B60B7" w:rsidP="003B60B7">
      <w:pPr>
        <w:spacing w:line="280" w:lineRule="exact"/>
        <w:rPr>
          <w:lang w:val="en-US"/>
        </w:rPr>
      </w:pPr>
      <w:r>
        <w:rPr>
          <w:lang w:val="en-US"/>
        </w:rPr>
        <w:t xml:space="preserve">There will be some attenuation in the direction of other satellites that are not within </w:t>
      </w:r>
      <w:r>
        <w:rPr>
          <w:i/>
          <w:lang w:val="en-US"/>
        </w:rPr>
        <w:t>u</w:t>
      </w:r>
      <w:r>
        <w:sym w:font="Symbol" w:char="F06A"/>
      </w:r>
      <w:r>
        <w:rPr>
          <w:i/>
          <w:iCs/>
          <w:position w:val="-4"/>
          <w:sz w:val="20"/>
          <w:lang w:val="en-US"/>
        </w:rPr>
        <w:t>m</w:t>
      </w:r>
      <w:r>
        <w:rPr>
          <w:lang w:val="en-US"/>
        </w:rPr>
        <w:t xml:space="preserve"> of the main-beam axis of the receiving FS antenna. However, the conservative assumption can be made that rain attenuation toward all GSO satellites not in the main beam of a possible FS receiver was set to zero.</w:t>
      </w:r>
    </w:p>
    <w:p w:rsidR="003B60B7" w:rsidRDefault="003B60B7" w:rsidP="003B60B7">
      <w:pPr>
        <w:spacing w:line="280" w:lineRule="exact"/>
        <w:rPr>
          <w:lang w:val="en-US"/>
        </w:rPr>
      </w:pPr>
      <w:r>
        <w:rPr>
          <w:i/>
          <w:lang w:val="en-US"/>
        </w:rPr>
        <w:br w:type="page"/>
      </w:r>
      <w:r>
        <w:rPr>
          <w:i/>
          <w:lang w:val="en-US"/>
        </w:rPr>
        <w:lastRenderedPageBreak/>
        <w:t>I</w:t>
      </w:r>
      <w:r>
        <w:rPr>
          <w:i/>
          <w:iCs/>
          <w:position w:val="-4"/>
          <w:sz w:val="20"/>
          <w:lang w:val="en-US"/>
        </w:rPr>
        <w:t>Intra i</w:t>
      </w:r>
      <w:r>
        <w:rPr>
          <w:i/>
          <w:vertAlign w:val="subscript"/>
          <w:lang w:val="en-US"/>
        </w:rPr>
        <w:t xml:space="preserve"> </w:t>
      </w:r>
      <w:r>
        <w:rPr>
          <w:lang w:val="en-US"/>
        </w:rPr>
        <w:t xml:space="preserve">may be treated as a constant level of interference contribution under both clear-sky and during rain faded conditions. </w:t>
      </w:r>
      <w:r>
        <w:rPr>
          <w:i/>
          <w:lang w:val="en-US"/>
        </w:rPr>
        <w:t>I</w:t>
      </w:r>
      <w:r>
        <w:rPr>
          <w:i/>
          <w:iCs/>
          <w:position w:val="-4"/>
          <w:sz w:val="20"/>
          <w:lang w:val="en-US"/>
        </w:rPr>
        <w:t>Intra i</w:t>
      </w:r>
      <w:r>
        <w:rPr>
          <w:lang w:val="en-US"/>
        </w:rPr>
        <w:t>, optionally, in the case where it is assumed that the dominant contribution results from horizontally propagating intra-service interference along the FS boresight azimuth, it may be attenuated during rain faded conditions along the horizontal projection of the wanted FS path.</w:t>
      </w:r>
    </w:p>
    <w:p w:rsidR="003B60B7" w:rsidRDefault="003B60B7" w:rsidP="003B60B7">
      <w:pPr>
        <w:pStyle w:val="Heading2"/>
        <w:rPr>
          <w:lang w:val="en-US"/>
        </w:rPr>
      </w:pPr>
      <w:r>
        <w:rPr>
          <w:lang w:val="en-US"/>
        </w:rPr>
        <w:t>6.2</w:t>
      </w:r>
      <w:r>
        <w:rPr>
          <w:lang w:val="en-US"/>
        </w:rPr>
        <w:tab/>
        <w:t>Calculation of required transmit power</w:t>
      </w:r>
    </w:p>
    <w:p w:rsidR="003B60B7" w:rsidRDefault="003B60B7" w:rsidP="003B60B7">
      <w:pPr>
        <w:spacing w:line="280" w:lineRule="exact"/>
        <w:rPr>
          <w:lang w:val="en-US"/>
        </w:rPr>
      </w:pPr>
      <w:r>
        <w:rPr>
          <w:lang w:val="en-US"/>
        </w:rPr>
        <w:t xml:space="preserve">Given that the receiver must receive at or above its </w:t>
      </w:r>
      <w:r>
        <w:rPr>
          <w:bCs/>
          <w:iCs/>
          <w:lang w:val="en-US"/>
        </w:rPr>
        <w:t>(</w:t>
      </w:r>
      <w:r>
        <w:rPr>
          <w:bCs/>
          <w:i/>
          <w:lang w:val="en-US"/>
        </w:rPr>
        <w:t>C</w:t>
      </w:r>
      <w:r>
        <w:rPr>
          <w:bCs/>
          <w:iCs/>
          <w:lang w:val="en-US"/>
        </w:rPr>
        <w:t>/</w:t>
      </w:r>
      <w:r>
        <w:rPr>
          <w:bCs/>
          <w:i/>
          <w:lang w:val="en-US"/>
        </w:rPr>
        <w:t>N</w:t>
      </w:r>
      <w:r>
        <w:rPr>
          <w:bCs/>
          <w:iCs/>
          <w:lang w:val="en-US"/>
        </w:rPr>
        <w:t>) threshold</w:t>
      </w:r>
      <w:r>
        <w:rPr>
          <w:lang w:val="en-US"/>
        </w:rPr>
        <w:t xml:space="preserve">, </w:t>
      </w:r>
      <w:r>
        <w:rPr>
          <w:i/>
          <w:lang w:val="en-US"/>
        </w:rPr>
        <w:t>C</w:t>
      </w:r>
      <w:r>
        <w:rPr>
          <w:lang w:val="en-US"/>
        </w:rPr>
        <w:t>/</w:t>
      </w:r>
      <w:r>
        <w:rPr>
          <w:i/>
          <w:lang w:val="en-US"/>
        </w:rPr>
        <w:t>N</w:t>
      </w:r>
      <w:r>
        <w:rPr>
          <w:i/>
          <w:iCs/>
          <w:position w:val="-4"/>
          <w:sz w:val="20"/>
          <w:lang w:val="en-US"/>
        </w:rPr>
        <w:t>Thresh</w:t>
      </w:r>
      <w:r>
        <w:rPr>
          <w:lang w:val="en-US"/>
        </w:rPr>
        <w:t xml:space="preserve">, for all but </w:t>
      </w:r>
      <w:r>
        <w:rPr>
          <w:i/>
          <w:lang w:val="en-US"/>
        </w:rPr>
        <w:t>p</w:t>
      </w:r>
      <w:r>
        <w:rPr>
          <w:iCs/>
          <w:lang w:val="en-US"/>
        </w:rPr>
        <w:t>(%)</w:t>
      </w:r>
      <w:r>
        <w:rPr>
          <w:lang w:val="en-US"/>
        </w:rPr>
        <w:t xml:space="preserve"> of the time, the minimum transmit power density can be determined knowing that under rain faded conditions:</w:t>
      </w:r>
    </w:p>
    <w:p w:rsidR="003B60B7" w:rsidRDefault="003B60B7" w:rsidP="003B60B7">
      <w:pPr>
        <w:pStyle w:val="Equation"/>
        <w:rPr>
          <w:lang w:val="en-US"/>
        </w:rPr>
      </w:pPr>
      <w:r>
        <w:rPr>
          <w:lang w:val="en-US"/>
        </w:rPr>
        <w:tab/>
      </w:r>
      <w:r>
        <w:rPr>
          <w:lang w:val="en-US"/>
        </w:rPr>
        <w:tab/>
      </w:r>
      <w:r w:rsidRPr="00C91B3E">
        <w:rPr>
          <w:position w:val="-50"/>
          <w:lang w:val="es-ES_tradnl"/>
        </w:rPr>
        <w:object w:dxaOrig="7100" w:dyaOrig="1120">
          <v:shape id="_x0000_i1033" type="#_x0000_t75" style="width:355.2pt;height:55.8pt" o:ole="">
            <v:imagedata r:id="rId30" o:title=""/>
          </v:shape>
          <o:OLEObject Type="Embed" ProgID="Equation.3" ShapeID="_x0000_i1033" DrawAspect="Content" ObjectID="_1349506790" r:id="rId31"/>
        </w:object>
      </w:r>
      <w:r>
        <w:rPr>
          <w:lang w:val="es-ES_tradnl"/>
        </w:rPr>
        <w:tab/>
      </w:r>
      <w:r>
        <w:rPr>
          <w:lang w:val="en-US"/>
        </w:rPr>
        <w:t>(9)</w:t>
      </w:r>
    </w:p>
    <w:p w:rsidR="003B60B7" w:rsidRDefault="003B60B7" w:rsidP="003B60B7">
      <w:pPr>
        <w:rPr>
          <w:lang w:val="en-US"/>
        </w:rPr>
      </w:pPr>
      <w:r>
        <w:rPr>
          <w:lang w:val="en-US"/>
        </w:rPr>
        <w:t>where:</w:t>
      </w:r>
    </w:p>
    <w:p w:rsidR="003B60B7" w:rsidRDefault="003B60B7" w:rsidP="003B60B7">
      <w:pPr>
        <w:pStyle w:val="Equationlegend"/>
        <w:tabs>
          <w:tab w:val="clear" w:pos="1701"/>
          <w:tab w:val="clear" w:pos="1985"/>
          <w:tab w:val="right" w:pos="2835"/>
          <w:tab w:val="left" w:pos="3119"/>
        </w:tabs>
        <w:spacing w:line="280" w:lineRule="exact"/>
        <w:ind w:left="3119" w:hanging="3119"/>
      </w:pPr>
      <w:r>
        <w:tab/>
      </w:r>
      <w:r w:rsidRPr="00C91B3E">
        <w:rPr>
          <w:position w:val="-12"/>
        </w:rPr>
        <w:object w:dxaOrig="420" w:dyaOrig="360">
          <v:shape id="_x0000_i1034" type="#_x0000_t75" style="width:20.4pt;height:18.6pt" o:ole="">
            <v:imagedata r:id="rId32" o:title=""/>
          </v:shape>
          <o:OLEObject Type="Embed" ProgID="Equation.3" ShapeID="_x0000_i1034" DrawAspect="Content" ObjectID="_1349506791" r:id="rId33"/>
        </w:object>
      </w:r>
      <w:r>
        <w:rPr>
          <w:i/>
          <w:iCs/>
          <w:position w:val="-4"/>
          <w:sz w:val="20"/>
        </w:rPr>
        <w:t>Rain Faded</w:t>
      </w:r>
      <w:r>
        <w:rPr>
          <w:rFonts w:ascii="Tms Rmn" w:hAnsi="Tms Rmn"/>
          <w:iCs/>
          <w:position w:val="-4"/>
          <w:sz w:val="12"/>
          <w:vertAlign w:val="subscript"/>
        </w:rPr>
        <w:t> </w:t>
      </w:r>
      <w:r>
        <w:t>:</w:t>
      </w:r>
      <w:r>
        <w:tab/>
        <w:t>received wanted carrier level (dB(W/MHz)) under rain conditions when the receiver is at threshold</w:t>
      </w:r>
    </w:p>
    <w:p w:rsidR="003B60B7" w:rsidRDefault="003B60B7" w:rsidP="003B60B7">
      <w:pPr>
        <w:pStyle w:val="Equationlegend"/>
        <w:tabs>
          <w:tab w:val="clear" w:pos="1701"/>
          <w:tab w:val="clear" w:pos="1985"/>
          <w:tab w:val="right" w:pos="2835"/>
          <w:tab w:val="left" w:pos="3119"/>
        </w:tabs>
        <w:spacing w:line="280" w:lineRule="exact"/>
        <w:ind w:left="3119" w:hanging="3119"/>
      </w:pPr>
      <w:r>
        <w:tab/>
      </w:r>
      <w:r w:rsidRPr="00C91B3E">
        <w:rPr>
          <w:position w:val="-12"/>
        </w:rPr>
        <w:object w:dxaOrig="420" w:dyaOrig="360">
          <v:shape id="_x0000_i1035" type="#_x0000_t75" style="width:20.4pt;height:18.6pt" o:ole="">
            <v:imagedata r:id="rId32" o:title=""/>
          </v:shape>
          <o:OLEObject Type="Embed" ProgID="Equation.3" ShapeID="_x0000_i1035" DrawAspect="Content" ObjectID="_1349506792" r:id="rId34"/>
        </w:object>
      </w:r>
      <w:r>
        <w:rPr>
          <w:i/>
          <w:iCs/>
          <w:position w:val="-4"/>
          <w:sz w:val="20"/>
        </w:rPr>
        <w:t>CS</w:t>
      </w:r>
      <w:r>
        <w:rPr>
          <w:rFonts w:ascii="Tms Rmn" w:hAnsi="Tms Rmn"/>
          <w:iCs/>
          <w:position w:val="-4"/>
          <w:sz w:val="12"/>
          <w:vertAlign w:val="subscript"/>
        </w:rPr>
        <w:t> </w:t>
      </w:r>
      <w:r>
        <w:t>:</w:t>
      </w:r>
      <w:r>
        <w:tab/>
        <w:t>received wanted carrier level (dB(W/MHz)) under clear-sky conditions</w:t>
      </w:r>
    </w:p>
    <w:p w:rsidR="003B60B7" w:rsidRDefault="003B60B7" w:rsidP="003B60B7">
      <w:pPr>
        <w:pStyle w:val="Equationlegend"/>
        <w:tabs>
          <w:tab w:val="clear" w:pos="1701"/>
          <w:tab w:val="clear" w:pos="1985"/>
          <w:tab w:val="right" w:pos="2835"/>
          <w:tab w:val="left" w:pos="3119"/>
        </w:tabs>
        <w:spacing w:line="280" w:lineRule="exact"/>
        <w:ind w:left="3119" w:hanging="3119"/>
      </w:pPr>
      <w:r>
        <w:rPr>
          <w:iCs/>
        </w:rPr>
        <w:t>(</w:t>
      </w:r>
      <w:r>
        <w:rPr>
          <w:i/>
        </w:rPr>
        <w:t>N</w:t>
      </w:r>
      <w:r>
        <w:rPr>
          <w:iCs/>
        </w:rPr>
        <w:t> </w:t>
      </w:r>
      <w:r>
        <w:rPr>
          <w:rFonts w:ascii="Symbol" w:hAnsi="Symbol"/>
          <w:iCs/>
          <w:lang w:val="es-ES_tradnl"/>
        </w:rPr>
        <w:t></w:t>
      </w:r>
      <w:r>
        <w:rPr>
          <w:iCs/>
        </w:rPr>
        <w:t> </w:t>
      </w:r>
      <w:r>
        <w:rPr>
          <w:i/>
        </w:rPr>
        <w:t>I</w:t>
      </w:r>
      <w:r>
        <w:rPr>
          <w:i/>
          <w:iCs/>
          <w:position w:val="-4"/>
          <w:sz w:val="20"/>
        </w:rPr>
        <w:t>Intra</w:t>
      </w:r>
      <w:r>
        <w:t> </w:t>
      </w:r>
      <w:r>
        <w:rPr>
          <w:rFonts w:ascii="Symbol" w:hAnsi="Symbol"/>
          <w:iCs/>
          <w:lang w:val="es-ES_tradnl"/>
        </w:rPr>
        <w:t></w:t>
      </w:r>
      <w:r>
        <w:rPr>
          <w:iCs/>
        </w:rPr>
        <w:t> </w:t>
      </w:r>
      <w:r>
        <w:rPr>
          <w:i/>
        </w:rPr>
        <w:t>I</w:t>
      </w:r>
      <w:r>
        <w:rPr>
          <w:i/>
          <w:iCs/>
          <w:position w:val="-4"/>
          <w:sz w:val="20"/>
        </w:rPr>
        <w:t>Inter</w:t>
      </w:r>
      <w:r>
        <w:t>)</w:t>
      </w:r>
      <w:r>
        <w:rPr>
          <w:i/>
          <w:iCs/>
          <w:position w:val="-4"/>
          <w:sz w:val="20"/>
        </w:rPr>
        <w:t>Rain Faded</w:t>
      </w:r>
      <w:r>
        <w:rPr>
          <w:rFonts w:ascii="Tms Rmn" w:hAnsi="Tms Rmn"/>
          <w:sz w:val="12"/>
        </w:rPr>
        <w:t> </w:t>
      </w:r>
      <w:r>
        <w:t>:</w:t>
      </w:r>
      <w:r>
        <w:tab/>
      </w:r>
      <w:r>
        <w:tab/>
        <w:t>total noise (dB(W/MHz)) including intra-service and inter-service interference under rain faded conditions.</w:t>
      </w:r>
    </w:p>
    <w:p w:rsidR="003B60B7" w:rsidRDefault="003B60B7" w:rsidP="003B60B7">
      <w:pPr>
        <w:spacing w:line="280" w:lineRule="exact"/>
        <w:rPr>
          <w:lang w:val="en-US"/>
        </w:rPr>
      </w:pPr>
      <w:r>
        <w:rPr>
          <w:lang w:val="en-US"/>
        </w:rPr>
        <w:t xml:space="preserve">Substituting equation (9) into equation (3) and solving for </w:t>
      </w:r>
      <w:r>
        <w:rPr>
          <w:i/>
          <w:lang w:val="en-US"/>
        </w:rPr>
        <w:t>P</w:t>
      </w:r>
      <w:r>
        <w:rPr>
          <w:i/>
          <w:iCs/>
          <w:position w:val="-4"/>
          <w:sz w:val="20"/>
          <w:lang w:val="en-US"/>
        </w:rPr>
        <w:t>Tx</w:t>
      </w:r>
      <w:r>
        <w:rPr>
          <w:lang w:val="en-US"/>
        </w:rPr>
        <w:t>, the minimum required transmit power required for the link to operate at its designed availability is:</w:t>
      </w:r>
    </w:p>
    <w:p w:rsidR="003B60B7" w:rsidRDefault="003B60B7" w:rsidP="003B60B7">
      <w:pPr>
        <w:pStyle w:val="Equationlegend"/>
        <w:jc w:val="right"/>
      </w:pPr>
      <w:r>
        <w:rPr>
          <w:lang w:val="es-ES_tradnl"/>
        </w:rPr>
        <w:tab/>
      </w:r>
      <w:r w:rsidRPr="00C91B3E">
        <w:rPr>
          <w:position w:val="-46"/>
          <w:lang w:val="es-ES_tradnl"/>
        </w:rPr>
        <w:object w:dxaOrig="7699" w:dyaOrig="1040">
          <v:shape id="_x0000_i1036" type="#_x0000_t75" style="width:384.6pt;height:52.2pt" o:ole="">
            <v:imagedata r:id="rId35" o:title=""/>
          </v:shape>
          <o:OLEObject Type="Embed" ProgID="Equation.3" ShapeID="_x0000_i1036" DrawAspect="Content" ObjectID="_1349506793" r:id="rId36"/>
        </w:object>
      </w:r>
      <w:r>
        <w:tab/>
        <w:t>(10)</w:t>
      </w:r>
    </w:p>
    <w:p w:rsidR="003B60B7" w:rsidRDefault="003B60B7" w:rsidP="003B60B7">
      <w:pPr>
        <w:rPr>
          <w:lang w:val="en-US"/>
        </w:rPr>
      </w:pPr>
      <w:r>
        <w:rPr>
          <w:lang w:val="en-US"/>
        </w:rPr>
        <w:t xml:space="preserve">where </w:t>
      </w:r>
      <w:r>
        <w:rPr>
          <w:i/>
          <w:lang w:val="en-US"/>
        </w:rPr>
        <w:t>L</w:t>
      </w:r>
      <w:r>
        <w:rPr>
          <w:i/>
          <w:iCs/>
          <w:position w:val="-4"/>
          <w:sz w:val="20"/>
          <w:lang w:val="en-US"/>
        </w:rPr>
        <w:t>FS</w:t>
      </w:r>
      <w:r>
        <w:rPr>
          <w:lang w:val="en-US"/>
        </w:rPr>
        <w:t xml:space="preserve"> and </w:t>
      </w:r>
      <w:r>
        <w:rPr>
          <w:i/>
          <w:lang w:val="en-US"/>
        </w:rPr>
        <w:t>L</w:t>
      </w:r>
      <w:r>
        <w:rPr>
          <w:i/>
          <w:iCs/>
          <w:position w:val="-4"/>
          <w:sz w:val="20"/>
          <w:lang w:val="en-US"/>
        </w:rPr>
        <w:t>Atm_t</w:t>
      </w:r>
      <w:r>
        <w:rPr>
          <w:lang w:val="en-US"/>
        </w:rPr>
        <w:t xml:space="preserve"> are the losses as defined in equation (3).</w:t>
      </w:r>
    </w:p>
    <w:p w:rsidR="003B60B7" w:rsidRDefault="003B60B7" w:rsidP="003B60B7">
      <w:pPr>
        <w:pStyle w:val="Heading2"/>
        <w:rPr>
          <w:lang w:val="en-US"/>
        </w:rPr>
      </w:pPr>
      <w:r>
        <w:rPr>
          <w:lang w:val="en-US"/>
        </w:rPr>
        <w:t>6.3</w:t>
      </w:r>
      <w:r>
        <w:rPr>
          <w:lang w:val="en-US"/>
        </w:rPr>
        <w:tab/>
        <w:t>Received carrier level calculations</w:t>
      </w:r>
    </w:p>
    <w:p w:rsidR="003B60B7" w:rsidRDefault="003B60B7" w:rsidP="003B60B7">
      <w:pPr>
        <w:pStyle w:val="Heading3"/>
        <w:rPr>
          <w:lang w:val="en-US"/>
        </w:rPr>
      </w:pPr>
      <w:r>
        <w:rPr>
          <w:lang w:val="en-US"/>
        </w:rPr>
        <w:t>6.3.1</w:t>
      </w:r>
      <w:r>
        <w:rPr>
          <w:lang w:val="en-US"/>
        </w:rPr>
        <w:tab/>
        <w:t>Calculation of received carrier level and required margin for P-MP FS hub</w:t>
      </w:r>
      <w:r>
        <w:rPr>
          <w:lang w:val="en-US"/>
        </w:rPr>
        <w:noBreakHyphen/>
        <w:t>to</w:t>
      </w:r>
      <w:r>
        <w:rPr>
          <w:lang w:val="en-US"/>
        </w:rPr>
        <w:noBreakHyphen/>
        <w:t>subscriber link (outroute)</w:t>
      </w:r>
    </w:p>
    <w:p w:rsidR="003B60B7" w:rsidRDefault="003B60B7" w:rsidP="003B60B7">
      <w:pPr>
        <w:spacing w:line="280" w:lineRule="exact"/>
        <w:rPr>
          <w:lang w:val="en-US"/>
        </w:rPr>
      </w:pPr>
      <w:r>
        <w:rPr>
          <w:lang w:val="en-US"/>
        </w:rPr>
        <w:t xml:space="preserve">The received carrier level under clear-sky conditions is calculated using the same expression, as in § 6.1, however, </w:t>
      </w:r>
      <w:r>
        <w:rPr>
          <w:i/>
          <w:lang w:val="en-US"/>
        </w:rPr>
        <w:t>G</w:t>
      </w:r>
      <w:r>
        <w:rPr>
          <w:i/>
          <w:iCs/>
          <w:position w:val="-4"/>
          <w:sz w:val="20"/>
          <w:lang w:val="en-US"/>
        </w:rPr>
        <w:t>TX</w:t>
      </w:r>
      <w:r>
        <w:rPr>
          <w:i/>
          <w:lang w:val="en-US"/>
        </w:rPr>
        <w:t xml:space="preserve"> </w:t>
      </w:r>
      <w:r>
        <w:rPr>
          <w:lang w:val="en-US"/>
        </w:rPr>
        <w:t xml:space="preserve">is not a single constant value. </w:t>
      </w:r>
      <w:r>
        <w:rPr>
          <w:i/>
          <w:lang w:val="en-US"/>
        </w:rPr>
        <w:t>G</w:t>
      </w:r>
      <w:r>
        <w:rPr>
          <w:i/>
          <w:iCs/>
          <w:position w:val="-4"/>
          <w:sz w:val="20"/>
          <w:lang w:val="en-US"/>
        </w:rPr>
        <w:t>TX</w:t>
      </w:r>
      <w:r>
        <w:rPr>
          <w:lang w:val="en-US"/>
        </w:rPr>
        <w:t xml:space="preserve"> varies according to the hub antenna pointing angle bias, distance and elevation angle from the subscriber. </w:t>
      </w:r>
    </w:p>
    <w:p w:rsidR="003B60B7" w:rsidRDefault="003B60B7" w:rsidP="003B60B7">
      <w:pPr>
        <w:pStyle w:val="Equation"/>
        <w:rPr>
          <w:lang w:val="en-US"/>
        </w:rPr>
      </w:pPr>
      <w:r>
        <w:rPr>
          <w:lang w:val="es-ES_tradnl"/>
        </w:rPr>
        <w:tab/>
      </w:r>
      <w:r w:rsidRPr="00C91B3E">
        <w:rPr>
          <w:position w:val="-16"/>
          <w:lang w:val="es-ES_tradnl"/>
        </w:rPr>
        <w:object w:dxaOrig="5160" w:dyaOrig="460">
          <v:shape id="_x0000_i1037" type="#_x0000_t75" style="width:258pt;height:22.8pt" o:ole="" fillcolor="window">
            <v:imagedata r:id="rId37" o:title=""/>
          </v:shape>
          <o:OLEObject Type="Embed" ProgID="Equation.3" ShapeID="_x0000_i1037" DrawAspect="Content" ObjectID="_1349506794" r:id="rId38"/>
        </w:object>
      </w:r>
      <w:r>
        <w:rPr>
          <w:lang w:val="en-US"/>
        </w:rPr>
        <w:t>                dB(W/MHz)</w:t>
      </w:r>
      <w:r>
        <w:rPr>
          <w:lang w:val="en-US"/>
        </w:rPr>
        <w:tab/>
        <w:t>(11)</w:t>
      </w:r>
    </w:p>
    <w:p w:rsidR="003B60B7" w:rsidRDefault="003B60B7" w:rsidP="003B60B7">
      <w:pPr>
        <w:spacing w:line="280" w:lineRule="exact"/>
        <w:rPr>
          <w:i/>
          <w:lang w:val="en-US"/>
        </w:rPr>
      </w:pPr>
      <w:r>
        <w:rPr>
          <w:i/>
          <w:iCs/>
          <w:lang w:val="en-US"/>
        </w:rPr>
        <w:t>G</w:t>
      </w:r>
      <w:r>
        <w:rPr>
          <w:i/>
          <w:iCs/>
          <w:position w:val="-4"/>
          <w:sz w:val="20"/>
          <w:lang w:val="en-US"/>
        </w:rPr>
        <w:t>TX </w:t>
      </w:r>
      <w:r>
        <w:rPr>
          <w:lang w:val="en-US"/>
        </w:rPr>
        <w:t>(</w:t>
      </w:r>
      <w:r>
        <w:rPr>
          <w:lang w:val="es-ES_tradnl"/>
        </w:rPr>
        <w:sym w:font="Symbol" w:char="F06A"/>
      </w:r>
      <w:r>
        <w:rPr>
          <w:lang w:val="en-US"/>
        </w:rPr>
        <w:t>)</w:t>
      </w:r>
      <w:r>
        <w:rPr>
          <w:i/>
          <w:iCs/>
          <w:position w:val="-4"/>
          <w:sz w:val="20"/>
          <w:lang w:val="en-US"/>
        </w:rPr>
        <w:t>Hub</w:t>
      </w:r>
      <w:r>
        <w:rPr>
          <w:lang w:val="en-US"/>
        </w:rPr>
        <w:t xml:space="preserve"> </w:t>
      </w:r>
      <w:r>
        <w:rPr>
          <w:bCs/>
          <w:lang w:val="en-US"/>
        </w:rPr>
        <w:t>is the directivity of the hub antenna in the direction of a given subscriber antenna where</w:t>
      </w:r>
      <w:r>
        <w:rPr>
          <w:bCs/>
          <w:i/>
          <w:lang w:val="en-US"/>
        </w:rPr>
        <w:t xml:space="preserve"> </w:t>
      </w:r>
      <w:r>
        <w:rPr>
          <w:lang w:val="en-US"/>
        </w:rPr>
        <w:t>(</w:t>
      </w:r>
      <w:r>
        <w:rPr>
          <w:lang w:val="es-ES_tradnl"/>
        </w:rPr>
        <w:sym w:font="Symbol" w:char="F06A"/>
      </w:r>
      <w:r>
        <w:rPr>
          <w:lang w:val="en-US"/>
        </w:rPr>
        <w:t>)</w:t>
      </w:r>
      <w:r>
        <w:rPr>
          <w:i/>
          <w:iCs/>
          <w:position w:val="-4"/>
          <w:sz w:val="20"/>
          <w:lang w:val="en-US"/>
        </w:rPr>
        <w:t>Hub</w:t>
      </w:r>
      <w:r>
        <w:rPr>
          <w:lang w:val="en-US"/>
        </w:rPr>
        <w:t xml:space="preserve"> </w:t>
      </w:r>
      <w:r>
        <w:rPr>
          <w:bCs/>
          <w:lang w:val="en-US"/>
        </w:rPr>
        <w:t xml:space="preserve">is the absolute value of the angle from the direction of maximum directivity and is measured in the vertical plane. </w:t>
      </w:r>
      <w:r>
        <w:rPr>
          <w:bCs/>
          <w:i/>
          <w:lang w:val="en-US"/>
        </w:rPr>
        <w:t>G</w:t>
      </w:r>
      <w:r>
        <w:rPr>
          <w:bCs/>
          <w:i/>
          <w:vertAlign w:val="subscript"/>
          <w:lang w:val="en-US"/>
        </w:rPr>
        <w:t>TX</w:t>
      </w:r>
      <w:r>
        <w:rPr>
          <w:bCs/>
          <w:i/>
          <w:sz w:val="8"/>
          <w:vertAlign w:val="subscript"/>
          <w:lang w:val="en-US"/>
        </w:rPr>
        <w:t> </w:t>
      </w:r>
      <w:r>
        <w:rPr>
          <w:lang w:val="en-US"/>
        </w:rPr>
        <w:t>(</w:t>
      </w:r>
      <w:r>
        <w:rPr>
          <w:lang w:val="es-ES_tradnl"/>
        </w:rPr>
        <w:sym w:font="Symbol" w:char="F06A"/>
      </w:r>
      <w:r>
        <w:rPr>
          <w:lang w:val="en-US"/>
        </w:rPr>
        <w:t>)</w:t>
      </w:r>
      <w:r>
        <w:rPr>
          <w:i/>
          <w:iCs/>
          <w:position w:val="-4"/>
          <w:sz w:val="20"/>
          <w:lang w:val="en-US"/>
        </w:rPr>
        <w:t>Hub</w:t>
      </w:r>
      <w:r>
        <w:rPr>
          <w:lang w:val="en-US"/>
        </w:rPr>
        <w:t xml:space="preserve"> </w:t>
      </w:r>
      <w:r>
        <w:rPr>
          <w:bCs/>
          <w:lang w:val="en-US"/>
        </w:rPr>
        <w:t xml:space="preserve">is calculated as per Recommendation ITU-R F.1336. </w:t>
      </w:r>
      <w:r>
        <w:rPr>
          <w:bCs/>
          <w:i/>
          <w:lang w:val="en-US"/>
        </w:rPr>
        <w:t>G</w:t>
      </w:r>
      <w:r>
        <w:rPr>
          <w:i/>
          <w:iCs/>
          <w:position w:val="-4"/>
          <w:sz w:val="20"/>
          <w:lang w:val="en-US"/>
        </w:rPr>
        <w:t>RXSub</w:t>
      </w:r>
      <w:r>
        <w:rPr>
          <w:bCs/>
          <w:lang w:val="en-US"/>
        </w:rPr>
        <w:t xml:space="preserve"> is the </w:t>
      </w:r>
      <w:r>
        <w:rPr>
          <w:lang w:val="en-US"/>
        </w:rPr>
        <w:t xml:space="preserve">maximum receive gain of the subscriber antenna. The losses </w:t>
      </w:r>
      <w:r>
        <w:rPr>
          <w:i/>
          <w:lang w:val="en-US"/>
        </w:rPr>
        <w:t>L</w:t>
      </w:r>
      <w:r>
        <w:rPr>
          <w:i/>
          <w:iCs/>
          <w:position w:val="-4"/>
          <w:sz w:val="20"/>
          <w:lang w:val="en-US"/>
        </w:rPr>
        <w:t>FS</w:t>
      </w:r>
      <w:r>
        <w:rPr>
          <w:lang w:val="en-US"/>
        </w:rPr>
        <w:t xml:space="preserve"> and </w:t>
      </w:r>
      <w:r>
        <w:rPr>
          <w:i/>
          <w:lang w:val="en-US"/>
        </w:rPr>
        <w:t>L</w:t>
      </w:r>
      <w:r>
        <w:rPr>
          <w:i/>
          <w:iCs/>
          <w:position w:val="-4"/>
          <w:sz w:val="20"/>
          <w:lang w:val="en-US"/>
        </w:rPr>
        <w:t>Atm_t</w:t>
      </w:r>
      <w:r>
        <w:rPr>
          <w:lang w:val="en-US"/>
        </w:rPr>
        <w:t xml:space="preserve"> are specified at a reference subscriber receiver at the edge of the cell.</w:t>
      </w:r>
    </w:p>
    <w:p w:rsidR="003B60B7" w:rsidRDefault="003B60B7" w:rsidP="003B60B7">
      <w:pPr>
        <w:rPr>
          <w:lang w:val="en-US"/>
        </w:rPr>
      </w:pPr>
      <w:r>
        <w:rPr>
          <w:lang w:val="en-US"/>
        </w:rPr>
        <w:br w:type="page"/>
      </w:r>
      <w:r>
        <w:rPr>
          <w:lang w:val="en-US"/>
        </w:rPr>
        <w:lastRenderedPageBreak/>
        <w:t>Rather than having to calculate a single value of required margin for a desired availability as is the case with a P-P FS system of a given path length, the required margin to achieve the designed availability must be recalculated at all possible points in the P-MP cell where the outroute can be received. The required margin of the P-MP cell varies throughout the cell as the distance and elevation angle from the hub antenna changes. The received carrier level at the subscriber is greatly affected by two factors:</w:t>
      </w:r>
    </w:p>
    <w:p w:rsidR="003B60B7" w:rsidRDefault="003B60B7" w:rsidP="003B60B7">
      <w:pPr>
        <w:pStyle w:val="enumlev1"/>
        <w:rPr>
          <w:lang w:val="en-US"/>
        </w:rPr>
      </w:pPr>
      <w:r>
        <w:rPr>
          <w:lang w:val="en-US"/>
        </w:rPr>
        <w:t>–</w:t>
      </w:r>
      <w:r>
        <w:rPr>
          <w:lang w:val="en-US"/>
        </w:rPr>
        <w:tab/>
        <w:t>hub transmit antenna gain in the direction of the subscriber, which is a function of the hub off-axis angle in the elevation angle plane;</w:t>
      </w:r>
    </w:p>
    <w:p w:rsidR="003B60B7" w:rsidRDefault="003B60B7" w:rsidP="003B60B7">
      <w:pPr>
        <w:pStyle w:val="enumlev1"/>
        <w:rPr>
          <w:lang w:val="en-US"/>
        </w:rPr>
      </w:pPr>
      <w:r>
        <w:rPr>
          <w:lang w:val="en-US"/>
        </w:rPr>
        <w:t>–</w:t>
      </w:r>
      <w:r>
        <w:rPr>
          <w:lang w:val="en-US"/>
        </w:rPr>
        <w:tab/>
        <w:t>the distance of the subscriber from the hub, which is a function of the horizontal path length and difference between the subscriber antenna and hub antenna heights.</w:t>
      </w:r>
    </w:p>
    <w:p w:rsidR="003B60B7" w:rsidRDefault="003B60B7" w:rsidP="003B60B7">
      <w:pPr>
        <w:pStyle w:val="Heading3"/>
        <w:rPr>
          <w:lang w:val="en-US"/>
        </w:rPr>
      </w:pPr>
      <w:r>
        <w:rPr>
          <w:lang w:val="en-US"/>
        </w:rPr>
        <w:t>6.3.2</w:t>
      </w:r>
      <w:r>
        <w:rPr>
          <w:lang w:val="en-US"/>
        </w:rPr>
        <w:tab/>
        <w:t>Calculation of received carrier level and required margin for P-P FS link</w:t>
      </w:r>
    </w:p>
    <w:p w:rsidR="003B60B7" w:rsidRDefault="003B60B7" w:rsidP="003B60B7">
      <w:pPr>
        <w:rPr>
          <w:lang w:val="en-US"/>
        </w:rPr>
      </w:pPr>
      <w:r>
        <w:rPr>
          <w:lang w:val="en-US"/>
        </w:rPr>
        <w:t xml:space="preserve">The received carrier level under clear-sky condition is calculated using equation (3) in § 6.1: </w:t>
      </w:r>
    </w:p>
    <w:p w:rsidR="003B60B7" w:rsidRDefault="003B60B7" w:rsidP="003B60B7">
      <w:pPr>
        <w:pStyle w:val="Equation"/>
        <w:rPr>
          <w:lang w:val="en-US"/>
        </w:rPr>
      </w:pPr>
      <w:r>
        <w:rPr>
          <w:lang w:val="es-ES_tradnl"/>
        </w:rPr>
        <w:tab/>
      </w:r>
      <w:r>
        <w:rPr>
          <w:lang w:val="es-ES_tradnl"/>
        </w:rPr>
        <w:tab/>
      </w:r>
      <w:r w:rsidRPr="00C91B3E">
        <w:rPr>
          <w:position w:val="-16"/>
          <w:lang w:val="es-ES_tradnl"/>
        </w:rPr>
        <w:object w:dxaOrig="7300" w:dyaOrig="400">
          <v:shape id="_x0000_i1038" type="#_x0000_t75" style="width:364.8pt;height:19.8pt" o:ole="">
            <v:imagedata r:id="rId39" o:title=""/>
          </v:shape>
          <o:OLEObject Type="Embed" ProgID="Equation.3" ShapeID="_x0000_i1038" DrawAspect="Content" ObjectID="_1349506795" r:id="rId40"/>
        </w:object>
      </w:r>
      <w:r>
        <w:rPr>
          <w:lang w:val="en-US"/>
        </w:rPr>
        <w:tab/>
        <w:t>(12)</w:t>
      </w:r>
    </w:p>
    <w:p w:rsidR="003B60B7" w:rsidRDefault="003B60B7" w:rsidP="003B60B7">
      <w:pPr>
        <w:rPr>
          <w:bCs/>
          <w:iCs/>
          <w:lang w:val="en-US"/>
        </w:rPr>
      </w:pPr>
      <w:r>
        <w:rPr>
          <w:bCs/>
          <w:iCs/>
          <w:lang w:val="en-US"/>
        </w:rPr>
        <w:t>Where:</w:t>
      </w:r>
    </w:p>
    <w:p w:rsidR="003B60B7" w:rsidRDefault="003B60B7" w:rsidP="003B60B7">
      <w:pPr>
        <w:pStyle w:val="Equationlegend"/>
      </w:pPr>
      <w:r>
        <w:rPr>
          <w:i/>
        </w:rPr>
        <w:tab/>
      </w:r>
      <w:r>
        <w:rPr>
          <w:i/>
          <w:iCs/>
        </w:rPr>
        <w:t>G</w:t>
      </w:r>
      <w:r>
        <w:rPr>
          <w:i/>
          <w:iCs/>
          <w:position w:val="-4"/>
          <w:sz w:val="20"/>
        </w:rPr>
        <w:t>Tx P-P</w:t>
      </w:r>
      <w:r>
        <w:t xml:space="preserve"> </w:t>
      </w:r>
      <w:r>
        <w:rPr>
          <w:rFonts w:ascii="Tms Rmn" w:hAnsi="Tms Rmn"/>
          <w:sz w:val="12"/>
        </w:rPr>
        <w:t> </w:t>
      </w:r>
      <w:r>
        <w:rPr>
          <w:rFonts w:ascii="Tms Rmn" w:hAnsi="Tms Rmn"/>
          <w:sz w:val="20"/>
        </w:rPr>
        <w:t>:</w:t>
      </w:r>
      <w:r>
        <w:rPr>
          <w:rFonts w:ascii="Tms Rmn" w:hAnsi="Tms Rmn"/>
          <w:sz w:val="20"/>
        </w:rPr>
        <w:tab/>
      </w:r>
      <w:r>
        <w:t xml:space="preserve">maximum directivity of the transmitting </w:t>
      </w:r>
      <w:r>
        <w:rPr>
          <w:iCs/>
        </w:rPr>
        <w:t>P-P</w:t>
      </w:r>
      <w:r>
        <w:t xml:space="preserve"> antenna in the direction of the subscriber antenna</w:t>
      </w:r>
    </w:p>
    <w:p w:rsidR="003B60B7" w:rsidRDefault="003B60B7" w:rsidP="003B60B7">
      <w:pPr>
        <w:pStyle w:val="Equationlegend"/>
      </w:pPr>
      <w:r>
        <w:rPr>
          <w:i/>
        </w:rPr>
        <w:tab/>
        <w:t>G</w:t>
      </w:r>
      <w:r>
        <w:rPr>
          <w:i/>
          <w:iCs/>
          <w:position w:val="-4"/>
          <w:sz w:val="20"/>
        </w:rPr>
        <w:t>Rx P-P</w:t>
      </w:r>
      <w:r>
        <w:rPr>
          <w:rFonts w:ascii="Tms Rmn" w:hAnsi="Tms Rmn"/>
          <w:sz w:val="12"/>
        </w:rPr>
        <w:t> </w:t>
      </w:r>
      <w:r>
        <w:rPr>
          <w:rFonts w:ascii="Tms Rmn" w:hAnsi="Tms Rmn"/>
          <w:sz w:val="20"/>
        </w:rPr>
        <w:t>:</w:t>
      </w:r>
      <w:r>
        <w:rPr>
          <w:rFonts w:ascii="Tms Rmn" w:hAnsi="Tms Rmn"/>
          <w:sz w:val="20"/>
        </w:rPr>
        <w:tab/>
      </w:r>
      <w:r>
        <w:t xml:space="preserve">gain of the receiving </w:t>
      </w:r>
      <w:r>
        <w:rPr>
          <w:iCs/>
        </w:rPr>
        <w:t>P-P</w:t>
      </w:r>
      <w:r>
        <w:t xml:space="preserve"> antenna in the direction of the transmitting antenna</w:t>
      </w:r>
    </w:p>
    <w:p w:rsidR="003B60B7" w:rsidRDefault="003B60B7" w:rsidP="003B60B7">
      <w:pPr>
        <w:pStyle w:val="Equationlegend"/>
        <w:spacing w:line="280" w:lineRule="exact"/>
      </w:pPr>
      <w:r>
        <w:rPr>
          <w:i/>
        </w:rPr>
        <w:tab/>
        <w:t>L</w:t>
      </w:r>
      <w:r>
        <w:rPr>
          <w:i/>
          <w:iCs/>
          <w:position w:val="-4"/>
          <w:sz w:val="20"/>
        </w:rPr>
        <w:t>FS</w:t>
      </w:r>
      <w:r>
        <w:rPr>
          <w:rFonts w:ascii="Tms Rmn" w:hAnsi="Tms Rmn"/>
          <w:sz w:val="12"/>
        </w:rPr>
        <w:t> </w:t>
      </w:r>
      <w:r>
        <w:rPr>
          <w:rFonts w:ascii="Tms Rmn" w:hAnsi="Tms Rmn"/>
          <w:sz w:val="20"/>
        </w:rPr>
        <w:t>:</w:t>
      </w:r>
      <w:r>
        <w:tab/>
        <w:t>free space loss over path between the transmitter and the receiver and depends upon only the path length and the frequency</w:t>
      </w:r>
    </w:p>
    <w:p w:rsidR="003B60B7" w:rsidRDefault="003B60B7" w:rsidP="003B60B7">
      <w:pPr>
        <w:pStyle w:val="Equationlegend"/>
      </w:pPr>
      <w:r>
        <w:tab/>
      </w:r>
      <w:r>
        <w:rPr>
          <w:i/>
        </w:rPr>
        <w:t>L</w:t>
      </w:r>
      <w:r>
        <w:rPr>
          <w:i/>
          <w:iCs/>
          <w:position w:val="-4"/>
          <w:sz w:val="20"/>
        </w:rPr>
        <w:t>Atm</w:t>
      </w:r>
      <w:r>
        <w:rPr>
          <w:rFonts w:ascii="Tms Rmn" w:hAnsi="Tms Rmn"/>
          <w:sz w:val="12"/>
        </w:rPr>
        <w:t> </w:t>
      </w:r>
      <w:r>
        <w:rPr>
          <w:rFonts w:ascii="Tms Rmn" w:hAnsi="Tms Rmn"/>
          <w:sz w:val="20"/>
        </w:rPr>
        <w:t>:</w:t>
      </w:r>
      <w:r>
        <w:tab/>
        <w:t>atmospheric absorption along the length of the wanted path.</w:t>
      </w:r>
    </w:p>
    <w:p w:rsidR="003B60B7" w:rsidRDefault="003B60B7" w:rsidP="003B60B7">
      <w:pPr>
        <w:pStyle w:val="Heading2"/>
        <w:rPr>
          <w:lang w:val="en-US"/>
        </w:rPr>
      </w:pPr>
      <w:r>
        <w:rPr>
          <w:lang w:val="en-US"/>
        </w:rPr>
        <w:t>6.4</w:t>
      </w:r>
      <w:r>
        <w:rPr>
          <w:lang w:val="en-US"/>
        </w:rPr>
        <w:tab/>
        <w:t>Calculation of available margin</w:t>
      </w:r>
    </w:p>
    <w:p w:rsidR="003B60B7" w:rsidRDefault="003B60B7" w:rsidP="003B60B7">
      <w:pPr>
        <w:rPr>
          <w:lang w:val="en-US"/>
        </w:rPr>
      </w:pPr>
      <w:r>
        <w:rPr>
          <w:lang w:val="en-US"/>
        </w:rPr>
        <w:t xml:space="preserve">Calculation of the available margin to any possible FS receiver must take into consideration changes in the levels of intra-service and external interference occurring under rain faded conditions. The calculation of available margin is a recursive procedure because it depends upon solving for the actual percentage of time on the wanted link that fading can be tolerated. The available margin for fading due to rain for which the </w:t>
      </w:r>
      <w:r>
        <w:rPr>
          <w:i/>
          <w:lang w:val="en-US"/>
        </w:rPr>
        <w:t>i-</w:t>
      </w:r>
      <w:r>
        <w:rPr>
          <w:iCs/>
          <w:lang w:val="en-US"/>
        </w:rPr>
        <w:t>th</w:t>
      </w:r>
      <w:r>
        <w:rPr>
          <w:lang w:val="en-US"/>
        </w:rPr>
        <w:t xml:space="preserve"> receiving FS antenna either in a </w:t>
      </w:r>
      <w:r>
        <w:rPr>
          <w:iCs/>
          <w:lang w:val="en-US"/>
        </w:rPr>
        <w:t>P-P</w:t>
      </w:r>
      <w:r>
        <w:rPr>
          <w:lang w:val="en-US"/>
        </w:rPr>
        <w:t xml:space="preserve"> system or for a subscriber antenna within a </w:t>
      </w:r>
      <w:r>
        <w:rPr>
          <w:iCs/>
          <w:lang w:val="en-US"/>
        </w:rPr>
        <w:t>P-MP</w:t>
      </w:r>
      <w:r>
        <w:rPr>
          <w:lang w:val="en-US"/>
        </w:rPr>
        <w:t xml:space="preserve"> cell is calculated by equation (13):</w:t>
      </w:r>
    </w:p>
    <w:p w:rsidR="003B60B7" w:rsidRDefault="003B60B7" w:rsidP="003B60B7">
      <w:pPr>
        <w:pStyle w:val="Equation"/>
        <w:rPr>
          <w:lang w:val="en-US"/>
        </w:rPr>
      </w:pPr>
      <w:r>
        <w:rPr>
          <w:lang w:val="es-ES_tradnl"/>
        </w:rPr>
        <w:tab/>
      </w:r>
      <w:r>
        <w:rPr>
          <w:lang w:val="es-ES_tradnl"/>
        </w:rPr>
        <w:tab/>
      </w:r>
      <w:r w:rsidRPr="00C91B3E">
        <w:rPr>
          <w:position w:val="-36"/>
          <w:lang w:val="es-ES_tradnl"/>
        </w:rPr>
        <w:object w:dxaOrig="7680" w:dyaOrig="840">
          <v:shape id="_x0000_i1039" type="#_x0000_t75" style="width:383.4pt;height:42pt" o:ole="">
            <v:imagedata r:id="rId41" o:title=""/>
          </v:shape>
          <o:OLEObject Type="Embed" ProgID="Equation.3" ShapeID="_x0000_i1039" DrawAspect="Content" ObjectID="_1349506796" r:id="rId42"/>
        </w:object>
      </w:r>
      <w:r>
        <w:rPr>
          <w:lang w:val="es-ES_tradnl"/>
        </w:rPr>
        <w:tab/>
      </w:r>
      <w:r>
        <w:rPr>
          <w:lang w:val="en-US"/>
        </w:rPr>
        <w:t>(13)</w:t>
      </w:r>
    </w:p>
    <w:p w:rsidR="003B60B7" w:rsidRDefault="003B60B7" w:rsidP="003B60B7">
      <w:pPr>
        <w:rPr>
          <w:lang w:val="en-US"/>
        </w:rPr>
      </w:pPr>
      <w:r>
        <w:rPr>
          <w:lang w:val="en-US"/>
        </w:rPr>
        <w:t>where:</w:t>
      </w:r>
    </w:p>
    <w:p w:rsidR="003B60B7" w:rsidRDefault="003B60B7" w:rsidP="003B60B7">
      <w:pPr>
        <w:pStyle w:val="Equationlegend"/>
        <w:spacing w:line="280" w:lineRule="exact"/>
      </w:pPr>
      <w:r>
        <w:tab/>
      </w:r>
      <w:r>
        <w:rPr>
          <w:i/>
          <w:iCs/>
        </w:rPr>
        <w:t>P</w:t>
      </w:r>
      <w:r>
        <w:rPr>
          <w:i/>
          <w:iCs/>
          <w:position w:val="-4"/>
          <w:sz w:val="20"/>
        </w:rPr>
        <w:t>Rx CS</w:t>
      </w:r>
      <w:r>
        <w:rPr>
          <w:rFonts w:ascii="Tms Rmn" w:hAnsi="Tms Rmn"/>
          <w:sz w:val="12"/>
        </w:rPr>
        <w:t> </w:t>
      </w:r>
      <w:r>
        <w:rPr>
          <w:rFonts w:ascii="Tms Rmn" w:hAnsi="Tms Rmn"/>
          <w:sz w:val="20"/>
        </w:rPr>
        <w:t>:</w:t>
      </w:r>
      <w:r>
        <w:tab/>
      </w:r>
      <w:r>
        <w:rPr>
          <w:i/>
          <w:iCs/>
        </w:rPr>
        <w:t>P</w:t>
      </w:r>
      <w:r>
        <w:rPr>
          <w:i/>
          <w:iCs/>
          <w:position w:val="-4"/>
          <w:sz w:val="20"/>
        </w:rPr>
        <w:t>RX</w:t>
      </w:r>
      <w:r>
        <w:t xml:space="preserve"> from equation (10) or (11) for the clear-sky received signal level for the P</w:t>
      </w:r>
      <w:r>
        <w:noBreakHyphen/>
        <w:t>MP or the P-P system, as appropriate</w:t>
      </w:r>
    </w:p>
    <w:p w:rsidR="003B60B7" w:rsidRDefault="003B60B7" w:rsidP="003B60B7">
      <w:pPr>
        <w:pStyle w:val="Equationlegend"/>
      </w:pPr>
      <w:r>
        <w:rPr>
          <w:i/>
        </w:rPr>
        <w:tab/>
      </w:r>
      <w:r>
        <w:rPr>
          <w:i/>
          <w:iCs/>
        </w:rPr>
        <w:t>N</w:t>
      </w:r>
      <w:r>
        <w:rPr>
          <w:i/>
          <w:iCs/>
          <w:position w:val="-4"/>
          <w:sz w:val="20"/>
        </w:rPr>
        <w:t>Thermal</w:t>
      </w:r>
      <w:r>
        <w:rPr>
          <w:rFonts w:ascii="Tms Rmn" w:hAnsi="Tms Rmn"/>
          <w:sz w:val="12"/>
        </w:rPr>
        <w:t> </w:t>
      </w:r>
      <w:r>
        <w:rPr>
          <w:rFonts w:ascii="Tms Rmn" w:hAnsi="Tms Rmn"/>
          <w:sz w:val="20"/>
        </w:rPr>
        <w:t>:</w:t>
      </w:r>
      <w:r>
        <w:tab/>
        <w:t>system thermal noise in the reference bandwidth (dB(W/MHz)) at the input to the receiver as calculated using equation (18) in § 6.5</w:t>
      </w:r>
    </w:p>
    <w:p w:rsidR="003B60B7" w:rsidRDefault="003B60B7" w:rsidP="003B60B7">
      <w:pPr>
        <w:pStyle w:val="Equationlegend"/>
        <w:spacing w:line="280" w:lineRule="exact"/>
        <w:rPr>
          <w:bCs/>
        </w:rPr>
      </w:pPr>
      <w:r>
        <w:rPr>
          <w:bCs/>
          <w:i/>
        </w:rPr>
        <w:br w:type="page"/>
      </w:r>
      <w:r>
        <w:rPr>
          <w:bCs/>
          <w:i/>
        </w:rPr>
        <w:lastRenderedPageBreak/>
        <w:tab/>
      </w:r>
      <w:r>
        <w:rPr>
          <w:i/>
          <w:iCs/>
        </w:rPr>
        <w:t>I</w:t>
      </w:r>
      <w:r>
        <w:rPr>
          <w:i/>
          <w:iCs/>
          <w:position w:val="-4"/>
          <w:sz w:val="20"/>
        </w:rPr>
        <w:t>Intra i</w:t>
      </w:r>
      <w:r>
        <w:rPr>
          <w:rFonts w:ascii="Tms Rmn" w:hAnsi="Tms Rmn"/>
          <w:sz w:val="12"/>
        </w:rPr>
        <w:t> </w:t>
      </w:r>
      <w:r>
        <w:rPr>
          <w:rFonts w:ascii="Tms Rmn" w:hAnsi="Tms Rmn"/>
          <w:sz w:val="20"/>
        </w:rPr>
        <w:t>:</w:t>
      </w:r>
      <w:r>
        <w:rPr>
          <w:bCs/>
          <w:i/>
          <w:vertAlign w:val="subscript"/>
        </w:rPr>
        <w:tab/>
      </w:r>
      <w:r>
        <w:rPr>
          <w:bCs/>
        </w:rPr>
        <w:t xml:space="preserve">intra-service interference calculated into the </w:t>
      </w:r>
      <w:r>
        <w:rPr>
          <w:bCs/>
          <w:i/>
        </w:rPr>
        <w:t>i-</w:t>
      </w:r>
      <w:r>
        <w:rPr>
          <w:bCs/>
          <w:iCs/>
        </w:rPr>
        <w:t>th</w:t>
      </w:r>
      <w:r>
        <w:rPr>
          <w:bCs/>
        </w:rPr>
        <w:t xml:space="preserve"> possible FS receiver for either a </w:t>
      </w:r>
      <w:r>
        <w:rPr>
          <w:bCs/>
          <w:iCs/>
        </w:rPr>
        <w:t>P-MP</w:t>
      </w:r>
      <w:r>
        <w:rPr>
          <w:bCs/>
        </w:rPr>
        <w:t xml:space="preserve"> or </w:t>
      </w:r>
      <w:r>
        <w:rPr>
          <w:bCs/>
          <w:iCs/>
        </w:rPr>
        <w:t>P-P</w:t>
      </w:r>
      <w:r>
        <w:rPr>
          <w:bCs/>
        </w:rPr>
        <w:t xml:space="preserve"> system using equations (6) through (7) as appropriate, or using a more elaborate intra-service interference model</w:t>
      </w:r>
    </w:p>
    <w:p w:rsidR="003B60B7" w:rsidRDefault="003B60B7" w:rsidP="003B60B7">
      <w:pPr>
        <w:pStyle w:val="Equationlegend"/>
        <w:spacing w:line="280" w:lineRule="exact"/>
        <w:rPr>
          <w:bCs/>
        </w:rPr>
      </w:pPr>
      <w:r>
        <w:rPr>
          <w:bCs/>
          <w:i/>
        </w:rPr>
        <w:tab/>
      </w:r>
      <w:r>
        <w:rPr>
          <w:i/>
          <w:iCs/>
        </w:rPr>
        <w:t>I</w:t>
      </w:r>
      <w:r>
        <w:rPr>
          <w:i/>
          <w:iCs/>
          <w:position w:val="-4"/>
          <w:sz w:val="20"/>
        </w:rPr>
        <w:t>Inter</w:t>
      </w:r>
      <w:r>
        <w:rPr>
          <w:rFonts w:ascii="Tms Rmn" w:hAnsi="Tms Rmn"/>
          <w:sz w:val="12"/>
        </w:rPr>
        <w:t> </w:t>
      </w:r>
      <w:r>
        <w:rPr>
          <w:rFonts w:ascii="Tms Rmn" w:hAnsi="Tms Rmn"/>
          <w:sz w:val="20"/>
        </w:rPr>
        <w:t>:</w:t>
      </w:r>
      <w:r>
        <w:rPr>
          <w:bCs/>
          <w:i/>
          <w:vertAlign w:val="subscript"/>
        </w:rPr>
        <w:tab/>
      </w:r>
      <w:r>
        <w:rPr>
          <w:bCs/>
        </w:rPr>
        <w:t xml:space="preserve">inter-service interference calculated from the inter-service interference allocation to FSS interference into an FS receiver </w:t>
      </w:r>
    </w:p>
    <w:p w:rsidR="003B60B7" w:rsidRDefault="003B60B7" w:rsidP="003B60B7">
      <w:pPr>
        <w:pStyle w:val="Equationlegend"/>
        <w:spacing w:line="280" w:lineRule="exact"/>
        <w:rPr>
          <w:bCs/>
        </w:rPr>
      </w:pPr>
      <w:r>
        <w:rPr>
          <w:bCs/>
          <w:i/>
        </w:rPr>
        <w:tab/>
      </w:r>
      <w:r>
        <w:rPr>
          <w:i/>
          <w:iCs/>
        </w:rPr>
        <w:t>I</w:t>
      </w:r>
      <w:r>
        <w:rPr>
          <w:i/>
          <w:iCs/>
          <w:position w:val="-4"/>
          <w:sz w:val="20"/>
        </w:rPr>
        <w:t>GSO Total</w:t>
      </w:r>
      <w:r>
        <w:rPr>
          <w:rFonts w:ascii="Tms Rmn" w:hAnsi="Tms Rmn"/>
          <w:sz w:val="12"/>
        </w:rPr>
        <w:t> </w:t>
      </w:r>
      <w:r>
        <w:rPr>
          <w:rFonts w:ascii="Tms Rmn" w:hAnsi="Tms Rmn"/>
          <w:sz w:val="20"/>
        </w:rPr>
        <w:t>:</w:t>
      </w:r>
      <w:r>
        <w:rPr>
          <w:bCs/>
        </w:rPr>
        <w:tab/>
        <w:t xml:space="preserve">total external interference received by the </w:t>
      </w:r>
      <w:r>
        <w:rPr>
          <w:bCs/>
          <w:i/>
          <w:iCs/>
        </w:rPr>
        <w:t>i</w:t>
      </w:r>
      <w:r>
        <w:rPr>
          <w:bCs/>
        </w:rPr>
        <w:t>-th interfered-with FS receiver from space-to-Earth links of all GSO satellites (see § 6.6) modified by rain fade on the slant path if applicable</w:t>
      </w:r>
    </w:p>
    <w:p w:rsidR="003B60B7" w:rsidRDefault="003B60B7" w:rsidP="003B60B7">
      <w:pPr>
        <w:pStyle w:val="Equationlegend"/>
        <w:spacing w:line="280" w:lineRule="exact"/>
      </w:pPr>
      <w:r>
        <w:tab/>
        <w:t>(</w:t>
      </w:r>
      <w:r>
        <w:rPr>
          <w:i/>
          <w:iCs/>
        </w:rPr>
        <w:t>C</w:t>
      </w:r>
      <w:r>
        <w:t>/</w:t>
      </w:r>
      <w:r>
        <w:rPr>
          <w:i/>
          <w:iCs/>
        </w:rPr>
        <w:t>N</w:t>
      </w:r>
      <w:r>
        <w:rPr>
          <w:rFonts w:ascii="Tms Rmn" w:hAnsi="Tms Rmn"/>
          <w:sz w:val="12"/>
        </w:rPr>
        <w:t> </w:t>
      </w:r>
      <w:r>
        <w:t>)</w:t>
      </w:r>
      <w:r>
        <w:rPr>
          <w:i/>
          <w:iCs/>
          <w:position w:val="-4"/>
          <w:sz w:val="20"/>
        </w:rPr>
        <w:t>Thresh</w:t>
      </w:r>
      <w:r>
        <w:rPr>
          <w:rFonts w:ascii="Tms Rmn" w:hAnsi="Tms Rmn"/>
          <w:sz w:val="12"/>
        </w:rPr>
        <w:t> </w:t>
      </w:r>
      <w:r>
        <w:rPr>
          <w:rFonts w:ascii="Tms Rmn" w:hAnsi="Tms Rmn"/>
          <w:sz w:val="20"/>
        </w:rPr>
        <w:t>:</w:t>
      </w:r>
      <w:r>
        <w:tab/>
        <w:t>threshold carrier-to-noise ratio of the interfered-with FS receiver.</w:t>
      </w:r>
    </w:p>
    <w:p w:rsidR="003B60B7" w:rsidRDefault="003B60B7" w:rsidP="003B60B7">
      <w:pPr>
        <w:spacing w:line="280" w:lineRule="exact"/>
        <w:rPr>
          <w:lang w:val="en-US"/>
        </w:rPr>
      </w:pPr>
      <w:r>
        <w:rPr>
          <w:lang w:val="en-US"/>
        </w:rPr>
        <w:t xml:space="preserve">The amount of margin difference, </w:t>
      </w:r>
      <w:r>
        <w:rPr>
          <w:iCs/>
        </w:rPr>
        <w:sym w:font="Symbol" w:char="F044"/>
      </w:r>
      <w:r>
        <w:rPr>
          <w:i/>
          <w:lang w:val="en-US"/>
        </w:rPr>
        <w:t>M</w:t>
      </w:r>
      <w:r>
        <w:rPr>
          <w:lang w:val="en-US"/>
        </w:rPr>
        <w:t xml:space="preserve"> can be calculated using the value of </w:t>
      </w:r>
      <w:r>
        <w:rPr>
          <w:i/>
          <w:lang w:val="en-US"/>
        </w:rPr>
        <w:t>M</w:t>
      </w:r>
      <w:r>
        <w:rPr>
          <w:i/>
          <w:iCs/>
          <w:position w:val="-4"/>
          <w:sz w:val="20"/>
          <w:lang w:val="es-ES_tradnl"/>
        </w:rPr>
        <w:t>Avail</w:t>
      </w:r>
      <w:r>
        <w:rPr>
          <w:i/>
          <w:lang w:val="en-US"/>
        </w:rPr>
        <w:t xml:space="preserve"> </w:t>
      </w:r>
      <w:r>
        <w:rPr>
          <w:lang w:val="en-US"/>
        </w:rPr>
        <w:t xml:space="preserve">from equation (13) and the value of </w:t>
      </w:r>
      <w:r>
        <w:rPr>
          <w:i/>
          <w:lang w:val="en-US"/>
        </w:rPr>
        <w:t>M</w:t>
      </w:r>
      <w:r>
        <w:rPr>
          <w:i/>
          <w:iCs/>
          <w:position w:val="-4"/>
          <w:sz w:val="20"/>
          <w:lang w:val="es-ES_tradnl"/>
        </w:rPr>
        <w:t>Req</w:t>
      </w:r>
      <w:r>
        <w:rPr>
          <w:i/>
          <w:vertAlign w:val="subscript"/>
          <w:lang w:val="en-US"/>
        </w:rPr>
        <w:t xml:space="preserve"> </w:t>
      </w:r>
      <w:r>
        <w:rPr>
          <w:lang w:val="en-US"/>
        </w:rPr>
        <w:t xml:space="preserve">from equation (3). The achieved availability, in the presence of the external interference, is less than the designed availability if </w:t>
      </w:r>
      <w:r>
        <w:rPr>
          <w:iCs/>
        </w:rPr>
        <w:sym w:font="Symbol" w:char="F044"/>
      </w:r>
      <w:r>
        <w:rPr>
          <w:i/>
          <w:lang w:val="en-US"/>
        </w:rPr>
        <w:t>M</w:t>
      </w:r>
      <w:r>
        <w:rPr>
          <w:lang w:val="en-US"/>
        </w:rPr>
        <w:t xml:space="preserve"> is negative. In the case of P-P systems, this model assumes that links are designed to just meet a designed availability in the absence of inter-system interference, and </w:t>
      </w:r>
      <w:r>
        <w:rPr>
          <w:iCs/>
        </w:rPr>
        <w:sym w:font="Symbol" w:char="F044"/>
      </w:r>
      <w:r>
        <w:rPr>
          <w:i/>
          <w:lang w:val="en-US"/>
        </w:rPr>
        <w:t>M</w:t>
      </w:r>
      <w:r>
        <w:rPr>
          <w:lang w:val="en-US"/>
        </w:rPr>
        <w:t xml:space="preserve"> will be negative in the presence of any external interference. However, in the case of </w:t>
      </w:r>
      <w:r>
        <w:rPr>
          <w:iCs/>
          <w:lang w:val="en-US"/>
        </w:rPr>
        <w:t>P-MP</w:t>
      </w:r>
      <w:r>
        <w:rPr>
          <w:lang w:val="en-US"/>
        </w:rPr>
        <w:t xml:space="preserve"> systems, </w:t>
      </w:r>
      <w:r>
        <w:rPr>
          <w:iCs/>
        </w:rPr>
        <w:sym w:font="Symbol" w:char="F044"/>
      </w:r>
      <w:r>
        <w:rPr>
          <w:i/>
          <w:lang w:val="en-US"/>
        </w:rPr>
        <w:t>M</w:t>
      </w:r>
      <w:r>
        <w:rPr>
          <w:lang w:val="en-US"/>
        </w:rPr>
        <w:t xml:space="preserve"> may be positive for a large percentage of possible receivers. This result in subscribers in some locations within a </w:t>
      </w:r>
      <w:r>
        <w:rPr>
          <w:iCs/>
          <w:lang w:val="en-US"/>
        </w:rPr>
        <w:t>P-MP</w:t>
      </w:r>
      <w:r>
        <w:rPr>
          <w:lang w:val="en-US"/>
        </w:rPr>
        <w:t xml:space="preserve"> cell receiving with an achieved availability (100 – </w:t>
      </w:r>
      <w:r>
        <w:rPr>
          <w:i/>
          <w:lang w:val="en-US"/>
        </w:rPr>
        <w:t>p</w:t>
      </w:r>
      <w:r>
        <w:rPr>
          <w:i/>
          <w:iCs/>
          <w:position w:val="-4"/>
          <w:sz w:val="20"/>
          <w:lang w:val="en-US"/>
        </w:rPr>
        <w:t>Unavail</w:t>
      </w:r>
      <w:r>
        <w:rPr>
          <w:i/>
          <w:iCs/>
          <w:position w:val="-4"/>
          <w:sz w:val="8"/>
          <w:lang w:val="en-US"/>
        </w:rPr>
        <w:t> </w:t>
      </w:r>
      <w:r>
        <w:rPr>
          <w:lang w:val="en-US"/>
        </w:rPr>
        <w:t>%) in excess of their designed availability (100 – </w:t>
      </w:r>
      <w:r>
        <w:rPr>
          <w:i/>
          <w:lang w:val="en-US"/>
        </w:rPr>
        <w:t>p</w:t>
      </w:r>
      <w:r>
        <w:rPr>
          <w:i/>
          <w:iCs/>
          <w:position w:val="-4"/>
          <w:sz w:val="20"/>
          <w:lang w:val="en-US"/>
        </w:rPr>
        <w:t>D</w:t>
      </w:r>
      <w:r>
        <w:rPr>
          <w:lang w:val="en-US"/>
        </w:rPr>
        <w:t>%).</w:t>
      </w:r>
    </w:p>
    <w:p w:rsidR="003B60B7" w:rsidRDefault="003B60B7" w:rsidP="003B60B7">
      <w:pPr>
        <w:spacing w:line="280" w:lineRule="exact"/>
        <w:rPr>
          <w:lang w:val="en-US"/>
        </w:rPr>
      </w:pPr>
      <w:r>
        <w:rPr>
          <w:lang w:val="en-US"/>
        </w:rPr>
        <w:t xml:space="preserve">A new value of </w:t>
      </w:r>
      <w:r>
        <w:rPr>
          <w:i/>
          <w:lang w:val="en-US"/>
        </w:rPr>
        <w:t>A</w:t>
      </w:r>
      <w:r>
        <w:rPr>
          <w:iCs/>
          <w:lang w:val="en-US"/>
        </w:rPr>
        <w:t>(</w:t>
      </w:r>
      <w:r>
        <w:rPr>
          <w:i/>
          <w:lang w:val="en-US"/>
        </w:rPr>
        <w:t>p</w:t>
      </w:r>
      <w:r>
        <w:rPr>
          <w:iCs/>
          <w:lang w:val="en-US"/>
        </w:rPr>
        <w:t>)</w:t>
      </w:r>
      <w:r>
        <w:rPr>
          <w:lang w:val="en-US"/>
        </w:rPr>
        <w:t xml:space="preserve">, </w:t>
      </w:r>
      <w:r>
        <w:rPr>
          <w:i/>
          <w:lang w:val="en-US"/>
        </w:rPr>
        <w:t>A</w:t>
      </w:r>
      <w:r>
        <w:rPr>
          <w:i/>
          <w:iCs/>
          <w:position w:val="-4"/>
          <w:sz w:val="20"/>
          <w:lang w:val="en-US"/>
        </w:rPr>
        <w:t>j</w:t>
      </w:r>
      <w:r>
        <w:rPr>
          <w:iCs/>
          <w:lang w:val="en-US"/>
        </w:rPr>
        <w:t>(</w:t>
      </w:r>
      <w:r>
        <w:rPr>
          <w:i/>
          <w:lang w:val="en-US"/>
        </w:rPr>
        <w:t>p</w:t>
      </w:r>
      <w:r>
        <w:rPr>
          <w:i/>
          <w:iCs/>
          <w:position w:val="-4"/>
          <w:sz w:val="20"/>
          <w:lang w:val="en-US"/>
        </w:rPr>
        <w:t>j</w:t>
      </w:r>
      <w:r>
        <w:rPr>
          <w:iCs/>
          <w:lang w:val="en-US"/>
        </w:rPr>
        <w:t>)</w:t>
      </w:r>
      <w:r>
        <w:rPr>
          <w:lang w:val="en-US"/>
        </w:rPr>
        <w:t xml:space="preserve">, can be calculated from equation (14) to calculate a new achieved availability which is equal to (100 – </w:t>
      </w:r>
      <w:r>
        <w:rPr>
          <w:i/>
          <w:lang w:val="en-US"/>
        </w:rPr>
        <w:t>p</w:t>
      </w:r>
      <w:r>
        <w:rPr>
          <w:i/>
          <w:iCs/>
          <w:position w:val="-4"/>
          <w:sz w:val="20"/>
          <w:lang w:val="en-US"/>
        </w:rPr>
        <w:t>j</w:t>
      </w:r>
      <w:r>
        <w:rPr>
          <w:lang w:val="en-US"/>
        </w:rPr>
        <w:t xml:space="preserve"> (%)) by solving the expression for </w:t>
      </w:r>
      <w:r>
        <w:rPr>
          <w:i/>
          <w:lang w:val="en-US"/>
        </w:rPr>
        <w:t>p</w:t>
      </w:r>
      <w:r>
        <w:rPr>
          <w:i/>
          <w:iCs/>
          <w:position w:val="-4"/>
          <w:sz w:val="20"/>
          <w:lang w:val="en-US"/>
        </w:rPr>
        <w:t>j</w:t>
      </w:r>
      <w:r>
        <w:rPr>
          <w:i/>
          <w:vertAlign w:val="subscript"/>
          <w:lang w:val="en-US"/>
        </w:rPr>
        <w:t xml:space="preserve"> </w:t>
      </w:r>
      <w:r>
        <w:rPr>
          <w:lang w:val="en-US"/>
        </w:rPr>
        <w:t xml:space="preserve">by equating </w:t>
      </w:r>
      <w:r>
        <w:rPr>
          <w:i/>
          <w:lang w:val="en-US"/>
        </w:rPr>
        <w:t>A</w:t>
      </w:r>
      <w:r>
        <w:rPr>
          <w:i/>
          <w:iCs/>
          <w:position w:val="-4"/>
          <w:sz w:val="20"/>
          <w:lang w:val="en-US"/>
        </w:rPr>
        <w:t>j</w:t>
      </w:r>
      <w:r>
        <w:rPr>
          <w:iCs/>
          <w:lang w:val="en-US"/>
        </w:rPr>
        <w:t>(</w:t>
      </w:r>
      <w:r>
        <w:rPr>
          <w:iCs/>
          <w:sz w:val="8"/>
          <w:lang w:val="en-US"/>
        </w:rPr>
        <w:t xml:space="preserve"> </w:t>
      </w:r>
      <w:r>
        <w:rPr>
          <w:i/>
          <w:lang w:val="en-US"/>
        </w:rPr>
        <w:t>p</w:t>
      </w:r>
      <w:r>
        <w:rPr>
          <w:i/>
          <w:iCs/>
          <w:position w:val="-4"/>
          <w:sz w:val="20"/>
          <w:lang w:val="en-US"/>
        </w:rPr>
        <w:t>j</w:t>
      </w:r>
      <w:r>
        <w:rPr>
          <w:iCs/>
          <w:lang w:val="en-US"/>
        </w:rPr>
        <w:t>)</w:t>
      </w:r>
      <w:r>
        <w:rPr>
          <w:lang w:val="en-US"/>
        </w:rPr>
        <w:t xml:space="preserve"> to </w:t>
      </w:r>
      <w:r>
        <w:rPr>
          <w:i/>
          <w:lang w:val="en-US"/>
        </w:rPr>
        <w:t>Ap</w:t>
      </w:r>
      <w:r>
        <w:rPr>
          <w:lang w:val="en-US"/>
        </w:rPr>
        <w:t xml:space="preserve"> in equation (42) (or equation (43) as appropriate), of Recommendation ITU-R P.530:</w:t>
      </w:r>
    </w:p>
    <w:p w:rsidR="003B60B7" w:rsidRDefault="003B60B7" w:rsidP="003B60B7">
      <w:pPr>
        <w:pStyle w:val="Equation"/>
        <w:rPr>
          <w:lang w:val="en-US"/>
        </w:rPr>
      </w:pPr>
      <w:r>
        <w:rPr>
          <w:lang w:val="en-US"/>
        </w:rPr>
        <w:tab/>
      </w:r>
      <w:r>
        <w:rPr>
          <w:lang w:val="en-US"/>
        </w:rPr>
        <w:tab/>
      </w:r>
      <w:r w:rsidRPr="00C91B3E">
        <w:rPr>
          <w:position w:val="-16"/>
          <w:lang w:val="es-ES_tradnl"/>
        </w:rPr>
        <w:object w:dxaOrig="4940" w:dyaOrig="400">
          <v:shape id="_x0000_i1040" type="#_x0000_t75" style="width:246.6pt;height:19.8pt" o:ole="">
            <v:imagedata r:id="rId43" o:title=""/>
          </v:shape>
          <o:OLEObject Type="Embed" ProgID="Equation.3" ShapeID="_x0000_i1040" DrawAspect="Content" ObjectID="_1349506797" r:id="rId44"/>
        </w:object>
      </w:r>
      <w:r>
        <w:rPr>
          <w:lang w:val="en-US"/>
        </w:rPr>
        <w:tab/>
        <w:t>(14)</w:t>
      </w:r>
    </w:p>
    <w:p w:rsidR="003B60B7" w:rsidRDefault="003B60B7" w:rsidP="003B60B7">
      <w:pPr>
        <w:spacing w:line="280" w:lineRule="exact"/>
        <w:rPr>
          <w:lang w:val="en-US"/>
        </w:rPr>
      </w:pPr>
      <w:r>
        <w:rPr>
          <w:lang w:val="en-US"/>
        </w:rPr>
        <w:t xml:space="preserve">The calculation of the achieved availability for those possible FS receivers where there is a GSO satellite within </w:t>
      </w:r>
      <w:r>
        <w:rPr>
          <w:rFonts w:ascii="Symbol" w:hAnsi="Symbol"/>
          <w:lang w:val="es-ES_tradnl"/>
        </w:rPr>
        <w:sym w:font="Symbol" w:char="F06A"/>
      </w:r>
      <w:r>
        <w:rPr>
          <w:i/>
          <w:iCs/>
          <w:position w:val="-4"/>
          <w:sz w:val="20"/>
          <w:lang w:val="en-US"/>
        </w:rPr>
        <w:t>m</w:t>
      </w:r>
      <w:r>
        <w:rPr>
          <w:vertAlign w:val="subscript"/>
          <w:lang w:val="en-US"/>
        </w:rPr>
        <w:t xml:space="preserve"> </w:t>
      </w:r>
      <w:r>
        <w:rPr>
          <w:lang w:val="en-US"/>
        </w:rPr>
        <w:t xml:space="preserve">must be solved. When the wanted and the interfering paths are co-linear, the part of the path that is common to both the wanted terrestrial and the interfering space station must be 100% correlated. It is assumed that rain fading on the slant path between the wanted FS transmitter and an interfering GSO FSS satellite is correlated with fading on the wanted path only when the satellite is within </w:t>
      </w:r>
      <w:r>
        <w:rPr>
          <w:rFonts w:ascii="Symbol" w:hAnsi="Symbol"/>
          <w:lang w:val="es-ES_tradnl"/>
        </w:rPr>
        <w:sym w:font="Symbol" w:char="F06A"/>
      </w:r>
      <w:r>
        <w:rPr>
          <w:i/>
          <w:iCs/>
          <w:position w:val="-4"/>
          <w:sz w:val="20"/>
          <w:lang w:val="en-US"/>
        </w:rPr>
        <w:t>m</w:t>
      </w:r>
      <w:r>
        <w:rPr>
          <w:vertAlign w:val="subscript"/>
          <w:lang w:val="en-US"/>
        </w:rPr>
        <w:t xml:space="preserve"> </w:t>
      </w:r>
      <w:r>
        <w:rPr>
          <w:lang w:val="en-US"/>
        </w:rPr>
        <w:t xml:space="preserve">of the boresight of a possible FS receiving antenna. Under these conditions, the associated percentage of time, </w:t>
      </w:r>
      <w:r>
        <w:rPr>
          <w:i/>
          <w:lang w:val="en-US"/>
        </w:rPr>
        <w:t>p</w:t>
      </w:r>
      <w:r>
        <w:rPr>
          <w:i/>
          <w:iCs/>
          <w:position w:val="-4"/>
          <w:sz w:val="20"/>
          <w:lang w:val="en-US"/>
        </w:rPr>
        <w:t>Unavail</w:t>
      </w:r>
      <w:r>
        <w:rPr>
          <w:lang w:val="en-US"/>
        </w:rPr>
        <w:t>, for which attenuation on the wanted terrestrial path and the interference slant path are exceeded, must be the same. The following algorithm needs to be put into effect:</w:t>
      </w:r>
    </w:p>
    <w:p w:rsidR="003B60B7" w:rsidRDefault="003B60B7" w:rsidP="003B60B7">
      <w:pPr>
        <w:pStyle w:val="headingb0"/>
      </w:pPr>
      <w:r>
        <w:t>Recursive procedure to calculate achieved FS receiver availability in the presence of near boresight GSO FSS interference</w:t>
      </w:r>
    </w:p>
    <w:p w:rsidR="003B60B7" w:rsidRDefault="003B60B7" w:rsidP="003B60B7">
      <w:pPr>
        <w:rPr>
          <w:lang w:val="en-US"/>
        </w:rPr>
      </w:pPr>
      <w:r>
        <w:rPr>
          <w:lang w:val="en-US"/>
        </w:rPr>
        <w:t>Start:</w:t>
      </w:r>
    </w:p>
    <w:p w:rsidR="003B60B7" w:rsidRDefault="003B60B7" w:rsidP="003B60B7">
      <w:pPr>
        <w:pStyle w:val="enumlev1"/>
        <w:tabs>
          <w:tab w:val="clear" w:pos="794"/>
          <w:tab w:val="clear" w:pos="1588"/>
          <w:tab w:val="clear" w:pos="1985"/>
        </w:tabs>
        <w:ind w:left="1191" w:hanging="1191"/>
        <w:rPr>
          <w:lang w:val="en-US"/>
        </w:rPr>
      </w:pPr>
      <w:r>
        <w:rPr>
          <w:i/>
          <w:iCs/>
          <w:lang w:val="en-US"/>
        </w:rPr>
        <w:t>Step 1</w:t>
      </w:r>
      <w:r>
        <w:rPr>
          <w:lang w:val="en-US"/>
        </w:rPr>
        <w:t>:</w:t>
      </w:r>
      <w:r>
        <w:rPr>
          <w:lang w:val="en-US"/>
        </w:rPr>
        <w:tab/>
        <w:t xml:space="preserve">Calculate </w:t>
      </w:r>
      <w:r>
        <w:rPr>
          <w:i/>
          <w:lang w:val="en-US"/>
        </w:rPr>
        <w:t>M</w:t>
      </w:r>
      <w:r>
        <w:rPr>
          <w:i/>
          <w:iCs/>
          <w:position w:val="-4"/>
          <w:sz w:val="20"/>
          <w:lang w:val="en-US"/>
        </w:rPr>
        <w:t>Req</w:t>
      </w:r>
      <w:r>
        <w:rPr>
          <w:i/>
          <w:lang w:val="en-US"/>
        </w:rPr>
        <w:t> = A</w:t>
      </w:r>
      <w:r>
        <w:rPr>
          <w:iCs/>
          <w:lang w:val="en-US"/>
        </w:rPr>
        <w:t>(</w:t>
      </w:r>
      <w:r>
        <w:rPr>
          <w:iCs/>
          <w:sz w:val="8"/>
          <w:lang w:val="en-US"/>
        </w:rPr>
        <w:t> </w:t>
      </w:r>
      <w:r>
        <w:rPr>
          <w:i/>
          <w:lang w:val="en-US"/>
        </w:rPr>
        <w:t>p</w:t>
      </w:r>
      <w:r>
        <w:rPr>
          <w:i/>
          <w:iCs/>
          <w:position w:val="-4"/>
          <w:sz w:val="20"/>
          <w:lang w:val="en-US"/>
        </w:rPr>
        <w:t>D</w:t>
      </w:r>
      <w:r>
        <w:rPr>
          <w:iCs/>
          <w:position w:val="-4"/>
          <w:sz w:val="8"/>
          <w:lang w:val="en-US"/>
        </w:rPr>
        <w:t> </w:t>
      </w:r>
      <w:r>
        <w:rPr>
          <w:iCs/>
          <w:lang w:val="en-US"/>
        </w:rPr>
        <w:t>)</w:t>
      </w:r>
      <w:r>
        <w:rPr>
          <w:i/>
          <w:lang w:val="en-US"/>
        </w:rPr>
        <w:t xml:space="preserve"> </w:t>
      </w:r>
      <w:r>
        <w:rPr>
          <w:lang w:val="en-US"/>
        </w:rPr>
        <w:t>(equation (4))</w:t>
      </w:r>
    </w:p>
    <w:p w:rsidR="003B60B7" w:rsidRDefault="003B60B7" w:rsidP="003B60B7">
      <w:pPr>
        <w:pStyle w:val="enumlev1"/>
        <w:tabs>
          <w:tab w:val="clear" w:pos="794"/>
          <w:tab w:val="clear" w:pos="1588"/>
          <w:tab w:val="clear" w:pos="1985"/>
        </w:tabs>
        <w:ind w:left="1191" w:hanging="1191"/>
        <w:rPr>
          <w:lang w:val="en-US"/>
        </w:rPr>
      </w:pPr>
      <w:r>
        <w:rPr>
          <w:i/>
          <w:iCs/>
          <w:lang w:val="en-US"/>
        </w:rPr>
        <w:t>Step 2</w:t>
      </w:r>
      <w:r>
        <w:rPr>
          <w:lang w:val="en-US"/>
        </w:rPr>
        <w:t>:</w:t>
      </w:r>
      <w:r>
        <w:rPr>
          <w:lang w:val="en-US"/>
        </w:rPr>
        <w:tab/>
        <w:t xml:space="preserve">Start iteration, </w:t>
      </w:r>
      <w:r>
        <w:rPr>
          <w:i/>
          <w:lang w:val="en-US"/>
        </w:rPr>
        <w:t>j = </w:t>
      </w:r>
      <w:r>
        <w:rPr>
          <w:iCs/>
          <w:lang w:val="en-US"/>
        </w:rPr>
        <w:t>1</w:t>
      </w:r>
    </w:p>
    <w:p w:rsidR="003B60B7" w:rsidRDefault="003B60B7" w:rsidP="003B60B7">
      <w:pPr>
        <w:pStyle w:val="enumlev1"/>
        <w:tabs>
          <w:tab w:val="clear" w:pos="794"/>
          <w:tab w:val="clear" w:pos="1588"/>
          <w:tab w:val="clear" w:pos="1985"/>
        </w:tabs>
        <w:ind w:left="1191" w:hanging="1191"/>
        <w:rPr>
          <w:lang w:val="en-US"/>
        </w:rPr>
      </w:pPr>
      <w:r>
        <w:rPr>
          <w:i/>
          <w:iCs/>
          <w:lang w:val="en-US"/>
        </w:rPr>
        <w:t>Step 3</w:t>
      </w:r>
      <w:r>
        <w:rPr>
          <w:lang w:val="en-US"/>
        </w:rPr>
        <w:t>:</w:t>
      </w:r>
      <w:r>
        <w:rPr>
          <w:lang w:val="en-US"/>
        </w:rPr>
        <w:tab/>
      </w:r>
      <w:r>
        <w:rPr>
          <w:i/>
          <w:lang w:val="en-US"/>
        </w:rPr>
        <w:t>p</w:t>
      </w:r>
      <w:r>
        <w:rPr>
          <w:i/>
          <w:iCs/>
          <w:position w:val="-4"/>
          <w:sz w:val="20"/>
          <w:lang w:val="en-US"/>
        </w:rPr>
        <w:t>j</w:t>
      </w:r>
      <w:r>
        <w:rPr>
          <w:i/>
          <w:lang w:val="en-US"/>
        </w:rPr>
        <w:t> =</w:t>
      </w:r>
      <w:r>
        <w:rPr>
          <w:lang w:val="en-US"/>
        </w:rPr>
        <w:t> </w:t>
      </w:r>
      <w:r>
        <w:rPr>
          <w:i/>
          <w:lang w:val="en-US"/>
        </w:rPr>
        <w:t>p</w:t>
      </w:r>
      <w:r>
        <w:rPr>
          <w:i/>
          <w:iCs/>
          <w:position w:val="-4"/>
          <w:sz w:val="20"/>
          <w:lang w:val="en-US"/>
        </w:rPr>
        <w:t>D</w:t>
      </w:r>
    </w:p>
    <w:p w:rsidR="003B60B7" w:rsidRDefault="003B60B7" w:rsidP="003B60B7">
      <w:pPr>
        <w:pStyle w:val="enumlev1"/>
        <w:tabs>
          <w:tab w:val="clear" w:pos="794"/>
        </w:tabs>
        <w:ind w:left="0" w:firstLine="0"/>
        <w:rPr>
          <w:lang w:val="en-US"/>
        </w:rPr>
      </w:pPr>
      <w:r>
        <w:rPr>
          <w:i/>
          <w:iCs/>
          <w:lang w:val="en-US"/>
        </w:rPr>
        <w:t>Step 4</w:t>
      </w:r>
      <w:r>
        <w:rPr>
          <w:lang w:val="en-US"/>
        </w:rPr>
        <w:t>:</w:t>
      </w:r>
      <w:r>
        <w:rPr>
          <w:lang w:val="en-US"/>
        </w:rPr>
        <w:tab/>
        <w:t xml:space="preserve">Calculate </w:t>
      </w:r>
      <w:r>
        <w:rPr>
          <w:i/>
          <w:lang w:val="en-US"/>
        </w:rPr>
        <w:t>M</w:t>
      </w:r>
      <w:r>
        <w:rPr>
          <w:i/>
          <w:iCs/>
          <w:position w:val="-4"/>
          <w:sz w:val="20"/>
          <w:lang w:val="en-US"/>
        </w:rPr>
        <w:t>Avail j</w:t>
      </w:r>
      <w:r>
        <w:rPr>
          <w:lang w:val="en-US"/>
        </w:rPr>
        <w:t xml:space="preserve"> </w:t>
      </w:r>
      <w:r>
        <w:rPr>
          <w:iCs/>
          <w:lang w:val="en-US"/>
        </w:rPr>
        <w:t>(</w:t>
      </w:r>
      <w:r>
        <w:rPr>
          <w:iCs/>
          <w:sz w:val="8"/>
          <w:lang w:val="en-US"/>
        </w:rPr>
        <w:t> </w:t>
      </w:r>
      <w:r>
        <w:rPr>
          <w:i/>
          <w:lang w:val="en-US"/>
        </w:rPr>
        <w:t>p</w:t>
      </w:r>
      <w:r>
        <w:rPr>
          <w:i/>
          <w:iCs/>
          <w:position w:val="-4"/>
          <w:sz w:val="20"/>
          <w:lang w:val="en-US"/>
        </w:rPr>
        <w:t>j</w:t>
      </w:r>
      <w:r>
        <w:rPr>
          <w:i/>
          <w:iCs/>
          <w:position w:val="-4"/>
          <w:sz w:val="8"/>
          <w:lang w:val="en-US"/>
        </w:rPr>
        <w:t> </w:t>
      </w:r>
      <w:r>
        <w:rPr>
          <w:iCs/>
          <w:lang w:val="en-US"/>
        </w:rPr>
        <w:t>)</w:t>
      </w:r>
      <w:r>
        <w:rPr>
          <w:lang w:val="en-US"/>
        </w:rPr>
        <w:t xml:space="preserve"> (equation (13)).</w:t>
      </w:r>
    </w:p>
    <w:p w:rsidR="003B60B7" w:rsidRDefault="003B60B7" w:rsidP="003B60B7">
      <w:pPr>
        <w:spacing w:line="280" w:lineRule="exact"/>
        <w:rPr>
          <w:lang w:val="en-US"/>
        </w:rPr>
      </w:pPr>
      <w:r>
        <w:rPr>
          <w:lang w:val="en-US"/>
        </w:rPr>
        <w:br w:type="page"/>
      </w:r>
      <w:r>
        <w:rPr>
          <w:lang w:val="en-US"/>
        </w:rPr>
        <w:lastRenderedPageBreak/>
        <w:t xml:space="preserve">Note that the value </w:t>
      </w:r>
      <w:r>
        <w:rPr>
          <w:i/>
          <w:lang w:val="en-US"/>
        </w:rPr>
        <w:t>I</w:t>
      </w:r>
      <w:r>
        <w:rPr>
          <w:i/>
          <w:iCs/>
          <w:position w:val="-4"/>
          <w:sz w:val="20"/>
          <w:lang w:val="en-US"/>
        </w:rPr>
        <w:t>GSO i</w:t>
      </w:r>
      <w:r>
        <w:rPr>
          <w:lang w:val="en-US"/>
        </w:rPr>
        <w:t xml:space="preserve">, in equation (13) must take into account that those contributions of </w:t>
      </w:r>
      <w:r>
        <w:rPr>
          <w:i/>
          <w:lang w:val="en-US"/>
        </w:rPr>
        <w:t>I</w:t>
      </w:r>
      <w:r>
        <w:rPr>
          <w:i/>
          <w:iCs/>
          <w:position w:val="-4"/>
          <w:sz w:val="20"/>
          <w:lang w:val="en-US"/>
        </w:rPr>
        <w:t>GSO i</w:t>
      </w:r>
      <w:r>
        <w:rPr>
          <w:lang w:val="en-US"/>
        </w:rPr>
        <w:t xml:space="preserve"> (equation 19) near the main beam of the FS station (</w:t>
      </w:r>
      <w:r>
        <w:rPr>
          <w:i/>
          <w:lang w:val="en-US"/>
        </w:rPr>
        <w:t>u</w:t>
      </w:r>
      <w:r>
        <w:sym w:font="Symbol" w:char="F06A"/>
      </w:r>
      <w:r>
        <w:rPr>
          <w:i/>
          <w:iCs/>
          <w:position w:val="-4"/>
          <w:sz w:val="20"/>
          <w:lang w:val="en-US"/>
        </w:rPr>
        <w:t>m</w:t>
      </w:r>
      <w:r>
        <w:rPr>
          <w:lang w:val="en-US"/>
        </w:rPr>
        <w:t xml:space="preserve">, § 6.1.1.2) are attenuated by </w:t>
      </w:r>
      <w:r>
        <w:rPr>
          <w:i/>
          <w:lang w:val="en-US"/>
        </w:rPr>
        <w:t>Ap</w:t>
      </w:r>
      <w:r>
        <w:rPr>
          <w:iCs/>
          <w:lang w:val="en-US"/>
        </w:rPr>
        <w:t>(</w:t>
      </w:r>
      <w:r>
        <w:rPr>
          <w:iCs/>
          <w:sz w:val="8"/>
          <w:lang w:val="en-US"/>
        </w:rPr>
        <w:t> </w:t>
      </w:r>
      <w:r>
        <w:rPr>
          <w:i/>
          <w:lang w:val="en-US"/>
        </w:rPr>
        <w:t>p</w:t>
      </w:r>
      <w:r>
        <w:rPr>
          <w:i/>
          <w:iCs/>
          <w:position w:val="-4"/>
          <w:sz w:val="20"/>
          <w:lang w:val="en-US"/>
        </w:rPr>
        <w:t>j</w:t>
      </w:r>
      <w:r>
        <w:rPr>
          <w:position w:val="-4"/>
          <w:sz w:val="8"/>
          <w:lang w:val="en-US"/>
        </w:rPr>
        <w:t> </w:t>
      </w:r>
      <w:r>
        <w:rPr>
          <w:i/>
          <w:lang w:val="en-US"/>
        </w:rPr>
        <w:t>)</w:t>
      </w:r>
      <w:r>
        <w:rPr>
          <w:lang w:val="en-US"/>
        </w:rPr>
        <w:t xml:space="preserve"> according to equation (11) in Step 10 of Recommendation ITU-R P.618-6.</w:t>
      </w:r>
    </w:p>
    <w:p w:rsidR="003B60B7" w:rsidRDefault="003B60B7" w:rsidP="003B60B7">
      <w:pPr>
        <w:spacing w:line="280" w:lineRule="exact"/>
        <w:rPr>
          <w:lang w:val="en-US"/>
        </w:rPr>
      </w:pPr>
      <w:r>
        <w:rPr>
          <w:i/>
          <w:lang w:val="en-US"/>
        </w:rPr>
        <w:t>I</w:t>
      </w:r>
      <w:r>
        <w:rPr>
          <w:i/>
          <w:iCs/>
          <w:position w:val="-4"/>
          <w:sz w:val="20"/>
          <w:lang w:val="en-US"/>
        </w:rPr>
        <w:t>intra i</w:t>
      </w:r>
      <w:r>
        <w:rPr>
          <w:lang w:val="en-US"/>
        </w:rPr>
        <w:t xml:space="preserve">, in equation (13) is attenuated only along the horizontal wanted FS path (exceeded for the percentage of time </w:t>
      </w:r>
      <w:r>
        <w:rPr>
          <w:i/>
          <w:lang w:val="en-US"/>
        </w:rPr>
        <w:t>p</w:t>
      </w:r>
      <w:r>
        <w:rPr>
          <w:i/>
          <w:iCs/>
          <w:position w:val="-4"/>
          <w:sz w:val="20"/>
          <w:lang w:val="en-US"/>
        </w:rPr>
        <w:t>j</w:t>
      </w:r>
      <w:r>
        <w:rPr>
          <w:lang w:val="en-US"/>
        </w:rPr>
        <w:t>) using equation (42) (or (43) as appropriate) in Steps 5 and 6 of Recommen</w:t>
      </w:r>
      <w:r>
        <w:rPr>
          <w:lang w:val="en-US"/>
        </w:rPr>
        <w:softHyphen/>
        <w:t>dation ITU-R P.530-8.</w:t>
      </w:r>
    </w:p>
    <w:p w:rsidR="003B60B7" w:rsidRDefault="003B60B7" w:rsidP="003B60B7">
      <w:pPr>
        <w:pStyle w:val="enumlev1"/>
        <w:tabs>
          <w:tab w:val="clear" w:pos="794"/>
          <w:tab w:val="clear" w:pos="1588"/>
          <w:tab w:val="clear" w:pos="1985"/>
        </w:tabs>
        <w:ind w:left="1191" w:hanging="1191"/>
        <w:rPr>
          <w:lang w:val="en-US"/>
        </w:rPr>
      </w:pPr>
      <w:r>
        <w:rPr>
          <w:i/>
          <w:iCs/>
          <w:lang w:val="en-US"/>
        </w:rPr>
        <w:t>Step 5</w:t>
      </w:r>
      <w:r>
        <w:rPr>
          <w:lang w:val="en-US"/>
        </w:rPr>
        <w:t>:</w:t>
      </w:r>
      <w:r>
        <w:rPr>
          <w:lang w:val="en-US"/>
        </w:rPr>
        <w:tab/>
        <w:t xml:space="preserve">Calculate margin difference, </w:t>
      </w:r>
      <w:r>
        <w:rPr>
          <w:iCs/>
        </w:rPr>
        <w:sym w:font="Symbol" w:char="F044"/>
      </w:r>
      <w:r>
        <w:rPr>
          <w:i/>
          <w:lang w:val="en-US"/>
        </w:rPr>
        <w:t>M</w:t>
      </w:r>
      <w:r>
        <w:rPr>
          <w:i/>
          <w:iCs/>
          <w:position w:val="-4"/>
          <w:sz w:val="20"/>
          <w:lang w:val="en-US"/>
        </w:rPr>
        <w:t>j</w:t>
      </w:r>
      <w:r>
        <w:rPr>
          <w:lang w:val="en-US"/>
        </w:rPr>
        <w:t> = </w:t>
      </w:r>
      <w:r>
        <w:rPr>
          <w:i/>
          <w:lang w:val="en-US"/>
        </w:rPr>
        <w:t>M</w:t>
      </w:r>
      <w:r>
        <w:rPr>
          <w:i/>
          <w:iCs/>
          <w:position w:val="-4"/>
          <w:sz w:val="20"/>
          <w:lang w:val="en-US"/>
        </w:rPr>
        <w:t xml:space="preserve">Avail j </w:t>
      </w:r>
      <w:r>
        <w:rPr>
          <w:lang w:val="en-US"/>
        </w:rPr>
        <w:t xml:space="preserve">– </w:t>
      </w:r>
      <w:r>
        <w:rPr>
          <w:i/>
          <w:lang w:val="en-US"/>
        </w:rPr>
        <w:t>M</w:t>
      </w:r>
      <w:r>
        <w:rPr>
          <w:i/>
          <w:iCs/>
          <w:position w:val="-4"/>
          <w:sz w:val="20"/>
          <w:lang w:val="en-US"/>
        </w:rPr>
        <w:t>Req</w:t>
      </w:r>
    </w:p>
    <w:p w:rsidR="003B60B7" w:rsidRDefault="003B60B7" w:rsidP="003B60B7">
      <w:pPr>
        <w:pStyle w:val="enumlev1"/>
        <w:tabs>
          <w:tab w:val="clear" w:pos="794"/>
          <w:tab w:val="clear" w:pos="1588"/>
          <w:tab w:val="clear" w:pos="1985"/>
        </w:tabs>
        <w:ind w:left="1191" w:hanging="1191"/>
        <w:rPr>
          <w:lang w:val="en-US"/>
        </w:rPr>
      </w:pPr>
      <w:r>
        <w:rPr>
          <w:i/>
          <w:iCs/>
          <w:lang w:val="en-US"/>
        </w:rPr>
        <w:t>Step 6</w:t>
      </w:r>
      <w:r>
        <w:rPr>
          <w:lang w:val="en-US"/>
        </w:rPr>
        <w:t>:</w:t>
      </w:r>
      <w:r>
        <w:rPr>
          <w:lang w:val="en-US"/>
        </w:rPr>
        <w:tab/>
        <w:t xml:space="preserve">If </w:t>
      </w:r>
      <w:r>
        <w:rPr>
          <w:iCs/>
        </w:rPr>
        <w:sym w:font="Symbol" w:char="F044"/>
      </w:r>
      <w:r>
        <w:rPr>
          <w:i/>
          <w:lang w:val="en-US"/>
        </w:rPr>
        <w:t>M</w:t>
      </w:r>
      <w:r>
        <w:rPr>
          <w:i/>
          <w:iCs/>
          <w:position w:val="-4"/>
          <w:sz w:val="20"/>
          <w:lang w:val="en-US"/>
        </w:rPr>
        <w:t>j</w:t>
      </w:r>
      <w:r>
        <w:rPr>
          <w:i/>
          <w:lang w:val="en-US"/>
        </w:rPr>
        <w:t xml:space="preserve"> </w:t>
      </w:r>
      <w:r>
        <w:rPr>
          <w:lang w:val="en-US"/>
        </w:rPr>
        <w:t xml:space="preserve">&lt; </w:t>
      </w:r>
      <w:r>
        <w:rPr>
          <w:i/>
          <w:lang w:val="en-US"/>
        </w:rPr>
        <w:t>Accuracy Threshold,</w:t>
      </w:r>
      <w:r>
        <w:rPr>
          <w:lang w:val="en-US"/>
        </w:rPr>
        <w:t xml:space="preserve"> then go to “End”</w:t>
      </w:r>
    </w:p>
    <w:p w:rsidR="003B60B7" w:rsidRDefault="003B60B7" w:rsidP="003B60B7">
      <w:pPr>
        <w:rPr>
          <w:lang w:val="en-US"/>
        </w:rPr>
      </w:pPr>
      <w:r>
        <w:rPr>
          <w:lang w:val="en-US"/>
        </w:rPr>
        <w:t>otherwise</w:t>
      </w:r>
    </w:p>
    <w:p w:rsidR="003B60B7" w:rsidRDefault="003B60B7" w:rsidP="003B60B7">
      <w:pPr>
        <w:pStyle w:val="enumlev1"/>
        <w:tabs>
          <w:tab w:val="clear" w:pos="794"/>
          <w:tab w:val="clear" w:pos="1588"/>
          <w:tab w:val="clear" w:pos="1985"/>
        </w:tabs>
        <w:ind w:left="1191" w:hanging="1191"/>
        <w:rPr>
          <w:lang w:val="en-US"/>
        </w:rPr>
      </w:pPr>
      <w:r>
        <w:rPr>
          <w:i/>
          <w:iCs/>
          <w:lang w:val="en-US"/>
        </w:rPr>
        <w:t>Step 7</w:t>
      </w:r>
      <w:r>
        <w:rPr>
          <w:lang w:val="en-US"/>
        </w:rPr>
        <w:t>:</w:t>
      </w:r>
      <w:r>
        <w:rPr>
          <w:lang w:val="en-US"/>
        </w:rPr>
        <w:tab/>
        <w:t xml:space="preserve">Equate </w:t>
      </w:r>
      <w:r>
        <w:rPr>
          <w:i/>
          <w:lang w:val="en-US"/>
        </w:rPr>
        <w:t>A</w:t>
      </w:r>
      <w:r>
        <w:rPr>
          <w:iCs/>
          <w:lang w:val="en-US"/>
        </w:rPr>
        <w:t>(</w:t>
      </w:r>
      <w:r>
        <w:rPr>
          <w:iCs/>
          <w:sz w:val="8"/>
          <w:lang w:val="en-US"/>
        </w:rPr>
        <w:t> </w:t>
      </w:r>
      <w:r>
        <w:rPr>
          <w:i/>
          <w:lang w:val="en-US"/>
        </w:rPr>
        <w:t>p</w:t>
      </w:r>
      <w:r>
        <w:rPr>
          <w:i/>
          <w:iCs/>
          <w:position w:val="-4"/>
          <w:sz w:val="20"/>
          <w:lang w:val="en-US"/>
        </w:rPr>
        <w:t>j+</w:t>
      </w:r>
      <w:r>
        <w:rPr>
          <w:position w:val="-4"/>
          <w:sz w:val="20"/>
          <w:lang w:val="en-US"/>
        </w:rPr>
        <w:t>1</w:t>
      </w:r>
      <w:r>
        <w:rPr>
          <w:iCs/>
          <w:lang w:val="en-US"/>
        </w:rPr>
        <w:t>)</w:t>
      </w:r>
      <w:r>
        <w:rPr>
          <w:i/>
          <w:lang w:val="en-US"/>
        </w:rPr>
        <w:t> </w:t>
      </w:r>
      <w:r>
        <w:rPr>
          <w:lang w:val="en-US"/>
        </w:rPr>
        <w:t>= </w:t>
      </w:r>
      <w:r>
        <w:rPr>
          <w:i/>
          <w:lang w:val="en-US"/>
        </w:rPr>
        <w:t>A</w:t>
      </w:r>
      <w:r>
        <w:rPr>
          <w:iCs/>
          <w:lang w:val="en-US"/>
        </w:rPr>
        <w:t>(</w:t>
      </w:r>
      <w:r>
        <w:rPr>
          <w:iCs/>
          <w:sz w:val="8"/>
          <w:lang w:val="en-US"/>
        </w:rPr>
        <w:t> </w:t>
      </w:r>
      <w:r>
        <w:rPr>
          <w:i/>
          <w:lang w:val="en-US"/>
        </w:rPr>
        <w:t>p</w:t>
      </w:r>
      <w:r>
        <w:rPr>
          <w:i/>
          <w:iCs/>
          <w:position w:val="-4"/>
          <w:sz w:val="20"/>
          <w:lang w:val="en-US"/>
        </w:rPr>
        <w:t>j</w:t>
      </w:r>
      <w:r>
        <w:rPr>
          <w:iCs/>
          <w:lang w:val="en-US"/>
        </w:rPr>
        <w:t>)</w:t>
      </w:r>
      <w:r>
        <w:rPr>
          <w:lang w:val="en-US"/>
        </w:rPr>
        <w:t xml:space="preserve"> + </w:t>
      </w:r>
      <w:r>
        <w:rPr>
          <w:iCs/>
        </w:rPr>
        <w:sym w:font="Symbol" w:char="F044"/>
      </w:r>
      <w:r>
        <w:rPr>
          <w:i/>
          <w:lang w:val="en-US"/>
        </w:rPr>
        <w:t>M</w:t>
      </w:r>
      <w:r>
        <w:rPr>
          <w:i/>
          <w:iCs/>
          <w:position w:val="-4"/>
          <w:sz w:val="20"/>
          <w:lang w:val="en-US"/>
        </w:rPr>
        <w:t>j</w:t>
      </w:r>
      <w:r>
        <w:rPr>
          <w:i/>
          <w:lang w:val="en-US"/>
        </w:rPr>
        <w:t> = Ap</w:t>
      </w:r>
      <w:r>
        <w:rPr>
          <w:lang w:val="en-US"/>
        </w:rPr>
        <w:t xml:space="preserve"> according to equation (42) (or (43) as appropriate) of Recommendation ITU</w:t>
      </w:r>
      <w:r>
        <w:rPr>
          <w:lang w:val="en-US"/>
        </w:rPr>
        <w:noBreakHyphen/>
        <w:t xml:space="preserve">R P.530 and solve for </w:t>
      </w:r>
      <w:r>
        <w:rPr>
          <w:i/>
          <w:lang w:val="en-US"/>
        </w:rPr>
        <w:t>p</w:t>
      </w:r>
      <w:r>
        <w:rPr>
          <w:i/>
          <w:iCs/>
          <w:position w:val="-4"/>
          <w:sz w:val="20"/>
          <w:lang w:val="en-US"/>
        </w:rPr>
        <w:t>j+</w:t>
      </w:r>
      <w:r>
        <w:rPr>
          <w:position w:val="-4"/>
          <w:sz w:val="20"/>
          <w:lang w:val="en-US"/>
        </w:rPr>
        <w:t>1</w:t>
      </w:r>
      <w:r>
        <w:rPr>
          <w:lang w:val="en-US"/>
        </w:rPr>
        <w:t>.</w:t>
      </w:r>
    </w:p>
    <w:p w:rsidR="003B60B7" w:rsidRDefault="003B60B7" w:rsidP="003B60B7">
      <w:pPr>
        <w:pStyle w:val="enumlev1"/>
        <w:tabs>
          <w:tab w:val="clear" w:pos="794"/>
          <w:tab w:val="clear" w:pos="1588"/>
          <w:tab w:val="clear" w:pos="1985"/>
        </w:tabs>
        <w:ind w:left="1191" w:hanging="1191"/>
        <w:rPr>
          <w:lang w:val="en-US"/>
        </w:rPr>
      </w:pPr>
      <w:r>
        <w:rPr>
          <w:i/>
          <w:iCs/>
          <w:lang w:val="en-US"/>
        </w:rPr>
        <w:t>Step 8</w:t>
      </w:r>
      <w:r>
        <w:rPr>
          <w:lang w:val="en-US"/>
        </w:rPr>
        <w:t>:</w:t>
      </w:r>
      <w:r>
        <w:rPr>
          <w:lang w:val="en-US"/>
        </w:rPr>
        <w:tab/>
        <w:t xml:space="preserve">If 0.001 </w:t>
      </w:r>
      <w:r>
        <w:sym w:font="Symbol" w:char="F0A3"/>
      </w:r>
      <w:r>
        <w:rPr>
          <w:lang w:val="en-US"/>
        </w:rPr>
        <w:t xml:space="preserve"> </w:t>
      </w:r>
      <w:r>
        <w:rPr>
          <w:i/>
          <w:lang w:val="en-US"/>
        </w:rPr>
        <w:t>p</w:t>
      </w:r>
      <w:r>
        <w:rPr>
          <w:i/>
          <w:iCs/>
          <w:position w:val="-4"/>
          <w:sz w:val="20"/>
          <w:lang w:val="en-US"/>
        </w:rPr>
        <w:t>j+</w:t>
      </w:r>
      <w:r>
        <w:rPr>
          <w:position w:val="-4"/>
          <w:sz w:val="20"/>
          <w:lang w:val="en-US"/>
        </w:rPr>
        <w:t>1</w:t>
      </w:r>
      <w:r>
        <w:rPr>
          <w:position w:val="-4"/>
          <w:lang w:val="en-US"/>
        </w:rPr>
        <w:t> </w:t>
      </w:r>
      <w:r>
        <w:sym w:font="Symbol" w:char="F0A3"/>
      </w:r>
      <w:r>
        <w:rPr>
          <w:lang w:val="en-US"/>
        </w:rPr>
        <w:t> 1.0, continue</w:t>
      </w:r>
    </w:p>
    <w:p w:rsidR="003B60B7" w:rsidRDefault="003B60B7" w:rsidP="003B60B7">
      <w:pPr>
        <w:rPr>
          <w:lang w:val="en-US"/>
        </w:rPr>
      </w:pPr>
      <w:r>
        <w:rPr>
          <w:lang w:val="en-US"/>
        </w:rPr>
        <w:t>otherwise go to “End”</w:t>
      </w:r>
    </w:p>
    <w:p w:rsidR="003B60B7" w:rsidRDefault="003B60B7" w:rsidP="003B60B7">
      <w:pPr>
        <w:pStyle w:val="enumlev1"/>
        <w:tabs>
          <w:tab w:val="clear" w:pos="794"/>
          <w:tab w:val="clear" w:pos="1588"/>
          <w:tab w:val="clear" w:pos="1985"/>
        </w:tabs>
        <w:ind w:left="1191" w:hanging="1191"/>
        <w:rPr>
          <w:lang w:val="en-US"/>
        </w:rPr>
      </w:pPr>
      <w:r>
        <w:rPr>
          <w:i/>
          <w:iCs/>
          <w:lang w:val="en-US"/>
        </w:rPr>
        <w:t>Step 9</w:t>
      </w:r>
      <w:r>
        <w:rPr>
          <w:lang w:val="en-US"/>
        </w:rPr>
        <w:t>:</w:t>
      </w:r>
      <w:r>
        <w:rPr>
          <w:lang w:val="en-US"/>
        </w:rPr>
        <w:tab/>
        <w:t xml:space="preserve">Calculate a new value for </w:t>
      </w:r>
      <w:r>
        <w:rPr>
          <w:i/>
          <w:lang w:val="en-US"/>
        </w:rPr>
        <w:t>p</w:t>
      </w:r>
      <w:r>
        <w:rPr>
          <w:i/>
          <w:iCs/>
          <w:position w:val="-4"/>
          <w:sz w:val="20"/>
          <w:lang w:val="en-US"/>
        </w:rPr>
        <w:t>j+</w:t>
      </w:r>
      <w:r>
        <w:rPr>
          <w:position w:val="-4"/>
          <w:sz w:val="20"/>
          <w:lang w:val="en-US"/>
        </w:rPr>
        <w:t>1</w:t>
      </w:r>
      <w:r>
        <w:rPr>
          <w:position w:val="-4"/>
          <w:lang w:val="en-US"/>
        </w:rPr>
        <w:t> </w:t>
      </w:r>
      <w:r>
        <w:rPr>
          <w:lang w:val="en-US"/>
        </w:rPr>
        <w:t>to be used in next iteration.</w:t>
      </w:r>
    </w:p>
    <w:p w:rsidR="003B60B7" w:rsidRDefault="003B60B7" w:rsidP="003B60B7">
      <w:pPr>
        <w:pStyle w:val="enumlev1"/>
        <w:tabs>
          <w:tab w:val="clear" w:pos="794"/>
          <w:tab w:val="clear" w:pos="1588"/>
          <w:tab w:val="clear" w:pos="1985"/>
        </w:tabs>
        <w:ind w:left="1191" w:hanging="1191"/>
        <w:rPr>
          <w:lang w:val="en-US"/>
        </w:rPr>
      </w:pPr>
      <w:r>
        <w:rPr>
          <w:lang w:val="en-US"/>
        </w:rPr>
        <w:tab/>
        <w:t xml:space="preserve">Allow new </w:t>
      </w:r>
      <w:r>
        <w:rPr>
          <w:i/>
          <w:lang w:val="en-US"/>
        </w:rPr>
        <w:t>p</w:t>
      </w:r>
      <w:r>
        <w:rPr>
          <w:i/>
          <w:iCs/>
          <w:position w:val="-4"/>
          <w:sz w:val="20"/>
          <w:lang w:val="en-US"/>
        </w:rPr>
        <w:t>j+</w:t>
      </w:r>
      <w:r>
        <w:rPr>
          <w:position w:val="-4"/>
          <w:sz w:val="20"/>
          <w:lang w:val="en-US"/>
        </w:rPr>
        <w:t xml:space="preserve">1 </w:t>
      </w:r>
      <w:r>
        <w:rPr>
          <w:lang w:val="en-US"/>
        </w:rPr>
        <w:t xml:space="preserve">to take the value of </w:t>
      </w:r>
      <w:r w:rsidRPr="00C91B3E">
        <w:rPr>
          <w:position w:val="-6"/>
          <w:lang w:val="es-ES_tradnl"/>
        </w:rPr>
        <w:object w:dxaOrig="2439" w:dyaOrig="420">
          <v:shape id="_x0000_i1041" type="#_x0000_t75" style="width:122.4pt;height:20.4pt" o:ole="">
            <v:imagedata r:id="rId45" o:title=""/>
          </v:shape>
          <o:OLEObject Type="Embed" ProgID="Equation.3" ShapeID="_x0000_i1041" DrawAspect="Content" ObjectID="_1349506798" r:id="rId46"/>
        </w:object>
      </w:r>
    </w:p>
    <w:p w:rsidR="003B60B7" w:rsidRDefault="003B60B7" w:rsidP="003B60B7">
      <w:pPr>
        <w:pStyle w:val="enumlev1"/>
        <w:tabs>
          <w:tab w:val="clear" w:pos="794"/>
          <w:tab w:val="clear" w:pos="1588"/>
          <w:tab w:val="clear" w:pos="1985"/>
        </w:tabs>
        <w:ind w:left="1191" w:hanging="1191"/>
        <w:rPr>
          <w:lang w:val="en-US"/>
        </w:rPr>
      </w:pPr>
      <w:r>
        <w:rPr>
          <w:i/>
          <w:iCs/>
          <w:lang w:val="en-US"/>
        </w:rPr>
        <w:t>Step 10</w:t>
      </w:r>
      <w:r>
        <w:rPr>
          <w:lang w:val="en-US"/>
        </w:rPr>
        <w:t>:</w:t>
      </w:r>
      <w:r>
        <w:rPr>
          <w:lang w:val="en-US"/>
        </w:rPr>
        <w:tab/>
        <w:t xml:space="preserve">Increment </w:t>
      </w:r>
      <w:r>
        <w:rPr>
          <w:i/>
          <w:lang w:val="en-US"/>
        </w:rPr>
        <w:t>j</w:t>
      </w:r>
      <w:r>
        <w:rPr>
          <w:lang w:val="en-US"/>
        </w:rPr>
        <w:t xml:space="preserve">, set </w:t>
      </w:r>
      <w:r>
        <w:rPr>
          <w:i/>
          <w:lang w:val="en-US"/>
        </w:rPr>
        <w:t xml:space="preserve">j </w:t>
      </w:r>
      <w:r>
        <w:rPr>
          <w:lang w:val="en-US"/>
        </w:rPr>
        <w:t xml:space="preserve">to a value of </w:t>
      </w:r>
      <w:r>
        <w:rPr>
          <w:i/>
          <w:lang w:val="en-US"/>
        </w:rPr>
        <w:t xml:space="preserve">j + </w:t>
      </w:r>
      <w:r>
        <w:rPr>
          <w:iCs/>
          <w:lang w:val="en-US"/>
        </w:rPr>
        <w:t>1</w:t>
      </w:r>
    </w:p>
    <w:p w:rsidR="003B60B7" w:rsidRDefault="003B60B7" w:rsidP="003B60B7">
      <w:pPr>
        <w:pStyle w:val="enumlev1"/>
        <w:tabs>
          <w:tab w:val="clear" w:pos="794"/>
          <w:tab w:val="clear" w:pos="1588"/>
          <w:tab w:val="clear" w:pos="1985"/>
        </w:tabs>
        <w:ind w:left="1191" w:hanging="1191"/>
        <w:rPr>
          <w:lang w:val="en-US"/>
        </w:rPr>
      </w:pPr>
      <w:r>
        <w:rPr>
          <w:i/>
          <w:iCs/>
          <w:lang w:val="en-US"/>
        </w:rPr>
        <w:t>Step 11</w:t>
      </w:r>
      <w:r>
        <w:rPr>
          <w:lang w:val="en-US"/>
        </w:rPr>
        <w:t>:</w:t>
      </w:r>
      <w:r>
        <w:rPr>
          <w:lang w:val="en-US"/>
        </w:rPr>
        <w:tab/>
        <w:t>Return to Step 4</w:t>
      </w:r>
    </w:p>
    <w:p w:rsidR="003B60B7" w:rsidRDefault="003B60B7" w:rsidP="003B60B7">
      <w:pPr>
        <w:rPr>
          <w:lang w:val="en-US"/>
        </w:rPr>
      </w:pPr>
      <w:r>
        <w:rPr>
          <w:lang w:val="en-US"/>
        </w:rPr>
        <w:t>End.</w:t>
      </w:r>
    </w:p>
    <w:p w:rsidR="003B60B7" w:rsidRDefault="003B60B7" w:rsidP="003B60B7">
      <w:pPr>
        <w:spacing w:line="280" w:lineRule="exact"/>
        <w:rPr>
          <w:lang w:val="en-US"/>
        </w:rPr>
      </w:pPr>
      <w:r>
        <w:rPr>
          <w:lang w:val="en-US"/>
        </w:rPr>
        <w:t xml:space="preserve">In the cases where the designed unavailability is 0.001%, the achieved availability in cases where </w:t>
      </w:r>
      <w:r>
        <w:rPr>
          <w:iCs/>
        </w:rPr>
        <w:sym w:font="Symbol" w:char="F044"/>
      </w:r>
      <w:r>
        <w:rPr>
          <w:i/>
          <w:lang w:val="en-US"/>
        </w:rPr>
        <w:t xml:space="preserve">M </w:t>
      </w:r>
      <w:r>
        <w:rPr>
          <w:lang w:val="en-US"/>
        </w:rPr>
        <w:t xml:space="preserve">&gt; 0, is set to a maximum 99.999% since there is no valid propagation model for rain attenuation exceeded for </w:t>
      </w:r>
      <w:r>
        <w:rPr>
          <w:i/>
          <w:lang w:val="en-US"/>
        </w:rPr>
        <w:t>p</w:t>
      </w:r>
      <w:r>
        <w:rPr>
          <w:lang w:val="en-US"/>
        </w:rPr>
        <w:t xml:space="preserve"> &lt; 0.001%.</w:t>
      </w:r>
    </w:p>
    <w:p w:rsidR="003B60B7" w:rsidRDefault="003B60B7" w:rsidP="003B60B7">
      <w:pPr>
        <w:pStyle w:val="Heading2"/>
        <w:rPr>
          <w:lang w:val="en-US"/>
        </w:rPr>
      </w:pPr>
      <w:r>
        <w:rPr>
          <w:lang w:val="en-US"/>
        </w:rPr>
        <w:t>6.5</w:t>
      </w:r>
      <w:r>
        <w:rPr>
          <w:lang w:val="en-US"/>
        </w:rPr>
        <w:tab/>
        <w:t>Calculation of system thermal noise</w:t>
      </w:r>
    </w:p>
    <w:p w:rsidR="003B60B7" w:rsidRDefault="003B60B7" w:rsidP="003B60B7">
      <w:pPr>
        <w:rPr>
          <w:lang w:val="en-US"/>
        </w:rPr>
      </w:pPr>
      <w:r>
        <w:rPr>
          <w:lang w:val="en-US"/>
        </w:rPr>
        <w:t xml:space="preserve">The system noise temperature is understood to be inclusive of both equipment and antenna noise contributions. </w:t>
      </w:r>
    </w:p>
    <w:p w:rsidR="003B60B7" w:rsidRDefault="003B60B7" w:rsidP="003B60B7">
      <w:pPr>
        <w:spacing w:line="280" w:lineRule="exact"/>
        <w:rPr>
          <w:lang w:val="en-US"/>
        </w:rPr>
      </w:pPr>
      <w:r>
        <w:rPr>
          <w:lang w:val="en-US"/>
        </w:rPr>
        <w:t xml:space="preserve">By definition, the radio receiver equipment noise temperature, </w:t>
      </w:r>
      <w:r>
        <w:rPr>
          <w:i/>
          <w:iCs/>
        </w:rPr>
        <w:t>T</w:t>
      </w:r>
      <w:r>
        <w:rPr>
          <w:i/>
          <w:iCs/>
          <w:position w:val="-4"/>
          <w:sz w:val="20"/>
        </w:rPr>
        <w:t>e</w:t>
      </w:r>
      <w:r>
        <w:rPr>
          <w:lang w:val="en-US"/>
        </w:rPr>
        <w:t>, is calculated from the system noise figure by the following equation:</w:t>
      </w:r>
    </w:p>
    <w:p w:rsidR="003B60B7" w:rsidRDefault="003B60B7" w:rsidP="003B60B7">
      <w:pPr>
        <w:pStyle w:val="Equation"/>
        <w:rPr>
          <w:lang w:val="es-ES_tradnl"/>
        </w:rPr>
      </w:pPr>
      <w:r>
        <w:rPr>
          <w:lang w:val="es-ES_tradnl"/>
        </w:rPr>
        <w:tab/>
      </w:r>
      <w:r>
        <w:rPr>
          <w:lang w:val="es-ES_tradnl"/>
        </w:rPr>
        <w:tab/>
      </w:r>
      <w:r w:rsidRPr="00C91B3E">
        <w:rPr>
          <w:position w:val="-12"/>
          <w:lang w:val="es-ES_tradnl"/>
        </w:rPr>
        <w:object w:dxaOrig="1939" w:dyaOrig="440">
          <v:shape id="_x0000_i1042" type="#_x0000_t75" style="width:96.6pt;height:21.6pt" o:ole="" fillcolor="window">
            <v:imagedata r:id="rId47" o:title=""/>
          </v:shape>
          <o:OLEObject Type="Embed" ProgID="Equation.3" ShapeID="_x0000_i1042" DrawAspect="Content" ObjectID="_1349506799" r:id="rId48"/>
        </w:object>
      </w:r>
      <w:r>
        <w:rPr>
          <w:lang w:val="es-ES_tradnl"/>
        </w:rPr>
        <w:tab/>
        <w:t>(15)</w:t>
      </w:r>
    </w:p>
    <w:p w:rsidR="003B60B7" w:rsidRDefault="003B60B7" w:rsidP="003B60B7">
      <w:pPr>
        <w:rPr>
          <w:lang w:val="en-US"/>
        </w:rPr>
      </w:pPr>
      <w:r>
        <w:rPr>
          <w:lang w:val="en-US"/>
        </w:rPr>
        <w:t>where:</w:t>
      </w:r>
    </w:p>
    <w:p w:rsidR="003B60B7" w:rsidRDefault="003B60B7" w:rsidP="003B60B7">
      <w:pPr>
        <w:pStyle w:val="Equationlegend"/>
        <w:rPr>
          <w:lang w:val="fr-FR"/>
        </w:rPr>
      </w:pPr>
      <w:r>
        <w:tab/>
      </w:r>
      <w:r>
        <w:rPr>
          <w:i/>
          <w:iCs/>
          <w:lang w:val="fr-FR"/>
        </w:rPr>
        <w:t>T</w:t>
      </w:r>
      <w:r>
        <w:rPr>
          <w:position w:val="-4"/>
          <w:sz w:val="20"/>
          <w:lang w:val="fr-FR"/>
        </w:rPr>
        <w:t>0</w:t>
      </w:r>
      <w:r>
        <w:rPr>
          <w:rFonts w:ascii="Tms Rmn" w:hAnsi="Tms Rmn"/>
          <w:sz w:val="12"/>
          <w:lang w:val="fr-FR"/>
        </w:rPr>
        <w:t> </w:t>
      </w:r>
      <w:r>
        <w:rPr>
          <w:rFonts w:ascii="Tms Rmn" w:hAnsi="Tms Rmn"/>
          <w:sz w:val="20"/>
          <w:lang w:val="fr-FR"/>
        </w:rPr>
        <w:t>:</w:t>
      </w:r>
      <w:r>
        <w:rPr>
          <w:lang w:val="fr-FR"/>
        </w:rPr>
        <w:tab/>
        <w:t>ambient temperature (K)</w:t>
      </w:r>
    </w:p>
    <w:p w:rsidR="003B60B7" w:rsidRDefault="003B60B7" w:rsidP="003B60B7">
      <w:pPr>
        <w:pStyle w:val="Equationlegend"/>
      </w:pPr>
      <w:r>
        <w:rPr>
          <w:lang w:val="fr-FR"/>
        </w:rPr>
        <w:tab/>
      </w:r>
      <w:r>
        <w:rPr>
          <w:i/>
          <w:iCs/>
        </w:rPr>
        <w:t>F</w:t>
      </w:r>
      <w:r>
        <w:rPr>
          <w:rFonts w:ascii="Tms Rmn" w:hAnsi="Tms Rmn"/>
          <w:sz w:val="12"/>
        </w:rPr>
        <w:t> </w:t>
      </w:r>
      <w:r>
        <w:rPr>
          <w:rFonts w:ascii="Tms Rmn" w:hAnsi="Tms Rmn"/>
          <w:sz w:val="20"/>
        </w:rPr>
        <w:t>:</w:t>
      </w:r>
      <w:r>
        <w:tab/>
        <w:t>system noise figure referred to the input of the receiver (dB)</w:t>
      </w:r>
    </w:p>
    <w:p w:rsidR="003B60B7" w:rsidRDefault="003B60B7" w:rsidP="003B60B7">
      <w:pPr>
        <w:rPr>
          <w:lang w:val="en-US"/>
        </w:rPr>
      </w:pPr>
      <w:r>
        <w:rPr>
          <w:lang w:val="en-US"/>
        </w:rPr>
        <w:t xml:space="preserve">and the general equation for system noise temperature, </w:t>
      </w:r>
      <w:r>
        <w:rPr>
          <w:i/>
          <w:iCs/>
          <w:lang w:val="en-US"/>
        </w:rPr>
        <w:t>T</w:t>
      </w:r>
      <w:r>
        <w:rPr>
          <w:i/>
          <w:iCs/>
          <w:position w:val="-4"/>
          <w:sz w:val="20"/>
          <w:lang w:val="en-US"/>
        </w:rPr>
        <w:t>Sys</w:t>
      </w:r>
      <w:r>
        <w:rPr>
          <w:lang w:val="en-US"/>
        </w:rPr>
        <w:t>, under clear-sky conditions is:</w:t>
      </w:r>
    </w:p>
    <w:p w:rsidR="003B60B7" w:rsidRDefault="003B60B7" w:rsidP="003B60B7">
      <w:pPr>
        <w:pStyle w:val="Equation"/>
        <w:rPr>
          <w:lang w:val="en-US"/>
        </w:rPr>
      </w:pPr>
      <w:r>
        <w:rPr>
          <w:lang w:val="es-ES_tradnl"/>
        </w:rPr>
        <w:tab/>
      </w:r>
      <w:r>
        <w:rPr>
          <w:lang w:val="es-ES_tradnl"/>
        </w:rPr>
        <w:tab/>
      </w:r>
      <w:r w:rsidRPr="00C91B3E">
        <w:rPr>
          <w:position w:val="-16"/>
          <w:lang w:val="es-ES_tradnl"/>
        </w:rPr>
        <w:object w:dxaOrig="5860" w:dyaOrig="480">
          <v:shape id="_x0000_i1043" type="#_x0000_t75" style="width:293.4pt;height:23.4pt" o:ole="" fillcolor="window">
            <v:imagedata r:id="rId49" o:title=""/>
          </v:shape>
          <o:OLEObject Type="Embed" ProgID="Equation.3" ShapeID="_x0000_i1043" DrawAspect="Content" ObjectID="_1349506800" r:id="rId50"/>
        </w:object>
      </w:r>
      <w:r>
        <w:rPr>
          <w:lang w:val="en-US"/>
        </w:rPr>
        <w:t xml:space="preserve"> </w:t>
      </w:r>
      <w:r>
        <w:rPr>
          <w:lang w:val="en-US"/>
        </w:rPr>
        <w:tab/>
        <w:t>(16)</w:t>
      </w:r>
    </w:p>
    <w:p w:rsidR="003B60B7" w:rsidRDefault="003B60B7" w:rsidP="003B60B7">
      <w:pPr>
        <w:spacing w:line="280" w:lineRule="exact"/>
        <w:rPr>
          <w:lang w:val="en-US"/>
        </w:rPr>
      </w:pPr>
      <w:r>
        <w:rPr>
          <w:lang w:val="en-US"/>
        </w:rPr>
        <w:t xml:space="preserve">where by definition, the receive feeder system loss, </w:t>
      </w:r>
      <w:r>
        <w:rPr>
          <w:i/>
          <w:lang w:val="en-US"/>
        </w:rPr>
        <w:t>L</w:t>
      </w:r>
      <w:r>
        <w:rPr>
          <w:i/>
          <w:iCs/>
          <w:position w:val="-4"/>
          <w:sz w:val="20"/>
          <w:lang w:val="en-US"/>
        </w:rPr>
        <w:t>F</w:t>
      </w:r>
      <w:r>
        <w:rPr>
          <w:lang w:val="en-US"/>
        </w:rPr>
        <w:t xml:space="preserve">, is set to 0 dB and the medium temperature, </w:t>
      </w:r>
      <w:r>
        <w:rPr>
          <w:i/>
          <w:lang w:val="en-US"/>
        </w:rPr>
        <w:t>T</w:t>
      </w:r>
      <w:r>
        <w:rPr>
          <w:i/>
          <w:iCs/>
          <w:position w:val="-4"/>
          <w:sz w:val="20"/>
          <w:lang w:val="en-US"/>
        </w:rPr>
        <w:t>m</w:t>
      </w:r>
      <w:r>
        <w:rPr>
          <w:lang w:val="en-US"/>
        </w:rPr>
        <w:t xml:space="preserve">, is set to </w:t>
      </w:r>
      <w:r>
        <w:rPr>
          <w:i/>
          <w:iCs/>
          <w:lang w:val="en-US"/>
        </w:rPr>
        <w:t>T</w:t>
      </w:r>
      <w:r>
        <w:rPr>
          <w:position w:val="-4"/>
          <w:sz w:val="20"/>
          <w:lang w:val="en-US"/>
        </w:rPr>
        <w:t>0</w:t>
      </w:r>
      <w:r>
        <w:rPr>
          <w:lang w:val="en-US"/>
        </w:rPr>
        <w:t xml:space="preserve"> (290 K) and </w:t>
      </w:r>
      <w:r>
        <w:rPr>
          <w:i/>
          <w:lang w:val="en-US"/>
        </w:rPr>
        <w:t>T</w:t>
      </w:r>
      <w:r>
        <w:rPr>
          <w:i/>
          <w:iCs/>
          <w:position w:val="-4"/>
          <w:sz w:val="20"/>
          <w:lang w:val="en-US"/>
        </w:rPr>
        <w:t>Ant</w:t>
      </w:r>
      <w:r>
        <w:rPr>
          <w:lang w:val="en-US"/>
        </w:rPr>
        <w:t xml:space="preserve"> is set to </w:t>
      </w:r>
      <w:r>
        <w:rPr>
          <w:i/>
          <w:lang w:val="en-US"/>
        </w:rPr>
        <w:t>T</w:t>
      </w:r>
      <w:r>
        <w:rPr>
          <w:position w:val="-4"/>
          <w:sz w:val="20"/>
          <w:lang w:val="en-US"/>
        </w:rPr>
        <w:t>0</w:t>
      </w:r>
      <w:r>
        <w:rPr>
          <w:i/>
          <w:lang w:val="en-US"/>
        </w:rPr>
        <w:t xml:space="preserve"> </w:t>
      </w:r>
      <w:r>
        <w:rPr>
          <w:lang w:val="en-US"/>
        </w:rPr>
        <w:t>(290 K).</w:t>
      </w:r>
    </w:p>
    <w:p w:rsidR="003B60B7" w:rsidRDefault="003B60B7" w:rsidP="003B60B7">
      <w:pPr>
        <w:spacing w:line="280" w:lineRule="exact"/>
        <w:rPr>
          <w:lang w:val="en-US"/>
        </w:rPr>
      </w:pPr>
      <w:r>
        <w:rPr>
          <w:lang w:val="en-US"/>
        </w:rPr>
        <w:t xml:space="preserve">Substituting in the values of </w:t>
      </w:r>
      <w:r>
        <w:rPr>
          <w:i/>
          <w:lang w:val="en-US"/>
        </w:rPr>
        <w:t>L</w:t>
      </w:r>
      <w:r>
        <w:rPr>
          <w:i/>
          <w:iCs/>
          <w:position w:val="-4"/>
          <w:sz w:val="20"/>
          <w:lang w:val="en-US"/>
        </w:rPr>
        <w:t>F</w:t>
      </w:r>
      <w:r>
        <w:rPr>
          <w:lang w:val="en-US"/>
        </w:rPr>
        <w:t xml:space="preserve">, </w:t>
      </w:r>
      <w:r>
        <w:rPr>
          <w:i/>
          <w:lang w:val="en-US"/>
        </w:rPr>
        <w:t>T</w:t>
      </w:r>
      <w:r>
        <w:rPr>
          <w:i/>
          <w:vertAlign w:val="subscript"/>
          <w:lang w:val="en-US"/>
        </w:rPr>
        <w:t>m</w:t>
      </w:r>
      <w:r>
        <w:rPr>
          <w:i/>
          <w:lang w:val="en-US"/>
        </w:rPr>
        <w:t xml:space="preserve"> </w:t>
      </w:r>
      <w:r>
        <w:rPr>
          <w:lang w:val="en-US"/>
        </w:rPr>
        <w:t xml:space="preserve">and </w:t>
      </w:r>
      <w:r>
        <w:rPr>
          <w:i/>
          <w:lang w:val="en-US"/>
        </w:rPr>
        <w:t>T</w:t>
      </w:r>
      <w:r>
        <w:rPr>
          <w:i/>
          <w:iCs/>
          <w:position w:val="-4"/>
          <w:sz w:val="20"/>
          <w:lang w:val="en-US"/>
        </w:rPr>
        <w:t>Ant</w:t>
      </w:r>
      <w:r>
        <w:rPr>
          <w:i/>
          <w:vertAlign w:val="subscript"/>
          <w:lang w:val="en-US"/>
        </w:rPr>
        <w:t xml:space="preserve"> </w:t>
      </w:r>
      <w:r>
        <w:rPr>
          <w:lang w:val="en-US"/>
        </w:rPr>
        <w:t xml:space="preserve">that apply under the definition of system noise figure, the expression for </w:t>
      </w:r>
      <w:r>
        <w:rPr>
          <w:i/>
          <w:lang w:val="en-US"/>
        </w:rPr>
        <w:t>T</w:t>
      </w:r>
      <w:r>
        <w:rPr>
          <w:i/>
          <w:iCs/>
          <w:position w:val="-4"/>
          <w:sz w:val="20"/>
          <w:lang w:val="en-US"/>
        </w:rPr>
        <w:t>Sys</w:t>
      </w:r>
      <w:r>
        <w:rPr>
          <w:lang w:val="en-US"/>
        </w:rPr>
        <w:t xml:space="preserve"> simplifies to:</w:t>
      </w:r>
    </w:p>
    <w:p w:rsidR="003B60B7" w:rsidRDefault="003B60B7" w:rsidP="003B60B7">
      <w:pPr>
        <w:pStyle w:val="Equation"/>
        <w:rPr>
          <w:lang w:val="en-US"/>
        </w:rPr>
      </w:pPr>
      <w:r>
        <w:rPr>
          <w:lang w:val="es-ES_tradnl"/>
        </w:rPr>
        <w:tab/>
      </w:r>
      <w:r>
        <w:rPr>
          <w:lang w:val="es-ES_tradnl"/>
        </w:rPr>
        <w:tab/>
      </w:r>
      <w:r w:rsidRPr="00C91B3E">
        <w:rPr>
          <w:position w:val="-16"/>
          <w:lang w:val="es-ES_tradnl"/>
        </w:rPr>
        <w:object w:dxaOrig="2659" w:dyaOrig="400">
          <v:shape id="_x0000_i1044" type="#_x0000_t75" style="width:132.6pt;height:19.8pt" o:ole="" fillcolor="window">
            <v:imagedata r:id="rId51" o:title=""/>
          </v:shape>
          <o:OLEObject Type="Embed" ProgID="Equation.3" ShapeID="_x0000_i1044" DrawAspect="Content" ObjectID="_1349506801" r:id="rId52"/>
        </w:object>
      </w:r>
      <w:r>
        <w:rPr>
          <w:lang w:val="en-US"/>
        </w:rPr>
        <w:tab/>
        <w:t>(17)</w:t>
      </w:r>
    </w:p>
    <w:p w:rsidR="003B60B7" w:rsidRDefault="003B60B7" w:rsidP="003B60B7">
      <w:pPr>
        <w:spacing w:line="280" w:lineRule="exact"/>
        <w:rPr>
          <w:lang w:val="en-US"/>
        </w:rPr>
      </w:pPr>
      <w:r>
        <w:rPr>
          <w:lang w:val="en-US"/>
        </w:rPr>
        <w:br w:type="page"/>
      </w:r>
      <w:r>
        <w:rPr>
          <w:lang w:val="en-US"/>
        </w:rPr>
        <w:lastRenderedPageBreak/>
        <w:t xml:space="preserve">The system thermal noise density </w:t>
      </w:r>
      <w:r>
        <w:rPr>
          <w:i/>
          <w:lang w:val="en-US"/>
        </w:rPr>
        <w:t>N</w:t>
      </w:r>
      <w:r>
        <w:rPr>
          <w:position w:val="-4"/>
          <w:sz w:val="20"/>
          <w:lang w:val="en-US"/>
        </w:rPr>
        <w:t>0</w:t>
      </w:r>
      <w:r>
        <w:rPr>
          <w:lang w:val="en-US"/>
        </w:rPr>
        <w:t xml:space="preserve"> is calculated using </w:t>
      </w:r>
      <w:r>
        <w:rPr>
          <w:i/>
          <w:lang w:val="en-US"/>
        </w:rPr>
        <w:t>T</w:t>
      </w:r>
      <w:r>
        <w:rPr>
          <w:i/>
          <w:iCs/>
          <w:position w:val="-4"/>
          <w:sz w:val="20"/>
          <w:lang w:val="en-US"/>
        </w:rPr>
        <w:t>Sys</w:t>
      </w:r>
      <w:r>
        <w:rPr>
          <w:vertAlign w:val="subscript"/>
          <w:lang w:val="en-US"/>
        </w:rPr>
        <w:t xml:space="preserve"> </w:t>
      </w:r>
      <w:r>
        <w:rPr>
          <w:lang w:val="en-US"/>
        </w:rPr>
        <w:t>from equation (16) above by the following equation:</w:t>
      </w:r>
    </w:p>
    <w:p w:rsidR="003B60B7" w:rsidRDefault="003B60B7" w:rsidP="003B60B7">
      <w:pPr>
        <w:pStyle w:val="Equation"/>
        <w:rPr>
          <w:lang w:val="en-US"/>
        </w:rPr>
      </w:pPr>
      <w:r>
        <w:rPr>
          <w:lang w:val="en-US"/>
        </w:rPr>
        <w:tab/>
      </w:r>
      <w:r>
        <w:rPr>
          <w:lang w:val="en-US"/>
        </w:rPr>
        <w:tab/>
      </w:r>
      <w:r w:rsidRPr="00C91B3E">
        <w:rPr>
          <w:position w:val="-16"/>
          <w:lang w:val="es-ES_tradnl"/>
        </w:rPr>
        <w:object w:dxaOrig="1880" w:dyaOrig="400">
          <v:shape id="_x0000_i1045" type="#_x0000_t75" style="width:93.6pt;height:19.8pt" o:ole="" fillcolor="window">
            <v:imagedata r:id="rId53" o:title=""/>
          </v:shape>
          <o:OLEObject Type="Embed" ProgID="Equation.3" ShapeID="_x0000_i1045" DrawAspect="Content" ObjectID="_1349506802" r:id="rId54"/>
        </w:object>
      </w:r>
      <w:r>
        <w:rPr>
          <w:lang w:val="en-US"/>
        </w:rPr>
        <w:tab/>
        <w:t>(18)</w:t>
      </w:r>
    </w:p>
    <w:p w:rsidR="003B60B7" w:rsidRDefault="003B60B7" w:rsidP="003B60B7">
      <w:pPr>
        <w:pStyle w:val="Equationlegend"/>
      </w:pPr>
      <w:r>
        <w:t>where:</w:t>
      </w:r>
    </w:p>
    <w:p w:rsidR="003B60B7" w:rsidRDefault="003B60B7" w:rsidP="003B60B7">
      <w:pPr>
        <w:pStyle w:val="Equationlegend"/>
        <w:rPr>
          <w:lang w:val="fr-FR"/>
        </w:rPr>
      </w:pPr>
      <w:r>
        <w:tab/>
      </w:r>
      <w:r>
        <w:rPr>
          <w:i/>
          <w:iCs/>
          <w:lang w:val="fr-FR"/>
        </w:rPr>
        <w:t>k</w:t>
      </w:r>
      <w:r>
        <w:rPr>
          <w:rFonts w:ascii="Tms Rmn" w:hAnsi="Tms Rmn"/>
          <w:sz w:val="12"/>
          <w:lang w:val="fr-FR"/>
        </w:rPr>
        <w:t> </w:t>
      </w:r>
      <w:r>
        <w:rPr>
          <w:lang w:val="fr-FR"/>
        </w:rPr>
        <w:t>:</w:t>
      </w:r>
      <w:r>
        <w:rPr>
          <w:lang w:val="fr-FR"/>
        </w:rPr>
        <w:tab/>
        <w:t xml:space="preserve">Boltzman’s constant = 1.3806 </w:t>
      </w:r>
      <w:r>
        <w:sym w:font="Symbol" w:char="F0B4"/>
      </w:r>
      <w:r>
        <w:rPr>
          <w:lang w:val="fr-FR"/>
        </w:rPr>
        <w:t xml:space="preserve"> 10</w:t>
      </w:r>
      <w:r>
        <w:rPr>
          <w:position w:val="6"/>
          <w:sz w:val="20"/>
          <w:lang w:val="fr-FR"/>
        </w:rPr>
        <w:t>–23</w:t>
      </w:r>
      <w:r>
        <w:rPr>
          <w:lang w:val="fr-FR"/>
        </w:rPr>
        <w:t xml:space="preserve"> J/K</w:t>
      </w:r>
    </w:p>
    <w:p w:rsidR="003B60B7" w:rsidRDefault="003B60B7" w:rsidP="003B60B7">
      <w:pPr>
        <w:pStyle w:val="Heading2"/>
        <w:rPr>
          <w:lang w:val="en-US"/>
        </w:rPr>
      </w:pPr>
      <w:r>
        <w:rPr>
          <w:lang w:val="en-US"/>
        </w:rPr>
        <w:t>6.6</w:t>
      </w:r>
      <w:r>
        <w:rPr>
          <w:lang w:val="en-US"/>
        </w:rPr>
        <w:tab/>
        <w:t>Calculation of interference from GSO FSS downlinks into receivers of P</w:t>
      </w:r>
      <w:r>
        <w:rPr>
          <w:lang w:val="en-US"/>
        </w:rPr>
        <w:noBreakHyphen/>
        <w:t>MP and P</w:t>
      </w:r>
      <w:r>
        <w:rPr>
          <w:lang w:val="en-US"/>
        </w:rPr>
        <w:noBreakHyphen/>
        <w:t>P FS systems</w:t>
      </w:r>
    </w:p>
    <w:p w:rsidR="003B60B7" w:rsidRDefault="003B60B7" w:rsidP="003B60B7">
      <w:pPr>
        <w:spacing w:line="280" w:lineRule="exact"/>
        <w:rPr>
          <w:lang w:val="en-US"/>
        </w:rPr>
      </w:pPr>
      <w:r>
        <w:rPr>
          <w:lang w:val="en-US"/>
        </w:rPr>
        <w:t>The interference level into each FS receiver is calculated for each visible satellite assuming it is transmitting at a user defined level up to the pfd mask appropriate for the band under consideration. The methodology is completely flexible and can be used with any pfd mask allowing a sensitivity analysis to be performed against pfd levels. The maximum single entry interference level, I</w:t>
      </w:r>
      <w:r>
        <w:rPr>
          <w:i/>
          <w:iCs/>
          <w:position w:val="-4"/>
          <w:sz w:val="20"/>
          <w:lang w:val="en-US"/>
        </w:rPr>
        <w:t>GSO j</w:t>
      </w:r>
      <w:r>
        <w:rPr>
          <w:lang w:val="en-US"/>
        </w:rPr>
        <w:t xml:space="preserve">, exceeded for </w:t>
      </w:r>
      <w:r>
        <w:rPr>
          <w:i/>
          <w:lang w:val="en-US"/>
        </w:rPr>
        <w:t>p</w:t>
      </w:r>
      <w:r>
        <w:rPr>
          <w:lang w:val="en-US"/>
        </w:rPr>
        <w:t>(%) of the time into a given FS receiver would be:</w:t>
      </w:r>
    </w:p>
    <w:p w:rsidR="003B60B7" w:rsidRDefault="003B60B7" w:rsidP="003B60B7">
      <w:pPr>
        <w:spacing w:line="280" w:lineRule="exact"/>
        <w:rPr>
          <w:lang w:val="en-US"/>
        </w:rPr>
      </w:pPr>
    </w:p>
    <w:p w:rsidR="003B60B7" w:rsidRDefault="003B60B7" w:rsidP="003B60B7">
      <w:pPr>
        <w:pStyle w:val="Equation"/>
        <w:jc w:val="center"/>
        <w:rPr>
          <w:lang w:val="en-US"/>
        </w:rPr>
      </w:pPr>
      <w:r w:rsidRPr="00C91B3E">
        <w:rPr>
          <w:position w:val="-68"/>
          <w:lang w:val="es-ES_tradnl"/>
        </w:rPr>
        <w:object w:dxaOrig="9180" w:dyaOrig="1480">
          <v:shape id="_x0000_i1046" type="#_x0000_t75" style="width:458.4pt;height:73.8pt" o:ole="">
            <v:imagedata r:id="rId55" o:title=""/>
          </v:shape>
          <o:OLEObject Type="Embed" ProgID="Equation.3" ShapeID="_x0000_i1046" DrawAspect="Content" ObjectID="_1349506803" r:id="rId56"/>
        </w:object>
      </w:r>
      <w:r>
        <w:rPr>
          <w:lang w:val="en-US"/>
        </w:rPr>
        <w:t>(19)</w:t>
      </w:r>
    </w:p>
    <w:p w:rsidR="003B60B7" w:rsidRDefault="003B60B7" w:rsidP="003B60B7">
      <w:pPr>
        <w:rPr>
          <w:lang w:val="en-US"/>
        </w:rPr>
      </w:pPr>
      <w:r>
        <w:rPr>
          <w:lang w:val="en-US"/>
        </w:rPr>
        <w:t>where:</w:t>
      </w:r>
    </w:p>
    <w:p w:rsidR="003B60B7" w:rsidRDefault="003B60B7" w:rsidP="003B60B7">
      <w:pPr>
        <w:pStyle w:val="Equationlegend"/>
        <w:spacing w:before="0"/>
      </w:pPr>
      <w:r>
        <w:rPr>
          <w:bCs/>
          <w:i/>
        </w:rPr>
        <w:tab/>
      </w:r>
      <w:r>
        <w:rPr>
          <w:i/>
          <w:iCs/>
        </w:rPr>
        <w:t>j</w:t>
      </w:r>
      <w:r>
        <w:rPr>
          <w:rFonts w:ascii="Tms Rmn" w:hAnsi="Tms Rmn"/>
          <w:sz w:val="12"/>
        </w:rPr>
        <w:t> </w:t>
      </w:r>
      <w:r>
        <w:t>:</w:t>
      </w:r>
      <w:r>
        <w:rPr>
          <w:bCs/>
        </w:rPr>
        <w:tab/>
      </w:r>
      <w:r>
        <w:rPr>
          <w:bCs/>
          <w:i/>
        </w:rPr>
        <w:t>j-</w:t>
      </w:r>
      <w:r>
        <w:rPr>
          <w:bCs/>
          <w:iCs/>
        </w:rPr>
        <w:t>th</w:t>
      </w:r>
      <w:r>
        <w:rPr>
          <w:bCs/>
        </w:rPr>
        <w:t xml:space="preserve"> interfering satellite, </w:t>
      </w:r>
      <w:r>
        <w:rPr>
          <w:bCs/>
          <w:i/>
        </w:rPr>
        <w:t xml:space="preserve">j = </w:t>
      </w:r>
      <w:r>
        <w:rPr>
          <w:bCs/>
          <w:iCs/>
        </w:rPr>
        <w:t>1</w:t>
      </w:r>
      <w:r>
        <w:rPr>
          <w:bCs/>
          <w:i/>
        </w:rPr>
        <w:t xml:space="preserve">, </w:t>
      </w:r>
      <w:r>
        <w:rPr>
          <w:bCs/>
          <w:iCs/>
        </w:rPr>
        <w:t>2</w:t>
      </w:r>
      <w:r>
        <w:rPr>
          <w:bCs/>
          <w:i/>
        </w:rPr>
        <w:t>, …</w:t>
      </w:r>
      <w:r>
        <w:t>,</w:t>
      </w:r>
      <w:r>
        <w:rPr>
          <w:bCs/>
          <w:i/>
        </w:rPr>
        <w:t xml:space="preserve"> n</w:t>
      </w:r>
    </w:p>
    <w:p w:rsidR="003B60B7" w:rsidRDefault="003B60B7" w:rsidP="003B60B7">
      <w:pPr>
        <w:pStyle w:val="Equationlegend"/>
        <w:spacing w:before="0"/>
      </w:pPr>
      <w:r>
        <w:rPr>
          <w:bCs/>
        </w:rPr>
        <w:tab/>
      </w:r>
      <w:r>
        <w:rPr>
          <w:i/>
          <w:iCs/>
        </w:rPr>
        <w:t>n</w:t>
      </w:r>
      <w:r>
        <w:rPr>
          <w:i/>
          <w:iCs/>
          <w:position w:val="-4"/>
          <w:sz w:val="20"/>
        </w:rPr>
        <w:t>GSO</w:t>
      </w:r>
      <w:r>
        <w:rPr>
          <w:rFonts w:ascii="Tms Rmn" w:hAnsi="Tms Rmn"/>
          <w:sz w:val="12"/>
        </w:rPr>
        <w:t> </w:t>
      </w:r>
      <w:r>
        <w:t>:</w:t>
      </w:r>
      <w:r>
        <w:rPr>
          <w:bCs/>
        </w:rPr>
        <w:tab/>
        <w:t xml:space="preserve">total possible number of visible satellites above the horizon </w:t>
      </w:r>
    </w:p>
    <w:p w:rsidR="003B60B7" w:rsidRDefault="003B60B7" w:rsidP="003B60B7">
      <w:pPr>
        <w:pStyle w:val="Equationlegend"/>
        <w:spacing w:before="0" w:line="280" w:lineRule="exact"/>
      </w:pPr>
      <w:r>
        <w:rPr>
          <w:bCs/>
          <w:i/>
        </w:rPr>
        <w:tab/>
      </w:r>
      <w:r>
        <w:rPr>
          <w:i/>
          <w:iCs/>
        </w:rPr>
        <w:t>pfd</w:t>
      </w:r>
      <w:r>
        <w:rPr>
          <w:i/>
          <w:iCs/>
          <w:position w:val="-4"/>
          <w:sz w:val="20"/>
        </w:rPr>
        <w:t>j</w:t>
      </w:r>
      <w:r>
        <w:rPr>
          <w:rFonts w:ascii="Tms Rmn" w:hAnsi="Tms Rmn"/>
          <w:sz w:val="12"/>
        </w:rPr>
        <w:t> </w:t>
      </w:r>
      <w:r>
        <w:t>:</w:t>
      </w:r>
      <w:r>
        <w:rPr>
          <w:bCs/>
        </w:rPr>
        <w:tab/>
        <w:t xml:space="preserve">power flux-density level applied to the </w:t>
      </w:r>
      <w:r>
        <w:rPr>
          <w:bCs/>
          <w:i/>
          <w:iCs/>
        </w:rPr>
        <w:t>j-</w:t>
      </w:r>
      <w:r>
        <w:rPr>
          <w:bCs/>
        </w:rPr>
        <w:t>th</w:t>
      </w:r>
      <w:r>
        <w:rPr>
          <w:bCs/>
          <w:sz w:val="20"/>
        </w:rPr>
        <w:t xml:space="preserve"> </w:t>
      </w:r>
      <w:r>
        <w:rPr>
          <w:bCs/>
        </w:rPr>
        <w:t>GSO satellite downlink, taking into account the elevation angle as seen at the victim FS receiver (dB(W/m</w:t>
      </w:r>
      <w:r>
        <w:rPr>
          <w:position w:val="6"/>
          <w:sz w:val="20"/>
        </w:rPr>
        <w:t>2 </w:t>
      </w:r>
      <w:r>
        <w:rPr>
          <w:bCs/>
        </w:rPr>
        <w:t>· MHz))</w:t>
      </w:r>
    </w:p>
    <w:p w:rsidR="003B60B7" w:rsidRDefault="003B60B7" w:rsidP="003B60B7">
      <w:pPr>
        <w:pStyle w:val="Equationlegend"/>
        <w:spacing w:before="0" w:line="280" w:lineRule="exact"/>
      </w:pPr>
      <w:r>
        <w:rPr>
          <w:bCs/>
          <w:i/>
        </w:rPr>
        <w:tab/>
      </w:r>
      <w:r>
        <w:rPr>
          <w:i/>
          <w:iCs/>
        </w:rPr>
        <w:t>G</w:t>
      </w:r>
      <w:r>
        <w:rPr>
          <w:i/>
          <w:iCs/>
          <w:position w:val="-4"/>
          <w:sz w:val="20"/>
        </w:rPr>
        <w:t>Rx</w:t>
      </w:r>
      <w:r>
        <w:t xml:space="preserve"> (</w:t>
      </w:r>
      <w:r>
        <w:rPr>
          <w:rFonts w:ascii="Symbol" w:hAnsi="Symbol"/>
          <w:lang w:val="es-ES_tradnl"/>
        </w:rPr>
        <w:sym w:font="Symbol" w:char="F06A"/>
      </w:r>
      <w:r>
        <w:rPr>
          <w:i/>
          <w:iCs/>
          <w:position w:val="-4"/>
          <w:sz w:val="20"/>
        </w:rPr>
        <w:t>Sj</w:t>
      </w:r>
      <w:r>
        <w:t>)</w:t>
      </w:r>
      <w:r>
        <w:rPr>
          <w:rFonts w:ascii="Tms Rmn" w:hAnsi="Tms Rmn"/>
          <w:sz w:val="12"/>
        </w:rPr>
        <w:t> </w:t>
      </w:r>
      <w:r>
        <w:t>:</w:t>
      </w:r>
      <w:r>
        <w:rPr>
          <w:bCs/>
        </w:rPr>
        <w:tab/>
        <w:t>receive gain in the direction of the interference source (dBi) computed according to § 2.2 of Recommendation ITU-R F.1245 which is appropriate to represent the average side lobes of a directive antenna when interference is coming from multiple sources</w:t>
      </w:r>
    </w:p>
    <w:p w:rsidR="003B60B7" w:rsidRDefault="003B60B7" w:rsidP="003B60B7">
      <w:pPr>
        <w:pStyle w:val="Equationlegend"/>
        <w:spacing w:before="0" w:line="280" w:lineRule="exact"/>
      </w:pPr>
      <w:r>
        <w:rPr>
          <w:bCs/>
          <w:i/>
        </w:rPr>
        <w:tab/>
      </w:r>
      <w:r>
        <w:rPr>
          <w:rFonts w:ascii="Symbol" w:hAnsi="Symbol"/>
          <w:lang w:val="es-ES_tradnl"/>
        </w:rPr>
        <w:sym w:font="Symbol" w:char="F06A"/>
      </w:r>
      <w:r>
        <w:rPr>
          <w:i/>
          <w:iCs/>
          <w:position w:val="-4"/>
          <w:sz w:val="20"/>
        </w:rPr>
        <w:t>Sj</w:t>
      </w:r>
      <w:r>
        <w:rPr>
          <w:rFonts w:ascii="Tms Rmn" w:hAnsi="Tms Rmn"/>
          <w:sz w:val="12"/>
        </w:rPr>
        <w:t> </w:t>
      </w:r>
      <w:r>
        <w:t>:</w:t>
      </w:r>
      <w:r>
        <w:rPr>
          <w:bCs/>
        </w:rPr>
        <w:tab/>
        <w:t>angle between direction of wanted FS signal and the interfering FSS signal (degrees)</w:t>
      </w:r>
    </w:p>
    <w:p w:rsidR="003B60B7" w:rsidRDefault="003B60B7" w:rsidP="003B60B7">
      <w:pPr>
        <w:pStyle w:val="Equationlegend"/>
        <w:spacing w:before="0"/>
        <w:rPr>
          <w:bCs/>
        </w:rPr>
      </w:pPr>
      <w:r>
        <w:rPr>
          <w:bCs/>
          <w:i/>
        </w:rPr>
        <w:tab/>
      </w:r>
      <w:r>
        <w:rPr>
          <w:i/>
          <w:iCs/>
        </w:rPr>
        <w:t>G</w:t>
      </w:r>
      <w:r>
        <w:rPr>
          <w:position w:val="-4"/>
          <w:sz w:val="20"/>
        </w:rPr>
        <w:t>1</w:t>
      </w:r>
      <w:r>
        <w:rPr>
          <w:i/>
          <w:iCs/>
          <w:position w:val="-4"/>
          <w:sz w:val="20"/>
        </w:rPr>
        <w:t>m</w:t>
      </w:r>
      <w:r>
        <w:rPr>
          <w:position w:val="4"/>
          <w:sz w:val="16"/>
        </w:rPr>
        <w:t>2</w:t>
      </w:r>
      <w:r>
        <w:rPr>
          <w:rFonts w:ascii="Tms Rmn" w:hAnsi="Tms Rmn"/>
          <w:sz w:val="12"/>
        </w:rPr>
        <w:t> </w:t>
      </w:r>
      <w:r>
        <w:t>:</w:t>
      </w:r>
      <w:r>
        <w:rPr>
          <w:bCs/>
        </w:rPr>
        <w:tab/>
        <w:t>gain of a perfect 1 m</w:t>
      </w:r>
      <w:r>
        <w:rPr>
          <w:position w:val="6"/>
          <w:sz w:val="20"/>
        </w:rPr>
        <w:t>2</w:t>
      </w:r>
      <w:r>
        <w:rPr>
          <w:bCs/>
        </w:rPr>
        <w:t xml:space="preserve"> antenna at the frequency of interference (4</w:t>
      </w:r>
      <w:r>
        <w:rPr>
          <w:bCs/>
        </w:rPr>
        <w:sym w:font="Symbol" w:char="F070"/>
      </w:r>
      <w:r>
        <w:rPr>
          <w:bCs/>
        </w:rPr>
        <w:t>/</w:t>
      </w:r>
      <w:r>
        <w:rPr>
          <w:bCs/>
        </w:rPr>
        <w:sym w:font="Symbol" w:char="F06C"/>
      </w:r>
      <w:r>
        <w:rPr>
          <w:position w:val="6"/>
          <w:sz w:val="20"/>
        </w:rPr>
        <w:t>2</w:t>
      </w:r>
      <w:r>
        <w:rPr>
          <w:bCs/>
        </w:rPr>
        <w:t>) (dBi)</w:t>
      </w:r>
    </w:p>
    <w:p w:rsidR="003B60B7" w:rsidRDefault="003B60B7" w:rsidP="003B60B7">
      <w:pPr>
        <w:pStyle w:val="Equationlegend"/>
        <w:spacing w:before="0"/>
        <w:rPr>
          <w:bCs/>
        </w:rPr>
      </w:pPr>
      <w:r>
        <w:rPr>
          <w:bCs/>
          <w:i/>
        </w:rPr>
        <w:tab/>
      </w:r>
      <w:r>
        <w:rPr>
          <w:i/>
          <w:iCs/>
        </w:rPr>
        <w:t>A</w:t>
      </w:r>
      <w:r>
        <w:t>(</w:t>
      </w:r>
      <w:r>
        <w:rPr>
          <w:rFonts w:ascii="Tms Rmn" w:hAnsi="Tms Rmn"/>
          <w:sz w:val="20"/>
        </w:rPr>
        <w:t> </w:t>
      </w:r>
      <w:r>
        <w:rPr>
          <w:i/>
          <w:iCs/>
        </w:rPr>
        <w:t>p</w:t>
      </w:r>
      <w:r>
        <w:t>)</w:t>
      </w:r>
      <w:r>
        <w:rPr>
          <w:rFonts w:ascii="Tms Rmn" w:hAnsi="Tms Rmn"/>
          <w:sz w:val="12"/>
        </w:rPr>
        <w:t> </w:t>
      </w:r>
      <w:r>
        <w:t>:</w:t>
      </w:r>
      <w:r>
        <w:rPr>
          <w:bCs/>
        </w:rPr>
        <w:tab/>
        <w:t xml:space="preserve">loss due to rain attenuation exceeded for </w:t>
      </w:r>
      <w:r>
        <w:rPr>
          <w:bCs/>
          <w:i/>
        </w:rPr>
        <w:t>p</w:t>
      </w:r>
      <w:r>
        <w:rPr>
          <w:bCs/>
        </w:rPr>
        <w:t>(%) of the time on the slant path in the direction of a GSO satellite</w:t>
      </w:r>
      <w:r>
        <w:rPr>
          <w:rStyle w:val="FootnoteReference"/>
          <w:bCs/>
        </w:rPr>
        <w:footnoteReference w:customMarkFollows="1" w:id="4"/>
        <w:t>2</w:t>
      </w:r>
      <w:r>
        <w:rPr>
          <w:bCs/>
        </w:rPr>
        <w:t>, given as:</w:t>
      </w:r>
    </w:p>
    <w:p w:rsidR="003B60B7" w:rsidRDefault="003B60B7" w:rsidP="003B60B7">
      <w:pPr>
        <w:pStyle w:val="Equationlegend"/>
        <w:rPr>
          <w:i/>
          <w:iCs/>
          <w:position w:val="-4"/>
          <w:sz w:val="20"/>
        </w:rPr>
      </w:pPr>
      <w:r>
        <w:rPr>
          <w:bCs/>
        </w:rPr>
        <w:tab/>
      </w:r>
      <w:r>
        <w:rPr>
          <w:bCs/>
        </w:rPr>
        <w:tab/>
      </w:r>
      <w:r>
        <w:t xml:space="preserve">0, for </w:t>
      </w:r>
      <w:r>
        <w:rPr>
          <w:rFonts w:ascii="Symbol" w:hAnsi="Symbol"/>
          <w:lang w:val="es-ES_tradnl"/>
        </w:rPr>
        <w:sym w:font="Symbol" w:char="F06A"/>
      </w:r>
      <w:r>
        <w:rPr>
          <w:i/>
          <w:iCs/>
          <w:position w:val="-4"/>
          <w:sz w:val="20"/>
        </w:rPr>
        <w:t>Sj</w:t>
      </w:r>
      <w:r>
        <w:t> </w:t>
      </w:r>
      <w:r>
        <w:rPr>
          <w:rFonts w:ascii="Symbol" w:hAnsi="Symbol"/>
          <w:lang w:val="es-ES_tradnl"/>
        </w:rPr>
        <w:t></w:t>
      </w:r>
      <w:r>
        <w:t> </w:t>
      </w:r>
      <w:r>
        <w:rPr>
          <w:rFonts w:ascii="Symbol" w:hAnsi="Symbol"/>
          <w:lang w:val="es-ES_tradnl"/>
        </w:rPr>
        <w:sym w:font="Symbol" w:char="F06A"/>
      </w:r>
      <w:r>
        <w:rPr>
          <w:i/>
          <w:iCs/>
          <w:position w:val="-4"/>
          <w:sz w:val="20"/>
        </w:rPr>
        <w:t>m</w:t>
      </w:r>
    </w:p>
    <w:p w:rsidR="003B60B7" w:rsidRDefault="003B60B7" w:rsidP="003B60B7"/>
    <w:p w:rsidR="003B60B7" w:rsidRDefault="003B60B7" w:rsidP="003B60B7">
      <w:pPr>
        <w:pStyle w:val="Equationlegend"/>
        <w:tabs>
          <w:tab w:val="left" w:pos="2552"/>
        </w:tabs>
        <w:rPr>
          <w:i/>
          <w:iCs/>
          <w:position w:val="-4"/>
          <w:sz w:val="20"/>
        </w:rPr>
      </w:pPr>
      <w:r>
        <w:rPr>
          <w:bCs/>
          <w:i/>
        </w:rPr>
        <w:br w:type="page"/>
      </w:r>
      <w:r>
        <w:rPr>
          <w:bCs/>
          <w:i/>
        </w:rPr>
        <w:lastRenderedPageBreak/>
        <w:tab/>
      </w:r>
      <w:r>
        <w:rPr>
          <w:i/>
          <w:iCs/>
        </w:rPr>
        <w:t>A</w:t>
      </w:r>
      <w:r>
        <w:rPr>
          <w:i/>
          <w:iCs/>
          <w:position w:val="-4"/>
          <w:sz w:val="20"/>
        </w:rPr>
        <w:t>p</w:t>
      </w:r>
      <w:r>
        <w:rPr>
          <w:rFonts w:ascii="Tms Rmn" w:hAnsi="Tms Rmn"/>
          <w:sz w:val="12"/>
        </w:rPr>
        <w:t> </w:t>
      </w:r>
      <w:r>
        <w:rPr>
          <w:rStyle w:val="FootnoteReference"/>
        </w:rPr>
        <w:footnoteReference w:customMarkFollows="1" w:id="5"/>
        <w:t>3</w:t>
      </w:r>
      <w:r>
        <w:rPr>
          <w:rFonts w:ascii="Tms Rmn" w:hAnsi="Tms Rmn"/>
          <w:sz w:val="12"/>
        </w:rPr>
        <w:t> </w:t>
      </w:r>
      <w:r>
        <w:t>:</w:t>
      </w:r>
      <w:r>
        <w:rPr>
          <w:bCs/>
        </w:rPr>
        <w:tab/>
        <w:t xml:space="preserve">(calculated according to Recommendation ITU-R P.618), for </w:t>
      </w:r>
      <w:r>
        <w:rPr>
          <w:bCs/>
          <w:iCs/>
        </w:rPr>
        <w:sym w:font="Symbol" w:char="F06A"/>
      </w:r>
      <w:r>
        <w:rPr>
          <w:i/>
          <w:iCs/>
          <w:position w:val="-4"/>
          <w:sz w:val="20"/>
        </w:rPr>
        <w:t>Sj</w:t>
      </w:r>
      <w:r>
        <w:rPr>
          <w:bCs/>
        </w:rPr>
        <w:t> </w:t>
      </w:r>
      <w:r>
        <w:rPr>
          <w:bCs/>
        </w:rPr>
        <w:sym w:font="Symbol" w:char="F0A3"/>
      </w:r>
      <w:r>
        <w:rPr>
          <w:bCs/>
        </w:rPr>
        <w:t> </w:t>
      </w:r>
      <w:r>
        <w:rPr>
          <w:bCs/>
          <w:i/>
        </w:rPr>
        <w:t>u</w:t>
      </w:r>
      <w:r>
        <w:rPr>
          <w:bCs/>
          <w:iCs/>
        </w:rPr>
        <w:sym w:font="Symbol" w:char="F06A"/>
      </w:r>
      <w:r>
        <w:rPr>
          <w:i/>
          <w:iCs/>
          <w:position w:val="-4"/>
          <w:sz w:val="20"/>
        </w:rPr>
        <w:t>m</w:t>
      </w:r>
    </w:p>
    <w:p w:rsidR="003B60B7" w:rsidRDefault="003B60B7" w:rsidP="003B60B7">
      <w:pPr>
        <w:pStyle w:val="Equationlegend"/>
        <w:rPr>
          <w:bCs/>
        </w:rPr>
      </w:pPr>
      <w:r>
        <w:rPr>
          <w:bCs/>
          <w:i/>
        </w:rPr>
        <w:tab/>
      </w:r>
      <w:r>
        <w:rPr>
          <w:i/>
          <w:iCs/>
        </w:rPr>
        <w:t>L</w:t>
      </w:r>
      <w:r>
        <w:rPr>
          <w:i/>
          <w:iCs/>
          <w:position w:val="-4"/>
          <w:sz w:val="20"/>
        </w:rPr>
        <w:t>F</w:t>
      </w:r>
      <w:r>
        <w:rPr>
          <w:rFonts w:ascii="Tms Rmn" w:hAnsi="Tms Rmn"/>
          <w:sz w:val="12"/>
        </w:rPr>
        <w:t> </w:t>
      </w:r>
      <w:r>
        <w:t>:</w:t>
      </w:r>
      <w:r>
        <w:rPr>
          <w:bCs/>
        </w:rPr>
        <w:tab/>
        <w:t>fixed service receive feeder system loss (dB)</w:t>
      </w:r>
    </w:p>
    <w:p w:rsidR="003B60B7" w:rsidRDefault="003B60B7" w:rsidP="003B60B7">
      <w:pPr>
        <w:pStyle w:val="Equationlegend"/>
        <w:rPr>
          <w:bCs/>
        </w:rPr>
      </w:pPr>
      <w:r>
        <w:rPr>
          <w:bCs/>
          <w:i/>
        </w:rPr>
        <w:tab/>
      </w:r>
      <w:r>
        <w:rPr>
          <w:i/>
          <w:iCs/>
        </w:rPr>
        <w:t>L</w:t>
      </w:r>
      <w:r>
        <w:rPr>
          <w:i/>
          <w:iCs/>
          <w:position w:val="-4"/>
          <w:sz w:val="20"/>
        </w:rPr>
        <w:t>Atm_Sj</w:t>
      </w:r>
      <w:r>
        <w:rPr>
          <w:rFonts w:ascii="Tms Rmn" w:hAnsi="Tms Rmn"/>
          <w:sz w:val="12"/>
        </w:rPr>
        <w:t> </w:t>
      </w:r>
      <w:r>
        <w:t>:</w:t>
      </w:r>
      <w:r>
        <w:rPr>
          <w:rFonts w:ascii="Tms Rmn" w:hAnsi="Tms Rmn"/>
          <w:sz w:val="20"/>
        </w:rPr>
        <w:tab/>
      </w:r>
      <w:r>
        <w:rPr>
          <w:bCs/>
        </w:rPr>
        <w:t>attenuation due to atmospheric gases on the slant path (dB)</w:t>
      </w:r>
    </w:p>
    <w:p w:rsidR="003B60B7" w:rsidRDefault="003B60B7" w:rsidP="003B60B7">
      <w:pPr>
        <w:pStyle w:val="Equationlegend"/>
        <w:rPr>
          <w:bCs/>
        </w:rPr>
      </w:pPr>
      <w:r>
        <w:rPr>
          <w:bCs/>
          <w:i/>
        </w:rPr>
        <w:tab/>
      </w:r>
      <w:r>
        <w:rPr>
          <w:i/>
          <w:iCs/>
        </w:rPr>
        <w:t>L</w:t>
      </w:r>
      <w:r>
        <w:rPr>
          <w:i/>
          <w:iCs/>
          <w:position w:val="-4"/>
          <w:sz w:val="20"/>
        </w:rPr>
        <w:t>bsj</w:t>
      </w:r>
      <w:r>
        <w:rPr>
          <w:rFonts w:ascii="Tms Rmn" w:hAnsi="Tms Rmn"/>
          <w:sz w:val="12"/>
        </w:rPr>
        <w:t> </w:t>
      </w:r>
      <w:r>
        <w:t>:</w:t>
      </w:r>
      <w:r>
        <w:rPr>
          <w:bCs/>
        </w:rPr>
        <w:tab/>
        <w:t>attenuation due to beam spreading on the space-to-Earth path (dB).</w:t>
      </w:r>
    </w:p>
    <w:p w:rsidR="003B60B7" w:rsidRDefault="003B60B7" w:rsidP="003B60B7">
      <w:pPr>
        <w:spacing w:line="280" w:lineRule="exact"/>
        <w:rPr>
          <w:bCs/>
          <w:lang w:val="en-US"/>
        </w:rPr>
      </w:pPr>
      <w:r>
        <w:rPr>
          <w:bCs/>
          <w:lang w:val="en-US"/>
        </w:rPr>
        <w:t xml:space="preserve">Note 7 of </w:t>
      </w:r>
      <w:r>
        <w:rPr>
          <w:bCs/>
          <w:i/>
          <w:iCs/>
          <w:lang w:val="en-US"/>
        </w:rPr>
        <w:t>recommends</w:t>
      </w:r>
      <w:r>
        <w:rPr>
          <w:bCs/>
          <w:lang w:val="en-US"/>
        </w:rPr>
        <w:t xml:space="preserve"> 4 of Recommendation ITU-R F.1245 contains a formula to calculate the effective gain of a directive FS antenna toward a geostationary satellite. It has been assumed that each GSO FSS satellite is transmitting the maximum level of the prescribed pfd mask. When the satellite is in the main beam of the FS antenna, the FS antenna is also in the main beam of the satellite antenna and thus the formula for effective gain, </w:t>
      </w:r>
      <w:r>
        <w:rPr>
          <w:bCs/>
          <w:i/>
          <w:lang w:val="en-US"/>
        </w:rPr>
        <w:t>G</w:t>
      </w:r>
      <w:r>
        <w:rPr>
          <w:i/>
          <w:iCs/>
          <w:position w:val="-4"/>
          <w:sz w:val="20"/>
          <w:lang w:val="en-US"/>
        </w:rPr>
        <w:t>eff</w:t>
      </w:r>
      <w:r>
        <w:t>,</w:t>
      </w:r>
      <w:r>
        <w:rPr>
          <w:bCs/>
          <w:i/>
          <w:lang w:val="en-US"/>
        </w:rPr>
        <w:t xml:space="preserve"> </w:t>
      </w:r>
      <w:r>
        <w:rPr>
          <w:bCs/>
          <w:lang w:val="en-US"/>
        </w:rPr>
        <w:t>taking account of polarization advantage, given in Note 7 is applicable. It is assumed that satellites will transmit with circularly polarized signals and FS systems will use linearly polarized signals.</w:t>
      </w:r>
    </w:p>
    <w:p w:rsidR="003B60B7" w:rsidRDefault="003B60B7" w:rsidP="003B60B7">
      <w:pPr>
        <w:spacing w:line="280" w:lineRule="exact"/>
        <w:rPr>
          <w:bCs/>
          <w:lang w:val="en-US"/>
        </w:rPr>
      </w:pPr>
      <w:r>
        <w:rPr>
          <w:bCs/>
          <w:lang w:val="en-US"/>
        </w:rPr>
        <w:t xml:space="preserve">The calculation of </w:t>
      </w:r>
      <w:r>
        <w:rPr>
          <w:bCs/>
          <w:i/>
          <w:lang w:val="en-US"/>
        </w:rPr>
        <w:t>G</w:t>
      </w:r>
      <w:r>
        <w:rPr>
          <w:i/>
          <w:iCs/>
          <w:position w:val="-4"/>
          <w:sz w:val="20"/>
          <w:lang w:val="en-US"/>
        </w:rPr>
        <w:t>Rx</w:t>
      </w:r>
      <w:r>
        <w:rPr>
          <w:bCs/>
          <w:iCs/>
          <w:lang w:val="en-US"/>
        </w:rPr>
        <w:t>(</w:t>
      </w:r>
      <w:r>
        <w:rPr>
          <w:bCs/>
          <w:iCs/>
        </w:rPr>
        <w:sym w:font="Symbol" w:char="F06A"/>
      </w:r>
      <w:r>
        <w:rPr>
          <w:i/>
          <w:iCs/>
          <w:position w:val="-4"/>
          <w:sz w:val="20"/>
          <w:lang w:val="en-US"/>
        </w:rPr>
        <w:t>Sj</w:t>
      </w:r>
      <w:r>
        <w:rPr>
          <w:bCs/>
          <w:iCs/>
          <w:lang w:val="en-US"/>
        </w:rPr>
        <w:t>)</w:t>
      </w:r>
      <w:r>
        <w:rPr>
          <w:bCs/>
          <w:lang w:val="en-US"/>
        </w:rPr>
        <w:t xml:space="preserve"> in equation (19) assumes that both orthogonal polarizations will not be reused in the same beam on the same satellite. In satellites which operate a number of geographically separated small spot beams to large gateway earth stations, it has been assumed that, due to power limitations and link budget considerations, orthogonally polarized co</w:t>
      </w:r>
      <w:r>
        <w:rPr>
          <w:bCs/>
          <w:lang w:val="en-US"/>
        </w:rPr>
        <w:noBreakHyphen/>
        <w:t>frequency channels will not be used on the same beams.</w:t>
      </w:r>
    </w:p>
    <w:p w:rsidR="003B60B7" w:rsidRDefault="003B60B7" w:rsidP="003B60B7">
      <w:pPr>
        <w:spacing w:line="280" w:lineRule="exact"/>
        <w:rPr>
          <w:bCs/>
          <w:lang w:val="en-US"/>
        </w:rPr>
      </w:pPr>
      <w:r>
        <w:rPr>
          <w:bCs/>
          <w:lang w:val="en-US"/>
        </w:rPr>
        <w:t xml:space="preserve">When calculating the separation angle </w:t>
      </w:r>
      <w:r>
        <w:rPr>
          <w:bCs/>
          <w:iCs/>
        </w:rPr>
        <w:sym w:font="Symbol" w:char="F06A"/>
      </w:r>
      <w:r>
        <w:rPr>
          <w:i/>
          <w:iCs/>
          <w:position w:val="-4"/>
          <w:sz w:val="20"/>
          <w:lang w:val="en-US"/>
        </w:rPr>
        <w:t>Si</w:t>
      </w:r>
      <w:r>
        <w:rPr>
          <w:bCs/>
          <w:lang w:val="en-US"/>
        </w:rPr>
        <w:t xml:space="preserve"> for GSO satellites having low elevation angles, Recommendation ITU-R P.834 can be used with the FS receiver height, </w:t>
      </w:r>
      <w:r>
        <w:rPr>
          <w:bCs/>
          <w:i/>
          <w:lang w:val="en-US"/>
        </w:rPr>
        <w:t>h</w:t>
      </w:r>
      <w:r>
        <w:rPr>
          <w:i/>
          <w:iCs/>
          <w:position w:val="-4"/>
          <w:sz w:val="20"/>
          <w:lang w:val="en-US"/>
        </w:rPr>
        <w:t>s</w:t>
      </w:r>
      <w:r>
        <w:rPr>
          <w:lang w:val="en-US"/>
        </w:rPr>
        <w:t>,</w:t>
      </w:r>
      <w:r>
        <w:rPr>
          <w:bCs/>
          <w:lang w:val="en-US"/>
        </w:rPr>
        <w:t xml:space="preserve"> (agl) and the calculated value of radio refractivity at the Earth’s surface, </w:t>
      </w:r>
      <w:r>
        <w:rPr>
          <w:bCs/>
          <w:i/>
          <w:lang w:val="en-US"/>
        </w:rPr>
        <w:t>N</w:t>
      </w:r>
      <w:r>
        <w:rPr>
          <w:i/>
          <w:iCs/>
          <w:position w:val="-4"/>
          <w:sz w:val="20"/>
          <w:lang w:val="en-US"/>
        </w:rPr>
        <w:t>S</w:t>
      </w:r>
      <w:r>
        <w:rPr>
          <w:rStyle w:val="FootnoteReference"/>
          <w:bCs/>
          <w:lang w:val="en-US"/>
        </w:rPr>
        <w:t> </w:t>
      </w:r>
      <w:r>
        <w:rPr>
          <w:rStyle w:val="FootnoteReference"/>
          <w:bCs/>
          <w:lang w:val="en-US"/>
        </w:rPr>
        <w:footnoteReference w:customMarkFollows="1" w:id="6"/>
        <w:t>4</w:t>
      </w:r>
      <w:r>
        <w:rPr>
          <w:bCs/>
          <w:lang w:val="en-US"/>
        </w:rPr>
        <w:t xml:space="preserve">, to determine the apparent elevation angle of the interfering satellite above the zero degree horizon. </w:t>
      </w:r>
    </w:p>
    <w:p w:rsidR="003B60B7" w:rsidRDefault="003B60B7" w:rsidP="003B60B7">
      <w:pPr>
        <w:spacing w:line="280" w:lineRule="exact"/>
        <w:rPr>
          <w:bCs/>
          <w:lang w:val="en-US"/>
        </w:rPr>
      </w:pPr>
      <w:r>
        <w:rPr>
          <w:bCs/>
          <w:lang w:val="en-US"/>
        </w:rPr>
        <w:t xml:space="preserve">Under clear-sky conditions and in a real atmosphere, there will be two long-term losses on the space-to-Earth path of the interference from GSO FSS satellites. The first of these two losses is attenuation due to atmospheric gases on the slant path, </w:t>
      </w:r>
      <w:r>
        <w:rPr>
          <w:bCs/>
          <w:i/>
          <w:lang w:val="en-US"/>
        </w:rPr>
        <w:t>L</w:t>
      </w:r>
      <w:r>
        <w:rPr>
          <w:i/>
          <w:iCs/>
          <w:position w:val="-4"/>
          <w:sz w:val="20"/>
          <w:lang w:val="en-US"/>
        </w:rPr>
        <w:t>atm_S</w:t>
      </w:r>
      <w:r>
        <w:rPr>
          <w:bCs/>
          <w:lang w:val="en-US"/>
        </w:rPr>
        <w:t xml:space="preserve">, and is calculated according to Recommendation ITU-R P.676. The second of these two losses, is beam spreading, </w:t>
      </w:r>
      <w:r>
        <w:rPr>
          <w:bCs/>
          <w:i/>
          <w:lang w:val="en-US"/>
        </w:rPr>
        <w:t>L</w:t>
      </w:r>
      <w:r>
        <w:rPr>
          <w:i/>
          <w:iCs/>
          <w:position w:val="-4"/>
          <w:sz w:val="20"/>
          <w:lang w:val="en-US"/>
        </w:rPr>
        <w:t>bs</w:t>
      </w:r>
      <w:r>
        <w:rPr>
          <w:bCs/>
          <w:lang w:val="en-US"/>
        </w:rPr>
        <w:t xml:space="preserve">, (§ 2.3.2 of Recommendation ITU-R P.618). To obtain a conservative estimate of the FSS interference, only the attenuation due to atmospheric gases, </w:t>
      </w:r>
      <w:r>
        <w:rPr>
          <w:bCs/>
          <w:i/>
          <w:lang w:val="en-US"/>
        </w:rPr>
        <w:t>L</w:t>
      </w:r>
      <w:r>
        <w:rPr>
          <w:i/>
          <w:iCs/>
          <w:position w:val="-4"/>
          <w:sz w:val="20"/>
          <w:lang w:val="en-US"/>
        </w:rPr>
        <w:t>atm_S</w:t>
      </w:r>
      <w:r>
        <w:rPr>
          <w:bCs/>
          <w:lang w:val="en-US"/>
        </w:rPr>
        <w:t>, should be included as an attenuation on the slant path since the attenuation due to atmospheric gases has been found to be significant in bands above 17 GHz. The impact of beam spreading is only significant at very low elevation angles and also has the characteristic of having a significant standard deviation about its mean value. Also, the standard deviation approaches the mean value at 0° elevation. The impact of beam spreading may be included as an attenuation on the slant path if it is desired to demonstrate the effect of beam spreading on FS systems at higher latitudes, which happen to be characterized by having predominantly lower elevation angle receivers. The short-term effects of deep fading and enhancements (§ 2.4 of Recommendation ITU-R P.618-6) have not been considered in this methodology.</w:t>
      </w:r>
    </w:p>
    <w:p w:rsidR="003B60B7" w:rsidRDefault="003B60B7" w:rsidP="003B60B7">
      <w:pPr>
        <w:spacing w:line="280" w:lineRule="exact"/>
        <w:rPr>
          <w:lang w:val="en-US"/>
        </w:rPr>
      </w:pPr>
    </w:p>
    <w:p w:rsidR="003B60B7" w:rsidRDefault="003B60B7" w:rsidP="003B60B7">
      <w:pPr>
        <w:pStyle w:val="Heading2"/>
        <w:rPr>
          <w:lang w:val="en-US"/>
        </w:rPr>
      </w:pPr>
      <w:r>
        <w:rPr>
          <w:lang w:val="en-US"/>
        </w:rPr>
        <w:br w:type="page"/>
      </w:r>
      <w:r>
        <w:rPr>
          <w:lang w:val="en-US"/>
        </w:rPr>
        <w:lastRenderedPageBreak/>
        <w:t>6.7</w:t>
      </w:r>
      <w:r>
        <w:rPr>
          <w:lang w:val="en-US"/>
        </w:rPr>
        <w:tab/>
        <w:t>Discussion on accounting for the effects of rain on interference contributions during rain faded conditions on the wanted FS signal</w:t>
      </w:r>
    </w:p>
    <w:p w:rsidR="003B60B7" w:rsidRDefault="003B60B7" w:rsidP="003B60B7">
      <w:pPr>
        <w:rPr>
          <w:lang w:val="en-US"/>
        </w:rPr>
      </w:pPr>
      <w:r>
        <w:rPr>
          <w:lang w:val="en-US"/>
        </w:rPr>
        <w:t xml:space="preserve">In frequency bands above 17 GHz, the effect of the atmosphere plays a significant role in attenuating the space-to-Earth interference and varies significantly depending upon the actual location of the interfered-with FS system. This methodology examines only the long-term effect of interference under clear-sky conditions. During rain-faded conditions, the space-to-Earth interference will also be attenuated; however, there will not be a 100% correlation between the attenuation on the wanted signal path and the attenuation on all interfering signal paths. </w:t>
      </w:r>
    </w:p>
    <w:p w:rsidR="003B60B7" w:rsidRDefault="003B60B7" w:rsidP="003B60B7">
      <w:pPr>
        <w:spacing w:line="280" w:lineRule="exact"/>
        <w:rPr>
          <w:lang w:val="en-US"/>
        </w:rPr>
      </w:pPr>
      <w:r>
        <w:rPr>
          <w:lang w:val="en-US"/>
        </w:rPr>
        <w:t>When calculating the achieved availability in the presence of long-term GSO FSS interference, it is assumed that the interference component due to GSO interference could be attenuated by rain on the slant path to the interfering satellite, but only if that satellite is in the main beam of the FS receiver antenna. Thus, when the total system noise plus interference under rain faded conditions (</w:t>
      </w:r>
      <w:r>
        <w:rPr>
          <w:i/>
          <w:lang w:val="en-US"/>
        </w:rPr>
        <w:t>N</w:t>
      </w:r>
      <w:r>
        <w:rPr>
          <w:lang w:val="en-US"/>
        </w:rPr>
        <w:t> + </w:t>
      </w:r>
      <w:r>
        <w:rPr>
          <w:i/>
          <w:lang w:val="en-US"/>
        </w:rPr>
        <w:t>I</w:t>
      </w:r>
      <w:r>
        <w:rPr>
          <w:i/>
          <w:iCs/>
          <w:position w:val="-4"/>
          <w:sz w:val="20"/>
          <w:lang w:val="en-US"/>
        </w:rPr>
        <w:t>Intra</w:t>
      </w:r>
      <w:r>
        <w:rPr>
          <w:lang w:val="en-US"/>
        </w:rPr>
        <w:t> + </w:t>
      </w:r>
      <w:r>
        <w:rPr>
          <w:i/>
          <w:lang w:val="en-US"/>
        </w:rPr>
        <w:t>I</w:t>
      </w:r>
      <w:r>
        <w:rPr>
          <w:i/>
          <w:iCs/>
          <w:position w:val="-4"/>
          <w:sz w:val="20"/>
          <w:lang w:val="en-US"/>
        </w:rPr>
        <w:t>Inter</w:t>
      </w:r>
      <w:r>
        <w:rPr>
          <w:lang w:val="en-US"/>
        </w:rPr>
        <w:t> + </w:t>
      </w:r>
      <w:r>
        <w:rPr>
          <w:i/>
          <w:lang w:val="en-US"/>
        </w:rPr>
        <w:t>I</w:t>
      </w:r>
      <w:r>
        <w:rPr>
          <w:i/>
          <w:iCs/>
          <w:position w:val="-4"/>
          <w:sz w:val="20"/>
          <w:lang w:val="en-US"/>
        </w:rPr>
        <w:t>GSO</w:t>
      </w:r>
      <w:r>
        <w:rPr>
          <w:lang w:val="en-US"/>
        </w:rPr>
        <w:t>)</w:t>
      </w:r>
      <w:r>
        <w:rPr>
          <w:i/>
          <w:iCs/>
          <w:position w:val="-4"/>
          <w:sz w:val="20"/>
          <w:lang w:val="en-US"/>
        </w:rPr>
        <w:t>Total Rain</w:t>
      </w:r>
      <w:r>
        <w:rPr>
          <w:lang w:val="en-US"/>
        </w:rPr>
        <w:t xml:space="preserve"> is calculated, interference only from GSO FSS satellites within </w:t>
      </w:r>
      <w:r>
        <w:rPr>
          <w:i/>
          <w:lang w:val="en-US"/>
        </w:rPr>
        <w:t>u</w:t>
      </w:r>
      <w:r>
        <w:rPr>
          <w:iCs/>
        </w:rPr>
        <w:sym w:font="Symbol" w:char="F06A"/>
      </w:r>
      <w:r>
        <w:rPr>
          <w:i/>
          <w:iCs/>
          <w:position w:val="-4"/>
          <w:sz w:val="20"/>
          <w:lang w:val="en-US"/>
        </w:rPr>
        <w:t>m</w:t>
      </w:r>
      <w:r>
        <w:rPr>
          <w:lang w:val="en-US"/>
        </w:rPr>
        <w:t xml:space="preserve"> of the main beam of the FS antenna is attenuated by the calculated rain fade along the entire slant path, to significantly lower levels leaving essentially the off main-beam interference to contribute to the total noise plus interference (</w:t>
      </w:r>
      <w:r>
        <w:rPr>
          <w:i/>
          <w:lang w:val="en-US"/>
        </w:rPr>
        <w:t>N</w:t>
      </w:r>
      <w:r>
        <w:rPr>
          <w:lang w:val="en-US"/>
        </w:rPr>
        <w:t> + </w:t>
      </w:r>
      <w:r>
        <w:rPr>
          <w:i/>
          <w:lang w:val="en-US"/>
        </w:rPr>
        <w:t>I</w:t>
      </w:r>
      <w:r>
        <w:rPr>
          <w:i/>
          <w:iCs/>
          <w:position w:val="-4"/>
          <w:sz w:val="20"/>
          <w:lang w:val="en-US"/>
        </w:rPr>
        <w:t>Intra</w:t>
      </w:r>
      <w:r>
        <w:rPr>
          <w:lang w:val="en-US"/>
        </w:rPr>
        <w:t> + </w:t>
      </w:r>
      <w:r>
        <w:rPr>
          <w:i/>
          <w:lang w:val="en-US"/>
        </w:rPr>
        <w:t>I</w:t>
      </w:r>
      <w:r>
        <w:rPr>
          <w:i/>
          <w:iCs/>
          <w:position w:val="-4"/>
          <w:sz w:val="20"/>
          <w:lang w:val="en-US"/>
        </w:rPr>
        <w:t>Inter</w:t>
      </w:r>
      <w:r>
        <w:rPr>
          <w:lang w:val="en-US"/>
        </w:rPr>
        <w:t> + </w:t>
      </w:r>
      <w:r>
        <w:rPr>
          <w:i/>
          <w:lang w:val="en-US"/>
        </w:rPr>
        <w:t>I</w:t>
      </w:r>
      <w:r>
        <w:rPr>
          <w:i/>
          <w:iCs/>
          <w:position w:val="-4"/>
          <w:sz w:val="20"/>
          <w:lang w:val="en-US"/>
        </w:rPr>
        <w:t>GSO</w:t>
      </w:r>
      <w:r>
        <w:rPr>
          <w:lang w:val="en-US"/>
        </w:rPr>
        <w:t>)</w:t>
      </w:r>
      <w:r>
        <w:rPr>
          <w:i/>
          <w:iCs/>
          <w:position w:val="-4"/>
          <w:sz w:val="20"/>
          <w:lang w:val="en-US"/>
        </w:rPr>
        <w:t>Total Rain</w:t>
      </w:r>
      <w:r>
        <w:rPr>
          <w:rStyle w:val="FootnoteReference"/>
          <w:lang w:val="en-US"/>
        </w:rPr>
        <w:footnoteReference w:customMarkFollows="1" w:id="7"/>
        <w:t>5</w:t>
      </w:r>
      <w:r>
        <w:rPr>
          <w:lang w:val="en-US"/>
        </w:rPr>
        <w:t xml:space="preserve">. This is a reasonable assumption, since there will likely also be some attenuation in the direction of other satellites as well. Recommendation ITU-R P.618 applies to the entire slant path starting from a given point at an altitude </w:t>
      </w:r>
      <w:r>
        <w:rPr>
          <w:i/>
          <w:lang w:val="en-US"/>
        </w:rPr>
        <w:t>h</w:t>
      </w:r>
      <w:r>
        <w:rPr>
          <w:i/>
          <w:iCs/>
          <w:position w:val="-4"/>
          <w:sz w:val="20"/>
          <w:lang w:val="en-US"/>
        </w:rPr>
        <w:t>s</w:t>
      </w:r>
      <w:r>
        <w:rPr>
          <w:lang w:val="en-US"/>
        </w:rPr>
        <w:t xml:space="preserve"> (amsl) for a given elevation angle through the entire atmosphere. It does not include any provision to account for any correlation (or lack thereof) between lower altitudes and higher altitudes along the same slant path through the troposphere. At the very least, the attenuation due to rain along the path between the FS receiving antenna and the FS transmitting antenna which is common to both the wanted FS signal and the GSO FSS interference (when the space station is in the main beam), must be 100% correlated. It is only the path, which is beyond the FS transmitting antenna (i.e. between the source of the wanted signal and the interfering space station) where the correlation of fading over that path and fading on the wanted signal path is not known. </w:t>
      </w:r>
    </w:p>
    <w:p w:rsidR="003B60B7" w:rsidRDefault="003B60B7" w:rsidP="003B60B7">
      <w:pPr>
        <w:rPr>
          <w:lang w:val="en-US"/>
        </w:rPr>
      </w:pPr>
      <w:r>
        <w:rPr>
          <w:lang w:val="en-US"/>
        </w:rPr>
        <w:t>In the case of the intra-service interference from other FS systems, the intra-service interference component may not be attenuated by the same amount as the fade on the wanted signal path during a rain fade. Intra-service interference will tend to come from links originating from many different directions, distances and azimuths.</w:t>
      </w:r>
    </w:p>
    <w:p w:rsidR="003B60B7" w:rsidRDefault="003B60B7" w:rsidP="003B60B7">
      <w:pPr>
        <w:rPr>
          <w:lang w:val="en-US"/>
        </w:rPr>
      </w:pPr>
      <w:r>
        <w:rPr>
          <w:lang w:val="en-US"/>
        </w:rPr>
        <w:t>Thus, given the two conservative assumptions regarding the respective contributions of inter-system and intra-service interference to the total system noise during rain, the available fade margin should be greater than that calculated using this methodology and as a consequence, the calculated availability achieved would be conservatively underestimated.</w:t>
      </w:r>
    </w:p>
    <w:p w:rsidR="003B60B7" w:rsidRDefault="003B60B7" w:rsidP="003B60B7">
      <w:pPr>
        <w:rPr>
          <w:lang w:val="en-US"/>
        </w:rPr>
      </w:pPr>
    </w:p>
    <w:p w:rsidR="003B60B7" w:rsidRDefault="003B60B7" w:rsidP="003B60B7">
      <w:pPr>
        <w:rPr>
          <w:lang w:val="en-US"/>
        </w:rPr>
      </w:pPr>
    </w:p>
    <w:p w:rsidR="003B60B7" w:rsidRDefault="003B60B7" w:rsidP="003B60B7">
      <w:pPr>
        <w:pStyle w:val="Heading1"/>
        <w:rPr>
          <w:lang w:val="en-US"/>
        </w:rPr>
      </w:pPr>
      <w:r>
        <w:rPr>
          <w:lang w:val="en-US"/>
        </w:rPr>
        <w:br w:type="page"/>
      </w:r>
      <w:r>
        <w:rPr>
          <w:lang w:val="en-US"/>
        </w:rPr>
        <w:lastRenderedPageBreak/>
        <w:t>7</w:t>
      </w:r>
      <w:r>
        <w:rPr>
          <w:lang w:val="en-US"/>
        </w:rPr>
        <w:tab/>
        <w:t>Interpretation of resulting availability statistics generated by application of the methodology and possible ways to express sharing criteria</w:t>
      </w:r>
    </w:p>
    <w:p w:rsidR="003B60B7" w:rsidRDefault="003B60B7" w:rsidP="003B60B7">
      <w:pPr>
        <w:rPr>
          <w:lang w:val="en-US"/>
        </w:rPr>
      </w:pPr>
      <w:r>
        <w:rPr>
          <w:lang w:val="en-US"/>
        </w:rPr>
        <w:t xml:space="preserve">The two FS system configurations, </w:t>
      </w:r>
      <w:r>
        <w:rPr>
          <w:iCs/>
          <w:lang w:val="en-US"/>
        </w:rPr>
        <w:t>P-MP</w:t>
      </w:r>
      <w:r>
        <w:rPr>
          <w:lang w:val="en-US"/>
        </w:rPr>
        <w:t xml:space="preserve"> and </w:t>
      </w:r>
      <w:r>
        <w:rPr>
          <w:iCs/>
          <w:lang w:val="en-US"/>
        </w:rPr>
        <w:t>P-P</w:t>
      </w:r>
      <w:r>
        <w:rPr>
          <w:lang w:val="en-US"/>
        </w:rPr>
        <w:t xml:space="preserve">, are distinctly different and they are affected differently by space-to-Earth interference. Thus, the criteria against which the acceptability of the interference is measured should also be different. For those </w:t>
      </w:r>
      <w:r>
        <w:rPr>
          <w:iCs/>
          <w:lang w:val="en-US"/>
        </w:rPr>
        <w:t>P-MP</w:t>
      </w:r>
      <w:r>
        <w:rPr>
          <w:lang w:val="en-US"/>
        </w:rPr>
        <w:t xml:space="preserve"> systems having a percentage of possible FS receivers having excess margin, there will be a substantial proportion of possible receivers that exceed their designed availability. </w:t>
      </w:r>
      <w:r>
        <w:rPr>
          <w:iCs/>
          <w:lang w:val="en-US"/>
        </w:rPr>
        <w:t>P-P</w:t>
      </w:r>
      <w:r>
        <w:rPr>
          <w:lang w:val="en-US"/>
        </w:rPr>
        <w:t xml:space="preserve"> systems, however, are designed on a link-by-link basis and thus availability of FS receivers in the presence of external interference will be less than the designed availability in the absence of external interference. In shared bands, such links should be designed with margin for inter-service interference to account for external interference.</w:t>
      </w:r>
    </w:p>
    <w:p w:rsidR="003B60B7" w:rsidRDefault="003B60B7" w:rsidP="003B60B7">
      <w:pPr>
        <w:rPr>
          <w:lang w:val="en-US"/>
        </w:rPr>
      </w:pPr>
      <w:r>
        <w:rPr>
          <w:lang w:val="en-US"/>
        </w:rPr>
        <w:t>A meaningful way of expressing the impact of space-to-Earth interference into the two distinctly different FS system configurations is needed. Table 3 gives one possible way of expressing the criteria that must be met by the FSS for impact on the FS.</w:t>
      </w:r>
    </w:p>
    <w:p w:rsidR="003B60B7" w:rsidRDefault="003B60B7" w:rsidP="003B60B7">
      <w:pPr>
        <w:rPr>
          <w:lang w:val="en-US"/>
        </w:rPr>
      </w:pPr>
    </w:p>
    <w:p w:rsidR="003B60B7" w:rsidRDefault="003B60B7" w:rsidP="003B60B7">
      <w:pPr>
        <w:pStyle w:val="TableNo"/>
        <w:rPr>
          <w:lang w:val="en-US"/>
        </w:rPr>
      </w:pPr>
      <w:r>
        <w:rPr>
          <w:lang w:val="en-US"/>
        </w:rPr>
        <w:t>TABLE  3</w:t>
      </w:r>
    </w:p>
    <w:p w:rsidR="003B60B7" w:rsidRDefault="003B60B7" w:rsidP="003B60B7">
      <w:pPr>
        <w:pStyle w:val="Tabletitle"/>
        <w:rPr>
          <w:lang w:val="en-US"/>
        </w:rPr>
      </w:pPr>
      <w:r>
        <w:rPr>
          <w:lang w:val="en-US"/>
        </w:rPr>
        <w:t>Parameters used to express sharing criteria</w:t>
      </w:r>
    </w:p>
    <w:p w:rsidR="003B60B7" w:rsidRDefault="003B60B7" w:rsidP="003B60B7">
      <w:pPr>
        <w:pStyle w:val="Tabletitle"/>
        <w:rPr>
          <w:lang w:val="en-US"/>
        </w:rPr>
      </w:pPr>
      <w:r>
        <w:rPr>
          <w:lang w:val="en-US"/>
        </w:rPr>
        <w:br/>
        <w:t>Parameters used to express sharing criteria for P-PM systems</w:t>
      </w:r>
    </w:p>
    <w:p w:rsidR="003B60B7" w:rsidRDefault="003B60B7" w:rsidP="003B60B7">
      <w:pPr>
        <w:spacing w:before="0"/>
        <w:rPr>
          <w:sz w:val="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89"/>
        <w:gridCol w:w="1867"/>
      </w:tblGrid>
      <w:tr w:rsidR="003B60B7" w:rsidTr="00636600">
        <w:trPr>
          <w:jc w:val="center"/>
        </w:trPr>
        <w:tc>
          <w:tcPr>
            <w:tcW w:w="6989" w:type="dxa"/>
            <w:tcBorders>
              <w:left w:val="single" w:sz="4" w:space="0" w:color="auto"/>
              <w:right w:val="single" w:sz="4" w:space="0" w:color="auto"/>
            </w:tcBorders>
          </w:tcPr>
          <w:p w:rsidR="003B60B7" w:rsidRDefault="003B60B7" w:rsidP="00636600">
            <w:pPr>
              <w:pStyle w:val="Tabletext"/>
              <w:framePr w:hSpace="181" w:wrap="notBeside" w:vAnchor="text" w:hAnchor="text" w:xAlign="center" w:y="1"/>
              <w:jc w:val="left"/>
              <w:rPr>
                <w:b/>
                <w:i/>
                <w:lang w:val="en-US"/>
              </w:rPr>
            </w:pPr>
            <w:r>
              <w:rPr>
                <w:lang w:val="en-US"/>
              </w:rPr>
              <w:t xml:space="preserve">FS system performance with no FSS interference </w:t>
            </w:r>
            <w:r>
              <w:rPr>
                <w:lang w:val="en-US"/>
              </w:rPr>
              <w:br/>
              <w:t>(system design unavailability)</w:t>
            </w:r>
          </w:p>
        </w:tc>
        <w:tc>
          <w:tcPr>
            <w:tcW w:w="1867" w:type="dxa"/>
            <w:tcBorders>
              <w:left w:val="single" w:sz="4" w:space="0" w:color="auto"/>
              <w:right w:val="single" w:sz="4" w:space="0" w:color="auto"/>
            </w:tcBorders>
          </w:tcPr>
          <w:p w:rsidR="003B60B7" w:rsidRDefault="003B60B7" w:rsidP="00636600">
            <w:pPr>
              <w:pStyle w:val="Tabletext"/>
              <w:framePr w:hSpace="181" w:wrap="notBeside" w:vAnchor="text" w:hAnchor="text" w:xAlign="center" w:y="1"/>
              <w:rPr>
                <w:bCs/>
                <w:i/>
                <w:lang w:val="en-US"/>
              </w:rPr>
            </w:pPr>
            <w:r>
              <w:rPr>
                <w:bCs/>
                <w:i/>
                <w:lang w:val="en-US"/>
              </w:rPr>
              <w:t>X</w:t>
            </w:r>
            <w:r>
              <w:rPr>
                <w:position w:val="-4"/>
                <w:sz w:val="18"/>
                <w:lang w:val="en-US"/>
              </w:rPr>
              <w:t>0</w:t>
            </w:r>
            <w:r>
              <w:rPr>
                <w:bCs/>
                <w:lang w:val="en-US"/>
              </w:rPr>
              <w:t>%</w:t>
            </w:r>
          </w:p>
        </w:tc>
      </w:tr>
      <w:tr w:rsidR="003B60B7" w:rsidTr="00636600">
        <w:trPr>
          <w:cantSplit/>
          <w:jc w:val="center"/>
        </w:trPr>
        <w:tc>
          <w:tcPr>
            <w:tcW w:w="8856" w:type="dxa"/>
            <w:gridSpan w:val="2"/>
            <w:tcBorders>
              <w:left w:val="single" w:sz="4" w:space="0" w:color="auto"/>
              <w:right w:val="single" w:sz="4" w:space="0" w:color="auto"/>
            </w:tcBorders>
          </w:tcPr>
          <w:p w:rsidR="003B60B7" w:rsidRDefault="003B60B7" w:rsidP="00636600">
            <w:pPr>
              <w:pStyle w:val="Tabletext"/>
              <w:framePr w:hSpace="181" w:wrap="notBeside" w:vAnchor="text" w:hAnchor="text" w:xAlign="center" w:y="1"/>
              <w:jc w:val="center"/>
              <w:rPr>
                <w:b/>
                <w:i/>
                <w:lang w:val="en-US"/>
              </w:rPr>
            </w:pPr>
            <w:r>
              <w:rPr>
                <w:b/>
                <w:lang w:val="en-US"/>
              </w:rPr>
              <w:t>FS system performance in the presence of FSS interference</w:t>
            </w:r>
          </w:p>
        </w:tc>
      </w:tr>
      <w:tr w:rsidR="003B60B7" w:rsidTr="00636600">
        <w:trPr>
          <w:jc w:val="center"/>
        </w:trPr>
        <w:tc>
          <w:tcPr>
            <w:tcW w:w="6989" w:type="dxa"/>
            <w:tcBorders>
              <w:left w:val="single" w:sz="4" w:space="0" w:color="auto"/>
              <w:right w:val="single" w:sz="4" w:space="0" w:color="auto"/>
            </w:tcBorders>
          </w:tcPr>
          <w:p w:rsidR="003B60B7" w:rsidRDefault="003B60B7" w:rsidP="00636600">
            <w:pPr>
              <w:pStyle w:val="Tabletext"/>
              <w:framePr w:hSpace="181" w:wrap="notBeside" w:vAnchor="text" w:hAnchor="text" w:xAlign="center" w:y="1"/>
              <w:rPr>
                <w:b/>
                <w:i/>
                <w:lang w:val="en-US"/>
              </w:rPr>
            </w:pPr>
            <w:r>
              <w:rPr>
                <w:lang w:val="en-US"/>
              </w:rPr>
              <w:t>Increase in unavailability as a percentage of design unavailability</w:t>
            </w:r>
          </w:p>
        </w:tc>
        <w:tc>
          <w:tcPr>
            <w:tcW w:w="1867" w:type="dxa"/>
            <w:tcBorders>
              <w:left w:val="single" w:sz="4" w:space="0" w:color="auto"/>
              <w:right w:val="single" w:sz="4" w:space="0" w:color="auto"/>
            </w:tcBorders>
          </w:tcPr>
          <w:p w:rsidR="003B60B7" w:rsidRDefault="003B60B7" w:rsidP="00636600">
            <w:pPr>
              <w:pStyle w:val="Tabletext"/>
              <w:framePr w:hSpace="181" w:wrap="notBeside" w:vAnchor="text" w:hAnchor="text" w:xAlign="center" w:y="1"/>
              <w:rPr>
                <w:b/>
                <w:i/>
                <w:lang w:val="en-US"/>
              </w:rPr>
            </w:pPr>
            <w:r>
              <w:rPr>
                <w:i/>
                <w:iCs/>
                <w:lang w:val="en-US"/>
              </w:rPr>
              <w:t>X</w:t>
            </w:r>
            <w:r>
              <w:rPr>
                <w:i/>
                <w:iCs/>
                <w:position w:val="-4"/>
                <w:sz w:val="18"/>
                <w:lang w:val="en-US"/>
              </w:rPr>
              <w:t>j</w:t>
            </w:r>
            <w:r>
              <w:rPr>
                <w:lang w:val="en-US"/>
              </w:rPr>
              <w:t>%</w:t>
            </w:r>
          </w:p>
        </w:tc>
      </w:tr>
      <w:tr w:rsidR="003B60B7" w:rsidTr="00636600">
        <w:trPr>
          <w:jc w:val="center"/>
        </w:trPr>
        <w:tc>
          <w:tcPr>
            <w:tcW w:w="6989" w:type="dxa"/>
            <w:tcBorders>
              <w:left w:val="single" w:sz="4" w:space="0" w:color="auto"/>
              <w:right w:val="single" w:sz="4" w:space="0" w:color="auto"/>
            </w:tcBorders>
          </w:tcPr>
          <w:p w:rsidR="003B60B7" w:rsidRDefault="003B60B7" w:rsidP="00636600">
            <w:pPr>
              <w:pStyle w:val="Tabletext"/>
              <w:framePr w:hSpace="181" w:wrap="notBeside" w:vAnchor="text" w:hAnchor="text" w:xAlign="center" w:y="1"/>
              <w:jc w:val="left"/>
              <w:rPr>
                <w:i/>
                <w:lang w:val="en-US"/>
              </w:rPr>
            </w:pPr>
            <w:r>
              <w:rPr>
                <w:lang w:val="en-US"/>
              </w:rPr>
              <w:t>Percentage of possible FS receivers meeting or exceeding the degraded availability “</w:t>
            </w:r>
            <w:r>
              <w:rPr>
                <w:i/>
                <w:lang w:val="en-US"/>
              </w:rPr>
              <w:t>U</w:t>
            </w:r>
            <w:r>
              <w:rPr>
                <w:i/>
                <w:iCs/>
                <w:position w:val="-4"/>
                <w:sz w:val="18"/>
                <w:lang w:val="en-US"/>
              </w:rPr>
              <w:t>j</w:t>
            </w:r>
            <w:r>
              <w:rPr>
                <w:lang w:val="en-US"/>
              </w:rPr>
              <w:t xml:space="preserve"> = </w:t>
            </w:r>
            <w:r>
              <w:rPr>
                <w:iCs/>
                <w:lang w:val="en-US"/>
              </w:rPr>
              <w:t>(100</w:t>
            </w:r>
            <w:r>
              <w:rPr>
                <w:i/>
                <w:lang w:val="en-US"/>
              </w:rPr>
              <w:t> – X</w:t>
            </w:r>
            <w:r>
              <w:rPr>
                <w:position w:val="-4"/>
                <w:sz w:val="18"/>
                <w:lang w:val="en-US"/>
              </w:rPr>
              <w:t>0</w:t>
            </w:r>
            <w:r>
              <w:rPr>
                <w:i/>
                <w:lang w:val="en-US"/>
              </w:rPr>
              <w:t> – X</w:t>
            </w:r>
            <w:r>
              <w:rPr>
                <w:i/>
                <w:iCs/>
                <w:position w:val="-4"/>
                <w:sz w:val="18"/>
                <w:lang w:val="en-US"/>
              </w:rPr>
              <w:t>j</w:t>
            </w:r>
            <w:r>
              <w:rPr>
                <w:i/>
                <w:lang w:val="en-US"/>
              </w:rPr>
              <w:t xml:space="preserve"> X</w:t>
            </w:r>
            <w:r>
              <w:rPr>
                <w:position w:val="-4"/>
                <w:sz w:val="18"/>
                <w:lang w:val="en-US"/>
              </w:rPr>
              <w:t>0</w:t>
            </w:r>
            <w:r>
              <w:rPr>
                <w:position w:val="-4"/>
                <w:sz w:val="8"/>
                <w:lang w:val="en-US"/>
              </w:rPr>
              <w:t> </w:t>
            </w:r>
            <w:r>
              <w:rPr>
                <w:i/>
                <w:lang w:val="en-US"/>
              </w:rPr>
              <w:t>/</w:t>
            </w:r>
            <w:r>
              <w:rPr>
                <w:iCs/>
                <w:lang w:val="en-US"/>
              </w:rPr>
              <w:t>100)</w:t>
            </w:r>
            <w:r>
              <w:rPr>
                <w:lang w:val="en-US"/>
              </w:rPr>
              <w:t>%”  in the presence of FSS interference</w:t>
            </w:r>
          </w:p>
        </w:tc>
        <w:tc>
          <w:tcPr>
            <w:tcW w:w="1867" w:type="dxa"/>
            <w:tcBorders>
              <w:left w:val="single" w:sz="4" w:space="0" w:color="auto"/>
              <w:right w:val="single" w:sz="4" w:space="0" w:color="auto"/>
            </w:tcBorders>
          </w:tcPr>
          <w:p w:rsidR="003B60B7" w:rsidRDefault="003B60B7" w:rsidP="00636600">
            <w:pPr>
              <w:pStyle w:val="Tabletext"/>
              <w:framePr w:hSpace="181" w:wrap="notBeside" w:vAnchor="text" w:hAnchor="text" w:xAlign="center" w:y="1"/>
              <w:rPr>
                <w:i/>
                <w:lang w:val="en-US"/>
              </w:rPr>
            </w:pPr>
            <w:r>
              <w:rPr>
                <w:i/>
                <w:lang w:val="en-US"/>
              </w:rPr>
              <w:t>W</w:t>
            </w:r>
            <w:r>
              <w:rPr>
                <w:i/>
                <w:iCs/>
                <w:position w:val="-4"/>
                <w:sz w:val="18"/>
                <w:lang w:val="en-US"/>
              </w:rPr>
              <w:t>j</w:t>
            </w:r>
            <w:r>
              <w:rPr>
                <w:lang w:val="en-US"/>
              </w:rPr>
              <w:t>%</w:t>
            </w:r>
          </w:p>
        </w:tc>
      </w:tr>
      <w:tr w:rsidR="003B60B7" w:rsidTr="00636600">
        <w:trPr>
          <w:cantSplit/>
          <w:jc w:val="center"/>
        </w:trPr>
        <w:tc>
          <w:tcPr>
            <w:tcW w:w="8856" w:type="dxa"/>
            <w:gridSpan w:val="2"/>
            <w:tcBorders>
              <w:left w:val="single" w:sz="4" w:space="0" w:color="auto"/>
              <w:right w:val="single" w:sz="4" w:space="0" w:color="auto"/>
            </w:tcBorders>
          </w:tcPr>
          <w:p w:rsidR="003B60B7" w:rsidRDefault="003B60B7" w:rsidP="00636600">
            <w:pPr>
              <w:pStyle w:val="Tabletext"/>
              <w:framePr w:hSpace="181" w:wrap="notBeside" w:vAnchor="text" w:hAnchor="text" w:xAlign="center" w:y="1"/>
              <w:jc w:val="center"/>
              <w:rPr>
                <w:i/>
                <w:lang w:val="en-US"/>
              </w:rPr>
            </w:pPr>
            <w:r>
              <w:rPr>
                <w:i/>
                <w:lang w:val="en-US"/>
              </w:rPr>
              <w:t>j = </w:t>
            </w:r>
            <w:r>
              <w:rPr>
                <w:iCs/>
                <w:lang w:val="en-US"/>
              </w:rPr>
              <w:t>1, …,</w:t>
            </w:r>
            <w:r>
              <w:rPr>
                <w:i/>
                <w:lang w:val="en-US"/>
              </w:rPr>
              <w:t xml:space="preserve"> m </w:t>
            </w:r>
            <w:r>
              <w:rPr>
                <w:lang w:val="en-US"/>
              </w:rPr>
              <w:t>(</w:t>
            </w:r>
            <w:r>
              <w:rPr>
                <w:i/>
                <w:lang w:val="en-US"/>
              </w:rPr>
              <w:t>m</w:t>
            </w:r>
            <w:r>
              <w:rPr>
                <w:lang w:val="en-US"/>
              </w:rPr>
              <w:t> = to be determined)</w:t>
            </w:r>
          </w:p>
        </w:tc>
      </w:tr>
    </w:tbl>
    <w:p w:rsidR="003B60B7" w:rsidRDefault="003B60B7" w:rsidP="003B60B7">
      <w:pPr>
        <w:pStyle w:val="Tablefin"/>
      </w:pPr>
    </w:p>
    <w:p w:rsidR="003B60B7" w:rsidRDefault="003B60B7" w:rsidP="003B60B7">
      <w:pPr>
        <w:pStyle w:val="Tabletitle"/>
        <w:rPr>
          <w:lang w:val="en-US"/>
        </w:rPr>
      </w:pPr>
      <w:r>
        <w:rPr>
          <w:lang w:val="en-US"/>
        </w:rPr>
        <w:t>Parameters used to express sharing criteria for P-P systems</w:t>
      </w:r>
    </w:p>
    <w:p w:rsidR="003B60B7" w:rsidRDefault="003B60B7" w:rsidP="003B60B7">
      <w:pPr>
        <w:spacing w:before="0"/>
        <w:rPr>
          <w:sz w:val="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89"/>
        <w:gridCol w:w="1867"/>
      </w:tblGrid>
      <w:tr w:rsidR="003B60B7" w:rsidTr="00636600">
        <w:trPr>
          <w:jc w:val="center"/>
        </w:trPr>
        <w:tc>
          <w:tcPr>
            <w:tcW w:w="6989" w:type="dxa"/>
            <w:tcBorders>
              <w:left w:val="single" w:sz="4" w:space="0" w:color="auto"/>
              <w:right w:val="single" w:sz="4" w:space="0" w:color="auto"/>
            </w:tcBorders>
          </w:tcPr>
          <w:p w:rsidR="003B60B7" w:rsidRDefault="003B60B7" w:rsidP="00636600">
            <w:pPr>
              <w:pStyle w:val="Tabletext"/>
              <w:framePr w:hSpace="181" w:wrap="notBeside" w:vAnchor="text" w:hAnchor="text" w:xAlign="center" w:y="1"/>
              <w:jc w:val="left"/>
              <w:rPr>
                <w:b/>
                <w:i/>
                <w:lang w:val="en-US"/>
              </w:rPr>
            </w:pPr>
            <w:r>
              <w:rPr>
                <w:lang w:val="en-US"/>
              </w:rPr>
              <w:t xml:space="preserve">FS system performance with no FSS interference </w:t>
            </w:r>
            <w:r>
              <w:rPr>
                <w:lang w:val="en-US"/>
              </w:rPr>
              <w:br/>
              <w:t>(system design unavailability)</w:t>
            </w:r>
          </w:p>
        </w:tc>
        <w:tc>
          <w:tcPr>
            <w:tcW w:w="1867" w:type="dxa"/>
            <w:tcBorders>
              <w:left w:val="single" w:sz="4" w:space="0" w:color="auto"/>
              <w:right w:val="single" w:sz="4" w:space="0" w:color="auto"/>
            </w:tcBorders>
          </w:tcPr>
          <w:p w:rsidR="003B60B7" w:rsidRDefault="003B60B7" w:rsidP="00636600">
            <w:pPr>
              <w:pStyle w:val="Tabletext"/>
              <w:framePr w:hSpace="181" w:wrap="notBeside" w:vAnchor="text" w:hAnchor="text" w:xAlign="center" w:y="1"/>
              <w:jc w:val="left"/>
              <w:rPr>
                <w:b/>
                <w:i/>
                <w:lang w:val="en-US"/>
              </w:rPr>
            </w:pPr>
            <w:r>
              <w:rPr>
                <w:bCs/>
                <w:i/>
                <w:lang w:val="en-US"/>
              </w:rPr>
              <w:t>Z</w:t>
            </w:r>
            <w:r>
              <w:rPr>
                <w:position w:val="-4"/>
                <w:sz w:val="18"/>
                <w:lang w:val="en-US"/>
              </w:rPr>
              <w:t>0</w:t>
            </w:r>
            <w:r>
              <w:rPr>
                <w:lang w:val="en-US"/>
              </w:rPr>
              <w:t>%</w:t>
            </w:r>
          </w:p>
        </w:tc>
      </w:tr>
      <w:tr w:rsidR="003B60B7" w:rsidTr="00636600">
        <w:trPr>
          <w:cantSplit/>
          <w:jc w:val="center"/>
        </w:trPr>
        <w:tc>
          <w:tcPr>
            <w:tcW w:w="8856" w:type="dxa"/>
            <w:gridSpan w:val="2"/>
            <w:tcBorders>
              <w:left w:val="single" w:sz="4" w:space="0" w:color="auto"/>
              <w:right w:val="single" w:sz="4" w:space="0" w:color="auto"/>
            </w:tcBorders>
          </w:tcPr>
          <w:p w:rsidR="003B60B7" w:rsidRDefault="003B60B7" w:rsidP="00636600">
            <w:pPr>
              <w:pStyle w:val="Tabletext"/>
              <w:framePr w:hSpace="181" w:wrap="notBeside" w:vAnchor="text" w:hAnchor="text" w:xAlign="center" w:y="1"/>
              <w:jc w:val="left"/>
              <w:rPr>
                <w:b/>
                <w:i/>
              </w:rPr>
            </w:pPr>
            <w:r>
              <w:rPr>
                <w:b/>
              </w:rPr>
              <w:t>FS system performance in the presence of FSS interference</w:t>
            </w:r>
          </w:p>
        </w:tc>
      </w:tr>
      <w:tr w:rsidR="003B60B7" w:rsidTr="00636600">
        <w:trPr>
          <w:jc w:val="center"/>
        </w:trPr>
        <w:tc>
          <w:tcPr>
            <w:tcW w:w="6989" w:type="dxa"/>
            <w:tcBorders>
              <w:left w:val="single" w:sz="4" w:space="0" w:color="auto"/>
              <w:right w:val="single" w:sz="4" w:space="0" w:color="auto"/>
            </w:tcBorders>
          </w:tcPr>
          <w:p w:rsidR="003B60B7" w:rsidRDefault="003B60B7" w:rsidP="00636600">
            <w:pPr>
              <w:pStyle w:val="Tabletext"/>
              <w:framePr w:hSpace="181" w:wrap="notBeside" w:vAnchor="text" w:hAnchor="text" w:xAlign="center" w:y="1"/>
              <w:jc w:val="left"/>
              <w:rPr>
                <w:b/>
                <w:i/>
              </w:rPr>
            </w:pPr>
            <w:r>
              <w:t>Average increase in unavailability as a percentage of design unavailability</w:t>
            </w:r>
          </w:p>
        </w:tc>
        <w:tc>
          <w:tcPr>
            <w:tcW w:w="1867" w:type="dxa"/>
            <w:tcBorders>
              <w:left w:val="single" w:sz="4" w:space="0" w:color="auto"/>
              <w:right w:val="single" w:sz="4" w:space="0" w:color="auto"/>
            </w:tcBorders>
          </w:tcPr>
          <w:p w:rsidR="003B60B7" w:rsidRDefault="003B60B7" w:rsidP="00636600">
            <w:pPr>
              <w:pStyle w:val="Tabletext"/>
              <w:framePr w:hSpace="181" w:wrap="notBeside" w:vAnchor="text" w:hAnchor="text" w:xAlign="center" w:y="1"/>
              <w:jc w:val="left"/>
              <w:rPr>
                <w:b/>
                <w:i/>
                <w:lang w:val="en-US"/>
              </w:rPr>
            </w:pPr>
            <w:r>
              <w:rPr>
                <w:i/>
                <w:iCs/>
                <w:lang w:val="en-US"/>
              </w:rPr>
              <w:t>Z</w:t>
            </w:r>
            <w:r>
              <w:rPr>
                <w:i/>
                <w:iCs/>
                <w:position w:val="-4"/>
                <w:sz w:val="18"/>
                <w:lang w:val="en-US"/>
              </w:rPr>
              <w:t>k</w:t>
            </w:r>
            <w:r>
              <w:rPr>
                <w:lang w:val="en-US"/>
              </w:rPr>
              <w:t>%</w:t>
            </w:r>
          </w:p>
        </w:tc>
      </w:tr>
      <w:tr w:rsidR="003B60B7" w:rsidTr="00636600">
        <w:trPr>
          <w:jc w:val="center"/>
        </w:trPr>
        <w:tc>
          <w:tcPr>
            <w:tcW w:w="6989" w:type="dxa"/>
            <w:tcBorders>
              <w:left w:val="single" w:sz="4" w:space="0" w:color="auto"/>
              <w:right w:val="single" w:sz="4" w:space="0" w:color="auto"/>
            </w:tcBorders>
          </w:tcPr>
          <w:p w:rsidR="003B60B7" w:rsidRDefault="003B60B7" w:rsidP="00636600">
            <w:pPr>
              <w:pStyle w:val="Tabletext"/>
              <w:framePr w:hSpace="181" w:wrap="notBeside" w:vAnchor="text" w:hAnchor="text" w:xAlign="center" w:y="1"/>
              <w:jc w:val="left"/>
              <w:rPr>
                <w:i/>
                <w:lang w:val="en-US"/>
              </w:rPr>
            </w:pPr>
            <w:r>
              <w:rPr>
                <w:lang w:val="en-US"/>
              </w:rPr>
              <w:t>Percentage of possible FS receivers meeting or exceeding the degraded availability “</w:t>
            </w:r>
            <w:r>
              <w:rPr>
                <w:i/>
                <w:lang w:val="en-US"/>
              </w:rPr>
              <w:t>V</w:t>
            </w:r>
            <w:r>
              <w:rPr>
                <w:i/>
                <w:iCs/>
                <w:position w:val="-4"/>
                <w:sz w:val="18"/>
                <w:lang w:val="en-US"/>
              </w:rPr>
              <w:t>k</w:t>
            </w:r>
            <w:r>
              <w:rPr>
                <w:lang w:val="en-US"/>
              </w:rPr>
              <w:t> = </w:t>
            </w:r>
            <w:r>
              <w:rPr>
                <w:iCs/>
                <w:lang w:val="en-US"/>
              </w:rPr>
              <w:t>(100</w:t>
            </w:r>
            <w:r>
              <w:rPr>
                <w:i/>
                <w:lang w:val="en-US"/>
              </w:rPr>
              <w:t> – Z</w:t>
            </w:r>
            <w:r>
              <w:rPr>
                <w:position w:val="-4"/>
                <w:sz w:val="18"/>
                <w:lang w:val="en-US"/>
              </w:rPr>
              <w:t>0 </w:t>
            </w:r>
            <w:r>
              <w:rPr>
                <w:i/>
                <w:lang w:val="en-US"/>
              </w:rPr>
              <w:t>– Z</w:t>
            </w:r>
            <w:r>
              <w:rPr>
                <w:i/>
                <w:iCs/>
                <w:position w:val="-4"/>
                <w:sz w:val="18"/>
                <w:lang w:val="en-US"/>
              </w:rPr>
              <w:t>k</w:t>
            </w:r>
            <w:r>
              <w:rPr>
                <w:i/>
                <w:lang w:val="en-US"/>
              </w:rPr>
              <w:t xml:space="preserve"> Z</w:t>
            </w:r>
            <w:r>
              <w:rPr>
                <w:position w:val="-4"/>
                <w:sz w:val="18"/>
                <w:lang w:val="en-US"/>
              </w:rPr>
              <w:t>0</w:t>
            </w:r>
            <w:r>
              <w:rPr>
                <w:i/>
                <w:lang w:val="en-US"/>
              </w:rPr>
              <w:t>/</w:t>
            </w:r>
            <w:r>
              <w:rPr>
                <w:iCs/>
                <w:lang w:val="en-US"/>
              </w:rPr>
              <w:t>100</w:t>
            </w:r>
            <w:r>
              <w:rPr>
                <w:i/>
                <w:vertAlign w:val="subscript"/>
                <w:lang w:val="en-US"/>
              </w:rPr>
              <w:t xml:space="preserve"> </w:t>
            </w:r>
            <w:r>
              <w:rPr>
                <w:iCs/>
                <w:lang w:val="en-US"/>
              </w:rPr>
              <w:t>)</w:t>
            </w:r>
            <w:r>
              <w:rPr>
                <w:lang w:val="en-US"/>
              </w:rPr>
              <w:t>%” in the presence of FSS interference</w:t>
            </w:r>
          </w:p>
        </w:tc>
        <w:tc>
          <w:tcPr>
            <w:tcW w:w="1867" w:type="dxa"/>
            <w:tcBorders>
              <w:left w:val="single" w:sz="4" w:space="0" w:color="auto"/>
              <w:right w:val="single" w:sz="4" w:space="0" w:color="auto"/>
            </w:tcBorders>
          </w:tcPr>
          <w:p w:rsidR="003B60B7" w:rsidRDefault="003B60B7" w:rsidP="00636600">
            <w:pPr>
              <w:pStyle w:val="Tabletext"/>
              <w:framePr w:hSpace="181" w:wrap="notBeside" w:vAnchor="text" w:hAnchor="text" w:xAlign="center" w:y="1"/>
              <w:jc w:val="left"/>
              <w:rPr>
                <w:i/>
              </w:rPr>
            </w:pPr>
            <w:r>
              <w:rPr>
                <w:i/>
              </w:rPr>
              <w:t>Y</w:t>
            </w:r>
            <w:r>
              <w:rPr>
                <w:i/>
                <w:iCs/>
                <w:position w:val="-4"/>
                <w:sz w:val="18"/>
                <w:lang w:val="en-US"/>
              </w:rPr>
              <w:t>k</w:t>
            </w:r>
            <w:r>
              <w:t>%</w:t>
            </w:r>
          </w:p>
        </w:tc>
      </w:tr>
      <w:tr w:rsidR="003B60B7" w:rsidTr="00636600">
        <w:trPr>
          <w:cantSplit/>
          <w:jc w:val="center"/>
        </w:trPr>
        <w:tc>
          <w:tcPr>
            <w:tcW w:w="8856" w:type="dxa"/>
            <w:gridSpan w:val="2"/>
            <w:tcBorders>
              <w:left w:val="single" w:sz="4" w:space="0" w:color="auto"/>
              <w:right w:val="single" w:sz="4" w:space="0" w:color="auto"/>
            </w:tcBorders>
          </w:tcPr>
          <w:p w:rsidR="003B60B7" w:rsidRDefault="003B60B7" w:rsidP="00636600">
            <w:pPr>
              <w:pStyle w:val="Tabletext"/>
              <w:framePr w:hSpace="181" w:wrap="notBeside" w:vAnchor="text" w:hAnchor="text" w:xAlign="center" w:y="1"/>
              <w:jc w:val="center"/>
              <w:rPr>
                <w:bCs/>
                <w:i/>
                <w:lang w:val="en-US"/>
              </w:rPr>
            </w:pPr>
            <w:r>
              <w:rPr>
                <w:bCs/>
                <w:i/>
                <w:lang w:val="en-US"/>
              </w:rPr>
              <w:t xml:space="preserve">k = </w:t>
            </w:r>
            <w:r>
              <w:rPr>
                <w:bCs/>
                <w:iCs/>
                <w:lang w:val="en-US"/>
              </w:rPr>
              <w:t>1, …,</w:t>
            </w:r>
            <w:r>
              <w:rPr>
                <w:bCs/>
                <w:i/>
                <w:lang w:val="en-US"/>
              </w:rPr>
              <w:t xml:space="preserve"> n </w:t>
            </w:r>
            <w:r>
              <w:rPr>
                <w:bCs/>
                <w:lang w:val="en-US"/>
              </w:rPr>
              <w:t>(</w:t>
            </w:r>
            <w:r>
              <w:rPr>
                <w:bCs/>
                <w:i/>
                <w:lang w:val="en-US"/>
              </w:rPr>
              <w:t>n</w:t>
            </w:r>
            <w:r>
              <w:rPr>
                <w:bCs/>
                <w:lang w:val="en-US"/>
              </w:rPr>
              <w:t> = to be determined)</w:t>
            </w:r>
          </w:p>
        </w:tc>
      </w:tr>
    </w:tbl>
    <w:p w:rsidR="003B60B7" w:rsidRDefault="003B60B7" w:rsidP="003B60B7">
      <w:pPr>
        <w:pStyle w:val="Tablefin"/>
      </w:pPr>
    </w:p>
    <w:p w:rsidR="003B60B7" w:rsidRDefault="003B60B7" w:rsidP="003B60B7">
      <w:pPr>
        <w:spacing w:line="280" w:lineRule="exact"/>
        <w:rPr>
          <w:bCs/>
          <w:lang w:val="en-US"/>
        </w:rPr>
      </w:pPr>
      <w:r>
        <w:rPr>
          <w:lang w:val="en-GB"/>
        </w:rPr>
        <w:br w:type="page"/>
      </w:r>
      <w:r>
        <w:rPr>
          <w:bCs/>
          <w:i/>
          <w:lang w:val="en-US"/>
        </w:rPr>
        <w:lastRenderedPageBreak/>
        <w:t>W</w:t>
      </w:r>
      <w:r>
        <w:rPr>
          <w:i/>
          <w:iCs/>
          <w:position w:val="-4"/>
          <w:sz w:val="20"/>
          <w:lang w:val="en-US"/>
        </w:rPr>
        <w:t>j</w:t>
      </w:r>
      <w:r>
        <w:rPr>
          <w:bCs/>
          <w:lang w:val="en-US"/>
        </w:rPr>
        <w:t xml:space="preserve"> and </w:t>
      </w:r>
      <w:r>
        <w:rPr>
          <w:bCs/>
          <w:i/>
          <w:lang w:val="en-US"/>
        </w:rPr>
        <w:t>Y</w:t>
      </w:r>
      <w:r>
        <w:rPr>
          <w:i/>
          <w:iCs/>
          <w:position w:val="-4"/>
          <w:sz w:val="20"/>
          <w:lang w:val="en-US"/>
        </w:rPr>
        <w:t>k</w:t>
      </w:r>
      <w:r>
        <w:rPr>
          <w:bCs/>
          <w:lang w:val="en-US"/>
        </w:rPr>
        <w:t xml:space="preserve"> will be associated with high percentiles of possible receivers for </w:t>
      </w:r>
      <w:r>
        <w:rPr>
          <w:bCs/>
          <w:iCs/>
          <w:lang w:val="en-US"/>
        </w:rPr>
        <w:t>P-MP</w:t>
      </w:r>
      <w:r>
        <w:rPr>
          <w:bCs/>
          <w:lang w:val="en-US"/>
        </w:rPr>
        <w:t xml:space="preserve"> and </w:t>
      </w:r>
      <w:r>
        <w:rPr>
          <w:bCs/>
          <w:iCs/>
          <w:lang w:val="en-US"/>
        </w:rPr>
        <w:t>P-P</w:t>
      </w:r>
      <w:r>
        <w:rPr>
          <w:bCs/>
          <w:i/>
          <w:lang w:val="en-US"/>
        </w:rPr>
        <w:t xml:space="preserve"> </w:t>
      </w:r>
      <w:r>
        <w:rPr>
          <w:bCs/>
          <w:lang w:val="en-US"/>
        </w:rPr>
        <w:t xml:space="preserve">systems respectively such that the increases in unavailability </w:t>
      </w:r>
      <w:r>
        <w:rPr>
          <w:bCs/>
          <w:i/>
          <w:lang w:val="en-US"/>
        </w:rPr>
        <w:t>X</w:t>
      </w:r>
      <w:r>
        <w:rPr>
          <w:i/>
          <w:iCs/>
          <w:position w:val="-4"/>
          <w:sz w:val="20"/>
          <w:lang w:val="en-US"/>
        </w:rPr>
        <w:t>j</w:t>
      </w:r>
      <w:r>
        <w:rPr>
          <w:bCs/>
          <w:lang w:val="en-US"/>
        </w:rPr>
        <w:t xml:space="preserve"> and </w:t>
      </w:r>
      <w:r>
        <w:rPr>
          <w:bCs/>
          <w:i/>
          <w:lang w:val="en-US"/>
        </w:rPr>
        <w:t>Z</w:t>
      </w:r>
      <w:r>
        <w:rPr>
          <w:i/>
          <w:iCs/>
          <w:position w:val="-4"/>
          <w:sz w:val="20"/>
          <w:lang w:val="en-US"/>
        </w:rPr>
        <w:t>k</w:t>
      </w:r>
      <w:r>
        <w:rPr>
          <w:bCs/>
          <w:lang w:val="en-US"/>
        </w:rPr>
        <w:t xml:space="preserve"> associated with the remaining (</w:t>
      </w:r>
      <w:r>
        <w:rPr>
          <w:bCs/>
          <w:iCs/>
          <w:lang w:val="en-US"/>
        </w:rPr>
        <w:t>100 </w:t>
      </w:r>
      <w:r>
        <w:rPr>
          <w:bCs/>
          <w:i/>
          <w:position w:val="12"/>
          <w:lang w:val="en-US"/>
        </w:rPr>
        <w:t>_</w:t>
      </w:r>
      <w:r>
        <w:rPr>
          <w:bCs/>
          <w:i/>
          <w:lang w:val="en-US"/>
        </w:rPr>
        <w:t> W</w:t>
      </w:r>
      <w:r>
        <w:rPr>
          <w:i/>
          <w:iCs/>
          <w:position w:val="-4"/>
          <w:sz w:val="20"/>
          <w:lang w:val="en-US"/>
        </w:rPr>
        <w:t>j</w:t>
      </w:r>
      <w:r>
        <w:rPr>
          <w:i/>
          <w:iCs/>
          <w:position w:val="-4"/>
          <w:sz w:val="8"/>
          <w:lang w:val="en-US"/>
        </w:rPr>
        <w:t> </w:t>
      </w:r>
      <w:r>
        <w:rPr>
          <w:bCs/>
          <w:iCs/>
          <w:lang w:val="en-US"/>
        </w:rPr>
        <w:t>)%</w:t>
      </w:r>
      <w:r>
        <w:rPr>
          <w:bCs/>
          <w:lang w:val="en-US"/>
        </w:rPr>
        <w:t xml:space="preserve"> and (</w:t>
      </w:r>
      <w:r>
        <w:rPr>
          <w:bCs/>
          <w:iCs/>
          <w:lang w:val="en-US"/>
        </w:rPr>
        <w:t>100 </w:t>
      </w:r>
      <w:r>
        <w:rPr>
          <w:bCs/>
          <w:i/>
          <w:lang w:val="en-US"/>
        </w:rPr>
        <w:t>– Y</w:t>
      </w:r>
      <w:r>
        <w:rPr>
          <w:i/>
          <w:iCs/>
          <w:position w:val="-4"/>
          <w:sz w:val="20"/>
          <w:lang w:val="en-US"/>
        </w:rPr>
        <w:t>k</w:t>
      </w:r>
      <w:r>
        <w:rPr>
          <w:i/>
          <w:iCs/>
          <w:position w:val="-4"/>
          <w:sz w:val="8"/>
          <w:lang w:val="en-US"/>
        </w:rPr>
        <w:t> </w:t>
      </w:r>
      <w:r>
        <w:rPr>
          <w:bCs/>
          <w:iCs/>
          <w:lang w:val="en-US"/>
        </w:rPr>
        <w:t>)%</w:t>
      </w:r>
      <w:r>
        <w:rPr>
          <w:bCs/>
          <w:lang w:val="en-US"/>
        </w:rPr>
        <w:t xml:space="preserve"> of possible receivers are minimized.</w:t>
      </w:r>
    </w:p>
    <w:p w:rsidR="003B60B7" w:rsidRDefault="003B60B7" w:rsidP="003B60B7">
      <w:pPr>
        <w:spacing w:line="280" w:lineRule="exact"/>
        <w:rPr>
          <w:bCs/>
          <w:lang w:val="en-US"/>
        </w:rPr>
      </w:pPr>
      <w:r>
        <w:rPr>
          <w:bCs/>
          <w:lang w:val="en-US"/>
        </w:rPr>
        <w:t xml:space="preserve">In Table 3, given an increase in possible percentages of receivers </w:t>
      </w:r>
      <w:r>
        <w:rPr>
          <w:bCs/>
          <w:i/>
          <w:lang w:val="en-US"/>
        </w:rPr>
        <w:t>W</w:t>
      </w:r>
      <w:r>
        <w:rPr>
          <w:i/>
          <w:iCs/>
          <w:position w:val="-4"/>
          <w:sz w:val="20"/>
          <w:lang w:val="en-US"/>
        </w:rPr>
        <w:t>j+</w:t>
      </w:r>
      <w:r>
        <w:rPr>
          <w:position w:val="-4"/>
          <w:sz w:val="20"/>
          <w:lang w:val="en-US"/>
        </w:rPr>
        <w:t>1</w:t>
      </w:r>
      <w:r>
        <w:rPr>
          <w:bCs/>
          <w:lang w:val="en-US"/>
        </w:rPr>
        <w:t xml:space="preserve"> &gt; </w:t>
      </w:r>
      <w:r>
        <w:rPr>
          <w:bCs/>
          <w:i/>
          <w:lang w:val="en-US"/>
        </w:rPr>
        <w:t>W</w:t>
      </w:r>
      <w:r>
        <w:rPr>
          <w:i/>
          <w:iCs/>
          <w:position w:val="-4"/>
          <w:sz w:val="20"/>
          <w:lang w:val="en-US"/>
        </w:rPr>
        <w:t>j</w:t>
      </w:r>
      <w:r>
        <w:rPr>
          <w:bCs/>
          <w:i/>
          <w:lang w:val="en-US"/>
        </w:rPr>
        <w:t xml:space="preserve"> </w:t>
      </w:r>
      <w:r>
        <w:rPr>
          <w:bCs/>
          <w:lang w:val="en-US"/>
        </w:rPr>
        <w:t xml:space="preserve">and </w:t>
      </w:r>
      <w:r>
        <w:rPr>
          <w:bCs/>
          <w:i/>
          <w:lang w:val="en-US"/>
        </w:rPr>
        <w:t>Y</w:t>
      </w:r>
      <w:r>
        <w:rPr>
          <w:i/>
          <w:iCs/>
          <w:position w:val="-4"/>
          <w:sz w:val="20"/>
          <w:lang w:val="en-US"/>
        </w:rPr>
        <w:t>k+</w:t>
      </w:r>
      <w:r>
        <w:rPr>
          <w:position w:val="-4"/>
          <w:sz w:val="20"/>
          <w:lang w:val="en-US"/>
        </w:rPr>
        <w:t>1</w:t>
      </w:r>
      <w:r>
        <w:rPr>
          <w:bCs/>
          <w:lang w:val="en-US"/>
        </w:rPr>
        <w:t xml:space="preserve"> &gt; </w:t>
      </w:r>
      <w:r>
        <w:rPr>
          <w:bCs/>
          <w:i/>
          <w:lang w:val="en-US"/>
        </w:rPr>
        <w:t>Y</w:t>
      </w:r>
      <w:r>
        <w:rPr>
          <w:i/>
          <w:iCs/>
          <w:position w:val="-4"/>
          <w:sz w:val="20"/>
          <w:lang w:val="en-US"/>
        </w:rPr>
        <w:t xml:space="preserve">k </w:t>
      </w:r>
      <w:r>
        <w:rPr>
          <w:bCs/>
          <w:lang w:val="en-US"/>
        </w:rPr>
        <w:t xml:space="preserve">the resulting increases in unavailability will result in </w:t>
      </w:r>
      <w:r>
        <w:rPr>
          <w:bCs/>
          <w:i/>
          <w:lang w:val="en-US"/>
        </w:rPr>
        <w:t>X</w:t>
      </w:r>
      <w:r>
        <w:rPr>
          <w:i/>
          <w:iCs/>
          <w:position w:val="-4"/>
          <w:sz w:val="20"/>
          <w:lang w:val="en-US"/>
        </w:rPr>
        <w:t>j+</w:t>
      </w:r>
      <w:r>
        <w:rPr>
          <w:position w:val="-4"/>
          <w:sz w:val="20"/>
          <w:lang w:val="en-US"/>
        </w:rPr>
        <w:t>1</w:t>
      </w:r>
      <w:r>
        <w:rPr>
          <w:bCs/>
          <w:lang w:val="en-US"/>
        </w:rPr>
        <w:t xml:space="preserve"> &gt; </w:t>
      </w:r>
      <w:r>
        <w:rPr>
          <w:bCs/>
          <w:i/>
          <w:lang w:val="en-US"/>
        </w:rPr>
        <w:t>X</w:t>
      </w:r>
      <w:r>
        <w:rPr>
          <w:i/>
          <w:iCs/>
          <w:position w:val="-4"/>
          <w:sz w:val="20"/>
          <w:lang w:val="en-US"/>
        </w:rPr>
        <w:t xml:space="preserve">j </w:t>
      </w:r>
      <w:r>
        <w:rPr>
          <w:bCs/>
          <w:lang w:val="en-US"/>
        </w:rPr>
        <w:t xml:space="preserve">and </w:t>
      </w:r>
      <w:r>
        <w:rPr>
          <w:bCs/>
          <w:i/>
          <w:lang w:val="en-US"/>
        </w:rPr>
        <w:t>Z</w:t>
      </w:r>
      <w:r>
        <w:rPr>
          <w:i/>
          <w:iCs/>
          <w:position w:val="-4"/>
          <w:sz w:val="20"/>
          <w:lang w:val="en-US"/>
        </w:rPr>
        <w:t>k+</w:t>
      </w:r>
      <w:r>
        <w:rPr>
          <w:position w:val="-4"/>
          <w:sz w:val="20"/>
          <w:lang w:val="en-US"/>
        </w:rPr>
        <w:t>1</w:t>
      </w:r>
      <w:r>
        <w:rPr>
          <w:bCs/>
          <w:lang w:val="en-US"/>
        </w:rPr>
        <w:t xml:space="preserve"> &gt; </w:t>
      </w:r>
      <w:r>
        <w:rPr>
          <w:bCs/>
          <w:i/>
          <w:lang w:val="en-US"/>
        </w:rPr>
        <w:t>Z</w:t>
      </w:r>
      <w:r>
        <w:rPr>
          <w:i/>
          <w:iCs/>
          <w:position w:val="-4"/>
          <w:sz w:val="20"/>
          <w:lang w:val="en-US"/>
        </w:rPr>
        <w:t>k</w:t>
      </w:r>
      <w:r>
        <w:t>.</w:t>
      </w:r>
    </w:p>
    <w:p w:rsidR="003B60B7" w:rsidRDefault="003B60B7" w:rsidP="003B60B7">
      <w:pPr>
        <w:rPr>
          <w:bCs/>
          <w:lang w:val="en-US"/>
        </w:rPr>
      </w:pPr>
      <w:r>
        <w:rPr>
          <w:bCs/>
          <w:lang w:val="en-US"/>
        </w:rPr>
        <w:t>This model considers FS system availability in the presence of interference of GSO FSS satellites in an environment in which, attenuation due to precipitation is the predominant limit on FS system availability.</w:t>
      </w:r>
    </w:p>
    <w:p w:rsidR="003B60B7" w:rsidRDefault="003B60B7" w:rsidP="003B60B7">
      <w:pPr>
        <w:spacing w:line="280" w:lineRule="exact"/>
        <w:rPr>
          <w:bCs/>
          <w:lang w:val="en-US"/>
        </w:rPr>
      </w:pPr>
      <w:r>
        <w:rPr>
          <w:bCs/>
          <w:lang w:val="en-US"/>
        </w:rPr>
        <w:t>Note that in Table 3, in the case of P-MP, systems may be designed to different levels of availability (100 – </w:t>
      </w:r>
      <w:r>
        <w:rPr>
          <w:bCs/>
          <w:i/>
          <w:iCs/>
          <w:lang w:val="en-US"/>
        </w:rPr>
        <w:t>X</w:t>
      </w:r>
      <w:r>
        <w:rPr>
          <w:position w:val="-4"/>
          <w:sz w:val="20"/>
          <w:lang w:val="en-US"/>
        </w:rPr>
        <w:t>0</w:t>
      </w:r>
      <w:r>
        <w:rPr>
          <w:bCs/>
          <w:lang w:val="en-US"/>
        </w:rPr>
        <w:t xml:space="preserve">)%. In the presence of FSS interference, the statistical distribution of the percentage increases in unavailability </w:t>
      </w:r>
      <w:r>
        <w:rPr>
          <w:bCs/>
          <w:i/>
          <w:lang w:val="en-US"/>
        </w:rPr>
        <w:t>X</w:t>
      </w:r>
      <w:r>
        <w:rPr>
          <w:i/>
          <w:iCs/>
          <w:position w:val="-4"/>
          <w:sz w:val="20"/>
          <w:lang w:val="en-US"/>
        </w:rPr>
        <w:t>j</w:t>
      </w:r>
      <w:r>
        <w:rPr>
          <w:bCs/>
          <w:vertAlign w:val="subscript"/>
          <w:lang w:val="en-US"/>
        </w:rPr>
        <w:t xml:space="preserve"> </w:t>
      </w:r>
      <w:r>
        <w:rPr>
          <w:bCs/>
          <w:lang w:val="en-US"/>
        </w:rPr>
        <w:t xml:space="preserve">associated with the percentages of affected FS receivers </w:t>
      </w:r>
      <w:r>
        <w:rPr>
          <w:bCs/>
          <w:i/>
          <w:lang w:val="en-US"/>
        </w:rPr>
        <w:t>W</w:t>
      </w:r>
      <w:r>
        <w:rPr>
          <w:i/>
          <w:iCs/>
          <w:position w:val="-4"/>
          <w:sz w:val="20"/>
          <w:lang w:val="en-US"/>
        </w:rPr>
        <w:t>j</w:t>
      </w:r>
      <w:r>
        <w:rPr>
          <w:position w:val="-4"/>
          <w:sz w:val="20"/>
          <w:lang w:val="en-US"/>
        </w:rPr>
        <w:t xml:space="preserve"> </w:t>
      </w:r>
      <w:r>
        <w:rPr>
          <w:bCs/>
          <w:lang w:val="en-US"/>
        </w:rPr>
        <w:t>will depend upon the designed availability (100 – </w:t>
      </w:r>
      <w:r>
        <w:rPr>
          <w:bCs/>
          <w:i/>
          <w:iCs/>
          <w:lang w:val="en-US"/>
        </w:rPr>
        <w:t>X</w:t>
      </w:r>
      <w:r>
        <w:rPr>
          <w:position w:val="-4"/>
          <w:sz w:val="20"/>
          <w:lang w:val="en-US"/>
        </w:rPr>
        <w:t>0</w:t>
      </w:r>
      <w:r>
        <w:rPr>
          <w:bCs/>
          <w:lang w:val="en-US"/>
        </w:rPr>
        <w:t xml:space="preserve">)%. Thus, the percentage of receivers </w:t>
      </w:r>
      <w:r>
        <w:rPr>
          <w:bCs/>
          <w:i/>
          <w:lang w:val="en-US"/>
        </w:rPr>
        <w:t>W</w:t>
      </w:r>
      <w:r>
        <w:rPr>
          <w:i/>
          <w:iCs/>
          <w:position w:val="-4"/>
          <w:sz w:val="20"/>
          <w:lang w:val="en-US"/>
        </w:rPr>
        <w:t xml:space="preserve">j </w:t>
      </w:r>
      <w:r>
        <w:rPr>
          <w:bCs/>
          <w:lang w:val="en-US"/>
        </w:rPr>
        <w:t xml:space="preserve">meeting or exceeding the degraded availability </w:t>
      </w:r>
      <w:r>
        <w:rPr>
          <w:bCs/>
          <w:i/>
          <w:lang w:val="en-US"/>
        </w:rPr>
        <w:t>U</w:t>
      </w:r>
      <w:r>
        <w:rPr>
          <w:i/>
          <w:iCs/>
          <w:position w:val="-4"/>
          <w:sz w:val="20"/>
          <w:lang w:val="en-US"/>
        </w:rPr>
        <w:t>j</w:t>
      </w:r>
      <w:r>
        <w:rPr>
          <w:bCs/>
          <w:lang w:val="en-US"/>
        </w:rPr>
        <w:t xml:space="preserve"> is dependent upon the value of </w:t>
      </w:r>
      <w:r>
        <w:rPr>
          <w:bCs/>
          <w:i/>
          <w:iCs/>
          <w:lang w:val="en-US"/>
        </w:rPr>
        <w:t>X</w:t>
      </w:r>
      <w:r>
        <w:rPr>
          <w:position w:val="-4"/>
          <w:sz w:val="20"/>
          <w:lang w:val="en-US"/>
        </w:rPr>
        <w:t>0</w:t>
      </w:r>
      <w:r>
        <w:rPr>
          <w:bCs/>
          <w:lang w:val="en-US"/>
        </w:rPr>
        <w:t xml:space="preserve">. The values of </w:t>
      </w:r>
      <w:r>
        <w:rPr>
          <w:bCs/>
          <w:i/>
          <w:lang w:val="en-US"/>
        </w:rPr>
        <w:t>W</w:t>
      </w:r>
      <w:r>
        <w:rPr>
          <w:i/>
          <w:iCs/>
          <w:position w:val="-4"/>
          <w:sz w:val="20"/>
          <w:lang w:val="en-US"/>
        </w:rPr>
        <w:t>j</w:t>
      </w:r>
      <w:r>
        <w:rPr>
          <w:bCs/>
          <w:lang w:val="en-US"/>
        </w:rPr>
        <w:t xml:space="preserve"> are design objectives against which performance can be compared only following an iterative application of the methodology. Agreement would be required as to the percentage of FS receivers </w:t>
      </w:r>
      <w:r>
        <w:rPr>
          <w:bCs/>
          <w:i/>
          <w:lang w:val="en-US"/>
        </w:rPr>
        <w:t>W</w:t>
      </w:r>
      <w:r>
        <w:rPr>
          <w:i/>
          <w:iCs/>
          <w:position w:val="-4"/>
          <w:sz w:val="20"/>
          <w:lang w:val="en-US"/>
        </w:rPr>
        <w:t>j</w:t>
      </w:r>
      <w:r>
        <w:rPr>
          <w:bCs/>
          <w:lang w:val="en-US"/>
        </w:rPr>
        <w:t xml:space="preserve"> that meet or exceed various levels of degraded availability. For a </w:t>
      </w:r>
      <w:r>
        <w:rPr>
          <w:bCs/>
          <w:iCs/>
          <w:lang w:val="en-US"/>
        </w:rPr>
        <w:t>P-P</w:t>
      </w:r>
      <w:r>
        <w:rPr>
          <w:bCs/>
          <w:lang w:val="en-US"/>
        </w:rPr>
        <w:t xml:space="preserve"> system, for given values of designed availability (100 – </w:t>
      </w:r>
      <w:r>
        <w:rPr>
          <w:bCs/>
          <w:i/>
          <w:iCs/>
          <w:lang w:val="en-US"/>
        </w:rPr>
        <w:t>Z</w:t>
      </w:r>
      <w:r>
        <w:rPr>
          <w:position w:val="-4"/>
          <w:sz w:val="20"/>
          <w:lang w:val="en-US"/>
        </w:rPr>
        <w:t>0</w:t>
      </w:r>
      <w:r>
        <w:rPr>
          <w:bCs/>
          <w:lang w:val="en-US"/>
        </w:rPr>
        <w:t xml:space="preserve">)%, the values of </w:t>
      </w:r>
      <w:r>
        <w:rPr>
          <w:bCs/>
          <w:i/>
          <w:lang w:val="en-US"/>
        </w:rPr>
        <w:t>Y</w:t>
      </w:r>
      <w:r>
        <w:rPr>
          <w:i/>
          <w:iCs/>
          <w:position w:val="-4"/>
          <w:sz w:val="20"/>
          <w:lang w:val="en-US"/>
        </w:rPr>
        <w:t>k</w:t>
      </w:r>
      <w:r>
        <w:rPr>
          <w:bCs/>
          <w:vertAlign w:val="subscript"/>
          <w:lang w:val="en-US"/>
        </w:rPr>
        <w:t xml:space="preserve"> </w:t>
      </w:r>
      <w:r>
        <w:rPr>
          <w:bCs/>
          <w:lang w:val="en-US"/>
        </w:rPr>
        <w:t xml:space="preserve">associated with various levels of degraded availability </w:t>
      </w:r>
      <w:r>
        <w:rPr>
          <w:bCs/>
          <w:i/>
          <w:lang w:val="en-US"/>
        </w:rPr>
        <w:t>V</w:t>
      </w:r>
      <w:r>
        <w:rPr>
          <w:i/>
          <w:iCs/>
          <w:position w:val="-4"/>
          <w:sz w:val="20"/>
          <w:lang w:val="en-US"/>
        </w:rPr>
        <w:t>k</w:t>
      </w:r>
      <w:r>
        <w:rPr>
          <w:bCs/>
          <w:vertAlign w:val="subscript"/>
          <w:lang w:val="en-US"/>
        </w:rPr>
        <w:t xml:space="preserve"> </w:t>
      </w:r>
      <w:r>
        <w:rPr>
          <w:bCs/>
          <w:lang w:val="en-US"/>
        </w:rPr>
        <w:t xml:space="preserve">are similarly determined. This Recommendation does not provide values for </w:t>
      </w:r>
      <w:r>
        <w:rPr>
          <w:bCs/>
          <w:i/>
          <w:lang w:val="en-US"/>
        </w:rPr>
        <w:t xml:space="preserve">W, X, Y </w:t>
      </w:r>
      <w:r>
        <w:rPr>
          <w:bCs/>
          <w:iCs/>
          <w:lang w:val="en-US"/>
        </w:rPr>
        <w:t>and</w:t>
      </w:r>
      <w:r>
        <w:rPr>
          <w:bCs/>
          <w:i/>
          <w:lang w:val="en-US"/>
        </w:rPr>
        <w:t xml:space="preserve"> </w:t>
      </w:r>
      <w:r>
        <w:rPr>
          <w:bCs/>
          <w:i/>
          <w:iCs/>
          <w:lang w:val="en-US"/>
        </w:rPr>
        <w:t>Z</w:t>
      </w:r>
      <w:r>
        <w:rPr>
          <w:bCs/>
          <w:lang w:val="en-US"/>
        </w:rPr>
        <w:t xml:space="preserve"> and thus must be provided by the user of the methodology as sharing criteria.</w:t>
      </w:r>
    </w:p>
    <w:p w:rsidR="003B60B7" w:rsidRDefault="003B60B7" w:rsidP="003B60B7">
      <w:pPr>
        <w:rPr>
          <w:bCs/>
          <w:lang w:val="en-US"/>
        </w:rPr>
      </w:pPr>
    </w:p>
    <w:p w:rsidR="003B60B7" w:rsidRDefault="003B60B7" w:rsidP="003B60B7">
      <w:pPr>
        <w:rPr>
          <w:bCs/>
          <w:lang w:val="en-US"/>
        </w:rPr>
      </w:pPr>
    </w:p>
    <w:p w:rsidR="003B60B7" w:rsidRDefault="003B60B7" w:rsidP="003B60B7">
      <w:pPr>
        <w:pStyle w:val="Line"/>
      </w:pPr>
    </w:p>
    <w:sectPr w:rsidR="003B60B7"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F84" w:rsidRDefault="00662F84">
      <w:r>
        <w:separator/>
      </w:r>
    </w:p>
  </w:endnote>
  <w:endnote w:type="continuationSeparator" w:id="0">
    <w:p w:rsidR="00662F84" w:rsidRDefault="00662F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F84" w:rsidRDefault="00662F84">
      <w:r>
        <w:separator/>
      </w:r>
    </w:p>
  </w:footnote>
  <w:footnote w:type="continuationSeparator" w:id="0">
    <w:p w:rsidR="00662F84" w:rsidRDefault="00662F84">
      <w:r>
        <w:continuationSeparator/>
      </w:r>
    </w:p>
  </w:footnote>
  <w:footnote w:id="1">
    <w:p w:rsidR="00974813" w:rsidRPr="00974813" w:rsidRDefault="00974813">
      <w:pPr>
        <w:pStyle w:val="FootnoteText"/>
        <w:rPr>
          <w:lang w:val="en-US"/>
        </w:rPr>
      </w:pPr>
      <w:r>
        <w:rPr>
          <w:rStyle w:val="FootnoteReference"/>
        </w:rPr>
        <w:t>*</w:t>
      </w:r>
      <w:r>
        <w:tab/>
      </w:r>
      <w:r>
        <w:rPr>
          <w:lang w:val="en-GB"/>
        </w:rPr>
        <w:t>The methodology in Annex 1 concentrates on interference from GSO FSS systems. Further studies are required in order to ensure that this methodology is generally applicable to interference from non-GSO FSS systems.</w:t>
      </w:r>
    </w:p>
  </w:footnote>
  <w:footnote w:id="2">
    <w:p w:rsidR="0016670D" w:rsidRPr="0016670D" w:rsidRDefault="0016670D" w:rsidP="00974813">
      <w:pPr>
        <w:pStyle w:val="FootnoteText"/>
        <w:rPr>
          <w:lang w:val="en-US"/>
        </w:rPr>
      </w:pPr>
      <w:r>
        <w:rPr>
          <w:rStyle w:val="FootnoteReference"/>
        </w:rPr>
        <w:t>**</w:t>
      </w:r>
      <w:r>
        <w:tab/>
      </w:r>
      <w:r w:rsidR="00974813">
        <w:t xml:space="preserve">Radiocommunication </w:t>
      </w:r>
      <w:r>
        <w:t>Study Group 5 made editorial amendments to this Recommendation in December</w:t>
      </w:r>
      <w:r w:rsidR="00974813">
        <w:t> </w:t>
      </w:r>
      <w:r>
        <w:t>2009 in accordance with Resolution ITU-R 1.</w:t>
      </w:r>
    </w:p>
  </w:footnote>
  <w:footnote w:id="3">
    <w:p w:rsidR="003B60B7" w:rsidRDefault="003B60B7" w:rsidP="003B60B7">
      <w:pPr>
        <w:pStyle w:val="FootnoteText"/>
        <w:ind w:left="0" w:firstLine="0"/>
        <w:rPr>
          <w:lang w:val="en-GB"/>
        </w:rPr>
      </w:pPr>
      <w:r>
        <w:rPr>
          <w:rStyle w:val="FootnoteReference"/>
          <w:lang w:val="en-GB"/>
        </w:rPr>
        <w:t>1</w:t>
      </w:r>
      <w:r>
        <w:rPr>
          <w:lang w:val="en-GB"/>
        </w:rPr>
        <w:t xml:space="preserve"> </w:t>
      </w:r>
      <w:r>
        <w:rPr>
          <w:lang w:val="en-GB"/>
        </w:rPr>
        <w:tab/>
        <w:t xml:space="preserve">While the mean air pressure referred to sea level can be considered constant around the world (equal </w:t>
      </w:r>
      <w:r>
        <w:rPr>
          <w:lang w:val="en-GB"/>
        </w:rPr>
        <w:tab/>
        <w:t>to 1</w:t>
      </w:r>
      <w:r>
        <w:rPr>
          <w:rFonts w:ascii="Tms Rmn" w:hAnsi="Tms Rmn"/>
          <w:sz w:val="12"/>
          <w:lang w:val="en-GB"/>
        </w:rPr>
        <w:t> </w:t>
      </w:r>
      <w:r>
        <w:rPr>
          <w:lang w:val="en-GB"/>
        </w:rPr>
        <w:t xml:space="preserve">013 hPa), the water vapour density not only has a wide range of climatic variability but is measured </w:t>
      </w:r>
      <w:r>
        <w:rPr>
          <w:lang w:val="en-GB"/>
        </w:rPr>
        <w:tab/>
        <w:t xml:space="preserve">at the surface (i.e. at the height of the ground station). For values of surface water vapour density, </w:t>
      </w:r>
      <w:r>
        <w:rPr>
          <w:lang w:val="en-GB"/>
        </w:rPr>
        <w:tab/>
        <w:t>see Recommendations ITU-R P.836 and ITU-R P.453).</w:t>
      </w:r>
    </w:p>
  </w:footnote>
  <w:footnote w:id="4">
    <w:p w:rsidR="003B60B7" w:rsidRDefault="003B60B7" w:rsidP="003B60B7">
      <w:pPr>
        <w:pStyle w:val="FootnoteText"/>
        <w:rPr>
          <w:lang w:val="en-GB"/>
        </w:rPr>
      </w:pPr>
      <w:r>
        <w:rPr>
          <w:rStyle w:val="FootnoteReference"/>
          <w:lang w:val="en-GB"/>
        </w:rPr>
        <w:t>2</w:t>
      </w:r>
      <w:r>
        <w:rPr>
          <w:lang w:val="en-GB"/>
        </w:rPr>
        <w:t xml:space="preserve"> </w:t>
      </w:r>
      <w:r>
        <w:rPr>
          <w:lang w:val="en-GB"/>
        </w:rPr>
        <w:tab/>
        <w:t xml:space="preserve">In cases where there is a GSO FSS satellite visible within the main beam of the possible FS receive antenna, the amount of available margin will affect the value of </w:t>
      </w:r>
      <w:r>
        <w:rPr>
          <w:i/>
          <w:lang w:val="en-GB"/>
        </w:rPr>
        <w:t>A</w:t>
      </w:r>
      <w:r>
        <w:rPr>
          <w:iCs/>
          <w:lang w:val="en-GB"/>
        </w:rPr>
        <w:t>(</w:t>
      </w:r>
      <w:r>
        <w:rPr>
          <w:rFonts w:ascii="Tms Rmn" w:hAnsi="Tms Rmn"/>
          <w:iCs/>
          <w:sz w:val="16"/>
          <w:lang w:val="en-GB"/>
        </w:rPr>
        <w:t> </w:t>
      </w:r>
      <w:r>
        <w:rPr>
          <w:i/>
          <w:lang w:val="en-GB"/>
        </w:rPr>
        <w:t>p</w:t>
      </w:r>
      <w:r>
        <w:rPr>
          <w:iCs/>
          <w:lang w:val="en-GB"/>
        </w:rPr>
        <w:t>)</w:t>
      </w:r>
      <w:r>
        <w:rPr>
          <w:lang w:val="en-GB"/>
        </w:rPr>
        <w:t xml:space="preserve"> and the percentage time </w:t>
      </w:r>
      <w:r>
        <w:rPr>
          <w:i/>
          <w:lang w:val="en-GB"/>
        </w:rPr>
        <w:t>p</w:t>
      </w:r>
      <w:r>
        <w:rPr>
          <w:lang w:val="en-GB"/>
        </w:rPr>
        <w:t xml:space="preserve"> at which </w:t>
      </w:r>
      <w:r>
        <w:rPr>
          <w:i/>
          <w:iCs/>
        </w:rPr>
        <w:t>Ap</w:t>
      </w:r>
      <w:r>
        <w:rPr>
          <w:lang w:val="en-GB"/>
        </w:rPr>
        <w:t xml:space="preserve"> is evaluated. See § 6.4 for details on the recursive calculation procedure for </w:t>
      </w:r>
      <w:r>
        <w:rPr>
          <w:i/>
          <w:lang w:val="en-GB"/>
        </w:rPr>
        <w:t>p</w:t>
      </w:r>
      <w:r>
        <w:rPr>
          <w:lang w:val="en-GB"/>
        </w:rPr>
        <w:t>.</w:t>
      </w:r>
    </w:p>
  </w:footnote>
  <w:footnote w:id="5">
    <w:p w:rsidR="003B60B7" w:rsidRDefault="003B60B7" w:rsidP="003B60B7">
      <w:pPr>
        <w:pStyle w:val="FootnoteText"/>
        <w:rPr>
          <w:lang w:val="en-GB"/>
        </w:rPr>
      </w:pPr>
      <w:r>
        <w:rPr>
          <w:rStyle w:val="FootnoteReference"/>
          <w:lang w:val="en-GB"/>
        </w:rPr>
        <w:t>3</w:t>
      </w:r>
      <w:r>
        <w:rPr>
          <w:lang w:val="en-GB"/>
        </w:rPr>
        <w:t xml:space="preserve"> </w:t>
      </w:r>
      <w:r>
        <w:rPr>
          <w:lang w:val="en-GB"/>
        </w:rPr>
        <w:tab/>
      </w:r>
      <w:r>
        <w:rPr>
          <w:bCs/>
          <w:i/>
          <w:lang w:val="en-GB"/>
        </w:rPr>
        <w:t>A</w:t>
      </w:r>
      <w:r>
        <w:rPr>
          <w:lang w:val="en-GB"/>
        </w:rPr>
        <w:t>(</w:t>
      </w:r>
      <w:r>
        <w:rPr>
          <w:sz w:val="20"/>
          <w:lang w:val="en-GB"/>
        </w:rPr>
        <w:t xml:space="preserve"> </w:t>
      </w:r>
      <w:r>
        <w:rPr>
          <w:bCs/>
          <w:i/>
          <w:lang w:val="en-GB"/>
        </w:rPr>
        <w:t>p</w:t>
      </w:r>
      <w:r>
        <w:rPr>
          <w:lang w:val="en-GB"/>
        </w:rPr>
        <w:t>)</w:t>
      </w:r>
      <w:r>
        <w:rPr>
          <w:bCs/>
          <w:lang w:val="en-GB"/>
        </w:rPr>
        <w:t xml:space="preserve"> </w:t>
      </w:r>
      <w:r>
        <w:rPr>
          <w:rFonts w:ascii="Symbol" w:hAnsi="Symbol"/>
          <w:bCs/>
          <w:lang w:val="es-ES"/>
        </w:rPr>
        <w:t></w:t>
      </w:r>
      <w:r>
        <w:rPr>
          <w:bCs/>
          <w:lang w:val="en-GB"/>
        </w:rPr>
        <w:t xml:space="preserve"> 0, for the long-term, clear-sky case where </w:t>
      </w:r>
      <w:r>
        <w:rPr>
          <w:bCs/>
          <w:i/>
          <w:iCs/>
          <w:lang w:val="en-GB"/>
        </w:rPr>
        <w:t>p</w:t>
      </w:r>
      <w:r>
        <w:rPr>
          <w:bCs/>
          <w:lang w:val="en-GB"/>
        </w:rPr>
        <w:t> </w:t>
      </w:r>
      <w:r>
        <w:rPr>
          <w:rFonts w:ascii="Symbol" w:hAnsi="Symbol"/>
          <w:bCs/>
        </w:rPr>
        <w:sym w:font="Symbol" w:char="F0B3"/>
      </w:r>
      <w:r>
        <w:rPr>
          <w:bCs/>
          <w:lang w:val="en-GB"/>
        </w:rPr>
        <w:t> 20%.</w:t>
      </w:r>
    </w:p>
  </w:footnote>
  <w:footnote w:id="6">
    <w:p w:rsidR="003B60B7" w:rsidRDefault="003B60B7" w:rsidP="003B60B7">
      <w:pPr>
        <w:pStyle w:val="FootnoteText"/>
        <w:rPr>
          <w:lang w:val="en-GB"/>
        </w:rPr>
      </w:pPr>
      <w:r>
        <w:rPr>
          <w:rStyle w:val="FootnoteReference"/>
          <w:lang w:val="en-GB"/>
        </w:rPr>
        <w:t>4</w:t>
      </w:r>
      <w:r>
        <w:rPr>
          <w:lang w:val="en-GB"/>
        </w:rPr>
        <w:t xml:space="preserve"> </w:t>
      </w:r>
      <w:r>
        <w:rPr>
          <w:lang w:val="en-GB"/>
        </w:rPr>
        <w:tab/>
        <w:t>See Recommendation ITU-R P.453, equation (9).</w:t>
      </w:r>
    </w:p>
  </w:footnote>
  <w:footnote w:id="7">
    <w:p w:rsidR="003B60B7" w:rsidRDefault="003B60B7" w:rsidP="003B60B7">
      <w:pPr>
        <w:pStyle w:val="FootnoteText"/>
        <w:ind w:left="0" w:firstLine="0"/>
        <w:rPr>
          <w:lang w:val="en-GB"/>
        </w:rPr>
      </w:pPr>
      <w:r>
        <w:rPr>
          <w:rStyle w:val="FootnoteReference"/>
          <w:lang w:val="en-GB"/>
        </w:rPr>
        <w:t>5</w:t>
      </w:r>
      <w:r>
        <w:rPr>
          <w:lang w:val="en-GB"/>
        </w:rPr>
        <w:t xml:space="preserve"> </w:t>
      </w:r>
      <w:r>
        <w:rPr>
          <w:lang w:val="en-GB"/>
        </w:rPr>
        <w:tab/>
        <w:t xml:space="preserve">As defined by the off-axis angle from the boresight of an FS antenna modelled using Recommendation </w:t>
      </w:r>
      <w:r>
        <w:rPr>
          <w:lang w:val="en-GB"/>
        </w:rPr>
        <w:tab/>
        <w:t>ITU-R F.1245.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1B164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3B60B7"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C91B3E">
    <w:pPr>
      <w:pStyle w:val="Header"/>
      <w:jc w:val="left"/>
      <w:rPr>
        <w:lang w:val="en-US"/>
      </w:rPr>
    </w:pPr>
    <w:r>
      <w:rPr>
        <w:rStyle w:val="PageNumber"/>
        <w:b/>
        <w:bCs/>
      </w:rPr>
      <w:fldChar w:fldCharType="begin"/>
    </w:r>
    <w:r w:rsidR="001B164E">
      <w:rPr>
        <w:rStyle w:val="PageNumber"/>
        <w:b/>
        <w:bCs/>
        <w:lang w:val="en-US"/>
      </w:rPr>
      <w:instrText xml:space="preserve"> PAGE </w:instrText>
    </w:r>
    <w:r>
      <w:rPr>
        <w:rStyle w:val="PageNumber"/>
        <w:b/>
        <w:bCs/>
      </w:rPr>
      <w:fldChar w:fldCharType="separate"/>
    </w:r>
    <w:r w:rsidR="00974813">
      <w:rPr>
        <w:rStyle w:val="PageNumber"/>
        <w:b/>
        <w:bCs/>
        <w:noProof/>
        <w:lang w:val="en-US"/>
      </w:rPr>
      <w:t>2</w:t>
    </w:r>
    <w:r>
      <w:rPr>
        <w:rStyle w:val="PageNumber"/>
        <w:b/>
        <w:bCs/>
      </w:rPr>
      <w:fldChar w:fldCharType="end"/>
    </w:r>
    <w:r w:rsidR="001B164E">
      <w:rPr>
        <w:lang w:val="en-US"/>
      </w:rPr>
      <w:tab/>
    </w:r>
    <w:fldSimple w:instr=" DOCPROPERTY &quot;Header&quot; \* MERGEFORMAT ">
      <w:r w:rsidR="0016670D">
        <w:rPr>
          <w:b/>
          <w:bCs/>
          <w:lang w:val="en-US"/>
        </w:rPr>
        <w:t xml:space="preserve">Rec. </w:t>
      </w:r>
    </w:fldSimple>
    <w:r w:rsidR="001B164E">
      <w:rPr>
        <w:b/>
        <w:bCs/>
      </w:rPr>
      <w:t xml:space="preserve"> </w:t>
    </w:r>
    <w:r>
      <w:rPr>
        <w:b/>
        <w:bCs/>
      </w:rPr>
      <w:fldChar w:fldCharType="begin"/>
    </w:r>
    <w:r w:rsidR="001B164E">
      <w:rPr>
        <w:b/>
        <w:bCs/>
        <w:lang w:val="en-US"/>
      </w:rPr>
      <w:instrText>styleref href</w:instrText>
    </w:r>
    <w:r>
      <w:rPr>
        <w:b/>
        <w:bCs/>
      </w:rPr>
      <w:fldChar w:fldCharType="separate"/>
    </w:r>
    <w:r w:rsidR="00974813">
      <w:rPr>
        <w:b/>
        <w:bCs/>
        <w:noProof/>
      </w:rPr>
      <w:t>ITU-R  SF.1572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1B164E">
    <w:pPr>
      <w:pStyle w:val="Header"/>
    </w:pPr>
    <w:r>
      <w:tab/>
    </w:r>
    <w:fldSimple w:instr=" DOCPROPERTY &quot;Header&quot; \* MERGEFORMAT ">
      <w:r w:rsidR="0016670D">
        <w:rPr>
          <w:b/>
          <w:bCs/>
        </w:rPr>
        <w:t xml:space="preserve">Rec. </w:t>
      </w:r>
    </w:fldSimple>
    <w:r>
      <w:rPr>
        <w:b/>
        <w:bCs/>
      </w:rPr>
      <w:t xml:space="preserve"> </w:t>
    </w:r>
    <w:r w:rsidR="00C91B3E">
      <w:rPr>
        <w:b/>
        <w:bCs/>
      </w:rPr>
      <w:fldChar w:fldCharType="begin"/>
    </w:r>
    <w:r>
      <w:rPr>
        <w:b/>
        <w:bCs/>
      </w:rPr>
      <w:instrText>styleref href</w:instrText>
    </w:r>
    <w:r w:rsidR="00C91B3E">
      <w:rPr>
        <w:b/>
        <w:bCs/>
      </w:rPr>
      <w:fldChar w:fldCharType="separate"/>
    </w:r>
    <w:r w:rsidR="00974813">
      <w:rPr>
        <w:b/>
        <w:bCs/>
        <w:noProof/>
      </w:rPr>
      <w:t>ITU-R  SF.1572</w:t>
    </w:r>
    <w:r w:rsidR="00C91B3E">
      <w:rPr>
        <w:b/>
        <w:bCs/>
      </w:rPr>
      <w:fldChar w:fldCharType="end"/>
    </w:r>
    <w:r>
      <w:tab/>
    </w:r>
    <w:r w:rsidR="00C91B3E">
      <w:rPr>
        <w:rStyle w:val="PageNumber"/>
        <w:b/>
        <w:bCs/>
      </w:rPr>
      <w:fldChar w:fldCharType="begin"/>
    </w:r>
    <w:r>
      <w:rPr>
        <w:rStyle w:val="PageNumber"/>
        <w:b/>
        <w:bCs/>
      </w:rPr>
      <w:instrText xml:space="preserve"> PAGE </w:instrText>
    </w:r>
    <w:r w:rsidR="00C91B3E">
      <w:rPr>
        <w:rStyle w:val="PageNumber"/>
        <w:b/>
        <w:bCs/>
      </w:rPr>
      <w:fldChar w:fldCharType="separate"/>
    </w:r>
    <w:r w:rsidR="00974813">
      <w:rPr>
        <w:rStyle w:val="PageNumber"/>
        <w:b/>
        <w:bCs/>
        <w:noProof/>
      </w:rPr>
      <w:t>1</w:t>
    </w:r>
    <w:r w:rsidR="00C91B3E">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4B00E89"/>
    <w:multiLevelType w:val="multilevel"/>
    <w:tmpl w:val="F72A953A"/>
    <w:lvl w:ilvl="0">
      <w:start w:val="5"/>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4">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5">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8">
    <w:nsid w:val="22EC7028"/>
    <w:multiLevelType w:val="singleLevel"/>
    <w:tmpl w:val="1676EE82"/>
    <w:lvl w:ilvl="0">
      <w:numFmt w:val="bullet"/>
      <w:lvlText w:val="–"/>
      <w:lvlJc w:val="left"/>
      <w:pPr>
        <w:tabs>
          <w:tab w:val="num" w:pos="795"/>
        </w:tabs>
        <w:ind w:left="795" w:hanging="795"/>
      </w:pPr>
      <w:rPr>
        <w:rFonts w:hint="default"/>
      </w:rPr>
    </w:lvl>
  </w:abstractNum>
  <w:abstractNum w:abstractNumId="9">
    <w:nsid w:val="240215FB"/>
    <w:multiLevelType w:val="singleLevel"/>
    <w:tmpl w:val="EB0A7D58"/>
    <w:lvl w:ilvl="0">
      <w:start w:val="5"/>
      <w:numFmt w:val="lowerLetter"/>
      <w:lvlText w:val="%1)"/>
      <w:lvlJc w:val="left"/>
      <w:pPr>
        <w:tabs>
          <w:tab w:val="num" w:pos="360"/>
        </w:tabs>
        <w:ind w:left="360" w:hanging="360"/>
      </w:pPr>
      <w:rPr>
        <w:rFonts w:hint="default"/>
        <w:u w:val="single"/>
      </w:rPr>
    </w:lvl>
  </w:abstractNum>
  <w:abstractNum w:abstractNumId="10">
    <w:nsid w:val="2FB03D05"/>
    <w:multiLevelType w:val="singleLevel"/>
    <w:tmpl w:val="61D6C63A"/>
    <w:lvl w:ilvl="0">
      <w:start w:val="1"/>
      <w:numFmt w:val="lowerLetter"/>
      <w:lvlText w:val="%1)"/>
      <w:lvlJc w:val="left"/>
      <w:pPr>
        <w:tabs>
          <w:tab w:val="num" w:pos="720"/>
        </w:tabs>
        <w:ind w:left="720" w:hanging="720"/>
      </w:pPr>
      <w:rPr>
        <w:rFonts w:hint="default"/>
      </w:rPr>
    </w:lvl>
  </w:abstractNum>
  <w:abstractNum w:abstractNumId="11">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2">
    <w:nsid w:val="33DC35F5"/>
    <w:multiLevelType w:val="singleLevel"/>
    <w:tmpl w:val="74BE1188"/>
    <w:lvl w:ilvl="0">
      <w:start w:val="7"/>
      <w:numFmt w:val="decimal"/>
      <w:lvlText w:val="%1"/>
      <w:legacy w:legacy="1" w:legacySpace="0" w:legacyIndent="795"/>
      <w:lvlJc w:val="left"/>
      <w:pPr>
        <w:ind w:left="795" w:hanging="795"/>
      </w:pPr>
    </w:lvl>
  </w:abstractNum>
  <w:abstractNum w:abstractNumId="13">
    <w:nsid w:val="372305C6"/>
    <w:multiLevelType w:val="multilevel"/>
    <w:tmpl w:val="4F8632C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5">
    <w:nsid w:val="38AE2957"/>
    <w:multiLevelType w:val="singleLevel"/>
    <w:tmpl w:val="5518F852"/>
    <w:lvl w:ilvl="0">
      <w:start w:val="3"/>
      <w:numFmt w:val="decimal"/>
      <w:lvlText w:val="%1"/>
      <w:lvlJc w:val="left"/>
      <w:pPr>
        <w:tabs>
          <w:tab w:val="num" w:pos="795"/>
        </w:tabs>
        <w:ind w:left="795" w:hanging="795"/>
      </w:pPr>
      <w:rPr>
        <w:rFonts w:hint="default"/>
      </w:rPr>
    </w:lvl>
  </w:abstractNum>
  <w:abstractNum w:abstractNumId="16">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7">
    <w:nsid w:val="3A8242B2"/>
    <w:multiLevelType w:val="singleLevel"/>
    <w:tmpl w:val="04090017"/>
    <w:lvl w:ilvl="0">
      <w:start w:val="4"/>
      <w:numFmt w:val="lowerLetter"/>
      <w:lvlText w:val="%1)"/>
      <w:lvlJc w:val="left"/>
      <w:pPr>
        <w:tabs>
          <w:tab w:val="num" w:pos="360"/>
        </w:tabs>
        <w:ind w:left="360" w:hanging="360"/>
      </w:pPr>
      <w:rPr>
        <w:rFonts w:hint="default"/>
      </w:rPr>
    </w:lvl>
  </w:abstractNum>
  <w:abstractNum w:abstractNumId="18">
    <w:nsid w:val="3FCF3654"/>
    <w:multiLevelType w:val="singleLevel"/>
    <w:tmpl w:val="04090017"/>
    <w:lvl w:ilvl="0">
      <w:start w:val="1"/>
      <w:numFmt w:val="lowerLetter"/>
      <w:lvlText w:val="%1)"/>
      <w:lvlJc w:val="left"/>
      <w:pPr>
        <w:tabs>
          <w:tab w:val="num" w:pos="360"/>
        </w:tabs>
        <w:ind w:left="360" w:hanging="360"/>
      </w:pPr>
      <w:rPr>
        <w:rFonts w:hint="default"/>
      </w:rPr>
    </w:lvl>
  </w:abstractNum>
  <w:abstractNum w:abstractNumId="19">
    <w:nsid w:val="3FDD3CC1"/>
    <w:multiLevelType w:val="singleLevel"/>
    <w:tmpl w:val="045CA096"/>
    <w:lvl w:ilvl="0">
      <w:start w:val="4"/>
      <w:numFmt w:val="bullet"/>
      <w:lvlText w:val="–"/>
      <w:lvlJc w:val="left"/>
      <w:pPr>
        <w:tabs>
          <w:tab w:val="num" w:pos="795"/>
        </w:tabs>
        <w:ind w:left="795" w:hanging="795"/>
      </w:pPr>
      <w:rPr>
        <w:rFonts w:hint="default"/>
      </w:rPr>
    </w:lvl>
  </w:abstractNum>
  <w:abstractNum w:abstractNumId="20">
    <w:nsid w:val="4705559E"/>
    <w:multiLevelType w:val="singleLevel"/>
    <w:tmpl w:val="C2D62D78"/>
    <w:lvl w:ilvl="0">
      <w:start w:val="4"/>
      <w:numFmt w:val="decimal"/>
      <w:lvlText w:val="%1"/>
      <w:legacy w:legacy="1" w:legacySpace="0" w:legacyIndent="795"/>
      <w:lvlJc w:val="left"/>
      <w:pPr>
        <w:ind w:left="795" w:hanging="795"/>
      </w:pPr>
    </w:lvl>
  </w:abstractNum>
  <w:abstractNum w:abstractNumId="21">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2">
    <w:nsid w:val="52387EC8"/>
    <w:multiLevelType w:val="singleLevel"/>
    <w:tmpl w:val="04090017"/>
    <w:lvl w:ilvl="0">
      <w:start w:val="1"/>
      <w:numFmt w:val="lowerLetter"/>
      <w:lvlText w:val="%1)"/>
      <w:lvlJc w:val="left"/>
      <w:pPr>
        <w:tabs>
          <w:tab w:val="num" w:pos="360"/>
        </w:tabs>
        <w:ind w:left="360" w:hanging="360"/>
      </w:pPr>
    </w:lvl>
  </w:abstractNum>
  <w:abstractNum w:abstractNumId="23">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4">
    <w:nsid w:val="5A1100C6"/>
    <w:multiLevelType w:val="singleLevel"/>
    <w:tmpl w:val="D09437F6"/>
    <w:lvl w:ilvl="0">
      <w:start w:val="4"/>
      <w:numFmt w:val="decimal"/>
      <w:lvlText w:val="%1)"/>
      <w:lvlJc w:val="left"/>
      <w:pPr>
        <w:tabs>
          <w:tab w:val="num" w:pos="795"/>
        </w:tabs>
        <w:ind w:left="795" w:hanging="795"/>
      </w:pPr>
      <w:rPr>
        <w:rFonts w:hint="default"/>
      </w:rPr>
    </w:lvl>
  </w:abstractNum>
  <w:abstractNum w:abstractNumId="25">
    <w:nsid w:val="5D0A06E3"/>
    <w:multiLevelType w:val="singleLevel"/>
    <w:tmpl w:val="D1D8FB28"/>
    <w:lvl w:ilvl="0">
      <w:start w:val="6"/>
      <w:numFmt w:val="decimal"/>
      <w:lvlText w:val="%1"/>
      <w:legacy w:legacy="1" w:legacySpace="0" w:legacyIndent="795"/>
      <w:lvlJc w:val="left"/>
      <w:pPr>
        <w:ind w:left="795" w:hanging="795"/>
      </w:pPr>
    </w:lvl>
  </w:abstractNum>
  <w:abstractNum w:abstractNumId="26">
    <w:nsid w:val="617D412C"/>
    <w:multiLevelType w:val="singleLevel"/>
    <w:tmpl w:val="DE90FF16"/>
    <w:lvl w:ilvl="0">
      <w:start w:val="2"/>
      <w:numFmt w:val="lowerLetter"/>
      <w:lvlText w:val="%1)"/>
      <w:lvlJc w:val="left"/>
      <w:pPr>
        <w:tabs>
          <w:tab w:val="num" w:pos="795"/>
        </w:tabs>
        <w:ind w:left="795" w:hanging="795"/>
      </w:pPr>
      <w:rPr>
        <w:rFonts w:hint="default"/>
      </w:rPr>
    </w:lvl>
  </w:abstractNum>
  <w:abstractNum w:abstractNumId="27">
    <w:nsid w:val="637840FF"/>
    <w:multiLevelType w:val="singleLevel"/>
    <w:tmpl w:val="6A6E9A16"/>
    <w:lvl w:ilvl="0">
      <w:start w:val="1"/>
      <w:numFmt w:val="decimal"/>
      <w:lvlText w:val="%1."/>
      <w:legacy w:legacy="1" w:legacySpace="0" w:legacyIndent="360"/>
      <w:lvlJc w:val="left"/>
      <w:pPr>
        <w:ind w:left="360" w:hanging="360"/>
      </w:pPr>
    </w:lvl>
  </w:abstractNum>
  <w:abstractNum w:abstractNumId="28">
    <w:nsid w:val="655B32C8"/>
    <w:multiLevelType w:val="singleLevel"/>
    <w:tmpl w:val="D4DC71EA"/>
    <w:lvl w:ilvl="0">
      <w:start w:val="2"/>
      <w:numFmt w:val="decimal"/>
      <w:lvlText w:val="%1"/>
      <w:legacy w:legacy="1" w:legacySpace="0" w:legacyIndent="795"/>
      <w:lvlJc w:val="left"/>
      <w:pPr>
        <w:ind w:left="795" w:hanging="795"/>
      </w:pPr>
    </w:lvl>
  </w:abstractNum>
  <w:abstractNum w:abstractNumId="29">
    <w:nsid w:val="67C824D4"/>
    <w:multiLevelType w:val="singleLevel"/>
    <w:tmpl w:val="04090017"/>
    <w:lvl w:ilvl="0">
      <w:start w:val="4"/>
      <w:numFmt w:val="lowerLetter"/>
      <w:lvlText w:val="%1)"/>
      <w:lvlJc w:val="left"/>
      <w:pPr>
        <w:tabs>
          <w:tab w:val="num" w:pos="360"/>
        </w:tabs>
        <w:ind w:left="360" w:hanging="360"/>
      </w:pPr>
      <w:rPr>
        <w:rFonts w:hint="default"/>
      </w:rPr>
    </w:lvl>
  </w:abstractNum>
  <w:abstractNum w:abstractNumId="30">
    <w:nsid w:val="6A940A5B"/>
    <w:multiLevelType w:val="singleLevel"/>
    <w:tmpl w:val="74BE1188"/>
    <w:lvl w:ilvl="0">
      <w:start w:val="7"/>
      <w:numFmt w:val="decimal"/>
      <w:lvlText w:val="%1"/>
      <w:legacy w:legacy="1" w:legacySpace="0" w:legacyIndent="795"/>
      <w:lvlJc w:val="left"/>
      <w:pPr>
        <w:ind w:left="795" w:hanging="795"/>
      </w:pPr>
    </w:lvl>
  </w:abstractNum>
  <w:abstractNum w:abstractNumId="31">
    <w:nsid w:val="6F8E7D38"/>
    <w:multiLevelType w:val="singleLevel"/>
    <w:tmpl w:val="62DAA870"/>
    <w:lvl w:ilvl="0">
      <w:numFmt w:val="bullet"/>
      <w:lvlText w:val="-"/>
      <w:lvlJc w:val="left"/>
      <w:pPr>
        <w:tabs>
          <w:tab w:val="num" w:pos="4515"/>
        </w:tabs>
        <w:ind w:left="4515" w:hanging="360"/>
      </w:pPr>
      <w:rPr>
        <w:rFonts w:hint="default"/>
      </w:rPr>
    </w:lvl>
  </w:abstractNum>
  <w:abstractNum w:abstractNumId="32">
    <w:nsid w:val="70B929A6"/>
    <w:multiLevelType w:val="singleLevel"/>
    <w:tmpl w:val="1EF62A9A"/>
    <w:lvl w:ilvl="0">
      <w:start w:val="5"/>
      <w:numFmt w:val="decimal"/>
      <w:lvlText w:val="%1"/>
      <w:legacy w:legacy="1" w:legacySpace="0" w:legacyIndent="795"/>
      <w:lvlJc w:val="left"/>
      <w:pPr>
        <w:ind w:left="795" w:hanging="795"/>
      </w:pPr>
    </w:lvl>
  </w:abstractNum>
  <w:abstractNum w:abstractNumId="33">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4">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5">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6">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6"/>
  </w:num>
  <w:num w:numId="2">
    <w:abstractNumId w:val="33"/>
  </w:num>
  <w:num w:numId="3">
    <w:abstractNumId w:val="11"/>
  </w:num>
  <w:num w:numId="4">
    <w:abstractNumId w:val="5"/>
  </w:num>
  <w:num w:numId="5">
    <w:abstractNumId w:val="21"/>
  </w:num>
  <w:num w:numId="6">
    <w:abstractNumId w:val="3"/>
  </w:num>
  <w:num w:numId="7">
    <w:abstractNumId w:val="16"/>
  </w:num>
  <w:num w:numId="8">
    <w:abstractNumId w:val="34"/>
  </w:num>
  <w:num w:numId="9">
    <w:abstractNumId w:val="7"/>
  </w:num>
  <w:num w:numId="10">
    <w:abstractNumId w:val="1"/>
  </w:num>
  <w:num w:numId="11">
    <w:abstractNumId w:val="23"/>
  </w:num>
  <w:num w:numId="12">
    <w:abstractNumId w:val="12"/>
  </w:num>
  <w:num w:numId="13">
    <w:abstractNumId w:val="36"/>
  </w:num>
  <w:num w:numId="14">
    <w:abstractNumId w:val="36"/>
    <w:lvlOverride w:ilvl="0">
      <w:lvl w:ilvl="0">
        <w:start w:val="2"/>
        <w:numFmt w:val="lowerLetter"/>
        <w:lvlText w:val="%1)"/>
        <w:legacy w:legacy="1" w:legacySpace="0" w:legacyIndent="720"/>
        <w:lvlJc w:val="left"/>
        <w:pPr>
          <w:ind w:left="720" w:hanging="720"/>
        </w:pPr>
      </w:lvl>
    </w:lvlOverride>
  </w:num>
  <w:num w:numId="15">
    <w:abstractNumId w:val="4"/>
  </w:num>
  <w:num w:numId="16">
    <w:abstractNumId w:val="35"/>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14"/>
  </w:num>
  <w:num w:numId="19">
    <w:abstractNumId w:val="28"/>
  </w:num>
  <w:num w:numId="20">
    <w:abstractNumId w:val="20"/>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32"/>
  </w:num>
  <w:num w:numId="23">
    <w:abstractNumId w:val="25"/>
  </w:num>
  <w:num w:numId="24">
    <w:abstractNumId w:val="27"/>
  </w:num>
  <w:num w:numId="25">
    <w:abstractNumId w:val="30"/>
  </w:num>
  <w:num w:numId="26">
    <w:abstractNumId w:val="31"/>
  </w:num>
  <w:num w:numId="27">
    <w:abstractNumId w:val="15"/>
  </w:num>
  <w:num w:numId="28">
    <w:abstractNumId w:val="19"/>
  </w:num>
  <w:num w:numId="29">
    <w:abstractNumId w:val="2"/>
  </w:num>
  <w:num w:numId="30">
    <w:abstractNumId w:val="24"/>
  </w:num>
  <w:num w:numId="31">
    <w:abstractNumId w:val="13"/>
  </w:num>
  <w:num w:numId="32">
    <w:abstractNumId w:val="22"/>
  </w:num>
  <w:num w:numId="33">
    <w:abstractNumId w:val="8"/>
  </w:num>
  <w:num w:numId="34">
    <w:abstractNumId w:val="18"/>
  </w:num>
  <w:num w:numId="35">
    <w:abstractNumId w:val="26"/>
  </w:num>
  <w:num w:numId="36">
    <w:abstractNumId w:val="17"/>
  </w:num>
  <w:num w:numId="37">
    <w:abstractNumId w:val="29"/>
  </w:num>
  <w:num w:numId="38">
    <w:abstractNumId w:val="10"/>
  </w:num>
  <w:num w:numId="3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5121">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72484"/>
    <w:rsid w:val="00095530"/>
    <w:rsid w:val="00096612"/>
    <w:rsid w:val="000B7683"/>
    <w:rsid w:val="000D0677"/>
    <w:rsid w:val="000E6A6E"/>
    <w:rsid w:val="00102934"/>
    <w:rsid w:val="00147110"/>
    <w:rsid w:val="001511A6"/>
    <w:rsid w:val="0016670D"/>
    <w:rsid w:val="001B164E"/>
    <w:rsid w:val="001B7886"/>
    <w:rsid w:val="001F38BB"/>
    <w:rsid w:val="002058CE"/>
    <w:rsid w:val="002165F1"/>
    <w:rsid w:val="00276D21"/>
    <w:rsid w:val="00296D7F"/>
    <w:rsid w:val="002B3CF6"/>
    <w:rsid w:val="002C768A"/>
    <w:rsid w:val="002D76C4"/>
    <w:rsid w:val="002F5199"/>
    <w:rsid w:val="00356B5D"/>
    <w:rsid w:val="003B60B7"/>
    <w:rsid w:val="003E3C5A"/>
    <w:rsid w:val="003E72E0"/>
    <w:rsid w:val="00420DFD"/>
    <w:rsid w:val="00437A76"/>
    <w:rsid w:val="00470E28"/>
    <w:rsid w:val="004934C5"/>
    <w:rsid w:val="00502B2E"/>
    <w:rsid w:val="00556548"/>
    <w:rsid w:val="00586EF8"/>
    <w:rsid w:val="005B49AB"/>
    <w:rsid w:val="005B50E7"/>
    <w:rsid w:val="005E7B4F"/>
    <w:rsid w:val="00601882"/>
    <w:rsid w:val="00607D68"/>
    <w:rsid w:val="00613212"/>
    <w:rsid w:val="006149B1"/>
    <w:rsid w:val="00662F84"/>
    <w:rsid w:val="00680D2B"/>
    <w:rsid w:val="00681B32"/>
    <w:rsid w:val="006B1D2B"/>
    <w:rsid w:val="006D1A7E"/>
    <w:rsid w:val="006E1131"/>
    <w:rsid w:val="006E2037"/>
    <w:rsid w:val="006E6199"/>
    <w:rsid w:val="00712870"/>
    <w:rsid w:val="00743D85"/>
    <w:rsid w:val="00753CF4"/>
    <w:rsid w:val="007565CC"/>
    <w:rsid w:val="00763B9A"/>
    <w:rsid w:val="007A6AA8"/>
    <w:rsid w:val="007B1357"/>
    <w:rsid w:val="00813271"/>
    <w:rsid w:val="008310C9"/>
    <w:rsid w:val="00853CC5"/>
    <w:rsid w:val="008C7848"/>
    <w:rsid w:val="00906589"/>
    <w:rsid w:val="00906AD6"/>
    <w:rsid w:val="00917AF2"/>
    <w:rsid w:val="0092418A"/>
    <w:rsid w:val="00934ED7"/>
    <w:rsid w:val="009543C3"/>
    <w:rsid w:val="00966E1B"/>
    <w:rsid w:val="00974813"/>
    <w:rsid w:val="009947C0"/>
    <w:rsid w:val="009F2D2C"/>
    <w:rsid w:val="00A123C7"/>
    <w:rsid w:val="00A31928"/>
    <w:rsid w:val="00A4173A"/>
    <w:rsid w:val="00A62A14"/>
    <w:rsid w:val="00A6617B"/>
    <w:rsid w:val="00A71FE5"/>
    <w:rsid w:val="00A84B4E"/>
    <w:rsid w:val="00A971A1"/>
    <w:rsid w:val="00AA3AD8"/>
    <w:rsid w:val="00AB0DC8"/>
    <w:rsid w:val="00B033C8"/>
    <w:rsid w:val="00B33425"/>
    <w:rsid w:val="00B44E24"/>
    <w:rsid w:val="00B54ECC"/>
    <w:rsid w:val="00B60AC0"/>
    <w:rsid w:val="00B714F3"/>
    <w:rsid w:val="00B87B6B"/>
    <w:rsid w:val="00BC5D77"/>
    <w:rsid w:val="00BF487A"/>
    <w:rsid w:val="00C200B2"/>
    <w:rsid w:val="00C46BD9"/>
    <w:rsid w:val="00C55258"/>
    <w:rsid w:val="00C73560"/>
    <w:rsid w:val="00C91B3E"/>
    <w:rsid w:val="00CB0F14"/>
    <w:rsid w:val="00CD659B"/>
    <w:rsid w:val="00CE0A43"/>
    <w:rsid w:val="00D61962"/>
    <w:rsid w:val="00D83556"/>
    <w:rsid w:val="00DF4176"/>
    <w:rsid w:val="00E17240"/>
    <w:rsid w:val="00E74595"/>
    <w:rsid w:val="00EB7C57"/>
    <w:rsid w:val="00ED2695"/>
    <w:rsid w:val="00EE04BA"/>
    <w:rsid w:val="00F30C9B"/>
    <w:rsid w:val="00F354B1"/>
    <w:rsid w:val="00F92A40"/>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5121">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553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95530"/>
    <w:pPr>
      <w:keepNext/>
      <w:keepLines/>
      <w:spacing w:before="480"/>
      <w:ind w:left="794" w:hanging="794"/>
      <w:outlineLvl w:val="0"/>
    </w:pPr>
    <w:rPr>
      <w:b/>
    </w:rPr>
  </w:style>
  <w:style w:type="paragraph" w:styleId="Heading2">
    <w:name w:val="heading 2"/>
    <w:basedOn w:val="Heading1"/>
    <w:next w:val="Normal"/>
    <w:link w:val="Heading2Char"/>
    <w:qFormat/>
    <w:rsid w:val="00095530"/>
    <w:pPr>
      <w:spacing w:before="320"/>
      <w:outlineLvl w:val="1"/>
    </w:pPr>
  </w:style>
  <w:style w:type="paragraph" w:styleId="Heading3">
    <w:name w:val="heading 3"/>
    <w:basedOn w:val="Heading1"/>
    <w:next w:val="Normal"/>
    <w:link w:val="Heading3Char"/>
    <w:qFormat/>
    <w:rsid w:val="00095530"/>
    <w:pPr>
      <w:spacing w:before="200"/>
      <w:outlineLvl w:val="2"/>
    </w:pPr>
  </w:style>
  <w:style w:type="paragraph" w:styleId="Heading4">
    <w:name w:val="heading 4"/>
    <w:basedOn w:val="Heading3"/>
    <w:next w:val="Normal"/>
    <w:link w:val="Heading4Char"/>
    <w:qFormat/>
    <w:rsid w:val="00095530"/>
    <w:pPr>
      <w:tabs>
        <w:tab w:val="clear" w:pos="794"/>
        <w:tab w:val="left" w:pos="992"/>
      </w:tabs>
      <w:ind w:left="992" w:hanging="992"/>
      <w:outlineLvl w:val="3"/>
    </w:pPr>
  </w:style>
  <w:style w:type="paragraph" w:styleId="Heading5">
    <w:name w:val="heading 5"/>
    <w:basedOn w:val="Heading4"/>
    <w:next w:val="Normal"/>
    <w:link w:val="Heading5Char"/>
    <w:qFormat/>
    <w:rsid w:val="00095530"/>
    <w:pPr>
      <w:outlineLvl w:val="4"/>
    </w:pPr>
  </w:style>
  <w:style w:type="paragraph" w:styleId="Heading6">
    <w:name w:val="heading 6"/>
    <w:basedOn w:val="Heading4"/>
    <w:next w:val="Normal"/>
    <w:link w:val="Heading6Char"/>
    <w:qFormat/>
    <w:rsid w:val="00095530"/>
    <w:pPr>
      <w:tabs>
        <w:tab w:val="clear" w:pos="992"/>
        <w:tab w:val="clear" w:pos="1191"/>
      </w:tabs>
      <w:ind w:left="1588" w:hanging="1588"/>
      <w:outlineLvl w:val="5"/>
    </w:pPr>
  </w:style>
  <w:style w:type="paragraph" w:styleId="Heading7">
    <w:name w:val="heading 7"/>
    <w:basedOn w:val="Heading6"/>
    <w:next w:val="Normal"/>
    <w:link w:val="Heading7Char"/>
    <w:qFormat/>
    <w:rsid w:val="00095530"/>
    <w:pPr>
      <w:outlineLvl w:val="6"/>
    </w:pPr>
  </w:style>
  <w:style w:type="paragraph" w:styleId="Heading8">
    <w:name w:val="heading 8"/>
    <w:basedOn w:val="Heading6"/>
    <w:next w:val="Normal"/>
    <w:link w:val="Heading8Char"/>
    <w:qFormat/>
    <w:rsid w:val="00095530"/>
    <w:pPr>
      <w:outlineLvl w:val="7"/>
    </w:pPr>
  </w:style>
  <w:style w:type="paragraph" w:styleId="Heading9">
    <w:name w:val="heading 9"/>
    <w:basedOn w:val="Heading6"/>
    <w:next w:val="Normal"/>
    <w:link w:val="Heading9Char"/>
    <w:qFormat/>
    <w:rsid w:val="0009553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9553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9553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95530"/>
  </w:style>
  <w:style w:type="paragraph" w:customStyle="1" w:styleId="Headingb">
    <w:name w:val="Heading_b"/>
    <w:basedOn w:val="Heading3"/>
    <w:next w:val="Normal"/>
    <w:rsid w:val="00095530"/>
    <w:pPr>
      <w:spacing w:before="160"/>
      <w:ind w:left="0" w:firstLine="0"/>
      <w:outlineLvl w:val="9"/>
    </w:pPr>
  </w:style>
  <w:style w:type="paragraph" w:customStyle="1" w:styleId="Headingi">
    <w:name w:val="Heading_i"/>
    <w:basedOn w:val="Heading3"/>
    <w:next w:val="Normal"/>
    <w:rsid w:val="00095530"/>
    <w:pPr>
      <w:spacing w:before="160"/>
      <w:ind w:left="0" w:firstLine="0"/>
    </w:pPr>
    <w:rPr>
      <w:b w:val="0"/>
      <w:i/>
    </w:rPr>
  </w:style>
  <w:style w:type="character" w:customStyle="1" w:styleId="href">
    <w:name w:val="href"/>
    <w:basedOn w:val="DefaultParagraphFont"/>
    <w:rsid w:val="00095530"/>
  </w:style>
  <w:style w:type="paragraph" w:customStyle="1" w:styleId="AnnexNoTitle">
    <w:name w:val="Annex_NoTitle"/>
    <w:basedOn w:val="Normal"/>
    <w:next w:val="Normalaftertitle"/>
    <w:rsid w:val="00095530"/>
    <w:pPr>
      <w:keepNext/>
      <w:keepLines/>
      <w:spacing w:before="480" w:after="80"/>
      <w:jc w:val="center"/>
    </w:pPr>
    <w:rPr>
      <w:b/>
      <w:sz w:val="28"/>
    </w:rPr>
  </w:style>
  <w:style w:type="paragraph" w:customStyle="1" w:styleId="Normalaftertitle">
    <w:name w:val="Normal_after_title"/>
    <w:basedOn w:val="Normal"/>
    <w:next w:val="Normal"/>
    <w:rsid w:val="00095530"/>
    <w:pPr>
      <w:spacing w:before="320"/>
    </w:pPr>
  </w:style>
  <w:style w:type="paragraph" w:customStyle="1" w:styleId="enumlev2">
    <w:name w:val="enumlev2"/>
    <w:basedOn w:val="enumlev1"/>
    <w:rsid w:val="00095530"/>
    <w:pPr>
      <w:ind w:left="1191" w:hanging="397"/>
    </w:pPr>
  </w:style>
  <w:style w:type="paragraph" w:customStyle="1" w:styleId="enumlev1">
    <w:name w:val="enumlev1"/>
    <w:basedOn w:val="Normal"/>
    <w:rsid w:val="00095530"/>
    <w:pPr>
      <w:spacing w:before="80"/>
      <w:ind w:left="794" w:hanging="794"/>
    </w:pPr>
  </w:style>
  <w:style w:type="paragraph" w:customStyle="1" w:styleId="enumlev3">
    <w:name w:val="enumlev3"/>
    <w:basedOn w:val="enumlev2"/>
    <w:rsid w:val="00095530"/>
    <w:pPr>
      <w:ind w:left="1588"/>
    </w:pPr>
  </w:style>
  <w:style w:type="paragraph" w:customStyle="1" w:styleId="Note">
    <w:name w:val="Note"/>
    <w:basedOn w:val="Normal"/>
    <w:rsid w:val="0009553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9553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95530"/>
    <w:pPr>
      <w:keepNext/>
      <w:keepLines/>
      <w:spacing w:before="240"/>
      <w:jc w:val="center"/>
    </w:pPr>
    <w:rPr>
      <w:b/>
      <w:sz w:val="28"/>
    </w:rPr>
  </w:style>
  <w:style w:type="paragraph" w:customStyle="1" w:styleId="Recref">
    <w:name w:val="Rec_ref"/>
    <w:basedOn w:val="Normal"/>
    <w:next w:val="Recdate"/>
    <w:rsid w:val="00095530"/>
    <w:pPr>
      <w:jc w:val="center"/>
    </w:pPr>
  </w:style>
  <w:style w:type="paragraph" w:customStyle="1" w:styleId="Recdate">
    <w:name w:val="Rec_date"/>
    <w:basedOn w:val="Recref"/>
    <w:next w:val="Normalaftertitle"/>
    <w:rsid w:val="00095530"/>
    <w:pPr>
      <w:jc w:val="right"/>
    </w:pPr>
  </w:style>
  <w:style w:type="paragraph" w:customStyle="1" w:styleId="HeadingSum">
    <w:name w:val="Heading_Sum"/>
    <w:basedOn w:val="Headingb"/>
    <w:next w:val="Normal"/>
    <w:rsid w:val="00095530"/>
    <w:pPr>
      <w:spacing w:before="240"/>
    </w:pPr>
    <w:rPr>
      <w:sz w:val="22"/>
      <w:lang w:val="es-ES_tradnl"/>
    </w:rPr>
  </w:style>
  <w:style w:type="paragraph" w:customStyle="1" w:styleId="AppendixNoTitle">
    <w:name w:val="Appendix_NoTitle"/>
    <w:basedOn w:val="AnnexNoTitle"/>
    <w:next w:val="Normal"/>
    <w:rsid w:val="00095530"/>
  </w:style>
  <w:style w:type="paragraph" w:customStyle="1" w:styleId="Tablefin">
    <w:name w:val="Table_fin"/>
    <w:basedOn w:val="Normal"/>
    <w:next w:val="Normal"/>
    <w:rsid w:val="00095530"/>
    <w:pPr>
      <w:spacing w:before="0"/>
    </w:pPr>
    <w:rPr>
      <w:sz w:val="20"/>
      <w:lang w:val="en-GB"/>
    </w:rPr>
  </w:style>
  <w:style w:type="paragraph" w:customStyle="1" w:styleId="Tablehead">
    <w:name w:val="Table_head"/>
    <w:basedOn w:val="Normal"/>
    <w:next w:val="Normal"/>
    <w:rsid w:val="0009553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955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95530"/>
    <w:pPr>
      <w:keepNext/>
      <w:spacing w:before="360" w:after="120"/>
      <w:jc w:val="center"/>
    </w:pPr>
  </w:style>
  <w:style w:type="paragraph" w:customStyle="1" w:styleId="Tabletext">
    <w:name w:val="Table_text"/>
    <w:basedOn w:val="Normal"/>
    <w:rsid w:val="000955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95530"/>
    <w:pPr>
      <w:tabs>
        <w:tab w:val="clear" w:pos="1191"/>
        <w:tab w:val="clear" w:pos="1588"/>
        <w:tab w:val="clear" w:pos="1985"/>
        <w:tab w:val="center" w:pos="4820"/>
        <w:tab w:val="right" w:pos="9639"/>
      </w:tabs>
    </w:pPr>
  </w:style>
  <w:style w:type="paragraph" w:customStyle="1" w:styleId="Equationlegend">
    <w:name w:val="Equation_legend"/>
    <w:basedOn w:val="NormalIndent"/>
    <w:rsid w:val="0009553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95530"/>
    <w:pPr>
      <w:ind w:left="794"/>
    </w:pPr>
  </w:style>
  <w:style w:type="paragraph" w:customStyle="1" w:styleId="Figurelegend">
    <w:name w:val="Figure_legend"/>
    <w:basedOn w:val="Normal"/>
    <w:rsid w:val="0009553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95530"/>
    <w:pPr>
      <w:keepNext/>
      <w:keepLines/>
      <w:spacing w:before="480" w:after="80"/>
      <w:jc w:val="center"/>
    </w:pPr>
    <w:rPr>
      <w:caps/>
      <w:sz w:val="18"/>
    </w:rPr>
  </w:style>
  <w:style w:type="paragraph" w:customStyle="1" w:styleId="Figuretitle">
    <w:name w:val="Figure_title"/>
    <w:basedOn w:val="Normal"/>
    <w:next w:val="Figure"/>
    <w:rsid w:val="00095530"/>
    <w:pPr>
      <w:keepNext/>
      <w:spacing w:before="0" w:after="120"/>
      <w:jc w:val="center"/>
    </w:pPr>
    <w:rPr>
      <w:rFonts w:ascii="Times New Roman Bold" w:hAnsi="Times New Roman Bold"/>
      <w:b/>
      <w:sz w:val="18"/>
    </w:rPr>
  </w:style>
  <w:style w:type="paragraph" w:customStyle="1" w:styleId="Figure">
    <w:name w:val="Figure"/>
    <w:basedOn w:val="FigureNo"/>
    <w:next w:val="Normal"/>
    <w:rsid w:val="00095530"/>
    <w:pPr>
      <w:keepNext w:val="0"/>
      <w:spacing w:before="0" w:after="240"/>
    </w:pPr>
  </w:style>
  <w:style w:type="paragraph" w:customStyle="1" w:styleId="tocpart">
    <w:name w:val="tocpart"/>
    <w:basedOn w:val="Normal"/>
    <w:rsid w:val="0009553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95530"/>
    <w:pPr>
      <w:keepNext/>
      <w:keepLines/>
      <w:spacing w:before="480"/>
      <w:jc w:val="center"/>
    </w:pPr>
    <w:rPr>
      <w:sz w:val="28"/>
    </w:rPr>
  </w:style>
  <w:style w:type="paragraph" w:customStyle="1" w:styleId="Arttitle">
    <w:name w:val="Art_title"/>
    <w:basedOn w:val="Normal"/>
    <w:next w:val="Normalaftertitle"/>
    <w:rsid w:val="00095530"/>
    <w:pPr>
      <w:keepNext/>
      <w:keepLines/>
      <w:spacing w:before="240"/>
      <w:jc w:val="center"/>
    </w:pPr>
    <w:rPr>
      <w:b/>
      <w:sz w:val="28"/>
    </w:rPr>
  </w:style>
  <w:style w:type="paragraph" w:customStyle="1" w:styleId="Blanc">
    <w:name w:val="Blanc"/>
    <w:basedOn w:val="Normal"/>
    <w:next w:val="Tabletext"/>
    <w:rsid w:val="0009553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9553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95530"/>
    <w:pPr>
      <w:keepNext/>
      <w:keepLines/>
      <w:spacing w:before="160"/>
      <w:ind w:left="794"/>
    </w:pPr>
    <w:rPr>
      <w:i/>
    </w:rPr>
  </w:style>
  <w:style w:type="paragraph" w:customStyle="1" w:styleId="ChapNo">
    <w:name w:val="Chap_No"/>
    <w:basedOn w:val="ArtNo"/>
    <w:next w:val="Chaptitle"/>
    <w:rsid w:val="00095530"/>
    <w:rPr>
      <w:b/>
    </w:rPr>
  </w:style>
  <w:style w:type="paragraph" w:customStyle="1" w:styleId="Chaptitle">
    <w:name w:val="Chap_title"/>
    <w:basedOn w:val="Arttitle"/>
    <w:next w:val="Normalaftertitle"/>
    <w:rsid w:val="00095530"/>
  </w:style>
  <w:style w:type="character" w:styleId="FootnoteReference">
    <w:name w:val="footnote reference"/>
    <w:basedOn w:val="DefaultParagraphFont"/>
    <w:semiHidden/>
    <w:rsid w:val="00095530"/>
    <w:rPr>
      <w:position w:val="6"/>
      <w:sz w:val="18"/>
    </w:rPr>
  </w:style>
  <w:style w:type="paragraph" w:styleId="FootnoteText">
    <w:name w:val="footnote text"/>
    <w:basedOn w:val="Normal"/>
    <w:link w:val="FootnoteTextChar"/>
    <w:semiHidden/>
    <w:rsid w:val="00095530"/>
    <w:pPr>
      <w:keepLines/>
      <w:tabs>
        <w:tab w:val="left" w:pos="255"/>
      </w:tabs>
      <w:ind w:left="255" w:hanging="255"/>
    </w:pPr>
    <w:rPr>
      <w:sz w:val="22"/>
    </w:rPr>
  </w:style>
  <w:style w:type="paragraph" w:styleId="Index1">
    <w:name w:val="index 1"/>
    <w:basedOn w:val="Normal"/>
    <w:next w:val="Normal"/>
    <w:semiHidden/>
    <w:rsid w:val="00095530"/>
  </w:style>
  <w:style w:type="paragraph" w:styleId="Index2">
    <w:name w:val="index 2"/>
    <w:basedOn w:val="Normal"/>
    <w:next w:val="Normal"/>
    <w:semiHidden/>
    <w:rsid w:val="00095530"/>
    <w:pPr>
      <w:ind w:left="283"/>
    </w:pPr>
  </w:style>
  <w:style w:type="paragraph" w:styleId="Index3">
    <w:name w:val="index 3"/>
    <w:basedOn w:val="Normal"/>
    <w:next w:val="Normal"/>
    <w:semiHidden/>
    <w:rsid w:val="00095530"/>
    <w:pPr>
      <w:ind w:left="566"/>
    </w:pPr>
  </w:style>
  <w:style w:type="paragraph" w:styleId="IndexHeading">
    <w:name w:val="index heading"/>
    <w:basedOn w:val="Normal"/>
    <w:next w:val="Index1"/>
    <w:semiHidden/>
    <w:rsid w:val="00095530"/>
  </w:style>
  <w:style w:type="paragraph" w:customStyle="1" w:styleId="Line">
    <w:name w:val="Line"/>
    <w:basedOn w:val="Normal"/>
    <w:next w:val="Normal"/>
    <w:rsid w:val="0009553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9553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95530"/>
  </w:style>
  <w:style w:type="paragraph" w:customStyle="1" w:styleId="Partref">
    <w:name w:val="Part_ref"/>
    <w:basedOn w:val="Normal"/>
    <w:next w:val="Normal"/>
    <w:rsid w:val="00095530"/>
    <w:pPr>
      <w:keepNext/>
      <w:keepLines/>
      <w:spacing w:after="280"/>
      <w:jc w:val="center"/>
    </w:pPr>
  </w:style>
  <w:style w:type="paragraph" w:customStyle="1" w:styleId="Parttitle">
    <w:name w:val="Part_title"/>
    <w:basedOn w:val="Normal"/>
    <w:next w:val="Normalaftertitle"/>
    <w:rsid w:val="0009553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95530"/>
  </w:style>
  <w:style w:type="paragraph" w:customStyle="1" w:styleId="QuestionNo">
    <w:name w:val="Question_No"/>
    <w:basedOn w:val="RecNo"/>
    <w:next w:val="Normal"/>
    <w:rsid w:val="00095530"/>
  </w:style>
  <w:style w:type="paragraph" w:customStyle="1" w:styleId="Questionref">
    <w:name w:val="Question_ref"/>
    <w:basedOn w:val="Recref"/>
    <w:next w:val="Questiondate"/>
    <w:rsid w:val="00095530"/>
  </w:style>
  <w:style w:type="paragraph" w:customStyle="1" w:styleId="Questiontitle">
    <w:name w:val="Question_title"/>
    <w:basedOn w:val="Normal"/>
    <w:next w:val="Questionref"/>
    <w:rsid w:val="00095530"/>
  </w:style>
  <w:style w:type="paragraph" w:customStyle="1" w:styleId="Reftext">
    <w:name w:val="Ref_text"/>
    <w:basedOn w:val="Normal"/>
    <w:rsid w:val="00095530"/>
    <w:pPr>
      <w:ind w:left="794" w:hanging="794"/>
    </w:pPr>
    <w:rPr>
      <w:sz w:val="22"/>
    </w:rPr>
  </w:style>
  <w:style w:type="paragraph" w:customStyle="1" w:styleId="Reftitle">
    <w:name w:val="Ref_title"/>
    <w:basedOn w:val="Normal"/>
    <w:next w:val="Reftext"/>
    <w:rsid w:val="0009553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95530"/>
  </w:style>
  <w:style w:type="paragraph" w:customStyle="1" w:styleId="RepNo">
    <w:name w:val="Rep_No"/>
    <w:basedOn w:val="RecNo"/>
    <w:next w:val="Reptitle"/>
    <w:rsid w:val="00095530"/>
  </w:style>
  <w:style w:type="paragraph" w:customStyle="1" w:styleId="Reptitle">
    <w:name w:val="Rep_title"/>
    <w:basedOn w:val="Rectitle"/>
    <w:next w:val="Repref"/>
    <w:rsid w:val="00095530"/>
  </w:style>
  <w:style w:type="paragraph" w:customStyle="1" w:styleId="Repref">
    <w:name w:val="Rep_ref"/>
    <w:basedOn w:val="Recref"/>
    <w:next w:val="Repdate"/>
    <w:rsid w:val="00095530"/>
  </w:style>
  <w:style w:type="paragraph" w:customStyle="1" w:styleId="Resdate">
    <w:name w:val="Res_date"/>
    <w:basedOn w:val="Recdate"/>
    <w:next w:val="Normalaftertitle"/>
    <w:rsid w:val="00095530"/>
  </w:style>
  <w:style w:type="paragraph" w:customStyle="1" w:styleId="ResNo">
    <w:name w:val="Res_No"/>
    <w:basedOn w:val="RecNo"/>
    <w:next w:val="Restitle"/>
    <w:rsid w:val="00095530"/>
  </w:style>
  <w:style w:type="paragraph" w:customStyle="1" w:styleId="Restitle">
    <w:name w:val="Res_title"/>
    <w:basedOn w:val="Normal"/>
    <w:next w:val="Resref"/>
    <w:rsid w:val="00095530"/>
    <w:pPr>
      <w:spacing w:before="240"/>
      <w:jc w:val="center"/>
    </w:pPr>
    <w:rPr>
      <w:b/>
      <w:sz w:val="28"/>
    </w:rPr>
  </w:style>
  <w:style w:type="paragraph" w:customStyle="1" w:styleId="Resref">
    <w:name w:val="Res_ref"/>
    <w:basedOn w:val="Recref"/>
    <w:next w:val="Resdate"/>
    <w:rsid w:val="00095530"/>
  </w:style>
  <w:style w:type="paragraph" w:customStyle="1" w:styleId="SectionNo">
    <w:name w:val="Section_No"/>
    <w:basedOn w:val="Normal"/>
    <w:next w:val="Normal"/>
    <w:rsid w:val="00095530"/>
  </w:style>
  <w:style w:type="paragraph" w:customStyle="1" w:styleId="Sectiontitle">
    <w:name w:val="Section_title"/>
    <w:basedOn w:val="Normal"/>
    <w:next w:val="Normalaftertitle"/>
    <w:rsid w:val="0009553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95530"/>
    <w:pPr>
      <w:tabs>
        <w:tab w:val="clear" w:pos="794"/>
        <w:tab w:val="clear" w:pos="1191"/>
        <w:tab w:val="clear" w:pos="1588"/>
        <w:tab w:val="clear" w:pos="1985"/>
        <w:tab w:val="right" w:pos="9611"/>
      </w:tabs>
    </w:pPr>
    <w:rPr>
      <w:i/>
    </w:rPr>
  </w:style>
  <w:style w:type="paragraph" w:styleId="TOC1">
    <w:name w:val="toc 1"/>
    <w:basedOn w:val="Normal"/>
    <w:semiHidden/>
    <w:rsid w:val="0009553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95530"/>
    <w:pPr>
      <w:tabs>
        <w:tab w:val="clear" w:pos="567"/>
        <w:tab w:val="left" w:pos="1276"/>
      </w:tabs>
      <w:spacing w:before="160"/>
      <w:ind w:left="1276" w:hanging="709"/>
    </w:pPr>
  </w:style>
  <w:style w:type="paragraph" w:styleId="TOC3">
    <w:name w:val="toc 3"/>
    <w:basedOn w:val="TOC2"/>
    <w:semiHidden/>
    <w:rsid w:val="00095530"/>
    <w:pPr>
      <w:tabs>
        <w:tab w:val="clear" w:pos="1276"/>
        <w:tab w:val="left" w:pos="2155"/>
      </w:tabs>
      <w:ind w:left="2155" w:hanging="879"/>
    </w:pPr>
  </w:style>
  <w:style w:type="paragraph" w:styleId="TOC4">
    <w:name w:val="toc 4"/>
    <w:basedOn w:val="TOC3"/>
    <w:semiHidden/>
    <w:rsid w:val="00095530"/>
    <w:pPr>
      <w:tabs>
        <w:tab w:val="left" w:pos="3261"/>
      </w:tabs>
      <w:spacing w:before="80"/>
      <w:ind w:left="3261" w:hanging="993"/>
    </w:pPr>
  </w:style>
  <w:style w:type="paragraph" w:styleId="TOC5">
    <w:name w:val="toc 5"/>
    <w:basedOn w:val="TOC4"/>
    <w:semiHidden/>
    <w:rsid w:val="00095530"/>
  </w:style>
  <w:style w:type="paragraph" w:styleId="TOC6">
    <w:name w:val="toc 6"/>
    <w:basedOn w:val="TOC4"/>
    <w:semiHidden/>
    <w:rsid w:val="00095530"/>
  </w:style>
  <w:style w:type="paragraph" w:styleId="TOC7">
    <w:name w:val="toc 7"/>
    <w:basedOn w:val="TOC4"/>
    <w:semiHidden/>
    <w:rsid w:val="00095530"/>
  </w:style>
  <w:style w:type="paragraph" w:styleId="TOC8">
    <w:name w:val="toc 8"/>
    <w:basedOn w:val="TOC4"/>
    <w:semiHidden/>
    <w:rsid w:val="00095530"/>
  </w:style>
  <w:style w:type="paragraph" w:customStyle="1" w:styleId="Annexref">
    <w:name w:val="Annex_ref"/>
    <w:basedOn w:val="Normal"/>
    <w:next w:val="Normalaftertitle"/>
    <w:rsid w:val="00095530"/>
    <w:pPr>
      <w:keepNext/>
      <w:keepLines/>
      <w:spacing w:after="280"/>
      <w:jc w:val="center"/>
    </w:pPr>
  </w:style>
  <w:style w:type="paragraph" w:customStyle="1" w:styleId="Appendixref">
    <w:name w:val="Appendix_ref"/>
    <w:basedOn w:val="Annexref"/>
    <w:next w:val="Normalaftertitle"/>
    <w:rsid w:val="00095530"/>
  </w:style>
  <w:style w:type="paragraph" w:customStyle="1" w:styleId="Tabletitle">
    <w:name w:val="Table_title"/>
    <w:basedOn w:val="Normal"/>
    <w:next w:val="Tablehead"/>
    <w:rsid w:val="00095530"/>
    <w:pPr>
      <w:keepNext/>
      <w:spacing w:before="0" w:after="120"/>
      <w:jc w:val="center"/>
    </w:pPr>
    <w:rPr>
      <w:b/>
    </w:rPr>
  </w:style>
  <w:style w:type="paragraph" w:customStyle="1" w:styleId="Summary">
    <w:name w:val="Summary"/>
    <w:basedOn w:val="Normal"/>
    <w:next w:val="Normalaftertitle"/>
    <w:rsid w:val="00095530"/>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Heading1Char">
    <w:name w:val="Heading 1 Char"/>
    <w:basedOn w:val="DefaultParagraphFont"/>
    <w:link w:val="Heading1"/>
    <w:rsid w:val="00813271"/>
    <w:rPr>
      <w:b/>
      <w:sz w:val="24"/>
      <w:lang w:val="fr-FR" w:eastAsia="en-US"/>
    </w:rPr>
  </w:style>
  <w:style w:type="character" w:customStyle="1" w:styleId="Heading2Char">
    <w:name w:val="Heading 2 Char"/>
    <w:basedOn w:val="DefaultParagraphFont"/>
    <w:link w:val="Heading2"/>
    <w:rsid w:val="00813271"/>
    <w:rPr>
      <w:b/>
      <w:sz w:val="24"/>
      <w:lang w:val="fr-FR" w:eastAsia="en-US"/>
    </w:rPr>
  </w:style>
  <w:style w:type="character" w:customStyle="1" w:styleId="Heading3Char">
    <w:name w:val="Heading 3 Char"/>
    <w:basedOn w:val="DefaultParagraphFont"/>
    <w:link w:val="Heading3"/>
    <w:rsid w:val="00813271"/>
    <w:rPr>
      <w:b/>
      <w:sz w:val="24"/>
      <w:lang w:val="fr-FR" w:eastAsia="en-US"/>
    </w:rPr>
  </w:style>
  <w:style w:type="character" w:customStyle="1" w:styleId="Heading4Char">
    <w:name w:val="Heading 4 Char"/>
    <w:basedOn w:val="DefaultParagraphFont"/>
    <w:link w:val="Heading4"/>
    <w:rsid w:val="00813271"/>
    <w:rPr>
      <w:b/>
      <w:sz w:val="24"/>
      <w:lang w:val="fr-FR" w:eastAsia="en-US"/>
    </w:rPr>
  </w:style>
  <w:style w:type="character" w:customStyle="1" w:styleId="Heading5Char">
    <w:name w:val="Heading 5 Char"/>
    <w:basedOn w:val="DefaultParagraphFont"/>
    <w:link w:val="Heading5"/>
    <w:rsid w:val="00813271"/>
    <w:rPr>
      <w:b/>
      <w:sz w:val="24"/>
      <w:lang w:val="fr-FR" w:eastAsia="en-US"/>
    </w:rPr>
  </w:style>
  <w:style w:type="character" w:customStyle="1" w:styleId="Heading6Char">
    <w:name w:val="Heading 6 Char"/>
    <w:basedOn w:val="DefaultParagraphFont"/>
    <w:link w:val="Heading6"/>
    <w:rsid w:val="00813271"/>
    <w:rPr>
      <w:b/>
      <w:sz w:val="24"/>
      <w:lang w:val="fr-FR" w:eastAsia="en-US"/>
    </w:rPr>
  </w:style>
  <w:style w:type="character" w:customStyle="1" w:styleId="Heading7Char">
    <w:name w:val="Heading 7 Char"/>
    <w:basedOn w:val="DefaultParagraphFont"/>
    <w:link w:val="Heading7"/>
    <w:rsid w:val="00813271"/>
    <w:rPr>
      <w:b/>
      <w:sz w:val="24"/>
      <w:lang w:val="fr-FR" w:eastAsia="en-US"/>
    </w:rPr>
  </w:style>
  <w:style w:type="character" w:customStyle="1" w:styleId="Heading8Char">
    <w:name w:val="Heading 8 Char"/>
    <w:basedOn w:val="DefaultParagraphFont"/>
    <w:link w:val="Heading8"/>
    <w:rsid w:val="00813271"/>
    <w:rPr>
      <w:b/>
      <w:sz w:val="24"/>
      <w:lang w:val="fr-FR" w:eastAsia="en-US"/>
    </w:rPr>
  </w:style>
  <w:style w:type="character" w:customStyle="1" w:styleId="Heading9Char">
    <w:name w:val="Heading 9 Char"/>
    <w:basedOn w:val="DefaultParagraphFont"/>
    <w:link w:val="Heading9"/>
    <w:rsid w:val="00813271"/>
    <w:rPr>
      <w:b/>
      <w:sz w:val="24"/>
      <w:lang w:val="fr-FR" w:eastAsia="en-US"/>
    </w:rPr>
  </w:style>
  <w:style w:type="character" w:customStyle="1" w:styleId="HeaderChar">
    <w:name w:val="Header Char"/>
    <w:basedOn w:val="DefaultParagraphFont"/>
    <w:link w:val="Header"/>
    <w:rsid w:val="00813271"/>
    <w:rPr>
      <w:sz w:val="24"/>
      <w:lang w:val="fr-FR" w:eastAsia="en-US"/>
    </w:rPr>
  </w:style>
  <w:style w:type="character" w:customStyle="1" w:styleId="FooterChar">
    <w:name w:val="Footer Char"/>
    <w:basedOn w:val="DefaultParagraphFont"/>
    <w:link w:val="Footer"/>
    <w:rsid w:val="00813271"/>
    <w:rPr>
      <w:noProof/>
      <w:sz w:val="18"/>
      <w:lang w:val="fr-FR" w:eastAsia="en-US"/>
    </w:rPr>
  </w:style>
  <w:style w:type="character" w:styleId="CommentReference">
    <w:name w:val="annotation reference"/>
    <w:basedOn w:val="DefaultParagraphFont"/>
    <w:rsid w:val="00813271"/>
    <w:rPr>
      <w:sz w:val="16"/>
      <w:szCs w:val="16"/>
    </w:rPr>
  </w:style>
  <w:style w:type="character" w:customStyle="1" w:styleId="FootnoteTextChar">
    <w:name w:val="Footnote Text Char"/>
    <w:basedOn w:val="DefaultParagraphFont"/>
    <w:link w:val="FootnoteText"/>
    <w:semiHidden/>
    <w:rsid w:val="00813271"/>
    <w:rPr>
      <w:sz w:val="22"/>
      <w:lang w:val="fr-FR" w:eastAsia="en-US"/>
    </w:rPr>
  </w:style>
  <w:style w:type="paragraph" w:styleId="CommentText">
    <w:name w:val="annotation text"/>
    <w:basedOn w:val="Normal"/>
    <w:link w:val="CommentTextChar"/>
    <w:rsid w:val="00813271"/>
    <w:rPr>
      <w:sz w:val="20"/>
    </w:rPr>
  </w:style>
  <w:style w:type="character" w:customStyle="1" w:styleId="CommentTextChar">
    <w:name w:val="Comment Text Char"/>
    <w:basedOn w:val="DefaultParagraphFont"/>
    <w:link w:val="CommentText"/>
    <w:rsid w:val="00813271"/>
    <w:rPr>
      <w:lang w:val="fr-FR" w:eastAsia="en-US"/>
    </w:rPr>
  </w:style>
  <w:style w:type="paragraph" w:styleId="Index7">
    <w:name w:val="index 7"/>
    <w:basedOn w:val="Normal"/>
    <w:next w:val="Normal"/>
    <w:rsid w:val="003B60B7"/>
    <w:pPr>
      <w:ind w:left="1698"/>
    </w:pPr>
  </w:style>
  <w:style w:type="paragraph" w:styleId="Index6">
    <w:name w:val="index 6"/>
    <w:basedOn w:val="Normal"/>
    <w:next w:val="Normal"/>
    <w:rsid w:val="003B60B7"/>
    <w:pPr>
      <w:ind w:left="1415"/>
    </w:pPr>
  </w:style>
  <w:style w:type="paragraph" w:styleId="Index5">
    <w:name w:val="index 5"/>
    <w:basedOn w:val="Normal"/>
    <w:next w:val="Normal"/>
    <w:rsid w:val="003B60B7"/>
    <w:pPr>
      <w:ind w:left="1132"/>
    </w:pPr>
  </w:style>
  <w:style w:type="paragraph" w:styleId="Index4">
    <w:name w:val="index 4"/>
    <w:basedOn w:val="Normal"/>
    <w:next w:val="Normal"/>
    <w:rsid w:val="003B60B7"/>
    <w:pPr>
      <w:ind w:left="849"/>
    </w:pPr>
  </w:style>
  <w:style w:type="paragraph" w:customStyle="1" w:styleId="AnnexNo">
    <w:name w:val="Annex_No"/>
    <w:basedOn w:val="Normal"/>
    <w:next w:val="Annextitle"/>
    <w:rsid w:val="003B60B7"/>
    <w:pPr>
      <w:keepNext/>
      <w:keepLines/>
      <w:spacing w:before="480" w:after="80"/>
      <w:jc w:val="center"/>
    </w:pPr>
    <w:rPr>
      <w:sz w:val="28"/>
    </w:rPr>
  </w:style>
  <w:style w:type="paragraph" w:customStyle="1" w:styleId="Annextitle">
    <w:name w:val="Annex_title"/>
    <w:basedOn w:val="Arttitle"/>
    <w:next w:val="Normalaftertitle"/>
    <w:rsid w:val="003B60B7"/>
    <w:pPr>
      <w:tabs>
        <w:tab w:val="clear" w:pos="794"/>
        <w:tab w:val="clear" w:pos="1191"/>
        <w:tab w:val="clear" w:pos="1588"/>
        <w:tab w:val="clear" w:pos="1985"/>
      </w:tabs>
      <w:spacing w:before="280" w:after="40"/>
    </w:pPr>
  </w:style>
  <w:style w:type="paragraph" w:customStyle="1" w:styleId="FirstFooter">
    <w:name w:val="FirstFooter"/>
    <w:basedOn w:val="Footer"/>
    <w:rsid w:val="003B60B7"/>
    <w:pPr>
      <w:overflowPunct/>
      <w:autoSpaceDE/>
      <w:autoSpaceDN/>
      <w:adjustRightInd/>
      <w:spacing w:before="40"/>
      <w:textAlignment w:val="auto"/>
    </w:pPr>
    <w:rPr>
      <w:caps/>
      <w:noProof w:val="0"/>
      <w:lang w:val="en-GB"/>
    </w:rPr>
  </w:style>
  <w:style w:type="paragraph" w:customStyle="1" w:styleId="Artheading">
    <w:name w:val="Art_heading"/>
    <w:basedOn w:val="Normal"/>
    <w:next w:val="Normalaftertitle"/>
    <w:rsid w:val="003B60B7"/>
    <w:pPr>
      <w:spacing w:before="480"/>
      <w:jc w:val="center"/>
    </w:pPr>
    <w:rPr>
      <w:rFonts w:ascii="Times New Roman Bold" w:hAnsi="Times New Roman Bold"/>
      <w:b/>
      <w:sz w:val="28"/>
    </w:rPr>
  </w:style>
  <w:style w:type="paragraph" w:customStyle="1" w:styleId="Source">
    <w:name w:val="Source"/>
    <w:basedOn w:val="Normal"/>
    <w:next w:val="Normal"/>
    <w:rsid w:val="003B60B7"/>
    <w:pPr>
      <w:spacing w:before="840"/>
      <w:jc w:val="center"/>
    </w:pPr>
    <w:rPr>
      <w:b/>
      <w:sz w:val="28"/>
    </w:rPr>
  </w:style>
  <w:style w:type="paragraph" w:customStyle="1" w:styleId="Title2">
    <w:name w:val="Title 2"/>
    <w:basedOn w:val="Source"/>
    <w:next w:val="Title3"/>
    <w:rsid w:val="003B60B7"/>
    <w:pPr>
      <w:tabs>
        <w:tab w:val="clear" w:pos="794"/>
        <w:tab w:val="clear" w:pos="1191"/>
        <w:tab w:val="clear" w:pos="1588"/>
        <w:tab w:val="clear" w:pos="1985"/>
      </w:tabs>
      <w:overflowPunct/>
      <w:autoSpaceDE/>
      <w:autoSpaceDN/>
      <w:adjustRightInd/>
      <w:textAlignment w:val="auto"/>
    </w:pPr>
    <w:rPr>
      <w:b w:val="0"/>
    </w:rPr>
  </w:style>
  <w:style w:type="paragraph" w:customStyle="1" w:styleId="Title3">
    <w:name w:val="Title 3"/>
    <w:basedOn w:val="Title2"/>
    <w:next w:val="Title4"/>
    <w:rsid w:val="003B60B7"/>
    <w:pPr>
      <w:spacing w:before="240"/>
    </w:pPr>
  </w:style>
  <w:style w:type="paragraph" w:customStyle="1" w:styleId="Title4">
    <w:name w:val="Title 4"/>
    <w:basedOn w:val="Title3"/>
    <w:next w:val="Heading1"/>
    <w:rsid w:val="003B60B7"/>
    <w:rPr>
      <w:rFonts w:ascii="Times New Roman Bold" w:hAnsi="Times New Roman Bold"/>
      <w:b/>
    </w:rPr>
  </w:style>
  <w:style w:type="paragraph" w:customStyle="1" w:styleId="Title1">
    <w:name w:val="Title 1"/>
    <w:basedOn w:val="Source"/>
    <w:next w:val="Title2"/>
    <w:rsid w:val="003B60B7"/>
    <w:pPr>
      <w:tabs>
        <w:tab w:val="clear" w:pos="794"/>
        <w:tab w:val="clear" w:pos="1191"/>
        <w:tab w:val="clear" w:pos="1588"/>
        <w:tab w:val="clear" w:pos="1985"/>
        <w:tab w:val="left" w:pos="567"/>
        <w:tab w:val="left" w:pos="1134"/>
        <w:tab w:val="left" w:pos="1701"/>
        <w:tab w:val="left" w:pos="2268"/>
        <w:tab w:val="left" w:pos="2835"/>
      </w:tabs>
      <w:spacing w:before="240"/>
    </w:pPr>
    <w:rPr>
      <w:b w:val="0"/>
    </w:rPr>
  </w:style>
  <w:style w:type="paragraph" w:customStyle="1" w:styleId="Appendixtitle">
    <w:name w:val="Appendix_title"/>
    <w:basedOn w:val="Annextitle"/>
    <w:next w:val="Normalaftertitle"/>
    <w:rsid w:val="003B60B7"/>
  </w:style>
  <w:style w:type="character" w:styleId="EndnoteReference">
    <w:name w:val="endnote reference"/>
    <w:basedOn w:val="DefaultParagraphFont"/>
    <w:rsid w:val="003B60B7"/>
    <w:rPr>
      <w:vertAlign w:val="superscript"/>
    </w:rPr>
  </w:style>
  <w:style w:type="paragraph" w:customStyle="1" w:styleId="Figurewithouttitle">
    <w:name w:val="Figure_without_title"/>
    <w:basedOn w:val="FigureNo"/>
    <w:next w:val="Normalaftertitle"/>
    <w:rsid w:val="003B60B7"/>
    <w:pPr>
      <w:keepNext w:val="0"/>
      <w:spacing w:after="240"/>
    </w:pPr>
    <w:rPr>
      <w:sz w:val="24"/>
    </w:rPr>
  </w:style>
  <w:style w:type="paragraph" w:customStyle="1" w:styleId="SpecialFooter">
    <w:name w:val="Special Footer"/>
    <w:basedOn w:val="Footer"/>
    <w:rsid w:val="003B60B7"/>
    <w:pPr>
      <w:tabs>
        <w:tab w:val="left" w:pos="567"/>
        <w:tab w:val="left" w:pos="1134"/>
        <w:tab w:val="left" w:pos="1701"/>
        <w:tab w:val="left" w:pos="2268"/>
        <w:tab w:val="left" w:pos="2835"/>
      </w:tabs>
    </w:pPr>
    <w:rPr>
      <w:caps/>
      <w:noProof w:val="0"/>
    </w:rPr>
  </w:style>
  <w:style w:type="paragraph" w:customStyle="1" w:styleId="Tableref">
    <w:name w:val="Table_ref"/>
    <w:basedOn w:val="Normal"/>
    <w:next w:val="Tabletitle"/>
    <w:rsid w:val="003B60B7"/>
    <w:pPr>
      <w:keepNext/>
      <w:spacing w:before="560"/>
      <w:jc w:val="center"/>
    </w:pPr>
  </w:style>
  <w:style w:type="paragraph" w:customStyle="1" w:styleId="ddate">
    <w:name w:val="ddate"/>
    <w:basedOn w:val="Normal"/>
    <w:rsid w:val="003B60B7"/>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3B60B7"/>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3B60B7"/>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ppendixNo">
    <w:name w:val="Appendix_No"/>
    <w:basedOn w:val="AnnexNo"/>
    <w:next w:val="Appendixtitle"/>
    <w:rsid w:val="003B60B7"/>
  </w:style>
  <w:style w:type="paragraph" w:customStyle="1" w:styleId="headingb0">
    <w:name w:val="heading_b"/>
    <w:basedOn w:val="Heading3"/>
    <w:next w:val="Normal"/>
    <w:rsid w:val="003B60B7"/>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s>
</file>

<file path=word/webSettings.xml><?xml version="1.0" encoding="utf-8"?>
<w:webSettings xmlns:r="http://schemas.openxmlformats.org/officeDocument/2006/relationships" xmlns:w="http://schemas.openxmlformats.org/wordprocessingml/2006/main">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4.wmf"/><Relationship Id="rId21" Type="http://schemas.openxmlformats.org/officeDocument/2006/relationships/oleObject" Target="embeddings/oleObject4.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8.wmf"/><Relationship Id="rId50" Type="http://schemas.openxmlformats.org/officeDocument/2006/relationships/oleObject" Target="embeddings/oleObject19.bin"/><Relationship Id="rId55" Type="http://schemas.openxmlformats.org/officeDocument/2006/relationships/image" Target="media/image22.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image" Target="media/image15.wmf"/><Relationship Id="rId54"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image" Target="media/image13.wmf"/><Relationship Id="rId40" Type="http://schemas.openxmlformats.org/officeDocument/2006/relationships/oleObject" Target="embeddings/oleObject14.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oleObject" Target="embeddings/oleObject12.bin"/><Relationship Id="rId49" Type="http://schemas.openxmlformats.org/officeDocument/2006/relationships/image" Target="media/image19.wmf"/><Relationship Id="rId57"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8.bin"/><Relationship Id="rId56" Type="http://schemas.openxmlformats.org/officeDocument/2006/relationships/oleObject" Target="embeddings/oleObject22.bin"/><Relationship Id="rId8" Type="http://schemas.openxmlformats.org/officeDocument/2006/relationships/header" Target="header1.xml"/><Relationship Id="rId51" Type="http://schemas.openxmlformats.org/officeDocument/2006/relationships/image" Target="media/image20.w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CD614-AA14-434E-BEC7-8FBC6C5D4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TotalTime>
  <Pages>24</Pages>
  <Words>9192</Words>
  <Characters>49503</Characters>
  <Application>Microsoft Office Word</Application>
  <DocSecurity>0</DocSecurity>
  <Lines>412</Lines>
  <Paragraphs>117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58578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4</cp:revision>
  <cp:lastPrinted>2009-07-08T07:55:00Z</cp:lastPrinted>
  <dcterms:created xsi:type="dcterms:W3CDTF">2010-03-05T08:22:00Z</dcterms:created>
  <dcterms:modified xsi:type="dcterms:W3CDTF">2010-10-25T08:12:00Z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