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634F2" w:rsidRDefault="007634F2" w:rsidP="007634F2"/>
    <w:p w:rsidR="007634F2" w:rsidRDefault="007634F2" w:rsidP="007634F2"/>
    <w:p w:rsidR="007634F2" w:rsidRDefault="007634F2" w:rsidP="007634F2"/>
    <w:p w:rsidR="007634F2" w:rsidRDefault="007634F2" w:rsidP="007634F2"/>
    <w:p w:rsidR="007634F2" w:rsidRDefault="007634F2" w:rsidP="007634F2"/>
    <w:p w:rsidR="007634F2" w:rsidRDefault="007634F2" w:rsidP="007634F2"/>
    <w:p w:rsidR="007634F2" w:rsidRDefault="007634F2" w:rsidP="007634F2"/>
    <w:p w:rsidR="007634F2" w:rsidRDefault="007634F2" w:rsidP="007634F2"/>
    <w:p w:rsidR="007634F2" w:rsidRDefault="007634F2" w:rsidP="007634F2"/>
    <w:p w:rsidR="007634F2" w:rsidRDefault="007634F2" w:rsidP="007634F2"/>
    <w:p w:rsidR="007634F2" w:rsidRDefault="007634F2" w:rsidP="007634F2"/>
    <w:tbl>
      <w:tblPr>
        <w:tblW w:w="10089" w:type="dxa"/>
        <w:tblLook w:val="01E0" w:firstRow="1" w:lastRow="1" w:firstColumn="1" w:lastColumn="1" w:noHBand="0" w:noVBand="0"/>
      </w:tblPr>
      <w:tblGrid>
        <w:gridCol w:w="10089"/>
      </w:tblGrid>
      <w:tr w:rsidR="007634F2" w:rsidRPr="00A443C2" w:rsidTr="00DE794F">
        <w:tc>
          <w:tcPr>
            <w:tcW w:w="10089" w:type="dxa"/>
          </w:tcPr>
          <w:p w:rsidR="007634F2" w:rsidRPr="00B033C8" w:rsidRDefault="007634F2" w:rsidP="00DE794F">
            <w:pPr>
              <w:spacing w:before="380" w:line="280" w:lineRule="exact"/>
              <w:jc w:val="right"/>
              <w:rPr>
                <w:rFonts w:ascii="Tahoma" w:hAnsi="Tahoma" w:cs="Tahoma"/>
                <w:b/>
                <w:bCs/>
                <w:iCs/>
                <w:color w:val="243285"/>
                <w:sz w:val="32"/>
                <w:szCs w:val="32"/>
                <w:lang w:val="en-US"/>
              </w:rPr>
            </w:pPr>
          </w:p>
          <w:p w:rsidR="007634F2" w:rsidRPr="00A443C2" w:rsidRDefault="007634F2" w:rsidP="007634F2">
            <w:pPr>
              <w:spacing w:before="380" w:line="280" w:lineRule="exact"/>
              <w:jc w:val="right"/>
              <w:rPr>
                <w:rFonts w:ascii="Tahoma" w:hAnsi="Tahoma" w:cs="Tahoma"/>
                <w:b/>
                <w:bCs/>
                <w:iCs/>
                <w:color w:val="243285"/>
                <w:sz w:val="36"/>
                <w:szCs w:val="36"/>
              </w:rPr>
            </w:pPr>
            <w:r w:rsidRPr="00A443C2">
              <w:rPr>
                <w:rFonts w:ascii="Tahoma" w:hAnsi="Tahoma" w:cs="Tahoma"/>
                <w:b/>
                <w:bCs/>
                <w:iCs/>
                <w:color w:val="243285"/>
                <w:sz w:val="36"/>
                <w:szCs w:val="36"/>
              </w:rPr>
              <w:t xml:space="preserve">Recommandation  UIT-R  </w:t>
            </w:r>
            <w:r>
              <w:rPr>
                <w:rFonts w:ascii="Tahoma" w:hAnsi="Tahoma" w:cs="Tahoma"/>
                <w:b/>
                <w:bCs/>
                <w:iCs/>
                <w:color w:val="243285"/>
                <w:sz w:val="36"/>
                <w:szCs w:val="36"/>
              </w:rPr>
              <w:t>SA</w:t>
            </w:r>
            <w:r w:rsidRPr="00A443C2">
              <w:rPr>
                <w:rFonts w:ascii="Tahoma" w:hAnsi="Tahoma" w:cs="Tahoma"/>
                <w:b/>
                <w:bCs/>
                <w:iCs/>
                <w:color w:val="243285"/>
                <w:sz w:val="36"/>
                <w:szCs w:val="36"/>
              </w:rPr>
              <w:t>.</w:t>
            </w:r>
            <w:r>
              <w:rPr>
                <w:rFonts w:ascii="Tahoma" w:hAnsi="Tahoma" w:cs="Tahoma"/>
                <w:b/>
                <w:bCs/>
                <w:iCs/>
                <w:color w:val="243285"/>
                <w:sz w:val="36"/>
                <w:szCs w:val="36"/>
              </w:rPr>
              <w:t>509-3</w:t>
            </w:r>
          </w:p>
          <w:p w:rsidR="007634F2" w:rsidRPr="00A443C2" w:rsidRDefault="007634F2" w:rsidP="007634F2">
            <w:pPr>
              <w:spacing w:before="80" w:line="280" w:lineRule="exact"/>
              <w:jc w:val="right"/>
              <w:rPr>
                <w:rFonts w:ascii="Tahoma" w:hAnsi="Tahoma" w:cs="Tahoma"/>
                <w:b/>
                <w:bCs/>
                <w:iCs/>
                <w:color w:val="243285"/>
                <w:szCs w:val="24"/>
              </w:rPr>
            </w:pPr>
            <w:r w:rsidRPr="00A443C2">
              <w:rPr>
                <w:rFonts w:ascii="Tahoma" w:hAnsi="Tahoma" w:cs="Tahoma"/>
                <w:b/>
                <w:bCs/>
                <w:iCs/>
                <w:color w:val="243285"/>
                <w:szCs w:val="24"/>
              </w:rPr>
              <w:t>(</w:t>
            </w:r>
            <w:r>
              <w:rPr>
                <w:rFonts w:ascii="Tahoma" w:hAnsi="Tahoma" w:cs="Tahoma"/>
                <w:b/>
                <w:bCs/>
                <w:iCs/>
                <w:color w:val="243285"/>
                <w:szCs w:val="24"/>
              </w:rPr>
              <w:t>12</w:t>
            </w:r>
            <w:r w:rsidRPr="00A443C2">
              <w:rPr>
                <w:rFonts w:ascii="Tahoma" w:hAnsi="Tahoma" w:cs="Tahoma"/>
                <w:b/>
                <w:bCs/>
                <w:iCs/>
                <w:color w:val="243285"/>
                <w:szCs w:val="24"/>
              </w:rPr>
              <w:t>/</w:t>
            </w:r>
            <w:r>
              <w:rPr>
                <w:rFonts w:ascii="Tahoma" w:hAnsi="Tahoma" w:cs="Tahoma"/>
                <w:b/>
                <w:bCs/>
                <w:iCs/>
                <w:color w:val="243285"/>
                <w:szCs w:val="24"/>
              </w:rPr>
              <w:t>2013</w:t>
            </w:r>
            <w:r w:rsidRPr="00A443C2">
              <w:rPr>
                <w:rFonts w:ascii="Tahoma" w:hAnsi="Tahoma" w:cs="Tahoma"/>
                <w:b/>
                <w:bCs/>
                <w:iCs/>
                <w:color w:val="243285"/>
                <w:szCs w:val="24"/>
              </w:rPr>
              <w:t>)</w:t>
            </w:r>
          </w:p>
        </w:tc>
      </w:tr>
      <w:tr w:rsidR="007634F2" w:rsidRPr="00F54FBD" w:rsidTr="00DE794F">
        <w:tc>
          <w:tcPr>
            <w:tcW w:w="10089" w:type="dxa"/>
          </w:tcPr>
          <w:p w:rsidR="007634F2" w:rsidRDefault="007634F2" w:rsidP="00DE794F">
            <w:pPr>
              <w:spacing w:before="80" w:line="500" w:lineRule="exact"/>
              <w:jc w:val="right"/>
              <w:rPr>
                <w:rFonts w:ascii="Tahoma" w:hAnsi="Tahoma" w:cs="Tahoma"/>
                <w:b/>
                <w:bCs/>
                <w:iCs/>
                <w:color w:val="243285"/>
                <w:sz w:val="44"/>
                <w:szCs w:val="44"/>
              </w:rPr>
            </w:pPr>
          </w:p>
          <w:p w:rsidR="007634F2" w:rsidRDefault="007634F2" w:rsidP="007634F2">
            <w:pPr>
              <w:spacing w:before="80" w:line="500" w:lineRule="exact"/>
              <w:jc w:val="right"/>
              <w:rPr>
                <w:rFonts w:ascii="Tahoma" w:hAnsi="Tahoma" w:cs="Tahoma"/>
                <w:b/>
                <w:bCs/>
                <w:iCs/>
                <w:color w:val="243285"/>
                <w:sz w:val="44"/>
                <w:szCs w:val="44"/>
              </w:rPr>
            </w:pPr>
            <w:r>
              <w:rPr>
                <w:rFonts w:ascii="Tahoma" w:hAnsi="Tahoma" w:cs="Tahoma"/>
                <w:b/>
                <w:bCs/>
                <w:iCs/>
                <w:color w:val="243285"/>
                <w:sz w:val="44"/>
                <w:szCs w:val="44"/>
              </w:rPr>
              <w:t>Diagramme de rayonnement de référence d'une antenne de station terrienne dans le service de recherche spatiale et de radioastronomie, à utiliser pour les calculs de brouillage ainsi que dans les procédures de coordination, pour les fréquences au</w:t>
            </w:r>
            <w:r>
              <w:rPr>
                <w:rFonts w:ascii="Tahoma" w:hAnsi="Tahoma" w:cs="Tahoma"/>
                <w:b/>
                <w:bCs/>
                <w:iCs/>
                <w:color w:val="243285"/>
                <w:sz w:val="44"/>
                <w:szCs w:val="44"/>
              </w:rPr>
              <w:noBreakHyphen/>
              <w:t>dessous de 30 GHz</w:t>
            </w:r>
          </w:p>
          <w:p w:rsidR="007634F2" w:rsidRPr="00F54FBD" w:rsidRDefault="007634F2" w:rsidP="00DE794F">
            <w:pPr>
              <w:spacing w:before="80" w:line="500" w:lineRule="exact"/>
              <w:jc w:val="right"/>
              <w:rPr>
                <w:rFonts w:ascii="Tahoma" w:hAnsi="Tahoma" w:cs="Tahoma"/>
                <w:b/>
                <w:bCs/>
                <w:iCs/>
                <w:color w:val="243285"/>
                <w:sz w:val="44"/>
                <w:szCs w:val="44"/>
              </w:rPr>
            </w:pPr>
          </w:p>
        </w:tc>
      </w:tr>
      <w:tr w:rsidR="007634F2" w:rsidRPr="00F54FBD" w:rsidTr="00DE794F">
        <w:tc>
          <w:tcPr>
            <w:tcW w:w="10089" w:type="dxa"/>
          </w:tcPr>
          <w:p w:rsidR="007634F2" w:rsidRPr="00F54FBD" w:rsidRDefault="007634F2" w:rsidP="00DE794F">
            <w:pPr>
              <w:spacing w:before="80" w:line="280" w:lineRule="exact"/>
              <w:ind w:right="640"/>
              <w:rPr>
                <w:rFonts w:ascii="Tahoma" w:hAnsi="Tahoma" w:cs="Tahoma"/>
                <w:b/>
                <w:bCs/>
                <w:iCs/>
                <w:color w:val="243285"/>
                <w:sz w:val="32"/>
                <w:szCs w:val="32"/>
              </w:rPr>
            </w:pPr>
          </w:p>
          <w:p w:rsidR="007634F2" w:rsidRPr="00F54FBD" w:rsidRDefault="007634F2" w:rsidP="00DE794F">
            <w:pPr>
              <w:spacing w:before="80" w:line="280" w:lineRule="exact"/>
              <w:ind w:right="640"/>
              <w:rPr>
                <w:rFonts w:ascii="Tahoma" w:hAnsi="Tahoma" w:cs="Tahoma"/>
                <w:b/>
                <w:bCs/>
                <w:iCs/>
                <w:color w:val="243285"/>
                <w:sz w:val="32"/>
                <w:szCs w:val="32"/>
              </w:rPr>
            </w:pPr>
          </w:p>
          <w:p w:rsidR="007634F2" w:rsidRPr="00F54FBD" w:rsidRDefault="007634F2" w:rsidP="00DE794F">
            <w:pPr>
              <w:spacing w:before="80" w:after="180" w:line="360" w:lineRule="exact"/>
              <w:ind w:right="720"/>
              <w:rPr>
                <w:rFonts w:ascii="Tahoma" w:hAnsi="Tahoma" w:cs="Tahoma"/>
                <w:b/>
                <w:bCs/>
                <w:iCs/>
                <w:color w:val="243285"/>
                <w:sz w:val="36"/>
                <w:szCs w:val="36"/>
              </w:rPr>
            </w:pPr>
          </w:p>
          <w:p w:rsidR="007634F2" w:rsidRPr="00F54FBD" w:rsidRDefault="007634F2" w:rsidP="00DE794F">
            <w:pPr>
              <w:spacing w:before="80" w:after="180" w:line="360" w:lineRule="exact"/>
              <w:jc w:val="right"/>
              <w:rPr>
                <w:rFonts w:ascii="Tahoma" w:hAnsi="Tahoma" w:cs="Tahoma"/>
                <w:b/>
                <w:bCs/>
                <w:iCs/>
                <w:color w:val="243285"/>
                <w:sz w:val="36"/>
                <w:szCs w:val="36"/>
              </w:rPr>
            </w:pPr>
            <w:r w:rsidRPr="00F54FBD">
              <w:rPr>
                <w:rFonts w:ascii="Tahoma" w:hAnsi="Tahoma" w:cs="Tahoma"/>
                <w:b/>
                <w:bCs/>
                <w:iCs/>
                <w:color w:val="243285"/>
                <w:sz w:val="36"/>
                <w:szCs w:val="36"/>
              </w:rPr>
              <w:t xml:space="preserve">Série </w:t>
            </w:r>
            <w:r>
              <w:rPr>
                <w:rFonts w:ascii="Tahoma" w:hAnsi="Tahoma" w:cs="Tahoma"/>
                <w:b/>
                <w:bCs/>
                <w:iCs/>
                <w:color w:val="243285"/>
                <w:sz w:val="36"/>
                <w:szCs w:val="36"/>
              </w:rPr>
              <w:t>SA</w:t>
            </w:r>
          </w:p>
          <w:p w:rsidR="007634F2" w:rsidRPr="00F54FBD" w:rsidRDefault="007634F2" w:rsidP="00DE794F">
            <w:pPr>
              <w:spacing w:before="80" w:line="420" w:lineRule="exact"/>
              <w:jc w:val="right"/>
              <w:rPr>
                <w:rFonts w:ascii="Tahoma" w:hAnsi="Tahoma" w:cs="Tahoma"/>
                <w:b/>
                <w:bCs/>
                <w:iCs/>
                <w:color w:val="243285"/>
                <w:sz w:val="36"/>
                <w:szCs w:val="36"/>
              </w:rPr>
            </w:pPr>
            <w:r>
              <w:rPr>
                <w:rFonts w:ascii="Tahoma" w:hAnsi="Tahoma" w:cs="Tahoma"/>
                <w:b/>
                <w:bCs/>
                <w:iCs/>
                <w:color w:val="243285"/>
                <w:sz w:val="36"/>
                <w:szCs w:val="36"/>
              </w:rPr>
              <w:t>Applications spatiales et météorologie</w:t>
            </w:r>
          </w:p>
        </w:tc>
      </w:tr>
    </w:tbl>
    <w:p w:rsidR="007634F2" w:rsidRPr="00F54FBD" w:rsidRDefault="007634F2" w:rsidP="007634F2">
      <w:pPr>
        <w:spacing w:before="80"/>
        <w:rPr>
          <w:i/>
          <w:sz w:val="22"/>
        </w:rPr>
      </w:pPr>
    </w:p>
    <w:p w:rsidR="007634F2" w:rsidRPr="00F54FBD" w:rsidRDefault="007634F2" w:rsidP="007634F2">
      <w:pPr>
        <w:spacing w:before="80"/>
        <w:rPr>
          <w:i/>
          <w:sz w:val="22"/>
        </w:rPr>
      </w:pPr>
    </w:p>
    <w:p w:rsidR="007634F2" w:rsidRPr="00F54FBD" w:rsidRDefault="007634F2" w:rsidP="007634F2">
      <w:pPr>
        <w:spacing w:before="80"/>
        <w:rPr>
          <w:i/>
          <w:sz w:val="22"/>
        </w:rPr>
      </w:pPr>
    </w:p>
    <w:p w:rsidR="007634F2" w:rsidRPr="00F54FBD" w:rsidRDefault="007634F2" w:rsidP="007634F2">
      <w:pPr>
        <w:spacing w:before="80"/>
        <w:rPr>
          <w:i/>
          <w:sz w:val="22"/>
        </w:rPr>
      </w:pPr>
    </w:p>
    <w:p w:rsidR="007634F2" w:rsidRPr="00F54FBD" w:rsidRDefault="007634F2" w:rsidP="007634F2">
      <w:pPr>
        <w:spacing w:before="80"/>
        <w:rPr>
          <w:i/>
          <w:sz w:val="22"/>
        </w:rPr>
      </w:pPr>
    </w:p>
    <w:p w:rsidR="007634F2" w:rsidRPr="00F54FBD" w:rsidRDefault="007634F2" w:rsidP="007634F2">
      <w:pPr>
        <w:spacing w:before="80"/>
        <w:rPr>
          <w:i/>
          <w:sz w:val="22"/>
        </w:rPr>
      </w:pPr>
    </w:p>
    <w:p w:rsidR="007634F2" w:rsidRPr="00F54FBD" w:rsidRDefault="007634F2" w:rsidP="007634F2">
      <w:pPr>
        <w:pStyle w:val="Equation"/>
        <w:tabs>
          <w:tab w:val="clear" w:pos="4820"/>
          <w:tab w:val="clear" w:pos="9639"/>
          <w:tab w:val="left" w:pos="1191"/>
          <w:tab w:val="left" w:pos="1588"/>
          <w:tab w:val="left" w:pos="1985"/>
        </w:tabs>
        <w:rPr>
          <w:rFonts w:ascii="Palatino Linotype" w:hAnsi="Palatino Linotype"/>
        </w:rPr>
        <w:sectPr w:rsidR="007634F2" w:rsidRPr="00F54FBD">
          <w:headerReference w:type="even" r:id="rId7"/>
          <w:headerReference w:type="default" r:id="rId8"/>
          <w:pgSz w:w="11907" w:h="16840" w:code="9"/>
          <w:pgMar w:top="1089" w:right="1089" w:bottom="284" w:left="1089" w:header="567" w:footer="284" w:gutter="0"/>
          <w:pgNumType w:start="1"/>
          <w:cols w:space="720"/>
        </w:sectPr>
      </w:pPr>
    </w:p>
    <w:p w:rsidR="007634F2" w:rsidRPr="00F54FBD" w:rsidRDefault="007634F2" w:rsidP="007634F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0" w:name="c2tope"/>
      <w:bookmarkEnd w:id="0"/>
      <w:r w:rsidRPr="00F54FBD">
        <w:rPr>
          <w:bCs/>
          <w:sz w:val="24"/>
          <w:szCs w:val="24"/>
        </w:rPr>
        <w:lastRenderedPageBreak/>
        <w:t>Avant-propos</w:t>
      </w:r>
    </w:p>
    <w:p w:rsidR="007634F2" w:rsidRPr="00F54FBD" w:rsidRDefault="007634F2" w:rsidP="007634F2">
      <w:pPr>
        <w:spacing w:before="240"/>
        <w:rPr>
          <w:sz w:val="20"/>
        </w:rPr>
      </w:pPr>
      <w:r w:rsidRPr="00F54FBD">
        <w:rPr>
          <w:sz w:val="20"/>
        </w:rPr>
        <w:t xml:space="preserve">Le rôle du Secteur des radiocommunications est d’assurer l’utilisation rationnelle, </w:t>
      </w:r>
      <w:r>
        <w:rPr>
          <w:sz w:val="20"/>
        </w:rPr>
        <w:t>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rsidR="007634F2" w:rsidRPr="00F54FBD" w:rsidRDefault="007634F2" w:rsidP="007634F2">
      <w:pPr>
        <w:rPr>
          <w:sz w:val="20"/>
        </w:rPr>
      </w:pPr>
      <w:r w:rsidRPr="00F54FBD">
        <w:rPr>
          <w:sz w:val="20"/>
        </w:rPr>
        <w:t xml:space="preserve">Les </w:t>
      </w:r>
      <w:r>
        <w:rPr>
          <w:sz w:val="20"/>
        </w:rPr>
        <w:t>fo</w:t>
      </w:r>
      <w:r w:rsidRPr="00F54FBD">
        <w:rPr>
          <w:sz w:val="20"/>
        </w:rPr>
        <w:t>nctions réglementaires et politiques du Secteur des ra</w:t>
      </w:r>
      <w:r>
        <w:rPr>
          <w:sz w:val="20"/>
        </w:rPr>
        <w:t>diocommunications sont remplies par les Conférences mondiales et régionales des radiocommunications et par les Assemblées des radiocommunications assistées par les Commissions d’études.</w:t>
      </w:r>
    </w:p>
    <w:p w:rsidR="007634F2" w:rsidRPr="00E44CBB" w:rsidRDefault="007634F2" w:rsidP="007634F2">
      <w:pPr>
        <w:pStyle w:val="Heading1"/>
        <w:spacing w:before="360"/>
        <w:jc w:val="center"/>
        <w:rPr>
          <w:szCs w:val="24"/>
        </w:rPr>
      </w:pPr>
      <w:r w:rsidRPr="003F6436">
        <w:rPr>
          <w:szCs w:val="24"/>
        </w:rPr>
        <w:t>Politique en matière de droits de propriété intellectuelle</w:t>
      </w:r>
      <w:r w:rsidRPr="00E44CBB">
        <w:rPr>
          <w:szCs w:val="24"/>
        </w:rPr>
        <w:t xml:space="preserve"> (IPR)</w:t>
      </w:r>
    </w:p>
    <w:p w:rsidR="007634F2" w:rsidRPr="00E44CBB" w:rsidRDefault="007634F2" w:rsidP="007634F2">
      <w:pPr>
        <w:spacing w:before="240"/>
        <w:rPr>
          <w:sz w:val="20"/>
          <w:lang w:val="fr-CH"/>
        </w:rPr>
      </w:pPr>
      <w:r w:rsidRPr="00E44CBB">
        <w:rPr>
          <w:sz w:val="20"/>
        </w:rPr>
        <w:t>La politique de l'UIT</w:t>
      </w:r>
      <w:r w:rsidRPr="00E44CBB">
        <w:rPr>
          <w:sz w:val="20"/>
        </w:rPr>
        <w:noBreakHyphen/>
        <w:t xml:space="preserve">R en matière de droits de propriété intellectuelle est décrite dans la </w:t>
      </w:r>
      <w:r w:rsidRPr="00E44CBB">
        <w:rPr>
          <w:sz w:val="20"/>
          <w:lang w:val="fr-CH"/>
        </w:rPr>
        <w:t>«Politique commune de l'UIT</w:t>
      </w:r>
      <w:r w:rsidRPr="00E44CBB">
        <w:rPr>
          <w:sz w:val="20"/>
          <w:lang w:val="fr-CH"/>
        </w:rPr>
        <w:noBreakHyphen/>
        <w:t>T, l'UIT</w:t>
      </w:r>
      <w:r w:rsidRPr="00E44CBB">
        <w:rPr>
          <w:sz w:val="20"/>
          <w:lang w:val="fr-CH"/>
        </w:rPr>
        <w:noBreakHyphen/>
        <w:t xml:space="preserve">R, l'ISO et la CEI en matière de brevets», dont il est question dans l'Annexe 1 de la Résolution UIT-R 1. </w:t>
      </w:r>
      <w:r w:rsidRPr="00E44CBB">
        <w:rPr>
          <w:sz w:val="20"/>
        </w:rPr>
        <w:t xml:space="preserve">Les formulaires que les titulaires de brevets doivent utiliser pour soumettre les déclarations de brevet et d'octroi de licence sont accessibles à l'adresse </w:t>
      </w:r>
      <w:hyperlink r:id="rId9" w:history="1">
        <w:r w:rsidRPr="00E44CBB">
          <w:rPr>
            <w:rStyle w:val="Hyperlink"/>
            <w:sz w:val="20"/>
          </w:rPr>
          <w:t>http://www.itu.int/ITU-R/go/patents/fr</w:t>
        </w:r>
      </w:hyperlink>
      <w:r w:rsidRPr="00E44CBB">
        <w:rPr>
          <w:sz w:val="20"/>
        </w:rPr>
        <w:t>, où l'on trouvera également les Lignes directrices pour la mise en oeuvre de la politique commune en matière de brevets de l'UIT</w:t>
      </w:r>
      <w:r w:rsidRPr="00E44CBB">
        <w:rPr>
          <w:sz w:val="20"/>
        </w:rPr>
        <w:noBreakHyphen/>
        <w:t>T, l'UIT</w:t>
      </w:r>
      <w:r w:rsidRPr="00E44CBB">
        <w:rPr>
          <w:sz w:val="20"/>
        </w:rPr>
        <w:noBreakHyphen/>
        <w:t>R, l'ISO et la CEI</w:t>
      </w:r>
      <w:r w:rsidRPr="00E44CBB" w:rsidDel="0061025C">
        <w:rPr>
          <w:sz w:val="20"/>
        </w:rPr>
        <w:t xml:space="preserve"> </w:t>
      </w:r>
      <w:r w:rsidRPr="00E44CBB">
        <w:rPr>
          <w:sz w:val="20"/>
        </w:rPr>
        <w:t>et la base de données en matière de brevets de l'UIT-R.</w:t>
      </w:r>
    </w:p>
    <w:p w:rsidR="007634F2" w:rsidRPr="0086089D" w:rsidRDefault="007634F2" w:rsidP="007634F2">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7634F2" w:rsidRPr="009454F8" w:rsidTr="00DE794F">
        <w:tc>
          <w:tcPr>
            <w:tcW w:w="9360" w:type="dxa"/>
            <w:gridSpan w:val="2"/>
          </w:tcPr>
          <w:p w:rsidR="007634F2" w:rsidRPr="009454F8" w:rsidRDefault="007634F2" w:rsidP="00DE794F">
            <w:pPr>
              <w:pStyle w:val="Chaptitle"/>
              <w:keepLines w:val="0"/>
              <w:tabs>
                <w:tab w:val="clear" w:pos="794"/>
                <w:tab w:val="clear" w:pos="1191"/>
                <w:tab w:val="clear" w:pos="1588"/>
                <w:tab w:val="clear" w:pos="1985"/>
              </w:tabs>
              <w:overflowPunct/>
              <w:spacing w:before="140"/>
              <w:textAlignment w:val="auto"/>
              <w:rPr>
                <w:sz w:val="22"/>
                <w:szCs w:val="22"/>
              </w:rPr>
            </w:pPr>
            <w:r w:rsidRPr="009454F8">
              <w:rPr>
                <w:sz w:val="22"/>
                <w:szCs w:val="22"/>
              </w:rPr>
              <w:t>Séries des Recommandations UIT-R</w:t>
            </w:r>
            <w:r>
              <w:rPr>
                <w:sz w:val="22"/>
                <w:szCs w:val="22"/>
              </w:rPr>
              <w:t xml:space="preserve"> </w:t>
            </w:r>
          </w:p>
          <w:p w:rsidR="007634F2" w:rsidRPr="009454F8" w:rsidRDefault="007634F2" w:rsidP="00DE794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BC0651">
              <w:rPr>
                <w:b w:val="0"/>
                <w:sz w:val="18"/>
                <w:szCs w:val="18"/>
              </w:rPr>
              <w:t>(</w:t>
            </w:r>
            <w:r w:rsidRPr="009454F8">
              <w:rPr>
                <w:b w:val="0"/>
                <w:sz w:val="18"/>
                <w:szCs w:val="18"/>
              </w:rPr>
              <w:t xml:space="preserve">Egalement disponible en ligne: </w:t>
            </w:r>
            <w:hyperlink r:id="rId10" w:history="1">
              <w:r>
                <w:rPr>
                  <w:rStyle w:val="Hyperlink"/>
                  <w:b w:val="0"/>
                  <w:bCs/>
                  <w:sz w:val="18"/>
                  <w:szCs w:val="18"/>
                </w:rPr>
                <w:t>http://www.itu.int/publ/R-REC/fr</w:t>
              </w:r>
            </w:hyperlink>
            <w:r w:rsidRPr="00BC0651">
              <w:rPr>
                <w:b w:val="0"/>
                <w:bCs/>
                <w:sz w:val="18"/>
                <w:szCs w:val="18"/>
              </w:rPr>
              <w:t>)</w:t>
            </w:r>
          </w:p>
        </w:tc>
      </w:tr>
      <w:tr w:rsidR="007634F2" w:rsidRPr="00036EE3" w:rsidTr="00DE794F">
        <w:tc>
          <w:tcPr>
            <w:tcW w:w="1140" w:type="dxa"/>
            <w:tcBorders>
              <w:bottom w:val="nil"/>
            </w:tcBorders>
          </w:tcPr>
          <w:p w:rsidR="007634F2" w:rsidRPr="00614CC6" w:rsidRDefault="007634F2" w:rsidP="00DE794F">
            <w:pPr>
              <w:spacing w:before="90" w:after="100"/>
              <w:ind w:left="57"/>
              <w:rPr>
                <w:b/>
                <w:bCs/>
                <w:sz w:val="20"/>
                <w:lang w:val="en-US"/>
              </w:rPr>
            </w:pPr>
            <w:r w:rsidRPr="00614CC6">
              <w:rPr>
                <w:b/>
                <w:bCs/>
                <w:sz w:val="20"/>
                <w:lang w:val="en-US"/>
              </w:rPr>
              <w:t>Séries</w:t>
            </w:r>
          </w:p>
        </w:tc>
        <w:tc>
          <w:tcPr>
            <w:tcW w:w="8220" w:type="dxa"/>
            <w:tcBorders>
              <w:bottom w:val="nil"/>
            </w:tcBorders>
          </w:tcPr>
          <w:p w:rsidR="007634F2" w:rsidRPr="00614CC6" w:rsidRDefault="007634F2" w:rsidP="00DE794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en-US"/>
              </w:rPr>
            </w:pPr>
            <w:r w:rsidRPr="00614CC6">
              <w:rPr>
                <w:bCs/>
                <w:sz w:val="20"/>
                <w:lang w:val="en-US"/>
              </w:rPr>
              <w:t>Titre</w:t>
            </w:r>
          </w:p>
        </w:tc>
      </w:tr>
      <w:tr w:rsidR="007634F2" w:rsidRPr="005E427C" w:rsidTr="00DE794F">
        <w:tc>
          <w:tcPr>
            <w:tcW w:w="1140" w:type="dxa"/>
            <w:tcBorders>
              <w:top w:val="nil"/>
              <w:bottom w:val="nil"/>
            </w:tcBorders>
            <w:shd w:val="clear" w:color="auto" w:fill="auto"/>
          </w:tcPr>
          <w:p w:rsidR="007634F2" w:rsidRPr="005E427C" w:rsidRDefault="007634F2" w:rsidP="00DE794F">
            <w:pPr>
              <w:spacing w:before="30" w:after="30"/>
              <w:ind w:left="57"/>
              <w:jc w:val="left"/>
              <w:rPr>
                <w:b/>
                <w:bCs/>
                <w:sz w:val="20"/>
                <w:lang w:val="en-US"/>
              </w:rPr>
            </w:pPr>
            <w:r w:rsidRPr="005E427C">
              <w:rPr>
                <w:b/>
                <w:bCs/>
                <w:sz w:val="20"/>
                <w:lang w:val="en-US"/>
              </w:rPr>
              <w:t>BO</w:t>
            </w:r>
          </w:p>
        </w:tc>
        <w:tc>
          <w:tcPr>
            <w:tcW w:w="8220" w:type="dxa"/>
            <w:tcBorders>
              <w:top w:val="nil"/>
              <w:bottom w:val="nil"/>
            </w:tcBorders>
            <w:shd w:val="clear" w:color="auto" w:fill="auto"/>
          </w:tcPr>
          <w:p w:rsidR="007634F2" w:rsidRPr="005E427C" w:rsidRDefault="007634F2" w:rsidP="00DE794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5E427C">
              <w:rPr>
                <w:b w:val="0"/>
                <w:sz w:val="20"/>
              </w:rPr>
              <w:t>Diffusion par satellite</w:t>
            </w:r>
          </w:p>
        </w:tc>
      </w:tr>
      <w:tr w:rsidR="007634F2" w:rsidRPr="009454F8" w:rsidTr="00DE794F">
        <w:tc>
          <w:tcPr>
            <w:tcW w:w="1140" w:type="dxa"/>
            <w:tcBorders>
              <w:top w:val="nil"/>
              <w:bottom w:val="nil"/>
            </w:tcBorders>
          </w:tcPr>
          <w:p w:rsidR="007634F2" w:rsidRPr="00614CC6" w:rsidRDefault="007634F2" w:rsidP="00DE794F">
            <w:pPr>
              <w:spacing w:before="30" w:after="30"/>
              <w:ind w:left="57"/>
              <w:jc w:val="left"/>
              <w:rPr>
                <w:b/>
                <w:bCs/>
                <w:sz w:val="20"/>
                <w:lang w:val="en-US"/>
              </w:rPr>
            </w:pPr>
            <w:r w:rsidRPr="00614CC6">
              <w:rPr>
                <w:b/>
                <w:bCs/>
                <w:sz w:val="20"/>
                <w:lang w:val="en-US"/>
              </w:rPr>
              <w:t>BR</w:t>
            </w:r>
          </w:p>
        </w:tc>
        <w:tc>
          <w:tcPr>
            <w:tcW w:w="8220" w:type="dxa"/>
            <w:tcBorders>
              <w:top w:val="nil"/>
              <w:bottom w:val="nil"/>
            </w:tcBorders>
          </w:tcPr>
          <w:p w:rsidR="007634F2" w:rsidRPr="00614CC6" w:rsidRDefault="007634F2" w:rsidP="00DE794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614CC6">
              <w:rPr>
                <w:b w:val="0"/>
                <w:bCs/>
                <w:sz w:val="20"/>
              </w:rPr>
              <w:t>Enregistrement pour la production, l'archivage et la diffusion; films pour la télévision</w:t>
            </w:r>
          </w:p>
        </w:tc>
      </w:tr>
      <w:tr w:rsidR="007634F2" w:rsidRPr="00E80F1D" w:rsidTr="00DE794F">
        <w:tc>
          <w:tcPr>
            <w:tcW w:w="1140" w:type="dxa"/>
            <w:tcBorders>
              <w:top w:val="nil"/>
              <w:bottom w:val="nil"/>
            </w:tcBorders>
            <w:shd w:val="clear" w:color="auto" w:fill="auto"/>
          </w:tcPr>
          <w:p w:rsidR="007634F2" w:rsidRPr="00E80F1D" w:rsidRDefault="007634F2" w:rsidP="00DE794F">
            <w:pPr>
              <w:spacing w:before="30" w:after="30"/>
              <w:ind w:left="57"/>
              <w:jc w:val="left"/>
              <w:rPr>
                <w:b/>
                <w:bCs/>
                <w:sz w:val="20"/>
                <w:lang w:val="en-US"/>
              </w:rPr>
            </w:pPr>
            <w:r w:rsidRPr="00E80F1D">
              <w:rPr>
                <w:b/>
                <w:bCs/>
                <w:sz w:val="20"/>
                <w:lang w:val="en-US"/>
              </w:rPr>
              <w:t>BS</w:t>
            </w:r>
          </w:p>
        </w:tc>
        <w:tc>
          <w:tcPr>
            <w:tcW w:w="8220" w:type="dxa"/>
            <w:tcBorders>
              <w:top w:val="nil"/>
              <w:bottom w:val="nil"/>
            </w:tcBorders>
            <w:shd w:val="clear" w:color="auto" w:fill="auto"/>
          </w:tcPr>
          <w:p w:rsidR="007634F2" w:rsidRPr="00E80F1D" w:rsidRDefault="007634F2" w:rsidP="00DE794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80F1D">
              <w:rPr>
                <w:b w:val="0"/>
                <w:sz w:val="20"/>
              </w:rPr>
              <w:t>Service de radiodiffusion sonore</w:t>
            </w:r>
          </w:p>
        </w:tc>
      </w:tr>
      <w:tr w:rsidR="007634F2" w:rsidRPr="00ED2695" w:rsidTr="00DE794F">
        <w:tc>
          <w:tcPr>
            <w:tcW w:w="1140" w:type="dxa"/>
            <w:tcBorders>
              <w:top w:val="nil"/>
              <w:bottom w:val="nil"/>
            </w:tcBorders>
            <w:shd w:val="clear" w:color="auto" w:fill="auto"/>
          </w:tcPr>
          <w:p w:rsidR="007634F2" w:rsidRPr="00614CC6" w:rsidRDefault="007634F2" w:rsidP="00DE794F">
            <w:pPr>
              <w:spacing w:before="30" w:after="30"/>
              <w:ind w:left="57"/>
              <w:jc w:val="left"/>
              <w:rPr>
                <w:b/>
                <w:bCs/>
                <w:sz w:val="20"/>
                <w:lang w:val="en-US"/>
              </w:rPr>
            </w:pPr>
            <w:r w:rsidRPr="00614CC6">
              <w:rPr>
                <w:b/>
                <w:bCs/>
                <w:sz w:val="20"/>
                <w:lang w:val="en-US"/>
              </w:rPr>
              <w:t>BT</w:t>
            </w:r>
          </w:p>
        </w:tc>
        <w:tc>
          <w:tcPr>
            <w:tcW w:w="8220" w:type="dxa"/>
            <w:tcBorders>
              <w:top w:val="nil"/>
              <w:bottom w:val="nil"/>
            </w:tcBorders>
            <w:shd w:val="clear" w:color="auto" w:fill="auto"/>
          </w:tcPr>
          <w:p w:rsidR="007634F2" w:rsidRPr="00614CC6" w:rsidRDefault="007634F2" w:rsidP="00DE794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Service de radiodiffusion télévisuelle</w:t>
            </w:r>
          </w:p>
        </w:tc>
      </w:tr>
      <w:tr w:rsidR="007634F2" w:rsidRPr="00DE5EA2" w:rsidTr="00DE794F">
        <w:tc>
          <w:tcPr>
            <w:tcW w:w="1140" w:type="dxa"/>
            <w:tcBorders>
              <w:top w:val="nil"/>
              <w:bottom w:val="nil"/>
            </w:tcBorders>
            <w:shd w:val="clear" w:color="auto" w:fill="auto"/>
          </w:tcPr>
          <w:p w:rsidR="007634F2" w:rsidRPr="00DE5EA2" w:rsidRDefault="007634F2" w:rsidP="00DE794F">
            <w:pPr>
              <w:spacing w:before="30" w:after="30"/>
              <w:ind w:left="57"/>
              <w:jc w:val="left"/>
              <w:rPr>
                <w:b/>
                <w:bCs/>
                <w:sz w:val="20"/>
                <w:lang w:val="fr-CH"/>
              </w:rPr>
            </w:pPr>
            <w:r w:rsidRPr="00DE5EA2">
              <w:rPr>
                <w:b/>
                <w:bCs/>
                <w:sz w:val="20"/>
                <w:lang w:val="fr-CH"/>
              </w:rPr>
              <w:t>F</w:t>
            </w:r>
          </w:p>
        </w:tc>
        <w:tc>
          <w:tcPr>
            <w:tcW w:w="8220" w:type="dxa"/>
            <w:tcBorders>
              <w:top w:val="nil"/>
              <w:bottom w:val="nil"/>
            </w:tcBorders>
            <w:shd w:val="clear" w:color="auto" w:fill="auto"/>
          </w:tcPr>
          <w:p w:rsidR="007634F2" w:rsidRPr="00DE5EA2" w:rsidRDefault="007634F2" w:rsidP="00DE794F">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DE5EA2">
              <w:rPr>
                <w:sz w:val="20"/>
              </w:rPr>
              <w:t>Service fixe</w:t>
            </w:r>
          </w:p>
        </w:tc>
      </w:tr>
      <w:tr w:rsidR="007634F2" w:rsidRPr="00B21066" w:rsidTr="00DE794F">
        <w:tc>
          <w:tcPr>
            <w:tcW w:w="1140" w:type="dxa"/>
            <w:tcBorders>
              <w:top w:val="nil"/>
              <w:bottom w:val="nil"/>
            </w:tcBorders>
            <w:shd w:val="clear" w:color="auto" w:fill="auto"/>
          </w:tcPr>
          <w:p w:rsidR="007634F2" w:rsidRPr="00B21066" w:rsidRDefault="007634F2" w:rsidP="00DE794F">
            <w:pPr>
              <w:spacing w:before="30" w:after="30"/>
              <w:ind w:left="57"/>
              <w:jc w:val="left"/>
              <w:rPr>
                <w:b/>
                <w:bCs/>
                <w:sz w:val="20"/>
                <w:lang w:val="en-US"/>
              </w:rPr>
            </w:pPr>
            <w:r w:rsidRPr="00B21066">
              <w:rPr>
                <w:b/>
                <w:bCs/>
                <w:sz w:val="20"/>
                <w:lang w:val="en-US"/>
              </w:rPr>
              <w:t>M</w:t>
            </w:r>
          </w:p>
        </w:tc>
        <w:tc>
          <w:tcPr>
            <w:tcW w:w="8220" w:type="dxa"/>
            <w:tcBorders>
              <w:top w:val="nil"/>
              <w:bottom w:val="nil"/>
            </w:tcBorders>
            <w:shd w:val="clear" w:color="auto" w:fill="auto"/>
          </w:tcPr>
          <w:p w:rsidR="007634F2" w:rsidRPr="00B21066" w:rsidRDefault="007634F2" w:rsidP="00DE794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B21066">
              <w:rPr>
                <w:b w:val="0"/>
                <w:sz w:val="20"/>
              </w:rPr>
              <w:t>Services mobile, de radiorepérage et d'amateur y compris les services par satellite associés</w:t>
            </w:r>
          </w:p>
        </w:tc>
      </w:tr>
      <w:tr w:rsidR="007634F2" w:rsidRPr="00EC361D" w:rsidTr="00DE794F">
        <w:tc>
          <w:tcPr>
            <w:tcW w:w="1140" w:type="dxa"/>
            <w:tcBorders>
              <w:top w:val="nil"/>
              <w:bottom w:val="nil"/>
            </w:tcBorders>
            <w:shd w:val="clear" w:color="auto" w:fill="auto"/>
          </w:tcPr>
          <w:p w:rsidR="007634F2" w:rsidRPr="00EC361D" w:rsidRDefault="007634F2" w:rsidP="00DE794F">
            <w:pPr>
              <w:spacing w:before="30" w:after="30"/>
              <w:ind w:left="57"/>
              <w:jc w:val="left"/>
              <w:rPr>
                <w:b/>
                <w:bCs/>
                <w:sz w:val="20"/>
                <w:lang w:val="fr-CH"/>
              </w:rPr>
            </w:pPr>
            <w:r w:rsidRPr="00EC361D">
              <w:rPr>
                <w:b/>
                <w:bCs/>
                <w:sz w:val="20"/>
                <w:lang w:val="fr-CH"/>
              </w:rPr>
              <w:t>P</w:t>
            </w:r>
          </w:p>
        </w:tc>
        <w:tc>
          <w:tcPr>
            <w:tcW w:w="8220" w:type="dxa"/>
            <w:tcBorders>
              <w:top w:val="nil"/>
              <w:bottom w:val="nil"/>
            </w:tcBorders>
            <w:shd w:val="clear" w:color="auto" w:fill="auto"/>
          </w:tcPr>
          <w:p w:rsidR="007634F2" w:rsidRPr="00EC361D" w:rsidRDefault="007634F2" w:rsidP="00DE794F">
            <w:pPr>
              <w:spacing w:before="30" w:after="30"/>
              <w:jc w:val="left"/>
              <w:rPr>
                <w:sz w:val="20"/>
                <w:lang w:val="fr-CH"/>
              </w:rPr>
            </w:pPr>
            <w:r w:rsidRPr="00EC361D">
              <w:rPr>
                <w:sz w:val="20"/>
              </w:rPr>
              <w:t>Propagation des ondes radioélectriques</w:t>
            </w:r>
          </w:p>
        </w:tc>
      </w:tr>
      <w:tr w:rsidR="007634F2" w:rsidRPr="004822EF" w:rsidTr="00DE794F">
        <w:tc>
          <w:tcPr>
            <w:tcW w:w="1140" w:type="dxa"/>
            <w:tcBorders>
              <w:top w:val="nil"/>
              <w:bottom w:val="nil"/>
            </w:tcBorders>
            <w:shd w:val="clear" w:color="auto" w:fill="auto"/>
          </w:tcPr>
          <w:p w:rsidR="007634F2" w:rsidRPr="004822EF" w:rsidRDefault="007634F2" w:rsidP="00DE794F">
            <w:pPr>
              <w:spacing w:before="30" w:after="30"/>
              <w:ind w:left="57"/>
              <w:jc w:val="left"/>
              <w:rPr>
                <w:b/>
                <w:bCs/>
                <w:sz w:val="20"/>
                <w:lang w:val="en-US"/>
              </w:rPr>
            </w:pPr>
            <w:r w:rsidRPr="004822EF">
              <w:rPr>
                <w:b/>
                <w:bCs/>
                <w:sz w:val="20"/>
                <w:lang w:val="en-US"/>
              </w:rPr>
              <w:t>RA</w:t>
            </w:r>
          </w:p>
        </w:tc>
        <w:tc>
          <w:tcPr>
            <w:tcW w:w="8220" w:type="dxa"/>
            <w:tcBorders>
              <w:top w:val="nil"/>
              <w:bottom w:val="nil"/>
            </w:tcBorders>
            <w:shd w:val="clear" w:color="auto" w:fill="auto"/>
          </w:tcPr>
          <w:p w:rsidR="007634F2" w:rsidRPr="004822EF" w:rsidRDefault="007634F2" w:rsidP="00DE794F">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4822EF">
              <w:rPr>
                <w:sz w:val="20"/>
              </w:rPr>
              <w:t>Radio astronomie</w:t>
            </w:r>
          </w:p>
        </w:tc>
      </w:tr>
      <w:tr w:rsidR="007634F2" w:rsidRPr="00326525" w:rsidTr="00DE794F">
        <w:tc>
          <w:tcPr>
            <w:tcW w:w="1140" w:type="dxa"/>
            <w:tcBorders>
              <w:top w:val="nil"/>
              <w:bottom w:val="nil"/>
            </w:tcBorders>
            <w:shd w:val="clear" w:color="auto" w:fill="auto"/>
          </w:tcPr>
          <w:p w:rsidR="007634F2" w:rsidRPr="00326525" w:rsidRDefault="007634F2" w:rsidP="00DE794F">
            <w:pPr>
              <w:spacing w:before="30" w:after="30"/>
              <w:ind w:left="57"/>
              <w:jc w:val="left"/>
              <w:rPr>
                <w:b/>
                <w:bCs/>
                <w:sz w:val="20"/>
                <w:lang w:val="en-US"/>
              </w:rPr>
            </w:pPr>
            <w:r w:rsidRPr="00326525">
              <w:rPr>
                <w:b/>
                <w:bCs/>
                <w:sz w:val="20"/>
                <w:lang w:val="en-US"/>
              </w:rPr>
              <w:t>RS</w:t>
            </w:r>
          </w:p>
        </w:tc>
        <w:tc>
          <w:tcPr>
            <w:tcW w:w="8220" w:type="dxa"/>
            <w:tcBorders>
              <w:top w:val="nil"/>
              <w:bottom w:val="nil"/>
            </w:tcBorders>
            <w:shd w:val="clear" w:color="auto" w:fill="auto"/>
          </w:tcPr>
          <w:p w:rsidR="007634F2" w:rsidRPr="00326525" w:rsidRDefault="007634F2" w:rsidP="00DE794F">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26525">
              <w:rPr>
                <w:sz w:val="20"/>
              </w:rPr>
              <w:t>Systèmes de télédétection</w:t>
            </w:r>
          </w:p>
        </w:tc>
      </w:tr>
      <w:tr w:rsidR="007634F2" w:rsidRPr="00C40D3E" w:rsidTr="00DE794F">
        <w:tc>
          <w:tcPr>
            <w:tcW w:w="1140" w:type="dxa"/>
            <w:tcBorders>
              <w:top w:val="nil"/>
              <w:bottom w:val="nil"/>
            </w:tcBorders>
            <w:shd w:val="clear" w:color="auto" w:fill="auto"/>
          </w:tcPr>
          <w:p w:rsidR="007634F2" w:rsidRPr="00C40D3E" w:rsidRDefault="007634F2" w:rsidP="00DE794F">
            <w:pPr>
              <w:spacing w:before="30" w:after="30"/>
              <w:ind w:left="57"/>
              <w:jc w:val="left"/>
              <w:rPr>
                <w:b/>
                <w:bCs/>
                <w:sz w:val="20"/>
                <w:lang w:val="en-US"/>
              </w:rPr>
            </w:pPr>
            <w:r w:rsidRPr="00C40D3E">
              <w:rPr>
                <w:b/>
                <w:bCs/>
                <w:sz w:val="20"/>
                <w:lang w:val="en-US"/>
              </w:rPr>
              <w:t>S</w:t>
            </w:r>
          </w:p>
        </w:tc>
        <w:tc>
          <w:tcPr>
            <w:tcW w:w="8220" w:type="dxa"/>
            <w:tcBorders>
              <w:top w:val="nil"/>
              <w:bottom w:val="nil"/>
            </w:tcBorders>
            <w:shd w:val="clear" w:color="auto" w:fill="auto"/>
          </w:tcPr>
          <w:p w:rsidR="007634F2" w:rsidRPr="00C40D3E" w:rsidRDefault="007634F2" w:rsidP="00DE794F">
            <w:pPr>
              <w:spacing w:before="30" w:after="30"/>
              <w:jc w:val="left"/>
              <w:rPr>
                <w:sz w:val="20"/>
                <w:lang w:val="en-US"/>
              </w:rPr>
            </w:pPr>
            <w:r w:rsidRPr="00C40D3E">
              <w:rPr>
                <w:sz w:val="20"/>
              </w:rPr>
              <w:t>Service fixe par satellite</w:t>
            </w:r>
          </w:p>
        </w:tc>
      </w:tr>
      <w:tr w:rsidR="007634F2" w:rsidRPr="00C40D3E" w:rsidTr="00DE794F">
        <w:tc>
          <w:tcPr>
            <w:tcW w:w="1140" w:type="dxa"/>
            <w:tcBorders>
              <w:top w:val="nil"/>
              <w:bottom w:val="nil"/>
            </w:tcBorders>
            <w:shd w:val="clear" w:color="auto" w:fill="F3F3F3"/>
          </w:tcPr>
          <w:p w:rsidR="007634F2" w:rsidRPr="00C40D3E" w:rsidRDefault="007634F2" w:rsidP="00DE794F">
            <w:pPr>
              <w:spacing w:before="30" w:after="30"/>
              <w:ind w:left="57"/>
              <w:jc w:val="left"/>
              <w:rPr>
                <w:b/>
                <w:bCs/>
                <w:color w:val="000080"/>
                <w:sz w:val="20"/>
                <w:lang w:val="en-US"/>
              </w:rPr>
            </w:pPr>
            <w:r w:rsidRPr="00C40D3E">
              <w:rPr>
                <w:b/>
                <w:bCs/>
                <w:color w:val="000080"/>
                <w:sz w:val="20"/>
                <w:lang w:val="en-US"/>
              </w:rPr>
              <w:t>SA</w:t>
            </w:r>
          </w:p>
        </w:tc>
        <w:tc>
          <w:tcPr>
            <w:tcW w:w="8220" w:type="dxa"/>
            <w:tcBorders>
              <w:top w:val="nil"/>
              <w:bottom w:val="nil"/>
            </w:tcBorders>
            <w:shd w:val="clear" w:color="auto" w:fill="F3F3F3"/>
          </w:tcPr>
          <w:p w:rsidR="007634F2" w:rsidRPr="00C40D3E" w:rsidRDefault="007634F2" w:rsidP="00DE794F">
            <w:pPr>
              <w:spacing w:before="30" w:after="30"/>
              <w:jc w:val="left"/>
              <w:rPr>
                <w:b/>
                <w:bCs/>
                <w:color w:val="000080"/>
                <w:sz w:val="20"/>
                <w:lang w:val="en-US"/>
              </w:rPr>
            </w:pPr>
            <w:r w:rsidRPr="00C40D3E">
              <w:rPr>
                <w:b/>
                <w:bCs/>
                <w:color w:val="000080"/>
                <w:sz w:val="20"/>
              </w:rPr>
              <w:t>Applications spatiales et météorologie</w:t>
            </w:r>
          </w:p>
        </w:tc>
      </w:tr>
      <w:tr w:rsidR="007634F2" w:rsidRPr="00614CC6" w:rsidTr="00DE794F">
        <w:tc>
          <w:tcPr>
            <w:tcW w:w="1140" w:type="dxa"/>
            <w:tcBorders>
              <w:top w:val="nil"/>
            </w:tcBorders>
          </w:tcPr>
          <w:p w:rsidR="007634F2" w:rsidRPr="00614CC6" w:rsidRDefault="007634F2" w:rsidP="00DE794F">
            <w:pPr>
              <w:spacing w:before="30" w:after="30"/>
              <w:ind w:left="57"/>
              <w:jc w:val="left"/>
              <w:rPr>
                <w:b/>
                <w:bCs/>
                <w:sz w:val="20"/>
                <w:lang w:val="en-US"/>
              </w:rPr>
            </w:pPr>
            <w:r w:rsidRPr="00614CC6">
              <w:rPr>
                <w:b/>
                <w:bCs/>
                <w:sz w:val="20"/>
                <w:lang w:val="en-US"/>
              </w:rPr>
              <w:t>SF</w:t>
            </w:r>
          </w:p>
        </w:tc>
        <w:tc>
          <w:tcPr>
            <w:tcW w:w="8220" w:type="dxa"/>
            <w:tcBorders>
              <w:top w:val="nil"/>
            </w:tcBorders>
          </w:tcPr>
          <w:p w:rsidR="007634F2" w:rsidRPr="00614CC6" w:rsidRDefault="007634F2" w:rsidP="00DE794F">
            <w:pPr>
              <w:spacing w:before="30" w:after="30"/>
              <w:jc w:val="left"/>
              <w:rPr>
                <w:sz w:val="20"/>
              </w:rPr>
            </w:pPr>
            <w:r w:rsidRPr="00614CC6">
              <w:rPr>
                <w:sz w:val="20"/>
              </w:rPr>
              <w:t>Partage des fréquences et coordination entre les systèmes du service fixe par satellite et du service fixe</w:t>
            </w:r>
          </w:p>
        </w:tc>
      </w:tr>
      <w:tr w:rsidR="007634F2" w:rsidRPr="00036EE3" w:rsidTr="00DE794F">
        <w:tc>
          <w:tcPr>
            <w:tcW w:w="1140" w:type="dxa"/>
            <w:shd w:val="clear" w:color="auto" w:fill="auto"/>
          </w:tcPr>
          <w:p w:rsidR="007634F2" w:rsidRPr="00592F9F" w:rsidRDefault="007634F2" w:rsidP="00DE794F">
            <w:pPr>
              <w:spacing w:before="30" w:after="30"/>
              <w:ind w:left="57"/>
              <w:jc w:val="left"/>
              <w:rPr>
                <w:b/>
                <w:bCs/>
                <w:sz w:val="20"/>
                <w:lang w:val="en-US"/>
              </w:rPr>
            </w:pPr>
            <w:r w:rsidRPr="00592F9F">
              <w:rPr>
                <w:b/>
                <w:bCs/>
                <w:sz w:val="20"/>
                <w:lang w:val="en-US"/>
              </w:rPr>
              <w:t>SM</w:t>
            </w:r>
          </w:p>
        </w:tc>
        <w:tc>
          <w:tcPr>
            <w:tcW w:w="8220" w:type="dxa"/>
            <w:shd w:val="clear" w:color="auto" w:fill="auto"/>
          </w:tcPr>
          <w:p w:rsidR="007634F2" w:rsidRPr="00592F9F" w:rsidRDefault="007634F2" w:rsidP="00DE794F">
            <w:pPr>
              <w:spacing w:before="30" w:after="30"/>
              <w:jc w:val="left"/>
              <w:rPr>
                <w:sz w:val="20"/>
                <w:lang w:val="en-US"/>
              </w:rPr>
            </w:pPr>
            <w:r w:rsidRPr="00592F9F">
              <w:rPr>
                <w:sz w:val="20"/>
              </w:rPr>
              <w:t>Gestion du spectre</w:t>
            </w:r>
          </w:p>
        </w:tc>
      </w:tr>
      <w:tr w:rsidR="007634F2" w:rsidRPr="00036EE3" w:rsidTr="00DE794F">
        <w:tc>
          <w:tcPr>
            <w:tcW w:w="1140" w:type="dxa"/>
          </w:tcPr>
          <w:p w:rsidR="007634F2" w:rsidRPr="00614CC6" w:rsidRDefault="007634F2" w:rsidP="00DE794F">
            <w:pPr>
              <w:spacing w:before="30" w:after="30"/>
              <w:ind w:left="57"/>
              <w:jc w:val="left"/>
              <w:rPr>
                <w:b/>
                <w:bCs/>
                <w:sz w:val="20"/>
                <w:lang w:val="en-US"/>
              </w:rPr>
            </w:pPr>
            <w:r w:rsidRPr="00614CC6">
              <w:rPr>
                <w:b/>
                <w:bCs/>
                <w:sz w:val="20"/>
                <w:lang w:val="en-US"/>
              </w:rPr>
              <w:t>SNG</w:t>
            </w:r>
          </w:p>
        </w:tc>
        <w:tc>
          <w:tcPr>
            <w:tcW w:w="8220" w:type="dxa"/>
          </w:tcPr>
          <w:p w:rsidR="007634F2" w:rsidRPr="00614CC6" w:rsidRDefault="007634F2" w:rsidP="00DE794F">
            <w:pPr>
              <w:spacing w:before="30" w:after="30"/>
              <w:jc w:val="left"/>
              <w:rPr>
                <w:sz w:val="20"/>
                <w:lang w:val="en-US"/>
              </w:rPr>
            </w:pPr>
            <w:r w:rsidRPr="00614CC6">
              <w:rPr>
                <w:sz w:val="20"/>
              </w:rPr>
              <w:t>Reportage d'actualités par satellite</w:t>
            </w:r>
          </w:p>
        </w:tc>
      </w:tr>
      <w:tr w:rsidR="007634F2" w:rsidRPr="00614CC6" w:rsidTr="00DE794F">
        <w:tc>
          <w:tcPr>
            <w:tcW w:w="1140" w:type="dxa"/>
          </w:tcPr>
          <w:p w:rsidR="007634F2" w:rsidRPr="00614CC6" w:rsidRDefault="007634F2" w:rsidP="00DE794F">
            <w:pPr>
              <w:spacing w:before="30" w:after="30"/>
              <w:ind w:left="57"/>
              <w:jc w:val="left"/>
              <w:rPr>
                <w:b/>
                <w:bCs/>
                <w:sz w:val="20"/>
                <w:lang w:val="en-US"/>
              </w:rPr>
            </w:pPr>
            <w:r w:rsidRPr="00614CC6">
              <w:rPr>
                <w:b/>
                <w:bCs/>
                <w:sz w:val="20"/>
                <w:lang w:val="en-US"/>
              </w:rPr>
              <w:t>TF</w:t>
            </w:r>
          </w:p>
        </w:tc>
        <w:tc>
          <w:tcPr>
            <w:tcW w:w="8220" w:type="dxa"/>
          </w:tcPr>
          <w:p w:rsidR="007634F2" w:rsidRPr="00614CC6" w:rsidRDefault="007634F2" w:rsidP="00DE794F">
            <w:pPr>
              <w:spacing w:before="30" w:after="30"/>
              <w:jc w:val="left"/>
              <w:rPr>
                <w:sz w:val="20"/>
              </w:rPr>
            </w:pPr>
            <w:r w:rsidRPr="00614CC6">
              <w:rPr>
                <w:sz w:val="20"/>
              </w:rPr>
              <w:t>Emissions de fréquences étalon et de signaux horaires</w:t>
            </w:r>
          </w:p>
        </w:tc>
      </w:tr>
      <w:tr w:rsidR="007634F2" w:rsidRPr="00036EE3" w:rsidTr="00DE794F">
        <w:tc>
          <w:tcPr>
            <w:tcW w:w="1140" w:type="dxa"/>
          </w:tcPr>
          <w:p w:rsidR="007634F2" w:rsidRPr="00614CC6" w:rsidRDefault="007634F2" w:rsidP="00DE794F">
            <w:pPr>
              <w:spacing w:before="30" w:after="30"/>
              <w:ind w:left="57"/>
              <w:jc w:val="left"/>
              <w:rPr>
                <w:b/>
                <w:bCs/>
                <w:sz w:val="20"/>
                <w:lang w:val="en-US"/>
              </w:rPr>
            </w:pPr>
            <w:r w:rsidRPr="00614CC6">
              <w:rPr>
                <w:b/>
                <w:bCs/>
                <w:sz w:val="20"/>
                <w:lang w:val="en-US"/>
              </w:rPr>
              <w:t>V</w:t>
            </w:r>
          </w:p>
        </w:tc>
        <w:tc>
          <w:tcPr>
            <w:tcW w:w="8220" w:type="dxa"/>
          </w:tcPr>
          <w:p w:rsidR="007634F2" w:rsidRPr="00614CC6" w:rsidRDefault="007634F2" w:rsidP="00DE794F">
            <w:pPr>
              <w:spacing w:before="30" w:after="140"/>
              <w:jc w:val="left"/>
              <w:rPr>
                <w:sz w:val="20"/>
                <w:lang w:val="en-US"/>
              </w:rPr>
            </w:pPr>
            <w:r w:rsidRPr="00614CC6">
              <w:rPr>
                <w:sz w:val="20"/>
              </w:rPr>
              <w:t>Vocabulaire et sujets associés</w:t>
            </w:r>
          </w:p>
        </w:tc>
      </w:tr>
    </w:tbl>
    <w:p w:rsidR="007634F2" w:rsidRPr="00036EE3" w:rsidRDefault="007634F2" w:rsidP="007634F2">
      <w:pPr>
        <w:spacing w:before="0"/>
        <w:jc w:val="center"/>
        <w:rPr>
          <w:sz w:val="20"/>
          <w:lang w:val="en-US"/>
        </w:rPr>
      </w:pPr>
    </w:p>
    <w:p w:rsidR="007634F2" w:rsidRPr="00036EE3" w:rsidRDefault="007634F2" w:rsidP="007634F2">
      <w:pPr>
        <w:spacing w:before="0"/>
        <w:ind w:left="18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7634F2" w:rsidRPr="00756B4D" w:rsidTr="00DE794F">
        <w:tc>
          <w:tcPr>
            <w:tcW w:w="9360" w:type="dxa"/>
          </w:tcPr>
          <w:p w:rsidR="007634F2" w:rsidRPr="00756B4D" w:rsidRDefault="007634F2" w:rsidP="00DE794F">
            <w:pPr>
              <w:spacing w:before="80" w:after="80"/>
              <w:jc w:val="left"/>
              <w:rPr>
                <w:i/>
                <w:iCs/>
                <w:sz w:val="20"/>
              </w:rPr>
            </w:pPr>
            <w:r w:rsidRPr="00756B4D">
              <w:rPr>
                <w:b/>
                <w:bCs/>
                <w:i/>
                <w:iCs/>
                <w:sz w:val="20"/>
              </w:rPr>
              <w:t>Note</w:t>
            </w:r>
            <w:r w:rsidRPr="00756B4D">
              <w:rPr>
                <w:i/>
                <w:iCs/>
                <w:sz w:val="20"/>
              </w:rPr>
              <w:t>: Cette Recommandation UIT-R a été approuvée en anglais aux termes de la procédure détaillée dans la</w:t>
            </w:r>
            <w:r>
              <w:rPr>
                <w:i/>
                <w:iCs/>
                <w:sz w:val="20"/>
              </w:rPr>
              <w:br/>
            </w:r>
            <w:r w:rsidRPr="00756B4D">
              <w:rPr>
                <w:i/>
                <w:iCs/>
                <w:sz w:val="20"/>
              </w:rPr>
              <w:t xml:space="preserve">Résolution UIT-R 1. </w:t>
            </w:r>
          </w:p>
        </w:tc>
      </w:tr>
    </w:tbl>
    <w:p w:rsidR="007634F2" w:rsidRPr="00756B4D" w:rsidRDefault="007634F2" w:rsidP="007634F2">
      <w:pPr>
        <w:spacing w:before="0"/>
        <w:jc w:val="center"/>
        <w:rPr>
          <w:sz w:val="22"/>
        </w:rPr>
      </w:pPr>
    </w:p>
    <w:p w:rsidR="007634F2" w:rsidRPr="00614CC6" w:rsidRDefault="007634F2" w:rsidP="007634F2">
      <w:pPr>
        <w:spacing w:before="100"/>
        <w:jc w:val="right"/>
        <w:rPr>
          <w:i/>
          <w:iCs/>
          <w:sz w:val="20"/>
        </w:rPr>
      </w:pPr>
      <w:r w:rsidRPr="00614CC6">
        <w:rPr>
          <w:i/>
          <w:iCs/>
          <w:sz w:val="20"/>
        </w:rPr>
        <w:t>Publication électronique</w:t>
      </w:r>
    </w:p>
    <w:p w:rsidR="007634F2" w:rsidRPr="00614CC6" w:rsidRDefault="007634F2" w:rsidP="007634F2">
      <w:pPr>
        <w:spacing w:before="0"/>
        <w:jc w:val="right"/>
        <w:rPr>
          <w:sz w:val="20"/>
        </w:rPr>
      </w:pPr>
      <w:r w:rsidRPr="00614CC6">
        <w:rPr>
          <w:sz w:val="20"/>
        </w:rPr>
        <w:t>Genève, 20</w:t>
      </w:r>
      <w:r>
        <w:rPr>
          <w:sz w:val="20"/>
        </w:rPr>
        <w:t>14</w:t>
      </w:r>
    </w:p>
    <w:p w:rsidR="007634F2" w:rsidRPr="00614CC6" w:rsidRDefault="007634F2" w:rsidP="007634F2">
      <w:pPr>
        <w:spacing w:before="200"/>
        <w:jc w:val="center"/>
        <w:rPr>
          <w:sz w:val="20"/>
        </w:rPr>
      </w:pPr>
      <w:r w:rsidRPr="00470E28">
        <w:rPr>
          <w:sz w:val="20"/>
          <w:lang w:val="en-US"/>
        </w:rPr>
        <w:sym w:font="Symbol" w:char="F0E3"/>
      </w:r>
      <w:r w:rsidRPr="00614CC6">
        <w:rPr>
          <w:sz w:val="20"/>
        </w:rPr>
        <w:t xml:space="preserve"> UIT </w:t>
      </w:r>
      <w:bookmarkStart w:id="1" w:name="iiannee"/>
      <w:bookmarkEnd w:id="1"/>
      <w:r w:rsidRPr="00614CC6">
        <w:rPr>
          <w:sz w:val="20"/>
        </w:rPr>
        <w:t>20</w:t>
      </w:r>
      <w:r>
        <w:rPr>
          <w:sz w:val="20"/>
        </w:rPr>
        <w:t>14</w:t>
      </w:r>
    </w:p>
    <w:p w:rsidR="007634F2" w:rsidRPr="00614CC6" w:rsidRDefault="007634F2" w:rsidP="007634F2">
      <w:pPr>
        <w:rPr>
          <w:sz w:val="18"/>
          <w:szCs w:val="18"/>
        </w:rPr>
      </w:pPr>
      <w:r w:rsidRPr="00614CC6">
        <w:rPr>
          <w:sz w:val="18"/>
          <w:szCs w:val="18"/>
        </w:rPr>
        <w:t xml:space="preserve">Tous droits </w:t>
      </w:r>
      <w:r>
        <w:rPr>
          <w:sz w:val="18"/>
          <w:szCs w:val="18"/>
        </w:rPr>
        <w:t>réservé</w:t>
      </w:r>
      <w:r w:rsidRPr="00614CC6">
        <w:rPr>
          <w:sz w:val="18"/>
          <w:szCs w:val="18"/>
        </w:rPr>
        <w:t xml:space="preserve">s. </w:t>
      </w:r>
      <w:r>
        <w:rPr>
          <w:sz w:val="18"/>
          <w:szCs w:val="18"/>
        </w:rPr>
        <w:t>Aucune partie de cette publication ne peut être reproduite, par quelque procédé que ce soit, sans l’accord écrit préalable de l’UIT</w:t>
      </w:r>
      <w:r w:rsidRPr="00614CC6">
        <w:rPr>
          <w:sz w:val="18"/>
          <w:szCs w:val="18"/>
        </w:rPr>
        <w:t>.</w:t>
      </w:r>
    </w:p>
    <w:p w:rsidR="007634F2" w:rsidRPr="00614CC6" w:rsidRDefault="007634F2" w:rsidP="007634F2">
      <w:pPr>
        <w:spacing w:before="160"/>
        <w:rPr>
          <w:i/>
          <w:sz w:val="20"/>
          <w:highlight w:val="yellow"/>
        </w:rPr>
        <w:sectPr w:rsidR="007634F2" w:rsidRPr="00614CC6" w:rsidSect="007565CC">
          <w:headerReference w:type="even" r:id="rId11"/>
          <w:headerReference w:type="default" r:id="rId12"/>
          <w:pgSz w:w="11907" w:h="16834" w:code="9"/>
          <w:pgMar w:top="1418" w:right="1134" w:bottom="1134" w:left="1134" w:header="720" w:footer="482" w:gutter="0"/>
          <w:pgNumType w:fmt="lowerRoman" w:start="2"/>
          <w:cols w:space="720"/>
        </w:sectPr>
      </w:pPr>
    </w:p>
    <w:p w:rsidR="007634F2" w:rsidRPr="00756B4D" w:rsidRDefault="007634F2" w:rsidP="007634F2">
      <w:pPr>
        <w:pStyle w:val="RecNo"/>
        <w:spacing w:before="0"/>
      </w:pPr>
      <w:bookmarkStart w:id="2" w:name="irecnoe"/>
      <w:bookmarkEnd w:id="2"/>
      <w:r w:rsidRPr="00756B4D">
        <w:t xml:space="preserve">RECOMMANDATION  </w:t>
      </w:r>
      <w:r>
        <w:rPr>
          <w:rStyle w:val="href"/>
        </w:rPr>
        <w:t>UIT</w:t>
      </w:r>
      <w:r w:rsidRPr="00756B4D">
        <w:rPr>
          <w:rStyle w:val="href"/>
        </w:rPr>
        <w:t xml:space="preserve">-R  </w:t>
      </w:r>
      <w:r>
        <w:rPr>
          <w:rStyle w:val="href"/>
        </w:rPr>
        <w:t>SA</w:t>
      </w:r>
      <w:r w:rsidRPr="00756B4D">
        <w:rPr>
          <w:rStyle w:val="href"/>
        </w:rPr>
        <w:t>.</w:t>
      </w:r>
      <w:r>
        <w:rPr>
          <w:rStyle w:val="href"/>
        </w:rPr>
        <w:t>509-3</w:t>
      </w:r>
    </w:p>
    <w:p w:rsidR="00B56CF3" w:rsidRDefault="00B56CF3" w:rsidP="00B56CF3">
      <w:pPr>
        <w:pStyle w:val="Rectitle"/>
      </w:pPr>
      <w:r>
        <w:t xml:space="preserve">Diagramme de rayonnement de référence d'une antenne de station terrienne dans le service de recherche spatiale et de radioastronomie, à utiliser pour </w:t>
      </w:r>
      <w:r>
        <w:br/>
        <w:t xml:space="preserve">les calculs de brouillage ainsi que dans les procédures de coordination, </w:t>
      </w:r>
      <w:r>
        <w:br/>
        <w:t>pour les fréquences au-dessous de 30 GHz</w:t>
      </w:r>
    </w:p>
    <w:p w:rsidR="00B56CF3" w:rsidRDefault="00B56CF3" w:rsidP="00B56CF3">
      <w:pPr>
        <w:pStyle w:val="Recdate"/>
      </w:pPr>
    </w:p>
    <w:p w:rsidR="00B56CF3" w:rsidRDefault="00B56CF3" w:rsidP="00B56CF3">
      <w:pPr>
        <w:pStyle w:val="Recdate"/>
      </w:pPr>
      <w:r>
        <w:t>(1978-1990-1998-2013)</w:t>
      </w:r>
    </w:p>
    <w:p w:rsidR="00B56CF3" w:rsidRPr="00CC384E" w:rsidRDefault="00C44ADF" w:rsidP="00C44ADF">
      <w:pPr>
        <w:pStyle w:val="HeadingSum"/>
        <w:rPr>
          <w:lang w:val="fr-CH"/>
        </w:rPr>
      </w:pPr>
      <w:r w:rsidRPr="00CC384E">
        <w:rPr>
          <w:lang w:val="fr-CH"/>
        </w:rPr>
        <w:t xml:space="preserve">Domaine </w:t>
      </w:r>
      <w:r w:rsidR="00B56CF3" w:rsidRPr="00CC384E">
        <w:rPr>
          <w:lang w:val="fr-CH"/>
        </w:rPr>
        <w:t>d'application</w:t>
      </w:r>
    </w:p>
    <w:p w:rsidR="00B56CF3" w:rsidRPr="00CC384E" w:rsidRDefault="00B56CF3" w:rsidP="00C44ADF">
      <w:pPr>
        <w:pStyle w:val="Summary"/>
        <w:rPr>
          <w:lang w:val="fr-CH"/>
        </w:rPr>
      </w:pPr>
      <w:r w:rsidRPr="00CC384E">
        <w:rPr>
          <w:lang w:val="fr-CH"/>
        </w:rPr>
        <w:t>La présente Recommandation donne les diagrammes de rayonnement d'antenne de référence pour les services de recherche spatiale et de radioastronomie à utiliser pour calculer les brouillages provenant d'une source ou de plusieurs sources pour les fréquences au-dessous de 30 GHz.</w:t>
      </w:r>
    </w:p>
    <w:p w:rsidR="00B56CF3" w:rsidRDefault="00B56CF3" w:rsidP="00B56CF3">
      <w:pPr>
        <w:pStyle w:val="Normalaftertitle"/>
      </w:pPr>
      <w:r>
        <w:t>L'Assemblée des radiocommunications de l'UIT,</w:t>
      </w:r>
    </w:p>
    <w:p w:rsidR="00B56CF3" w:rsidRDefault="00B56CF3" w:rsidP="00B56CF3">
      <w:pPr>
        <w:pStyle w:val="Call"/>
      </w:pPr>
      <w:r>
        <w:t>considérant</w:t>
      </w:r>
    </w:p>
    <w:p w:rsidR="00B56CF3" w:rsidRDefault="00B56CF3" w:rsidP="00B56CF3">
      <w:r w:rsidRPr="0010318E">
        <w:rPr>
          <w:i/>
          <w:iCs/>
        </w:rPr>
        <w:t>a)</w:t>
      </w:r>
      <w:r>
        <w:tab/>
        <w:t>que l'application des procédures de coordination entre les stations terriennes de recherche spatiale ou les observatoires de radioastronomie et les stations des autres services dépend des diagrammes de rayonnement réels des antennes;</w:t>
      </w:r>
    </w:p>
    <w:p w:rsidR="00B56CF3" w:rsidRDefault="00B56CF3" w:rsidP="00B56CF3">
      <w:r w:rsidRPr="0010318E">
        <w:rPr>
          <w:i/>
          <w:iCs/>
        </w:rPr>
        <w:t>b)</w:t>
      </w:r>
      <w:r>
        <w:tab/>
        <w:t>que, en l'absence de diagramme réel, il peut être souhaitable d'utiliser un diagramme de rayonnement de référence qui représente les niveaux de gain des lobes latéraux qui ne seront sans doute pas dépassés à la plupart des angles hors axe de la majorité des antennes utilisées dans le service;</w:t>
      </w:r>
    </w:p>
    <w:p w:rsidR="00B56CF3" w:rsidRDefault="00B56CF3" w:rsidP="00B56CF3">
      <w:r w:rsidRPr="0010318E">
        <w:rPr>
          <w:i/>
          <w:iCs/>
        </w:rPr>
        <w:t>c)</w:t>
      </w:r>
      <w:r>
        <w:tab/>
        <w:t>que les mesures prises sur certaines antennes paraboliques de type Cassegrain de grandes dimensions (</w:t>
      </w:r>
      <w:r>
        <w:rPr>
          <w:i/>
        </w:rPr>
        <w:t>D</w:t>
      </w:r>
      <w:r>
        <w:t>/</w:t>
      </w:r>
      <w:r>
        <w:rPr>
          <w:sz w:val="12"/>
        </w:rPr>
        <w:t> </w:t>
      </w:r>
      <w:r>
        <w:rPr>
          <w:rFonts w:ascii="Symbol" w:hAnsi="Symbol"/>
        </w:rPr>
        <w:t></w:t>
      </w:r>
      <w:r>
        <w:t> </w:t>
      </w:r>
      <w:r>
        <w:rPr>
          <w:rFonts w:ascii="Symbol" w:hAnsi="Symbol"/>
        </w:rPr>
        <w:t></w:t>
      </w:r>
      <w:r>
        <w:t> 100) utilisées dans le service de recherche spatiale mettent en évidence une discrimination en dehors de l'axe qui est au moins aussi bonne que celle du diagramme de rayonnement d'antenne de référence;</w:t>
      </w:r>
    </w:p>
    <w:p w:rsidR="00B56CF3" w:rsidRDefault="00B56CF3" w:rsidP="00B56CF3">
      <w:r w:rsidRPr="0010318E">
        <w:rPr>
          <w:i/>
          <w:iCs/>
        </w:rPr>
        <w:t>d)</w:t>
      </w:r>
      <w:r>
        <w:tab/>
        <w:t>que, dans le cas du bouillage composite provenant de plusieurs systèmes brouilleurs, le fait d'utiliser le diagramme de rayonnement de l'enveloppe de crête risque de conduire à une surestimation du brouillage,</w:t>
      </w:r>
    </w:p>
    <w:p w:rsidR="00B56CF3" w:rsidRDefault="00B56CF3" w:rsidP="00B56CF3">
      <w:pPr>
        <w:pStyle w:val="Call"/>
      </w:pPr>
      <w:r>
        <w:t xml:space="preserve">recommande </w:t>
      </w:r>
    </w:p>
    <w:p w:rsidR="00B56CF3" w:rsidRDefault="00B56CF3" w:rsidP="00B56CF3">
      <w:r>
        <w:rPr>
          <w:b/>
        </w:rPr>
        <w:t>1</w:t>
      </w:r>
      <w:r>
        <w:tab/>
        <w:t xml:space="preserve">qu'en l'absence de résultats de mesure des niveaux de l'enveloppe du lobe principal ou des lobes latéraux d'une antenne de station terrienne de recherche spatiale ou de radioastronomie pour laquelle on doit appliquer des études de brouillage ou la procédure de coordination, on utilise les diagrammes de rayonnement d'antenne de référence suivants, uniquement dans le cas de grandes antennes paraboliques pour lesquelles </w:t>
      </w:r>
      <w:r w:rsidRPr="00093BD9">
        <w:rPr>
          <w:i/>
          <w:iCs/>
          <w:lang w:val="fr-CH"/>
        </w:rPr>
        <w:t>D</w:t>
      </w:r>
      <w:r w:rsidRPr="00093BD9">
        <w:rPr>
          <w:lang w:val="fr-CH"/>
        </w:rPr>
        <w:t>/</w:t>
      </w:r>
      <w:r w:rsidRPr="003049BF">
        <w:rPr>
          <w:lang w:val="en-GB"/>
        </w:rPr>
        <w:sym w:font="Symbol" w:char="F06C"/>
      </w:r>
      <w:r w:rsidRPr="00093BD9">
        <w:rPr>
          <w:lang w:val="fr-CH"/>
        </w:rPr>
        <w:t xml:space="preserve"> </w:t>
      </w:r>
      <w:r w:rsidRPr="003049BF">
        <w:rPr>
          <w:lang w:val="en-GB"/>
        </w:rPr>
        <w:sym w:font="Symbol" w:char="F0B3"/>
      </w:r>
      <w:r w:rsidRPr="00093BD9">
        <w:rPr>
          <w:lang w:val="fr-CH"/>
        </w:rPr>
        <w:t xml:space="preserve"> 100 </w:t>
      </w:r>
      <w:r>
        <w:t>et pour les fréquences comprises entre environ 1 et 30 GHz:</w:t>
      </w:r>
    </w:p>
    <w:p w:rsidR="00B56CF3" w:rsidRPr="00093BD9" w:rsidRDefault="00B56CF3" w:rsidP="00B56CF3">
      <w:r w:rsidRPr="00EC20D5">
        <w:rPr>
          <w:b/>
          <w:bCs/>
        </w:rPr>
        <w:t>1.1</w:t>
      </w:r>
      <w:r>
        <w:tab/>
        <w:t>dans les cas où il n'y a qu'une seule source de brouillage, pour prévoir le brouillage pour le cas le plus défavorable provenant de cette source, il faut utiliser le diagramme de rayonnement d'antenne de référence suivant (voir la Fig. 1):</w:t>
      </w:r>
    </w:p>
    <w:p w:rsidR="00B56CF3" w:rsidRDefault="00B56CF3" w:rsidP="00B56CF3">
      <w:pPr>
        <w:pStyle w:val="Equation"/>
      </w:pPr>
      <w:r>
        <w:tab/>
      </w:r>
      <m:oMath>
        <m:r>
          <w:rPr>
            <w:rFonts w:ascii="Cambria Math" w:hAnsi="Cambria Math"/>
            <w:lang w:val="en-GB"/>
          </w:rPr>
          <m:t>G</m:t>
        </m:r>
        <m:d>
          <m:dPr>
            <m:ctrlPr>
              <w:rPr>
                <w:rFonts w:ascii="Cambria Math" w:hAnsi="Cambria Math"/>
                <w:lang w:val="en-GB"/>
              </w:rPr>
            </m:ctrlPr>
          </m:dPr>
          <m:e>
            <m:r>
              <m:rPr>
                <m:sty m:val="p"/>
              </m:rPr>
              <w:rPr>
                <w:rFonts w:ascii="Cambria Math" w:hAnsi="Cambria Math"/>
                <w:lang w:val="en-GB"/>
              </w:rPr>
              <m:t>φ</m:t>
            </m:r>
          </m:e>
        </m:d>
        <m:r>
          <m:rPr>
            <m:sty m:val="p"/>
          </m:rPr>
          <w:rPr>
            <w:rFonts w:ascii="Cambria Math" w:hAnsi="Cambria Math"/>
            <w:lang w:val="en-GB"/>
          </w:rPr>
          <m:t>=</m:t>
        </m:r>
        <m:d>
          <m:dPr>
            <m:begChr m:val="{"/>
            <m:endChr m:val=""/>
            <m:ctrlPr>
              <w:rPr>
                <w:rFonts w:ascii="Cambria Math" w:hAnsi="Cambria Math"/>
                <w:lang w:val="en-GB"/>
              </w:rPr>
            </m:ctrlPr>
          </m:dPr>
          <m:e>
            <m:m>
              <m:mPr>
                <m:mcs>
                  <m:mc>
                    <m:mcPr>
                      <m:count m:val="3"/>
                      <m:mcJc m:val="center"/>
                    </m:mcPr>
                  </m:mc>
                </m:mcs>
                <m:ctrlPr>
                  <w:rPr>
                    <w:rFonts w:ascii="Cambria Math" w:hAnsi="Cambria Math"/>
                    <w:iCs/>
                    <w:lang w:val="en-GB"/>
                  </w:rPr>
                </m:ctrlPr>
              </m:mPr>
              <m:mr>
                <m:e>
                  <m:sSub>
                    <m:sSubPr>
                      <m:ctrlPr>
                        <w:rPr>
                          <w:rFonts w:ascii="Cambria Math" w:hAnsi="Cambria Math"/>
                          <w:iCs/>
                          <w:lang w:val="en-GB"/>
                        </w:rPr>
                      </m:ctrlPr>
                    </m:sSubPr>
                    <m:e>
                      <m:r>
                        <w:rPr>
                          <w:rFonts w:ascii="Cambria Math" w:hAnsi="Cambria Math"/>
                          <w:lang w:val="en-GB"/>
                        </w:rPr>
                        <m:t>G</m:t>
                      </m:r>
                    </m:e>
                    <m:sub>
                      <m:r>
                        <m:rPr>
                          <m:sty m:val="p"/>
                        </m:rPr>
                        <w:rPr>
                          <w:rFonts w:ascii="Cambria Math" w:hAnsi="Cambria Math"/>
                          <w:lang w:val="en-GB"/>
                        </w:rPr>
                        <m:t>0</m:t>
                      </m:r>
                    </m:sub>
                  </m:sSub>
                  <m:r>
                    <m:rPr>
                      <m:sty m:val="p"/>
                    </m:rPr>
                    <w:rPr>
                      <w:rFonts w:ascii="Cambria Math" w:hAnsi="Cambria Math"/>
                      <w:lang w:val="en-GB"/>
                    </w:rPr>
                    <m:t>-3</m:t>
                  </m:r>
                  <m:sSup>
                    <m:sSupPr>
                      <m:ctrlPr>
                        <w:rPr>
                          <w:rFonts w:ascii="Cambria Math" w:hAnsi="Cambria Math"/>
                          <w:iCs/>
                          <w:lang w:val="en-GB"/>
                        </w:rPr>
                      </m:ctrlPr>
                    </m:sSupPr>
                    <m:e>
                      <m:r>
                        <m:rPr>
                          <m:sty m:val="p"/>
                        </m:rPr>
                        <w:rPr>
                          <w:rFonts w:ascii="Cambria Math" w:hAnsi="Cambria Math"/>
                          <w:lang w:val="en-GB"/>
                        </w:rPr>
                        <m:t>(</m:t>
                      </m:r>
                      <m:f>
                        <m:fPr>
                          <m:type m:val="lin"/>
                          <m:ctrlPr>
                            <w:rPr>
                              <w:rFonts w:ascii="Cambria Math" w:hAnsi="Cambria Math"/>
                              <w:iCs/>
                              <w:lang w:val="en-GB"/>
                            </w:rPr>
                          </m:ctrlPr>
                        </m:fPr>
                        <m:num>
                          <m:r>
                            <m:rPr>
                              <m:sty m:val="p"/>
                            </m:rPr>
                            <w:rPr>
                              <w:rFonts w:ascii="Cambria Math" w:hAnsi="Cambria Math"/>
                              <w:lang w:val="en-GB"/>
                            </w:rPr>
                            <m:t>φ</m:t>
                          </m:r>
                        </m:num>
                        <m:den>
                          <m:sSub>
                            <m:sSubPr>
                              <m:ctrlPr>
                                <w:rPr>
                                  <w:rFonts w:ascii="Cambria Math" w:hAnsi="Cambria Math"/>
                                  <w:iCs/>
                                  <w:lang w:val="en-GB"/>
                                </w:rPr>
                              </m:ctrlPr>
                            </m:sSubPr>
                            <m:e>
                              <m:r>
                                <m:rPr>
                                  <m:sty m:val="p"/>
                                </m:rPr>
                                <w:rPr>
                                  <w:rFonts w:ascii="Cambria Math" w:hAnsi="Cambria Math"/>
                                  <w:lang w:val="en-GB"/>
                                </w:rPr>
                                <m:t>φ</m:t>
                              </m:r>
                            </m:e>
                            <m:sub>
                              <m:r>
                                <m:rPr>
                                  <m:sty m:val="p"/>
                                </m:rPr>
                                <w:rPr>
                                  <w:rFonts w:ascii="Cambria Math" w:hAnsi="Cambria Math"/>
                                  <w:lang w:val="en-GB"/>
                                </w:rPr>
                                <m:t>0</m:t>
                              </m:r>
                            </m:sub>
                          </m:sSub>
                          <m:r>
                            <m:rPr>
                              <m:sty m:val="p"/>
                            </m:rPr>
                            <w:rPr>
                              <w:rFonts w:ascii="Cambria Math" w:hAnsi="Cambria Math"/>
                              <w:lang w:val="en-GB"/>
                            </w:rPr>
                            <m:t>)</m:t>
                          </m:r>
                        </m:den>
                      </m:f>
                    </m:e>
                    <m:sup>
                      <m:r>
                        <m:rPr>
                          <m:sty m:val="p"/>
                        </m:rPr>
                        <w:rPr>
                          <w:rFonts w:ascii="Cambria Math" w:hAnsi="Cambria Math"/>
                          <w:lang w:val="en-GB"/>
                        </w:rPr>
                        <m:t>2</m:t>
                      </m:r>
                    </m:sup>
                  </m:sSup>
                </m:e>
                <m:e>
                  <m:r>
                    <m:rPr>
                      <m:sty m:val="p"/>
                    </m:rPr>
                    <w:rPr>
                      <w:rFonts w:ascii="Cambria Math" w:eastAsia="Cambria Math" w:hAnsi="Cambria Math"/>
                      <w:lang w:val="en-GB"/>
                    </w:rPr>
                    <m:t>:</m:t>
                  </m:r>
                </m:e>
                <m:e>
                  <m:r>
                    <m:rPr>
                      <m:sty m:val="p"/>
                    </m:rPr>
                    <w:rPr>
                      <w:rFonts w:ascii="Cambria Math" w:eastAsia="Cambria Math" w:hAnsi="Cambria Math"/>
                      <w:lang w:val="en-GB"/>
                    </w:rPr>
                    <m:t>0≤φ&lt;</m:t>
                  </m:r>
                  <m:sSub>
                    <m:sSubPr>
                      <m:ctrlPr>
                        <w:rPr>
                          <w:rFonts w:ascii="Cambria Math" w:hAnsi="Cambria Math"/>
                          <w:iCs/>
                          <w:lang w:val="en-GB"/>
                        </w:rPr>
                      </m:ctrlPr>
                    </m:sSubPr>
                    <m:e>
                      <m:r>
                        <m:rPr>
                          <m:sty m:val="p"/>
                        </m:rPr>
                        <w:rPr>
                          <w:rFonts w:ascii="Cambria Math" w:eastAsia="Cambria Math" w:hAnsi="Cambria Math"/>
                          <w:lang w:val="en-GB"/>
                        </w:rPr>
                        <m:t>φ</m:t>
                      </m:r>
                    </m:e>
                    <m:sub>
                      <m:r>
                        <m:rPr>
                          <m:sty m:val="p"/>
                        </m:rPr>
                        <w:rPr>
                          <w:rFonts w:ascii="Cambria Math" w:eastAsia="Cambria Math" w:hAnsi="Cambria Math"/>
                          <w:lang w:val="en-GB"/>
                        </w:rPr>
                        <m:t>1</m:t>
                      </m:r>
                    </m:sub>
                  </m:sSub>
                </m:e>
              </m:mr>
              <m:mr>
                <m:e>
                  <m:sSub>
                    <m:sSubPr>
                      <m:ctrlPr>
                        <w:rPr>
                          <w:rFonts w:ascii="Cambria Math" w:hAnsi="Cambria Math"/>
                          <w:iCs/>
                          <w:lang w:val="en-GB"/>
                        </w:rPr>
                      </m:ctrlPr>
                    </m:sSubPr>
                    <m:e>
                      <m:r>
                        <w:rPr>
                          <w:rFonts w:ascii="Cambria Math" w:eastAsia="Cambria Math" w:hAnsi="Cambria Math"/>
                          <w:lang w:val="en-GB"/>
                        </w:rPr>
                        <m:t>G</m:t>
                      </m:r>
                    </m:e>
                    <m:sub>
                      <m:r>
                        <m:rPr>
                          <m:sty m:val="p"/>
                        </m:rPr>
                        <w:rPr>
                          <w:rFonts w:ascii="Cambria Math" w:eastAsia="Cambria Math" w:hAnsi="Cambria Math"/>
                          <w:lang w:val="en-GB"/>
                        </w:rPr>
                        <m:t>0</m:t>
                      </m:r>
                    </m:sub>
                  </m:sSub>
                  <m:r>
                    <m:rPr>
                      <m:sty m:val="p"/>
                    </m:rPr>
                    <w:rPr>
                      <w:rFonts w:ascii="Cambria Math" w:eastAsia="Cambria Math" w:hAnsi="Cambria Math"/>
                      <w:lang w:val="en-GB"/>
                    </w:rPr>
                    <m:t xml:space="preserve">-17              </m:t>
                  </m:r>
                </m:e>
                <m:e>
                  <m:r>
                    <m:rPr>
                      <m:sty m:val="p"/>
                    </m:rPr>
                    <w:rPr>
                      <w:rFonts w:ascii="Cambria Math" w:eastAsia="Cambria Math" w:hAnsi="Cambria Math"/>
                      <w:lang w:val="en-GB"/>
                    </w:rPr>
                    <m:t>:</m:t>
                  </m:r>
                </m:e>
                <m:e>
                  <m:sSub>
                    <m:sSubPr>
                      <m:ctrlPr>
                        <w:rPr>
                          <w:rFonts w:ascii="Cambria Math" w:hAnsi="Cambria Math"/>
                          <w:iCs/>
                          <w:lang w:val="en-GB"/>
                        </w:rPr>
                      </m:ctrlPr>
                    </m:sSubPr>
                    <m:e>
                      <m:r>
                        <m:rPr>
                          <m:sty m:val="p"/>
                        </m:rPr>
                        <w:rPr>
                          <w:rFonts w:ascii="Cambria Math" w:eastAsia="Cambria Math" w:hAnsi="Cambria Math"/>
                          <w:lang w:val="en-GB"/>
                        </w:rPr>
                        <m:t>φ</m:t>
                      </m:r>
                    </m:e>
                    <m:sub>
                      <m:r>
                        <m:rPr>
                          <m:sty m:val="p"/>
                        </m:rPr>
                        <w:rPr>
                          <w:rFonts w:ascii="Cambria Math" w:eastAsia="Cambria Math" w:hAnsi="Cambria Math"/>
                          <w:lang w:val="en-GB"/>
                        </w:rPr>
                        <m:t>1</m:t>
                      </m:r>
                    </m:sub>
                  </m:sSub>
                  <m:r>
                    <m:rPr>
                      <m:sty m:val="p"/>
                    </m:rPr>
                    <w:rPr>
                      <w:rFonts w:ascii="Cambria Math" w:eastAsia="Cambria Math" w:hAnsi="Cambria Math"/>
                      <w:lang w:val="en-GB"/>
                    </w:rPr>
                    <m:t>≤φ&lt;</m:t>
                  </m:r>
                  <m:sSub>
                    <m:sSubPr>
                      <m:ctrlPr>
                        <w:rPr>
                          <w:rFonts w:ascii="Cambria Math" w:hAnsi="Cambria Math"/>
                          <w:iCs/>
                          <w:lang w:val="en-GB"/>
                        </w:rPr>
                      </m:ctrlPr>
                    </m:sSubPr>
                    <m:e>
                      <m:r>
                        <m:rPr>
                          <m:sty m:val="p"/>
                        </m:rPr>
                        <w:rPr>
                          <w:rFonts w:ascii="Cambria Math" w:eastAsia="Cambria Math" w:hAnsi="Cambria Math"/>
                          <w:lang w:val="en-GB"/>
                        </w:rPr>
                        <m:t>φ</m:t>
                      </m:r>
                    </m:e>
                    <m:sub>
                      <m:r>
                        <m:rPr>
                          <m:sty m:val="p"/>
                        </m:rPr>
                        <w:rPr>
                          <w:rFonts w:ascii="Cambria Math" w:eastAsia="Cambria Math" w:hAnsi="Cambria Math"/>
                          <w:lang w:val="en-GB"/>
                        </w:rPr>
                        <m:t>2</m:t>
                      </m:r>
                    </m:sub>
                  </m:sSub>
                </m:e>
              </m:mr>
              <m:mr>
                <m:e>
                  <m:r>
                    <m:rPr>
                      <m:sty m:val="p"/>
                    </m:rPr>
                    <w:rPr>
                      <w:rFonts w:ascii="Cambria Math" w:eastAsia="Cambria Math" w:hAnsi="Cambria Math"/>
                      <w:lang w:val="en-GB"/>
                    </w:rPr>
                    <m:t>32-25</m:t>
                  </m:r>
                  <m:func>
                    <m:funcPr>
                      <m:ctrlPr>
                        <w:rPr>
                          <w:rFonts w:ascii="Cambria Math" w:hAnsi="Cambria Math"/>
                          <w:iCs/>
                          <w:lang w:val="en-GB"/>
                        </w:rPr>
                      </m:ctrlPr>
                    </m:funcPr>
                    <m:fName>
                      <m:r>
                        <m:rPr>
                          <m:sty m:val="p"/>
                        </m:rPr>
                        <w:rPr>
                          <w:rFonts w:ascii="Cambria Math" w:eastAsia="Cambria Math" w:hAnsi="Cambria Math"/>
                          <w:lang w:val="en-GB"/>
                        </w:rPr>
                        <m:t>log</m:t>
                      </m:r>
                    </m:fName>
                    <m:e>
                      <m:r>
                        <m:rPr>
                          <m:sty m:val="p"/>
                        </m:rPr>
                        <w:rPr>
                          <w:rFonts w:ascii="Cambria Math" w:eastAsia="Cambria Math" w:hAnsi="Cambria Math"/>
                          <w:lang w:val="en-GB"/>
                        </w:rPr>
                        <m:t xml:space="preserve">φ   </m:t>
                      </m:r>
                    </m:e>
                  </m:func>
                </m:e>
                <m:e>
                  <m:r>
                    <m:rPr>
                      <m:sty m:val="p"/>
                    </m:rPr>
                    <w:rPr>
                      <w:rFonts w:ascii="Cambria Math" w:eastAsia="Cambria Math" w:hAnsi="Cambria Math"/>
                      <w:lang w:val="en-GB"/>
                    </w:rPr>
                    <m:t>:</m:t>
                  </m:r>
                </m:e>
                <m:e>
                  <m:sSub>
                    <m:sSubPr>
                      <m:ctrlPr>
                        <w:rPr>
                          <w:rFonts w:ascii="Cambria Math" w:hAnsi="Cambria Math"/>
                          <w:iCs/>
                          <w:lang w:val="en-GB"/>
                        </w:rPr>
                      </m:ctrlPr>
                    </m:sSubPr>
                    <m:e>
                      <m:r>
                        <m:rPr>
                          <m:sty m:val="p"/>
                        </m:rPr>
                        <w:rPr>
                          <w:rFonts w:ascii="Cambria Math" w:eastAsia="Cambria Math" w:hAnsi="Cambria Math"/>
                          <w:lang w:val="en-GB"/>
                        </w:rPr>
                        <m:t>φ</m:t>
                      </m:r>
                    </m:e>
                    <m:sub>
                      <m:r>
                        <m:rPr>
                          <m:sty m:val="p"/>
                        </m:rPr>
                        <w:rPr>
                          <w:rFonts w:ascii="Cambria Math" w:eastAsia="Cambria Math" w:hAnsi="Cambria Math"/>
                          <w:lang w:val="en-GB"/>
                        </w:rPr>
                        <m:t>2</m:t>
                      </m:r>
                    </m:sub>
                  </m:sSub>
                  <m:r>
                    <m:rPr>
                      <m:sty m:val="p"/>
                    </m:rPr>
                    <w:rPr>
                      <w:rFonts w:ascii="Cambria Math" w:eastAsia="Cambria Math" w:hAnsi="Cambria Math"/>
                      <w:lang w:val="en-GB"/>
                    </w:rPr>
                    <m:t>≤φ&lt;48</m:t>
                  </m:r>
                </m:e>
              </m:mr>
              <m:mr>
                <m:e>
                  <m:r>
                    <m:rPr>
                      <m:sty m:val="p"/>
                    </m:rPr>
                    <w:rPr>
                      <w:rFonts w:ascii="Cambria Math" w:eastAsia="Cambria Math" w:hAnsi="Cambria Math"/>
                      <w:lang w:val="en-GB"/>
                    </w:rPr>
                    <m:t xml:space="preserve">-10                    </m:t>
                  </m:r>
                </m:e>
                <m:e>
                  <m:r>
                    <m:rPr>
                      <m:sty m:val="p"/>
                    </m:rPr>
                    <w:rPr>
                      <w:rFonts w:ascii="Cambria Math" w:hAnsi="Cambria Math"/>
                      <w:lang w:val="en-GB"/>
                    </w:rPr>
                    <m:t>:</m:t>
                  </m:r>
                </m:e>
                <m:e>
                  <m:r>
                    <m:rPr>
                      <m:sty m:val="p"/>
                    </m:rPr>
                    <w:rPr>
                      <w:rFonts w:ascii="Cambria Math" w:eastAsia="Cambria Math" w:hAnsi="Cambria Math"/>
                      <w:lang w:val="en-GB"/>
                    </w:rPr>
                    <m:t>48≤φ&lt;80</m:t>
                  </m:r>
                </m:e>
              </m:mr>
              <m:mr>
                <m:e>
                  <m:r>
                    <m:rPr>
                      <m:sty m:val="p"/>
                    </m:rPr>
                    <w:rPr>
                      <w:rFonts w:ascii="Cambria Math" w:hAnsi="Cambria Math"/>
                      <w:lang w:val="en-GB"/>
                    </w:rPr>
                    <m:t xml:space="preserve">-5                      </m:t>
                  </m:r>
                </m:e>
                <m:e>
                  <m:r>
                    <m:rPr>
                      <m:sty m:val="p"/>
                    </m:rPr>
                    <w:rPr>
                      <w:rFonts w:ascii="Cambria Math" w:hAnsi="Cambria Math"/>
                      <w:lang w:val="en-GB"/>
                    </w:rPr>
                    <m:t>:</m:t>
                  </m:r>
                </m:e>
                <m:e>
                  <m:r>
                    <m:rPr>
                      <m:sty m:val="p"/>
                    </m:rPr>
                    <w:rPr>
                      <w:rFonts w:ascii="Cambria Math" w:eastAsia="Cambria Math" w:hAnsi="Cambria Math"/>
                      <w:lang w:val="en-GB"/>
                    </w:rPr>
                    <m:t>80≤φ&lt;120</m:t>
                  </m:r>
                </m:e>
              </m:mr>
              <m:mr>
                <m:e>
                  <m:r>
                    <m:rPr>
                      <m:sty m:val="p"/>
                    </m:rPr>
                    <w:rPr>
                      <w:rFonts w:ascii="Cambria Math" w:hAnsi="Cambria Math"/>
                      <w:lang w:val="en-GB"/>
                    </w:rPr>
                    <m:t xml:space="preserve">-10                    </m:t>
                  </m:r>
                </m:e>
                <m:e>
                  <m:r>
                    <m:rPr>
                      <m:sty m:val="p"/>
                    </m:rPr>
                    <w:rPr>
                      <w:rFonts w:ascii="Cambria Math" w:hAnsi="Cambria Math"/>
                      <w:lang w:val="en-GB"/>
                    </w:rPr>
                    <m:t>:</m:t>
                  </m:r>
                </m:e>
                <m:e>
                  <m:r>
                    <m:rPr>
                      <m:sty m:val="p"/>
                    </m:rPr>
                    <w:rPr>
                      <w:rFonts w:ascii="Cambria Math" w:eastAsia="Cambria Math" w:hAnsi="Cambria Math"/>
                      <w:lang w:val="en-GB"/>
                    </w:rPr>
                    <m:t>120≤φ≤180</m:t>
                  </m:r>
                </m:e>
              </m:mr>
            </m:m>
          </m:e>
        </m:d>
      </m:oMath>
    </w:p>
    <w:p w:rsidR="00B56CF3" w:rsidRPr="0090456A" w:rsidRDefault="00B56CF3" w:rsidP="00B56CF3">
      <w:pPr>
        <w:keepNext/>
        <w:keepLines/>
        <w:tabs>
          <w:tab w:val="left" w:pos="3720"/>
        </w:tabs>
        <w:rPr>
          <w:szCs w:val="24"/>
          <w:lang w:val="fr-CH"/>
        </w:rPr>
      </w:pPr>
      <w:r w:rsidRPr="0090456A">
        <w:rPr>
          <w:szCs w:val="24"/>
          <w:lang w:val="fr-CH"/>
        </w:rPr>
        <w:t>où:</w:t>
      </w:r>
    </w:p>
    <w:p w:rsidR="00B56CF3" w:rsidRPr="0090456A" w:rsidRDefault="00B56CF3" w:rsidP="00B56CF3">
      <w:pPr>
        <w:pStyle w:val="Equationlegend"/>
        <w:keepNext/>
        <w:keepLines/>
        <w:rPr>
          <w:lang w:val="fr-CH"/>
        </w:rPr>
      </w:pPr>
      <w:r w:rsidRPr="0090456A">
        <w:rPr>
          <w:lang w:val="fr-CH"/>
        </w:rPr>
        <w:tab/>
      </w:r>
      <w:r w:rsidRPr="0090456A">
        <w:rPr>
          <w:i/>
          <w:lang w:val="fr-CH"/>
        </w:rPr>
        <w:t>G(</w:t>
      </w:r>
      <w:r w:rsidRPr="003049BF">
        <w:rPr>
          <w:lang w:val="en-GB"/>
        </w:rPr>
        <w:sym w:font="Symbol" w:char="F06A"/>
      </w:r>
      <w:r w:rsidRPr="0090456A">
        <w:rPr>
          <w:i/>
          <w:lang w:val="fr-CH"/>
        </w:rPr>
        <w:t>)</w:t>
      </w:r>
      <w:r w:rsidRPr="0090456A">
        <w:rPr>
          <w:lang w:val="fr-CH"/>
        </w:rPr>
        <w:t>:</w:t>
      </w:r>
      <w:r w:rsidRPr="0090456A">
        <w:rPr>
          <w:lang w:val="fr-CH"/>
        </w:rPr>
        <w:tab/>
        <w:t xml:space="preserve">gain (dBi) </w:t>
      </w:r>
      <w:r w:rsidRPr="00B56CF3">
        <w:rPr>
          <w:lang w:val="fr-CH"/>
        </w:rPr>
        <w:t>par rapport à une antenne isotrope</w:t>
      </w:r>
    </w:p>
    <w:p w:rsidR="00B56CF3" w:rsidRPr="0090456A" w:rsidRDefault="00B56CF3" w:rsidP="00B56CF3">
      <w:pPr>
        <w:pStyle w:val="Equationlegend"/>
        <w:rPr>
          <w:lang w:val="fr-CH"/>
        </w:rPr>
      </w:pPr>
      <w:r w:rsidRPr="0090456A">
        <w:rPr>
          <w:lang w:val="fr-CH"/>
        </w:rPr>
        <w:tab/>
      </w:r>
      <w:r w:rsidRPr="003049BF">
        <w:rPr>
          <w:lang w:val="en-GB"/>
        </w:rPr>
        <w:sym w:font="Symbol" w:char="F06A"/>
      </w:r>
      <w:r w:rsidRPr="0090456A">
        <w:rPr>
          <w:lang w:val="fr-CH"/>
        </w:rPr>
        <w:t>:</w:t>
      </w:r>
      <w:r w:rsidRPr="0090456A">
        <w:rPr>
          <w:lang w:val="fr-CH"/>
        </w:rPr>
        <w:tab/>
      </w:r>
      <w:r w:rsidRPr="00B56CF3">
        <w:rPr>
          <w:lang w:val="fr-CH"/>
        </w:rPr>
        <w:t>angle par rapport à l'axe principal (degrés)</w:t>
      </w:r>
    </w:p>
    <w:p w:rsidR="00B56CF3" w:rsidRPr="0090456A" w:rsidRDefault="00B56CF3" w:rsidP="00B56CF3">
      <w:pPr>
        <w:pStyle w:val="Equationlegend"/>
        <w:rPr>
          <w:lang w:val="fr-CH"/>
        </w:rPr>
      </w:pPr>
      <w:r w:rsidRPr="0090456A">
        <w:rPr>
          <w:lang w:val="fr-CH"/>
        </w:rPr>
        <w:tab/>
      </w:r>
      <w:r w:rsidRPr="0090456A">
        <w:rPr>
          <w:i/>
          <w:lang w:val="fr-CH"/>
        </w:rPr>
        <w:t>G</w:t>
      </w:r>
      <w:r w:rsidRPr="0090456A">
        <w:rPr>
          <w:iCs/>
          <w:vertAlign w:val="subscript"/>
          <w:lang w:val="fr-CH"/>
        </w:rPr>
        <w:t>0</w:t>
      </w:r>
      <w:r w:rsidRPr="0090456A">
        <w:rPr>
          <w:lang w:val="fr-CH"/>
        </w:rPr>
        <w:t>:</w:t>
      </w:r>
      <w:r w:rsidRPr="0090456A">
        <w:rPr>
          <w:lang w:val="fr-CH"/>
        </w:rPr>
        <w:tab/>
      </w:r>
      <w:r w:rsidRPr="00B56CF3">
        <w:rPr>
          <w:lang w:val="fr-CH"/>
        </w:rPr>
        <w:t>gain maximal de l'antenne dans la direction de l'axe de visée (dBi)</w:t>
      </w:r>
    </w:p>
    <w:p w:rsidR="00B56CF3" w:rsidRPr="0090456A" w:rsidRDefault="00B56CF3" w:rsidP="00B56CF3">
      <w:pPr>
        <w:pStyle w:val="Equationlegend"/>
        <w:rPr>
          <w:lang w:val="fr-CH"/>
        </w:rPr>
      </w:pPr>
      <w:r w:rsidRPr="0090456A">
        <w:rPr>
          <w:lang w:val="fr-CH"/>
        </w:rPr>
        <w:tab/>
      </w:r>
      <w:r w:rsidRPr="003049BF">
        <w:rPr>
          <w:iCs/>
          <w:lang w:val="en-GB"/>
        </w:rPr>
        <w:sym w:font="Symbol" w:char="F06A"/>
      </w:r>
      <w:r w:rsidRPr="0090456A">
        <w:rPr>
          <w:iCs/>
          <w:vertAlign w:val="subscript"/>
          <w:lang w:val="fr-CH"/>
        </w:rPr>
        <w:t>0</w:t>
      </w:r>
      <w:r w:rsidRPr="0090456A">
        <w:rPr>
          <w:lang w:val="fr-CH"/>
        </w:rPr>
        <w:t>:</w:t>
      </w:r>
      <w:r w:rsidRPr="0090456A">
        <w:rPr>
          <w:lang w:val="fr-CH"/>
        </w:rPr>
        <w:tab/>
        <w:t xml:space="preserve">½ </w:t>
      </w:r>
      <w:r w:rsidRPr="00B56CF3">
        <w:rPr>
          <w:lang w:val="fr-CH"/>
        </w:rPr>
        <w:t>de l'ouverture de faisceau à 3 dB de l'antenne (degrés)</w:t>
      </w:r>
    </w:p>
    <w:p w:rsidR="00B56CF3" w:rsidRPr="0090456A" w:rsidRDefault="00B56CF3" w:rsidP="00CC384E">
      <w:pPr>
        <w:pStyle w:val="Equationlegend"/>
        <w:tabs>
          <w:tab w:val="clear" w:pos="1701"/>
          <w:tab w:val="right" w:pos="1843"/>
        </w:tabs>
        <w:rPr>
          <w:lang w:val="fr-CH"/>
        </w:rPr>
      </w:pPr>
      <w:r w:rsidRPr="0090456A">
        <w:rPr>
          <w:lang w:val="fr-CH"/>
        </w:rPr>
        <w:tab/>
      </w:r>
      <w:r w:rsidR="00CC384E" w:rsidRPr="003049BF">
        <w:rPr>
          <w:iCs/>
          <w:lang w:val="en-GB"/>
        </w:rPr>
        <w:sym w:font="Symbol" w:char="F06A"/>
      </w:r>
      <w:r w:rsidR="00CC384E">
        <w:rPr>
          <w:iCs/>
          <w:vertAlign w:val="subscript"/>
          <w:lang w:val="fr-CH"/>
        </w:rPr>
        <w:t>1</w:t>
      </w:r>
      <w:r w:rsidR="00CC384E" w:rsidRPr="00CC384E">
        <w:t xml:space="preserve"> =</w:t>
      </w:r>
      <w:r w:rsidR="00CC384E">
        <w:rPr>
          <w:iCs/>
          <w:vertAlign w:val="subscript"/>
          <w:lang w:val="fr-CH"/>
        </w:rPr>
        <w:t xml:space="preserve"> </w:t>
      </w:r>
      <w:r w:rsidRPr="0090456A">
        <w:rPr>
          <w:lang w:val="fr-CH"/>
        </w:rPr>
        <w:tab/>
      </w:r>
      <m:oMath>
        <m:sSub>
          <m:sSubPr>
            <m:ctrlPr>
              <w:rPr>
                <w:rFonts w:ascii="Cambria Math" w:hAnsi="Cambria Math"/>
                <w:i/>
                <w:sz w:val="22"/>
                <w:szCs w:val="22"/>
                <w:lang w:val="en-GB"/>
              </w:rPr>
            </m:ctrlPr>
          </m:sSubPr>
          <m:e>
            <m:r>
              <m:rPr>
                <m:sty m:val="p"/>
              </m:rPr>
              <w:rPr>
                <w:rFonts w:ascii="Cambria Math" w:hAnsi="Cambria Math"/>
                <w:sz w:val="22"/>
                <w:szCs w:val="22"/>
                <w:lang w:val="en-GB"/>
              </w:rPr>
              <m:t>φ</m:t>
            </m:r>
          </m:e>
          <m:sub>
            <m:r>
              <w:rPr>
                <w:rFonts w:ascii="Cambria Math" w:hAnsi="Cambria Math"/>
                <w:sz w:val="22"/>
                <w:szCs w:val="22"/>
                <w:lang w:val="fr-CH"/>
              </w:rPr>
              <m:t>0</m:t>
            </m:r>
          </m:sub>
        </m:sSub>
        <m:rad>
          <m:radPr>
            <m:degHide m:val="1"/>
            <m:ctrlPr>
              <w:rPr>
                <w:rFonts w:ascii="Cambria Math" w:hAnsi="Cambria Math"/>
                <w:i/>
                <w:sz w:val="22"/>
                <w:szCs w:val="22"/>
                <w:lang w:val="en-GB"/>
              </w:rPr>
            </m:ctrlPr>
          </m:radPr>
          <m:deg/>
          <m:e>
            <m:f>
              <m:fPr>
                <m:type m:val="lin"/>
                <m:ctrlPr>
                  <w:rPr>
                    <w:rFonts w:ascii="Cambria Math" w:hAnsi="Cambria Math"/>
                    <w:i/>
                    <w:sz w:val="22"/>
                    <w:szCs w:val="22"/>
                    <w:lang w:val="en-GB"/>
                  </w:rPr>
                </m:ctrlPr>
              </m:fPr>
              <m:num>
                <m:r>
                  <w:rPr>
                    <w:rFonts w:ascii="Cambria Math" w:hAnsi="Cambria Math"/>
                    <w:sz w:val="22"/>
                    <w:szCs w:val="22"/>
                    <w:lang w:val="fr-CH"/>
                  </w:rPr>
                  <m:t>17</m:t>
                </m:r>
              </m:num>
              <m:den>
                <m:r>
                  <w:rPr>
                    <w:rFonts w:ascii="Cambria Math" w:hAnsi="Cambria Math"/>
                    <w:sz w:val="22"/>
                    <w:szCs w:val="22"/>
                    <w:lang w:val="fr-CH"/>
                  </w:rPr>
                  <m:t>3</m:t>
                </m:r>
              </m:den>
            </m:f>
          </m:e>
        </m:rad>
      </m:oMath>
      <w:r w:rsidRPr="0090456A">
        <w:rPr>
          <w:lang w:val="fr-CH"/>
        </w:rPr>
        <w:t xml:space="preserve"> (degrés)</w:t>
      </w:r>
    </w:p>
    <w:p w:rsidR="00B56CF3" w:rsidRPr="0090456A" w:rsidRDefault="00B56CF3" w:rsidP="00CC384E">
      <w:pPr>
        <w:pStyle w:val="Equationlegend"/>
        <w:tabs>
          <w:tab w:val="clear" w:pos="1701"/>
          <w:tab w:val="right" w:pos="1843"/>
        </w:tabs>
        <w:rPr>
          <w:lang w:val="fr-CH"/>
        </w:rPr>
      </w:pPr>
      <w:r w:rsidRPr="0090456A">
        <w:rPr>
          <w:lang w:val="fr-CH"/>
        </w:rPr>
        <w:tab/>
      </w:r>
      <w:r w:rsidR="00CC384E" w:rsidRPr="003049BF">
        <w:rPr>
          <w:iCs/>
          <w:lang w:val="en-GB"/>
        </w:rPr>
        <w:sym w:font="Symbol" w:char="F06A"/>
      </w:r>
      <w:r w:rsidR="00CC384E">
        <w:rPr>
          <w:iCs/>
          <w:vertAlign w:val="subscript"/>
          <w:lang w:val="fr-CH"/>
        </w:rPr>
        <w:t>2</w:t>
      </w:r>
      <w:r w:rsidR="00CC384E">
        <w:t xml:space="preserve"> = </w:t>
      </w:r>
      <w:r w:rsidRPr="0090456A">
        <w:rPr>
          <w:i/>
          <w:lang w:val="fr-CH"/>
        </w:rPr>
        <w:tab/>
      </w:r>
      <m:oMath>
        <m:sSup>
          <m:sSupPr>
            <m:ctrlPr>
              <w:rPr>
                <w:rFonts w:ascii="Cambria Math" w:hAnsi="Cambria Math"/>
                <w:i/>
                <w:sz w:val="22"/>
                <w:szCs w:val="22"/>
                <w:lang w:val="en-GB"/>
              </w:rPr>
            </m:ctrlPr>
          </m:sSupPr>
          <m:e>
            <m:r>
              <w:rPr>
                <w:rFonts w:ascii="Cambria Math" w:hAnsi="Cambria Math"/>
                <w:sz w:val="22"/>
                <w:szCs w:val="22"/>
                <w:lang w:val="fr-CH"/>
              </w:rPr>
              <m:t>10</m:t>
            </m:r>
          </m:e>
          <m:sup>
            <m:r>
              <w:rPr>
                <w:rFonts w:ascii="Cambria Math" w:hAnsi="Cambria Math"/>
                <w:sz w:val="22"/>
                <w:szCs w:val="22"/>
                <w:lang w:val="fr-CH"/>
              </w:rPr>
              <m:t>(49-</m:t>
            </m:r>
            <m:sSub>
              <m:sSubPr>
                <m:ctrlPr>
                  <w:rPr>
                    <w:rFonts w:ascii="Cambria Math" w:hAnsi="Cambria Math"/>
                    <w:i/>
                    <w:sz w:val="22"/>
                    <w:szCs w:val="22"/>
                    <w:lang w:val="en-GB"/>
                  </w:rPr>
                </m:ctrlPr>
              </m:sSubPr>
              <m:e>
                <m:r>
                  <w:rPr>
                    <w:rFonts w:ascii="Cambria Math" w:hAnsi="Cambria Math"/>
                    <w:sz w:val="22"/>
                    <w:szCs w:val="22"/>
                    <w:lang w:val="en-GB"/>
                  </w:rPr>
                  <m:t>G</m:t>
                </m:r>
              </m:e>
              <m:sub>
                <m:r>
                  <w:rPr>
                    <w:rFonts w:ascii="Cambria Math" w:hAnsi="Cambria Math"/>
                    <w:sz w:val="22"/>
                    <w:szCs w:val="22"/>
                    <w:lang w:val="fr-CH"/>
                  </w:rPr>
                  <m:t>0</m:t>
                </m:r>
              </m:sub>
            </m:sSub>
            <m:r>
              <w:rPr>
                <w:rFonts w:ascii="Cambria Math" w:hAnsi="Cambria Math"/>
                <w:sz w:val="22"/>
                <w:szCs w:val="22"/>
                <w:lang w:val="fr-CH"/>
              </w:rPr>
              <m:t>)/25</m:t>
            </m:r>
          </m:sup>
        </m:sSup>
      </m:oMath>
      <w:r w:rsidRPr="0090456A">
        <w:rPr>
          <w:lang w:val="fr-CH"/>
        </w:rPr>
        <w:t xml:space="preserve"> (degrés);</w:t>
      </w:r>
    </w:p>
    <w:p w:rsidR="00B56CF3" w:rsidRPr="00C40336" w:rsidRDefault="00B56CF3" w:rsidP="00B56CF3">
      <w:r w:rsidRPr="00EC20D5">
        <w:rPr>
          <w:b/>
          <w:bCs/>
        </w:rPr>
        <w:t>1.2</w:t>
      </w:r>
      <w:r>
        <w:tab/>
        <w:t>dans les cas où il y a plusieurs sources de brouillage, pour prévoir le brouillage composite provenant de ces multiples sources, il faut utiliser le diagramme de rayonnement d'antenne de référence suivant (voir la Fig. 2):</w:t>
      </w:r>
    </w:p>
    <w:p w:rsidR="00B56CF3" w:rsidRPr="00B56CF3" w:rsidRDefault="00707918" w:rsidP="00B56CF3">
      <w:pPr>
        <w:pStyle w:val="Equation"/>
        <w:jc w:val="center"/>
        <w:rPr>
          <w:lang w:val="fr-CH"/>
        </w:rPr>
      </w:pPr>
      <m:oMathPara>
        <m:oMath>
          <m:d>
            <m:dPr>
              <m:ctrlPr>
                <w:rPr>
                  <w:rFonts w:ascii="Cambria Math" w:hAnsi="Cambria Math"/>
                  <w:i/>
                  <w:szCs w:val="22"/>
                  <w:lang w:val="en-GB"/>
                </w:rPr>
              </m:ctrlPr>
            </m:dPr>
            <m:e>
              <m:r>
                <m:rPr>
                  <m:sty m:val="p"/>
                </m:rPr>
                <w:rPr>
                  <w:rFonts w:ascii="Cambria Math" w:hAnsi="Cambria Math"/>
                  <w:szCs w:val="22"/>
                  <w:lang w:val="en-GB"/>
                </w:rPr>
                <m:t>φ</m:t>
              </m:r>
            </m:e>
          </m:d>
          <m:r>
            <w:rPr>
              <w:rFonts w:ascii="Cambria Math" w:hAnsi="Cambria Math"/>
              <w:szCs w:val="22"/>
              <w:lang w:val="en-GB"/>
            </w:rPr>
            <m:t xml:space="preserve">= </m:t>
          </m:r>
          <m:d>
            <m:dPr>
              <m:begChr m:val="{"/>
              <m:endChr m:val=""/>
              <m:ctrlPr>
                <w:rPr>
                  <w:rFonts w:ascii="Cambria Math" w:hAnsi="Cambria Math"/>
                  <w:i/>
                  <w:szCs w:val="22"/>
                  <w:lang w:val="en-GB"/>
                </w:rPr>
              </m:ctrlPr>
            </m:dPr>
            <m:e>
              <m:m>
                <m:mPr>
                  <m:mcs>
                    <m:mc>
                      <m:mcPr>
                        <m:count m:val="3"/>
                        <m:mcJc m:val="center"/>
                      </m:mcPr>
                    </m:mc>
                  </m:mcs>
                  <m:ctrlPr>
                    <w:rPr>
                      <w:rFonts w:ascii="Cambria Math" w:hAnsi="Cambria Math"/>
                      <w:iCs/>
                      <w:szCs w:val="22"/>
                      <w:lang w:val="en-GB"/>
                    </w:rPr>
                  </m:ctrlPr>
                </m:mPr>
                <m:mr>
                  <m:e>
                    <m:sSub>
                      <m:sSubPr>
                        <m:ctrlPr>
                          <w:rPr>
                            <w:rFonts w:ascii="Cambria Math" w:hAnsi="Cambria Math"/>
                            <w:iCs/>
                            <w:szCs w:val="22"/>
                            <w:lang w:val="en-GB"/>
                          </w:rPr>
                        </m:ctrlPr>
                      </m:sSubPr>
                      <m:e>
                        <m:r>
                          <w:rPr>
                            <w:rFonts w:ascii="Cambria Math" w:hAnsi="Cambria Math"/>
                            <w:szCs w:val="22"/>
                            <w:lang w:val="en-GB"/>
                          </w:rPr>
                          <m:t>G</m:t>
                        </m:r>
                      </m:e>
                      <m:sub>
                        <m:r>
                          <m:rPr>
                            <m:sty m:val="p"/>
                          </m:rPr>
                          <w:rPr>
                            <w:rFonts w:ascii="Cambria Math" w:hAnsi="Cambria Math"/>
                            <w:szCs w:val="22"/>
                            <w:lang w:val="en-GB"/>
                          </w:rPr>
                          <m:t>0</m:t>
                        </m:r>
                      </m:sub>
                    </m:sSub>
                    <m:r>
                      <m:rPr>
                        <m:sty m:val="p"/>
                      </m:rPr>
                      <w:rPr>
                        <w:rFonts w:ascii="Cambria Math" w:hAnsi="Cambria Math"/>
                        <w:szCs w:val="22"/>
                        <w:lang w:val="en-GB"/>
                      </w:rPr>
                      <m:t>-3</m:t>
                    </m:r>
                    <m:sSup>
                      <m:sSupPr>
                        <m:ctrlPr>
                          <w:rPr>
                            <w:rFonts w:ascii="Cambria Math" w:hAnsi="Cambria Math"/>
                            <w:iCs/>
                            <w:szCs w:val="22"/>
                            <w:lang w:val="en-GB"/>
                          </w:rPr>
                        </m:ctrlPr>
                      </m:sSupPr>
                      <m:e>
                        <m:r>
                          <m:rPr>
                            <m:sty m:val="p"/>
                          </m:rPr>
                          <w:rPr>
                            <w:rFonts w:ascii="Cambria Math" w:hAnsi="Cambria Math"/>
                            <w:szCs w:val="22"/>
                            <w:lang w:val="en-GB"/>
                          </w:rPr>
                          <m:t>(</m:t>
                        </m:r>
                        <m:f>
                          <m:fPr>
                            <m:type m:val="lin"/>
                            <m:ctrlPr>
                              <w:rPr>
                                <w:rFonts w:ascii="Cambria Math" w:hAnsi="Cambria Math"/>
                                <w:iCs/>
                                <w:szCs w:val="22"/>
                                <w:lang w:val="en-GB"/>
                              </w:rPr>
                            </m:ctrlPr>
                          </m:fPr>
                          <m:num>
                            <m:r>
                              <m:rPr>
                                <m:sty m:val="p"/>
                              </m:rPr>
                              <w:rPr>
                                <w:rFonts w:ascii="Cambria Math" w:hAnsi="Cambria Math"/>
                                <w:szCs w:val="22"/>
                                <w:lang w:val="en-GB"/>
                              </w:rPr>
                              <m:t>φ</m:t>
                            </m:r>
                          </m:num>
                          <m:den>
                            <m:sSub>
                              <m:sSubPr>
                                <m:ctrlPr>
                                  <w:rPr>
                                    <w:rFonts w:ascii="Cambria Math" w:hAnsi="Cambria Math"/>
                                    <w:iCs/>
                                    <w:szCs w:val="22"/>
                                    <w:lang w:val="en-GB"/>
                                  </w:rPr>
                                </m:ctrlPr>
                              </m:sSubPr>
                              <m:e>
                                <m:r>
                                  <m:rPr>
                                    <m:sty m:val="p"/>
                                  </m:rPr>
                                  <w:rPr>
                                    <w:rFonts w:ascii="Cambria Math" w:hAnsi="Cambria Math"/>
                                    <w:szCs w:val="22"/>
                                    <w:lang w:val="en-GB"/>
                                  </w:rPr>
                                  <m:t>φ</m:t>
                                </m:r>
                              </m:e>
                              <m:sub>
                                <m:r>
                                  <m:rPr>
                                    <m:sty m:val="p"/>
                                  </m:rPr>
                                  <w:rPr>
                                    <w:rFonts w:ascii="Cambria Math" w:hAnsi="Cambria Math"/>
                                    <w:szCs w:val="22"/>
                                    <w:lang w:val="en-GB"/>
                                  </w:rPr>
                                  <m:t>0</m:t>
                                </m:r>
                              </m:sub>
                            </m:sSub>
                            <m:r>
                              <m:rPr>
                                <m:sty m:val="p"/>
                              </m:rPr>
                              <w:rPr>
                                <w:rFonts w:ascii="Cambria Math" w:hAnsi="Cambria Math"/>
                                <w:szCs w:val="22"/>
                                <w:lang w:val="en-GB"/>
                              </w:rPr>
                              <m:t>)</m:t>
                            </m:r>
                          </m:den>
                        </m:f>
                      </m:e>
                      <m:sup>
                        <m:r>
                          <m:rPr>
                            <m:sty m:val="p"/>
                          </m:rPr>
                          <w:rPr>
                            <w:rFonts w:ascii="Cambria Math" w:hAnsi="Cambria Math"/>
                            <w:szCs w:val="22"/>
                            <w:lang w:val="en-GB"/>
                          </w:rPr>
                          <m:t>2</m:t>
                        </m:r>
                      </m:sup>
                    </m:sSup>
                    <m:ctrlPr>
                      <w:rPr>
                        <w:rFonts w:ascii="Cambria Math" w:eastAsia="Cambria Math" w:hAnsi="Cambria Math" w:cs="Cambria Math"/>
                        <w:iCs/>
                        <w:szCs w:val="22"/>
                        <w:lang w:val="en-GB"/>
                      </w:rPr>
                    </m:ctrlPr>
                  </m:e>
                  <m:e>
                    <m:r>
                      <m:rPr>
                        <m:sty m:val="p"/>
                      </m:rPr>
                      <w:rPr>
                        <w:rFonts w:ascii="Cambria Math" w:eastAsia="Cambria Math" w:hAnsi="Cambria Math" w:cs="Cambria Math"/>
                        <w:szCs w:val="22"/>
                        <w:lang w:val="en-GB"/>
                      </w:rPr>
                      <m:t>:</m:t>
                    </m:r>
                    <m:ctrlPr>
                      <w:rPr>
                        <w:rFonts w:ascii="Cambria Math" w:eastAsia="Cambria Math" w:hAnsi="Cambria Math" w:cs="Cambria Math"/>
                        <w:iCs/>
                        <w:szCs w:val="22"/>
                        <w:lang w:val="en-GB"/>
                      </w:rPr>
                    </m:ctrlPr>
                  </m:e>
                  <m:e>
                    <m:r>
                      <m:rPr>
                        <m:sty m:val="p"/>
                      </m:rPr>
                      <w:rPr>
                        <w:rFonts w:ascii="Cambria Math" w:eastAsia="Cambria Math" w:hAnsi="Cambria Math" w:cs="Cambria Math"/>
                        <w:szCs w:val="22"/>
                        <w:lang w:val="en-GB"/>
                      </w:rPr>
                      <m:t>0≤φ&lt;</m:t>
                    </m:r>
                    <m:sSub>
                      <m:sSubPr>
                        <m:ctrlPr>
                          <w:rPr>
                            <w:rFonts w:ascii="Cambria Math" w:eastAsia="Cambria Math" w:hAnsi="Cambria Math" w:cs="Cambria Math"/>
                            <w:iCs/>
                            <w:szCs w:val="22"/>
                            <w:lang w:val="en-GB"/>
                          </w:rPr>
                        </m:ctrlPr>
                      </m:sSubPr>
                      <m:e>
                        <m:r>
                          <m:rPr>
                            <m:sty m:val="p"/>
                          </m:rPr>
                          <w:rPr>
                            <w:rFonts w:ascii="Cambria Math" w:eastAsia="Cambria Math" w:hAnsi="Cambria Math" w:cs="Cambria Math"/>
                            <w:szCs w:val="22"/>
                            <w:lang w:val="en-GB"/>
                          </w:rPr>
                          <m:t>φ</m:t>
                        </m:r>
                      </m:e>
                      <m:sub>
                        <m:r>
                          <m:rPr>
                            <m:sty m:val="p"/>
                          </m:rPr>
                          <w:rPr>
                            <w:rFonts w:ascii="Cambria Math" w:eastAsia="Cambria Math" w:hAnsi="Cambria Math" w:cs="Cambria Math"/>
                            <w:szCs w:val="22"/>
                            <w:lang w:val="en-GB"/>
                          </w:rPr>
                          <m:t>1</m:t>
                        </m:r>
                      </m:sub>
                    </m:sSub>
                    <m:ctrlPr>
                      <w:rPr>
                        <w:rFonts w:ascii="Cambria Math" w:eastAsia="Cambria Math" w:hAnsi="Cambria Math" w:cs="Cambria Math"/>
                        <w:iCs/>
                        <w:szCs w:val="22"/>
                        <w:lang w:val="en-GB"/>
                      </w:rPr>
                    </m:ctrlPr>
                  </m:e>
                </m:mr>
                <m:mr>
                  <m:e>
                    <m:sSub>
                      <m:sSubPr>
                        <m:ctrlPr>
                          <w:rPr>
                            <w:rFonts w:ascii="Cambria Math" w:eastAsia="Cambria Math" w:hAnsi="Cambria Math" w:cs="Cambria Math"/>
                            <w:iCs/>
                            <w:szCs w:val="22"/>
                            <w:lang w:val="en-GB"/>
                          </w:rPr>
                        </m:ctrlPr>
                      </m:sSubPr>
                      <m:e>
                        <m:r>
                          <w:rPr>
                            <w:rFonts w:ascii="Cambria Math" w:eastAsia="Cambria Math" w:hAnsi="Cambria Math" w:cs="Cambria Math"/>
                            <w:szCs w:val="22"/>
                            <w:lang w:val="en-GB"/>
                          </w:rPr>
                          <m:t>G</m:t>
                        </m:r>
                      </m:e>
                      <m:sub>
                        <m:r>
                          <m:rPr>
                            <m:sty m:val="p"/>
                          </m:rPr>
                          <w:rPr>
                            <w:rFonts w:ascii="Cambria Math" w:eastAsia="Cambria Math" w:hAnsi="Cambria Math" w:cs="Cambria Math"/>
                            <w:szCs w:val="22"/>
                            <w:lang w:val="en-GB"/>
                          </w:rPr>
                          <m:t>0</m:t>
                        </m:r>
                      </m:sub>
                    </m:sSub>
                    <m:r>
                      <m:rPr>
                        <m:sty m:val="p"/>
                      </m:rPr>
                      <w:rPr>
                        <w:rFonts w:ascii="Cambria Math" w:eastAsia="Cambria Math" w:hAnsi="Cambria Math" w:cs="Cambria Math"/>
                        <w:szCs w:val="22"/>
                        <w:lang w:val="en-GB"/>
                      </w:rPr>
                      <m:t xml:space="preserve">-20              </m:t>
                    </m:r>
                    <m:ctrlPr>
                      <w:rPr>
                        <w:rFonts w:ascii="Cambria Math" w:eastAsia="Cambria Math" w:hAnsi="Cambria Math" w:cs="Cambria Math"/>
                        <w:iCs/>
                        <w:szCs w:val="22"/>
                        <w:lang w:val="en-GB"/>
                      </w:rPr>
                    </m:ctrlPr>
                  </m:e>
                  <m:e>
                    <m:r>
                      <m:rPr>
                        <m:sty m:val="p"/>
                      </m:rPr>
                      <w:rPr>
                        <w:rFonts w:ascii="Cambria Math" w:eastAsia="Cambria Math" w:hAnsi="Cambria Math" w:cs="Cambria Math"/>
                        <w:szCs w:val="22"/>
                        <w:lang w:val="en-GB"/>
                      </w:rPr>
                      <m:t>:</m:t>
                    </m:r>
                    <m:ctrlPr>
                      <w:rPr>
                        <w:rFonts w:ascii="Cambria Math" w:eastAsia="Cambria Math" w:hAnsi="Cambria Math" w:cs="Cambria Math"/>
                        <w:iCs/>
                        <w:szCs w:val="22"/>
                        <w:lang w:val="en-GB"/>
                      </w:rPr>
                    </m:ctrlPr>
                  </m:e>
                  <m:e>
                    <m:sSub>
                      <m:sSubPr>
                        <m:ctrlPr>
                          <w:rPr>
                            <w:rFonts w:ascii="Cambria Math" w:eastAsia="Cambria Math" w:hAnsi="Cambria Math" w:cs="Cambria Math"/>
                            <w:iCs/>
                            <w:szCs w:val="22"/>
                            <w:lang w:val="en-GB"/>
                          </w:rPr>
                        </m:ctrlPr>
                      </m:sSubPr>
                      <m:e>
                        <m:r>
                          <m:rPr>
                            <m:sty m:val="p"/>
                          </m:rPr>
                          <w:rPr>
                            <w:rFonts w:ascii="Cambria Math" w:eastAsia="Cambria Math" w:hAnsi="Cambria Math" w:cs="Cambria Math"/>
                            <w:szCs w:val="22"/>
                            <w:lang w:val="en-GB"/>
                          </w:rPr>
                          <m:t>φ</m:t>
                        </m:r>
                      </m:e>
                      <m:sub>
                        <m:r>
                          <m:rPr>
                            <m:sty m:val="p"/>
                          </m:rPr>
                          <w:rPr>
                            <w:rFonts w:ascii="Cambria Math" w:eastAsia="Cambria Math" w:hAnsi="Cambria Math" w:cs="Cambria Math"/>
                            <w:szCs w:val="22"/>
                            <w:lang w:val="en-GB"/>
                          </w:rPr>
                          <m:t>1</m:t>
                        </m:r>
                      </m:sub>
                    </m:sSub>
                    <m:r>
                      <m:rPr>
                        <m:sty m:val="p"/>
                      </m:rPr>
                      <w:rPr>
                        <w:rFonts w:ascii="Cambria Math" w:eastAsia="Cambria Math" w:hAnsi="Cambria Math" w:cs="Cambria Math"/>
                        <w:szCs w:val="22"/>
                        <w:lang w:val="en-GB"/>
                      </w:rPr>
                      <m:t>≤φ&lt;</m:t>
                    </m:r>
                    <m:sSub>
                      <m:sSubPr>
                        <m:ctrlPr>
                          <w:rPr>
                            <w:rFonts w:ascii="Cambria Math" w:eastAsia="Cambria Math" w:hAnsi="Cambria Math" w:cs="Cambria Math"/>
                            <w:iCs/>
                            <w:szCs w:val="22"/>
                            <w:lang w:val="en-GB"/>
                          </w:rPr>
                        </m:ctrlPr>
                      </m:sSubPr>
                      <m:e>
                        <m:r>
                          <m:rPr>
                            <m:sty m:val="p"/>
                          </m:rPr>
                          <w:rPr>
                            <w:rFonts w:ascii="Cambria Math" w:eastAsia="Cambria Math" w:hAnsi="Cambria Math" w:cs="Cambria Math"/>
                            <w:szCs w:val="22"/>
                            <w:lang w:val="en-GB"/>
                          </w:rPr>
                          <m:t>φ</m:t>
                        </m:r>
                      </m:e>
                      <m:sub>
                        <m:r>
                          <m:rPr>
                            <m:sty m:val="p"/>
                          </m:rPr>
                          <w:rPr>
                            <w:rFonts w:ascii="Cambria Math" w:eastAsia="Cambria Math" w:hAnsi="Cambria Math" w:cs="Cambria Math"/>
                            <w:szCs w:val="22"/>
                            <w:lang w:val="en-GB"/>
                          </w:rPr>
                          <m:t>2</m:t>
                        </m:r>
                      </m:sub>
                    </m:sSub>
                    <m:ctrlPr>
                      <w:rPr>
                        <w:rFonts w:ascii="Cambria Math" w:eastAsia="Cambria Math" w:hAnsi="Cambria Math" w:cs="Cambria Math"/>
                        <w:iCs/>
                        <w:szCs w:val="22"/>
                        <w:lang w:val="en-GB"/>
                      </w:rPr>
                    </m:ctrlPr>
                  </m:e>
                </m:mr>
                <m:mr>
                  <m:e>
                    <m:r>
                      <m:rPr>
                        <m:sty m:val="p"/>
                      </m:rPr>
                      <w:rPr>
                        <w:rFonts w:ascii="Cambria Math" w:eastAsia="Cambria Math" w:hAnsi="Cambria Math" w:cs="Cambria Math"/>
                        <w:szCs w:val="22"/>
                        <w:lang w:val="en-GB"/>
                      </w:rPr>
                      <m:t>29-25</m:t>
                    </m:r>
                    <m:func>
                      <m:funcPr>
                        <m:ctrlPr>
                          <w:rPr>
                            <w:rFonts w:ascii="Cambria Math" w:eastAsia="Cambria Math" w:hAnsi="Cambria Math" w:cs="Cambria Math"/>
                            <w:iCs/>
                            <w:szCs w:val="22"/>
                            <w:lang w:val="en-GB"/>
                          </w:rPr>
                        </m:ctrlPr>
                      </m:funcPr>
                      <m:fName>
                        <m:r>
                          <m:rPr>
                            <m:sty m:val="p"/>
                          </m:rPr>
                          <w:rPr>
                            <w:rFonts w:ascii="Cambria Math" w:eastAsia="Cambria Math" w:hAnsi="Cambria Math" w:cs="Cambria Math"/>
                            <w:szCs w:val="22"/>
                            <w:lang w:val="en-GB"/>
                          </w:rPr>
                          <m:t>log</m:t>
                        </m:r>
                      </m:fName>
                      <m:e>
                        <m:r>
                          <m:rPr>
                            <m:sty m:val="p"/>
                          </m:rPr>
                          <w:rPr>
                            <w:rFonts w:ascii="Cambria Math" w:eastAsia="Cambria Math" w:hAnsi="Cambria Math" w:cs="Cambria Math"/>
                            <w:szCs w:val="22"/>
                            <w:lang w:val="en-GB"/>
                          </w:rPr>
                          <m:t xml:space="preserve">φ   </m:t>
                        </m:r>
                      </m:e>
                    </m:func>
                    <m:ctrlPr>
                      <w:rPr>
                        <w:rFonts w:ascii="Cambria Math" w:eastAsia="Cambria Math" w:hAnsi="Cambria Math" w:cs="Cambria Math"/>
                        <w:iCs/>
                        <w:szCs w:val="22"/>
                        <w:lang w:val="en-GB"/>
                      </w:rPr>
                    </m:ctrlPr>
                  </m:e>
                  <m:e>
                    <m:r>
                      <m:rPr>
                        <m:sty m:val="p"/>
                      </m:rPr>
                      <w:rPr>
                        <w:rFonts w:ascii="Cambria Math" w:eastAsia="Cambria Math" w:hAnsi="Cambria Math" w:cs="Cambria Math"/>
                        <w:szCs w:val="22"/>
                        <w:lang w:val="en-GB"/>
                      </w:rPr>
                      <m:t>:</m:t>
                    </m:r>
                    <m:ctrlPr>
                      <w:rPr>
                        <w:rFonts w:ascii="Cambria Math" w:eastAsia="Cambria Math" w:hAnsi="Cambria Math" w:cs="Cambria Math"/>
                        <w:iCs/>
                        <w:szCs w:val="22"/>
                        <w:lang w:val="en-GB"/>
                      </w:rPr>
                    </m:ctrlPr>
                  </m:e>
                  <m:e>
                    <m:sSub>
                      <m:sSubPr>
                        <m:ctrlPr>
                          <w:rPr>
                            <w:rFonts w:ascii="Cambria Math" w:eastAsia="Cambria Math" w:hAnsi="Cambria Math" w:cs="Cambria Math"/>
                            <w:iCs/>
                            <w:szCs w:val="22"/>
                            <w:lang w:val="en-GB"/>
                          </w:rPr>
                        </m:ctrlPr>
                      </m:sSubPr>
                      <m:e>
                        <m:r>
                          <m:rPr>
                            <m:sty m:val="p"/>
                          </m:rPr>
                          <w:rPr>
                            <w:rFonts w:ascii="Cambria Math" w:eastAsia="Cambria Math" w:hAnsi="Cambria Math" w:cs="Cambria Math"/>
                            <w:szCs w:val="22"/>
                            <w:lang w:val="en-GB"/>
                          </w:rPr>
                          <m:t>φ</m:t>
                        </m:r>
                      </m:e>
                      <m:sub>
                        <m:r>
                          <m:rPr>
                            <m:sty m:val="p"/>
                          </m:rPr>
                          <w:rPr>
                            <w:rFonts w:ascii="Cambria Math" w:eastAsia="Cambria Math" w:hAnsi="Cambria Math" w:cs="Cambria Math"/>
                            <w:szCs w:val="22"/>
                            <w:lang w:val="en-GB"/>
                          </w:rPr>
                          <m:t>2</m:t>
                        </m:r>
                      </m:sub>
                    </m:sSub>
                    <m:r>
                      <m:rPr>
                        <m:sty m:val="p"/>
                      </m:rPr>
                      <w:rPr>
                        <w:rFonts w:ascii="Cambria Math" w:eastAsia="Cambria Math" w:hAnsi="Cambria Math" w:cs="Cambria Math"/>
                        <w:szCs w:val="22"/>
                        <w:lang w:val="en-GB"/>
                      </w:rPr>
                      <m:t>≤φ&lt;48</m:t>
                    </m:r>
                    <m:ctrlPr>
                      <w:rPr>
                        <w:rFonts w:ascii="Cambria Math" w:eastAsia="Cambria Math" w:hAnsi="Cambria Math" w:cs="Cambria Math"/>
                        <w:iCs/>
                        <w:szCs w:val="22"/>
                        <w:lang w:val="en-GB"/>
                      </w:rPr>
                    </m:ctrlPr>
                  </m:e>
                </m:mr>
                <m:mr>
                  <m:e>
                    <m:r>
                      <m:rPr>
                        <m:sty m:val="p"/>
                      </m:rPr>
                      <w:rPr>
                        <w:rFonts w:ascii="Cambria Math" w:eastAsia="Cambria Math" w:hAnsi="Cambria Math" w:cs="Cambria Math"/>
                        <w:szCs w:val="22"/>
                        <w:lang w:val="en-GB"/>
                      </w:rPr>
                      <m:t xml:space="preserve">-13                    </m:t>
                    </m:r>
                  </m:e>
                  <m:e>
                    <m:r>
                      <m:rPr>
                        <m:sty m:val="p"/>
                      </m:rPr>
                      <w:rPr>
                        <w:rFonts w:ascii="Cambria Math" w:hAnsi="Cambria Math"/>
                        <w:szCs w:val="22"/>
                        <w:lang w:val="en-GB"/>
                      </w:rPr>
                      <m:t>:</m:t>
                    </m:r>
                  </m:e>
                  <m:e>
                    <m:r>
                      <m:rPr>
                        <m:sty m:val="p"/>
                      </m:rPr>
                      <w:rPr>
                        <w:rFonts w:ascii="Cambria Math" w:eastAsia="Cambria Math" w:hAnsi="Cambria Math" w:cs="Cambria Math"/>
                        <w:szCs w:val="22"/>
                        <w:lang w:val="en-GB"/>
                      </w:rPr>
                      <m:t>48≤φ&lt;80</m:t>
                    </m:r>
                  </m:e>
                </m:mr>
                <m:mr>
                  <m:e>
                    <m:r>
                      <m:rPr>
                        <m:sty m:val="p"/>
                      </m:rPr>
                      <w:rPr>
                        <w:rFonts w:ascii="Cambria Math" w:hAnsi="Cambria Math"/>
                        <w:szCs w:val="22"/>
                        <w:lang w:val="en-GB"/>
                      </w:rPr>
                      <m:t xml:space="preserve">-8                       </m:t>
                    </m:r>
                  </m:e>
                  <m:e>
                    <m:r>
                      <m:rPr>
                        <m:sty m:val="p"/>
                      </m:rPr>
                      <w:rPr>
                        <w:rFonts w:ascii="Cambria Math" w:hAnsi="Cambria Math"/>
                        <w:szCs w:val="22"/>
                        <w:lang w:val="en-GB"/>
                      </w:rPr>
                      <m:t>:</m:t>
                    </m:r>
                  </m:e>
                  <m:e>
                    <m:r>
                      <m:rPr>
                        <m:sty m:val="p"/>
                      </m:rPr>
                      <w:rPr>
                        <w:rFonts w:ascii="Cambria Math" w:eastAsia="Cambria Math" w:hAnsi="Cambria Math" w:cs="Cambria Math"/>
                        <w:szCs w:val="22"/>
                        <w:lang w:val="en-GB"/>
                      </w:rPr>
                      <m:t>80≤φ&lt;120</m:t>
                    </m:r>
                  </m:e>
                </m:mr>
                <m:mr>
                  <m:e>
                    <m:r>
                      <m:rPr>
                        <m:sty m:val="p"/>
                      </m:rPr>
                      <w:rPr>
                        <w:rFonts w:ascii="Cambria Math" w:hAnsi="Cambria Math"/>
                        <w:szCs w:val="22"/>
                        <w:lang w:val="en-GB"/>
                      </w:rPr>
                      <m:t xml:space="preserve">-13                    </m:t>
                    </m:r>
                  </m:e>
                  <m:e>
                    <m:r>
                      <m:rPr>
                        <m:sty m:val="p"/>
                      </m:rPr>
                      <w:rPr>
                        <w:rFonts w:ascii="Cambria Math" w:hAnsi="Cambria Math"/>
                        <w:szCs w:val="22"/>
                        <w:lang w:val="en-GB"/>
                      </w:rPr>
                      <m:t>:</m:t>
                    </m:r>
                  </m:e>
                  <m:e>
                    <m:r>
                      <m:rPr>
                        <m:sty m:val="p"/>
                      </m:rPr>
                      <w:rPr>
                        <w:rFonts w:ascii="Cambria Math" w:eastAsia="Cambria Math" w:hAnsi="Cambria Math" w:cs="Cambria Math"/>
                        <w:szCs w:val="22"/>
                        <w:lang w:val="en-GB"/>
                      </w:rPr>
                      <m:t>120≤φ≤180</m:t>
                    </m:r>
                  </m:e>
                </m:mr>
              </m:m>
            </m:e>
          </m:d>
        </m:oMath>
      </m:oMathPara>
    </w:p>
    <w:p w:rsidR="00B56CF3" w:rsidRPr="00D530EE" w:rsidRDefault="00B56CF3" w:rsidP="00B56CF3">
      <w:pPr>
        <w:rPr>
          <w:lang w:val="fr-CH"/>
        </w:rPr>
      </w:pPr>
      <w:r w:rsidRPr="00D530EE">
        <w:rPr>
          <w:lang w:val="fr-CH"/>
        </w:rPr>
        <w:t>où:</w:t>
      </w:r>
    </w:p>
    <w:p w:rsidR="00B56CF3" w:rsidRPr="00D530EE" w:rsidRDefault="00B56CF3" w:rsidP="00B56CF3">
      <w:pPr>
        <w:pStyle w:val="Equationlegend"/>
        <w:rPr>
          <w:lang w:val="fr-CH"/>
        </w:rPr>
      </w:pPr>
      <w:r w:rsidRPr="00D530EE">
        <w:rPr>
          <w:lang w:val="fr-CH"/>
        </w:rPr>
        <w:tab/>
      </w:r>
      <w:r w:rsidRPr="00D530EE">
        <w:rPr>
          <w:i/>
          <w:lang w:val="fr-CH"/>
        </w:rPr>
        <w:t>G(</w:t>
      </w:r>
      <w:r w:rsidRPr="003049BF">
        <w:rPr>
          <w:lang w:val="en-GB"/>
        </w:rPr>
        <w:sym w:font="Symbol" w:char="F06A"/>
      </w:r>
      <w:r w:rsidRPr="00D530EE">
        <w:rPr>
          <w:i/>
          <w:lang w:val="fr-CH"/>
        </w:rPr>
        <w:t>)</w:t>
      </w:r>
      <w:r w:rsidRPr="00D530EE">
        <w:rPr>
          <w:lang w:val="fr-CH"/>
        </w:rPr>
        <w:t>:</w:t>
      </w:r>
      <w:r w:rsidRPr="00D530EE">
        <w:rPr>
          <w:lang w:val="fr-CH"/>
        </w:rPr>
        <w:tab/>
      </w:r>
      <w:r w:rsidRPr="0090456A">
        <w:rPr>
          <w:lang w:val="fr-CH"/>
        </w:rPr>
        <w:t xml:space="preserve">gain (dBi) </w:t>
      </w:r>
      <w:r w:rsidRPr="00B56CF3">
        <w:rPr>
          <w:lang w:val="fr-CH"/>
        </w:rPr>
        <w:t>par rapport à une antenne isotrope</w:t>
      </w:r>
    </w:p>
    <w:p w:rsidR="00B56CF3" w:rsidRPr="00D530EE" w:rsidRDefault="00B56CF3" w:rsidP="00B56CF3">
      <w:pPr>
        <w:pStyle w:val="Equationlegend"/>
        <w:rPr>
          <w:lang w:val="fr-CH"/>
        </w:rPr>
      </w:pPr>
      <w:r w:rsidRPr="00D530EE">
        <w:rPr>
          <w:lang w:val="fr-CH"/>
        </w:rPr>
        <w:tab/>
      </w:r>
      <w:r w:rsidRPr="003049BF">
        <w:rPr>
          <w:lang w:val="en-GB"/>
        </w:rPr>
        <w:sym w:font="Symbol" w:char="F06A"/>
      </w:r>
      <w:r w:rsidRPr="00D530EE">
        <w:rPr>
          <w:lang w:val="fr-CH"/>
        </w:rPr>
        <w:t>:</w:t>
      </w:r>
      <w:r w:rsidRPr="00D530EE">
        <w:rPr>
          <w:lang w:val="fr-CH"/>
        </w:rPr>
        <w:tab/>
      </w:r>
      <w:r w:rsidRPr="00B56CF3">
        <w:rPr>
          <w:lang w:val="fr-CH"/>
        </w:rPr>
        <w:t>angle par rapport à l'axe principal (degrés)</w:t>
      </w:r>
    </w:p>
    <w:p w:rsidR="00B56CF3" w:rsidRPr="00D530EE" w:rsidRDefault="00B56CF3" w:rsidP="00B56CF3">
      <w:pPr>
        <w:pStyle w:val="Equationlegend"/>
        <w:rPr>
          <w:lang w:val="fr-CH"/>
        </w:rPr>
      </w:pPr>
      <w:r w:rsidRPr="00D530EE">
        <w:rPr>
          <w:lang w:val="fr-CH"/>
        </w:rPr>
        <w:tab/>
      </w:r>
      <w:r w:rsidRPr="00D530EE">
        <w:rPr>
          <w:i/>
          <w:lang w:val="fr-CH"/>
        </w:rPr>
        <w:t>G</w:t>
      </w:r>
      <w:r w:rsidRPr="00D530EE">
        <w:rPr>
          <w:iCs/>
          <w:vertAlign w:val="subscript"/>
          <w:lang w:val="fr-CH"/>
        </w:rPr>
        <w:t>0</w:t>
      </w:r>
      <w:r w:rsidRPr="00D530EE">
        <w:rPr>
          <w:lang w:val="fr-CH"/>
        </w:rPr>
        <w:t>:</w:t>
      </w:r>
      <w:r w:rsidRPr="00D530EE">
        <w:rPr>
          <w:lang w:val="fr-CH"/>
        </w:rPr>
        <w:tab/>
      </w:r>
      <w:r w:rsidRPr="00B56CF3">
        <w:rPr>
          <w:lang w:val="fr-CH"/>
        </w:rPr>
        <w:t>gain maximal de l'antenne dans la direction de l'axe de visée (dBi)</w:t>
      </w:r>
    </w:p>
    <w:p w:rsidR="00B56CF3" w:rsidRPr="00D530EE" w:rsidRDefault="00B56CF3" w:rsidP="00B56CF3">
      <w:pPr>
        <w:pStyle w:val="Equationlegend"/>
        <w:rPr>
          <w:lang w:val="fr-CH"/>
        </w:rPr>
      </w:pPr>
      <w:r w:rsidRPr="00D530EE">
        <w:rPr>
          <w:lang w:val="fr-CH"/>
        </w:rPr>
        <w:tab/>
      </w:r>
      <w:r w:rsidRPr="003049BF">
        <w:rPr>
          <w:lang w:val="en-GB"/>
        </w:rPr>
        <w:sym w:font="Symbol" w:char="F06A"/>
      </w:r>
      <w:r w:rsidRPr="00D530EE">
        <w:rPr>
          <w:vertAlign w:val="subscript"/>
          <w:lang w:val="fr-CH"/>
        </w:rPr>
        <w:t>0</w:t>
      </w:r>
      <w:r w:rsidRPr="00D530EE">
        <w:rPr>
          <w:lang w:val="fr-CH"/>
        </w:rPr>
        <w:t>:</w:t>
      </w:r>
      <w:r w:rsidRPr="00D530EE">
        <w:rPr>
          <w:lang w:val="fr-CH"/>
        </w:rPr>
        <w:tab/>
        <w:t xml:space="preserve">½ </w:t>
      </w:r>
      <w:r w:rsidRPr="00B56CF3">
        <w:rPr>
          <w:lang w:val="fr-CH"/>
        </w:rPr>
        <w:t>de l'ouverture de faisceau à 3 dB de l'antenne (degrés)</w:t>
      </w:r>
    </w:p>
    <w:p w:rsidR="00B56CF3" w:rsidRPr="00AC57F8" w:rsidRDefault="00B56CF3" w:rsidP="00707918">
      <w:pPr>
        <w:pStyle w:val="Equationlegend"/>
        <w:tabs>
          <w:tab w:val="clear" w:pos="1701"/>
          <w:tab w:val="right" w:pos="1843"/>
        </w:tabs>
        <w:rPr>
          <w:lang w:val="fr-CH"/>
        </w:rPr>
      </w:pPr>
      <w:r w:rsidRPr="00D530EE">
        <w:rPr>
          <w:iCs/>
          <w:lang w:val="fr-CH"/>
        </w:rPr>
        <w:tab/>
      </w:r>
      <w:r w:rsidR="00707918" w:rsidRPr="003049BF">
        <w:rPr>
          <w:iCs/>
          <w:lang w:val="en-GB"/>
        </w:rPr>
        <w:sym w:font="Symbol" w:char="F06A"/>
      </w:r>
      <w:r w:rsidR="00707918">
        <w:rPr>
          <w:iCs/>
          <w:vertAlign w:val="subscript"/>
          <w:lang w:val="fr-CH"/>
        </w:rPr>
        <w:t>1</w:t>
      </w:r>
      <w:r w:rsidR="00707918" w:rsidRPr="00CC384E">
        <w:t xml:space="preserve"> =</w:t>
      </w:r>
      <w:r w:rsidRPr="00AC57F8">
        <w:rPr>
          <w:sz w:val="22"/>
          <w:szCs w:val="22"/>
          <w:lang w:val="fr-CH"/>
        </w:rPr>
        <w:tab/>
      </w:r>
      <m:oMath>
        <m:sSub>
          <m:sSubPr>
            <m:ctrlPr>
              <w:rPr>
                <w:rFonts w:ascii="Cambria Math" w:hAnsi="Cambria Math"/>
                <w:iCs/>
                <w:sz w:val="22"/>
                <w:szCs w:val="22"/>
                <w:lang w:val="en-GB"/>
              </w:rPr>
            </m:ctrlPr>
          </m:sSubPr>
          <m:e>
            <m:r>
              <m:rPr>
                <m:sty m:val="p"/>
              </m:rPr>
              <w:rPr>
                <w:rFonts w:ascii="Cambria Math" w:hAnsi="Cambria Math"/>
                <w:sz w:val="22"/>
                <w:szCs w:val="22"/>
                <w:lang w:val="en-GB"/>
              </w:rPr>
              <m:t>φ</m:t>
            </m:r>
          </m:e>
          <m:sub>
            <m:r>
              <m:rPr>
                <m:sty m:val="p"/>
              </m:rPr>
              <w:rPr>
                <w:rFonts w:ascii="Cambria Math" w:hAnsi="Cambria Math"/>
                <w:sz w:val="22"/>
                <w:szCs w:val="22"/>
                <w:lang w:val="fr-CH"/>
              </w:rPr>
              <m:t>0</m:t>
            </m:r>
          </m:sub>
        </m:sSub>
        <m:rad>
          <m:radPr>
            <m:degHide m:val="1"/>
            <m:ctrlPr>
              <w:rPr>
                <w:rFonts w:ascii="Cambria Math" w:hAnsi="Cambria Math"/>
                <w:i/>
                <w:sz w:val="22"/>
                <w:szCs w:val="22"/>
                <w:lang w:val="en-GB"/>
              </w:rPr>
            </m:ctrlPr>
          </m:radPr>
          <m:deg/>
          <m:e>
            <m:f>
              <m:fPr>
                <m:type m:val="lin"/>
                <m:ctrlPr>
                  <w:rPr>
                    <w:rFonts w:ascii="Cambria Math" w:hAnsi="Cambria Math"/>
                    <w:i/>
                    <w:sz w:val="22"/>
                    <w:szCs w:val="22"/>
                    <w:lang w:val="en-GB"/>
                  </w:rPr>
                </m:ctrlPr>
              </m:fPr>
              <m:num>
                <m:r>
                  <w:rPr>
                    <w:rFonts w:ascii="Cambria Math" w:hAnsi="Cambria Math"/>
                    <w:sz w:val="22"/>
                    <w:szCs w:val="22"/>
                    <w:lang w:val="fr-CH"/>
                  </w:rPr>
                  <m:t>20</m:t>
                </m:r>
              </m:num>
              <m:den>
                <m:r>
                  <w:rPr>
                    <w:rFonts w:ascii="Cambria Math" w:hAnsi="Cambria Math"/>
                    <w:sz w:val="22"/>
                    <w:szCs w:val="22"/>
                    <w:lang w:val="fr-CH"/>
                  </w:rPr>
                  <m:t>3</m:t>
                </m:r>
              </m:den>
            </m:f>
          </m:e>
        </m:rad>
      </m:oMath>
      <w:r w:rsidRPr="00AC57F8">
        <w:rPr>
          <w:lang w:val="fr-CH"/>
        </w:rPr>
        <w:t xml:space="preserve"> (degrés)</w:t>
      </w:r>
    </w:p>
    <w:p w:rsidR="00B56CF3" w:rsidRPr="00AC57F8" w:rsidRDefault="00B56CF3" w:rsidP="00707918">
      <w:pPr>
        <w:pStyle w:val="Equationlegend"/>
        <w:tabs>
          <w:tab w:val="clear" w:pos="1701"/>
          <w:tab w:val="right" w:pos="1843"/>
        </w:tabs>
        <w:rPr>
          <w:lang w:val="fr-CH"/>
        </w:rPr>
      </w:pPr>
      <w:r w:rsidRPr="00AC57F8">
        <w:rPr>
          <w:iCs/>
          <w:lang w:val="fr-CH"/>
        </w:rPr>
        <w:tab/>
      </w:r>
      <w:bookmarkStart w:id="3" w:name="_GoBack"/>
      <w:bookmarkEnd w:id="3"/>
      <w:r w:rsidR="00707918" w:rsidRPr="003049BF">
        <w:rPr>
          <w:iCs/>
          <w:lang w:val="en-GB"/>
        </w:rPr>
        <w:sym w:font="Symbol" w:char="F06A"/>
      </w:r>
      <w:r w:rsidR="00707918">
        <w:rPr>
          <w:iCs/>
          <w:vertAlign w:val="subscript"/>
          <w:lang w:val="fr-CH"/>
        </w:rPr>
        <w:t>2</w:t>
      </w:r>
      <w:r w:rsidR="00707918">
        <w:t xml:space="preserve"> =</w:t>
      </w:r>
      <w:r w:rsidRPr="00AC57F8">
        <w:rPr>
          <w:lang w:val="fr-CH"/>
        </w:rPr>
        <w:tab/>
      </w:r>
      <m:oMath>
        <m:sSup>
          <m:sSupPr>
            <m:ctrlPr>
              <w:rPr>
                <w:rFonts w:ascii="Cambria Math" w:hAnsi="Cambria Math"/>
                <w:i/>
                <w:sz w:val="22"/>
                <w:szCs w:val="22"/>
                <w:lang w:val="en-GB"/>
              </w:rPr>
            </m:ctrlPr>
          </m:sSupPr>
          <m:e>
            <m:r>
              <w:rPr>
                <w:rFonts w:ascii="Cambria Math" w:hAnsi="Cambria Math"/>
                <w:sz w:val="22"/>
                <w:szCs w:val="22"/>
                <w:lang w:val="fr-CH"/>
              </w:rPr>
              <m:t>10</m:t>
            </m:r>
          </m:e>
          <m:sup>
            <m:r>
              <w:rPr>
                <w:rFonts w:ascii="Cambria Math" w:hAnsi="Cambria Math"/>
                <w:sz w:val="22"/>
                <w:szCs w:val="22"/>
                <w:lang w:val="fr-CH"/>
              </w:rPr>
              <m:t>(49-</m:t>
            </m:r>
            <m:sSub>
              <m:sSubPr>
                <m:ctrlPr>
                  <w:rPr>
                    <w:rFonts w:ascii="Cambria Math" w:hAnsi="Cambria Math"/>
                    <w:i/>
                    <w:sz w:val="22"/>
                    <w:szCs w:val="22"/>
                    <w:lang w:val="en-GB"/>
                  </w:rPr>
                </m:ctrlPr>
              </m:sSubPr>
              <m:e>
                <m:r>
                  <w:rPr>
                    <w:rFonts w:ascii="Cambria Math" w:hAnsi="Cambria Math"/>
                    <w:sz w:val="22"/>
                    <w:szCs w:val="22"/>
                    <w:lang w:val="en-GB"/>
                  </w:rPr>
                  <m:t>G</m:t>
                </m:r>
              </m:e>
              <m:sub>
                <m:r>
                  <w:rPr>
                    <w:rFonts w:ascii="Cambria Math" w:hAnsi="Cambria Math"/>
                    <w:sz w:val="22"/>
                    <w:szCs w:val="22"/>
                    <w:lang w:val="fr-CH"/>
                  </w:rPr>
                  <m:t>0</m:t>
                </m:r>
              </m:sub>
            </m:sSub>
            <m:r>
              <w:rPr>
                <w:rFonts w:ascii="Cambria Math" w:hAnsi="Cambria Math"/>
                <w:sz w:val="22"/>
                <w:szCs w:val="22"/>
                <w:lang w:val="fr-CH"/>
              </w:rPr>
              <m:t>)/25</m:t>
            </m:r>
          </m:sup>
        </m:sSup>
      </m:oMath>
      <w:r w:rsidRPr="00AC57F8">
        <w:rPr>
          <w:lang w:val="fr-CH"/>
        </w:rPr>
        <w:t xml:space="preserve"> (degrés);</w:t>
      </w:r>
    </w:p>
    <w:p w:rsidR="00B56CF3" w:rsidRPr="00C40336" w:rsidRDefault="00B56CF3" w:rsidP="00B56CF3">
      <w:pPr>
        <w:keepNext/>
        <w:keepLines/>
      </w:pPr>
      <w:r w:rsidRPr="00EC20D5">
        <w:rPr>
          <w:b/>
          <w:bCs/>
        </w:rPr>
        <w:t>1.3</w:t>
      </w:r>
      <w:r>
        <w:tab/>
        <w:t xml:space="preserve">si les valeurs effectives des paramètres </w:t>
      </w:r>
      <w:r w:rsidRPr="005B24F4">
        <w:rPr>
          <w:i/>
          <w:lang w:val="fr-CH"/>
        </w:rPr>
        <w:t>G</w:t>
      </w:r>
      <w:r w:rsidRPr="005B24F4">
        <w:rPr>
          <w:vertAlign w:val="subscript"/>
          <w:lang w:val="fr-CH"/>
        </w:rPr>
        <w:t>0</w:t>
      </w:r>
      <w:r>
        <w:t xml:space="preserve"> et </w:t>
      </w:r>
      <w:r w:rsidRPr="003049BF">
        <w:rPr>
          <w:lang w:val="en-GB"/>
        </w:rPr>
        <w:t>φ</w:t>
      </w:r>
      <w:r w:rsidRPr="000C2980">
        <w:rPr>
          <w:vertAlign w:val="subscript"/>
          <w:lang w:val="fr-CH"/>
        </w:rPr>
        <w:t>0</w:t>
      </w:r>
      <w:r w:rsidRPr="000C2980">
        <w:rPr>
          <w:rFonts w:ascii="Cambria Math" w:hAnsi="Cambria Math" w:cs="Cambria Math"/>
          <w:lang w:val="fr-CH"/>
        </w:rPr>
        <w:t xml:space="preserve"> </w:t>
      </w:r>
      <w:r>
        <w:t>ne sont pas disponibles, il faut utiliser les équations suivantes pour estimer ces valeurs:</w:t>
      </w:r>
    </w:p>
    <w:tbl>
      <w:tblPr>
        <w:tblW w:w="0" w:type="auto"/>
        <w:tblLook w:val="04A0" w:firstRow="1" w:lastRow="0" w:firstColumn="1" w:lastColumn="0" w:noHBand="0" w:noVBand="1"/>
      </w:tblPr>
      <w:tblGrid>
        <w:gridCol w:w="9639"/>
      </w:tblGrid>
      <w:tr w:rsidR="00B56CF3" w:rsidRPr="003049BF" w:rsidTr="00DE794F">
        <w:tc>
          <w:tcPr>
            <w:tcW w:w="9855" w:type="dxa"/>
          </w:tcPr>
          <w:p w:rsidR="00B56CF3" w:rsidRPr="00B56CF3" w:rsidRDefault="00707918" w:rsidP="00DE794F">
            <w:pPr>
              <w:keepNext/>
              <w:jc w:val="center"/>
              <w:rPr>
                <w:sz w:val="22"/>
                <w:szCs w:val="22"/>
                <w:lang w:val="en-GB"/>
              </w:rPr>
            </w:pPr>
            <m:oMathPara>
              <m:oMath>
                <m:sSub>
                  <m:sSubPr>
                    <m:ctrlPr>
                      <w:rPr>
                        <w:rFonts w:ascii="Cambria Math" w:hAnsi="Cambria Math"/>
                        <w:i/>
                        <w:szCs w:val="22"/>
                        <w:lang w:val="en-GB"/>
                      </w:rPr>
                    </m:ctrlPr>
                  </m:sSubPr>
                  <m:e>
                    <m:r>
                      <w:rPr>
                        <w:rFonts w:ascii="Cambria Math" w:hAnsi="Cambria Math"/>
                        <w:szCs w:val="22"/>
                        <w:lang w:val="en-GB"/>
                      </w:rPr>
                      <m:t>G</m:t>
                    </m:r>
                  </m:e>
                  <m:sub>
                    <m:r>
                      <w:rPr>
                        <w:rFonts w:ascii="Cambria Math" w:hAnsi="Cambria Math"/>
                        <w:szCs w:val="22"/>
                        <w:lang w:val="en-GB"/>
                      </w:rPr>
                      <m:t>0</m:t>
                    </m:r>
                  </m:sub>
                </m:sSub>
                <m:r>
                  <w:rPr>
                    <w:rFonts w:ascii="Cambria Math" w:hAnsi="Cambria Math"/>
                    <w:szCs w:val="22"/>
                    <w:lang w:val="en-GB"/>
                  </w:rPr>
                  <m:t>=10</m:t>
                </m:r>
                <m:func>
                  <m:funcPr>
                    <m:ctrlPr>
                      <w:rPr>
                        <w:rFonts w:ascii="Cambria Math" w:hAnsi="Cambria Math"/>
                        <w:i/>
                        <w:szCs w:val="22"/>
                        <w:lang w:val="en-GB"/>
                      </w:rPr>
                    </m:ctrlPr>
                  </m:funcPr>
                  <m:fName>
                    <m:r>
                      <m:rPr>
                        <m:sty m:val="p"/>
                      </m:rPr>
                      <w:rPr>
                        <w:rFonts w:ascii="Cambria Math" w:hAnsi="Cambria Math"/>
                        <w:szCs w:val="22"/>
                        <w:lang w:val="en-GB"/>
                      </w:rPr>
                      <m:t>log</m:t>
                    </m:r>
                  </m:fName>
                  <m:e>
                    <m:d>
                      <m:dPr>
                        <m:begChr m:val="["/>
                        <m:endChr m:val="]"/>
                        <m:ctrlPr>
                          <w:rPr>
                            <w:rFonts w:ascii="Cambria Math" w:hAnsi="Cambria Math"/>
                            <w:i/>
                            <w:szCs w:val="22"/>
                            <w:lang w:val="en-GB"/>
                          </w:rPr>
                        </m:ctrlPr>
                      </m:dPr>
                      <m:e>
                        <m:r>
                          <m:rPr>
                            <m:sty m:val="p"/>
                          </m:rPr>
                          <w:rPr>
                            <w:rFonts w:ascii="Cambria Math" w:hAnsi="Cambria Math"/>
                            <w:szCs w:val="22"/>
                            <w:lang w:val="en-GB"/>
                          </w:rPr>
                          <m:t>η</m:t>
                        </m:r>
                        <m:sSup>
                          <m:sSupPr>
                            <m:ctrlPr>
                              <w:rPr>
                                <w:rFonts w:ascii="Cambria Math" w:hAnsi="Cambria Math"/>
                                <w:i/>
                                <w:szCs w:val="22"/>
                                <w:lang w:val="en-GB"/>
                              </w:rPr>
                            </m:ctrlPr>
                          </m:sSupPr>
                          <m:e>
                            <m:d>
                              <m:dPr>
                                <m:ctrlPr>
                                  <w:rPr>
                                    <w:rFonts w:ascii="Cambria Math" w:hAnsi="Cambria Math"/>
                                    <w:i/>
                                    <w:szCs w:val="22"/>
                                    <w:lang w:val="en-GB"/>
                                  </w:rPr>
                                </m:ctrlPr>
                              </m:dPr>
                              <m:e>
                                <m:f>
                                  <m:fPr>
                                    <m:ctrlPr>
                                      <w:rPr>
                                        <w:rFonts w:ascii="Cambria Math" w:hAnsi="Cambria Math"/>
                                        <w:i/>
                                        <w:szCs w:val="22"/>
                                        <w:lang w:val="en-GB"/>
                                      </w:rPr>
                                    </m:ctrlPr>
                                  </m:fPr>
                                  <m:num>
                                    <m:r>
                                      <m:rPr>
                                        <m:sty m:val="p"/>
                                      </m:rPr>
                                      <w:rPr>
                                        <w:rFonts w:ascii="Cambria Math" w:hAnsi="Cambria Math"/>
                                        <w:szCs w:val="22"/>
                                        <w:lang w:val="en-GB"/>
                                      </w:rPr>
                                      <m:t>π</m:t>
                                    </m:r>
                                    <m:r>
                                      <w:rPr>
                                        <w:rFonts w:ascii="Cambria Math" w:hAnsi="Cambria Math"/>
                                        <w:szCs w:val="22"/>
                                        <w:lang w:val="en-GB"/>
                                      </w:rPr>
                                      <m:t>D</m:t>
                                    </m:r>
                                  </m:num>
                                  <m:den>
                                    <m:r>
                                      <m:rPr>
                                        <m:sty m:val="p"/>
                                      </m:rPr>
                                      <w:rPr>
                                        <w:rFonts w:ascii="Cambria Math" w:hAnsi="Cambria Math"/>
                                        <w:szCs w:val="22"/>
                                        <w:lang w:val="en-GB"/>
                                      </w:rPr>
                                      <m:t>λ</m:t>
                                    </m:r>
                                  </m:den>
                                </m:f>
                              </m:e>
                            </m:d>
                          </m:e>
                          <m:sup>
                            <m:r>
                              <w:rPr>
                                <w:rFonts w:ascii="Cambria Math" w:hAnsi="Cambria Math"/>
                                <w:szCs w:val="22"/>
                                <w:lang w:val="en-GB"/>
                              </w:rPr>
                              <m:t>2</m:t>
                            </m:r>
                          </m:sup>
                        </m:sSup>
                      </m:e>
                    </m:d>
                    <m:r>
                      <w:rPr>
                        <w:rFonts w:ascii="Cambria Math" w:hAnsi="Cambria Math"/>
                        <w:szCs w:val="22"/>
                        <w:lang w:val="en-GB"/>
                      </w:rPr>
                      <m:t xml:space="preserve">     (</m:t>
                    </m:r>
                    <m:r>
                      <m:rPr>
                        <m:sty m:val="p"/>
                      </m:rPr>
                      <w:rPr>
                        <w:rFonts w:ascii="Cambria Math" w:hAnsi="Cambria Math"/>
                        <w:szCs w:val="22"/>
                        <w:lang w:val="en-GB"/>
                      </w:rPr>
                      <m:t>dBi</m:t>
                    </m:r>
                    <m:r>
                      <w:rPr>
                        <w:rFonts w:ascii="Cambria Math" w:hAnsi="Cambria Math"/>
                        <w:szCs w:val="22"/>
                        <w:lang w:val="en-GB"/>
                      </w:rPr>
                      <m:t>)</m:t>
                    </m:r>
                  </m:e>
                </m:func>
              </m:oMath>
            </m:oMathPara>
          </w:p>
          <w:p w:rsidR="00B56CF3" w:rsidRPr="00B56CF3" w:rsidRDefault="00707918" w:rsidP="00DE794F">
            <w:pPr>
              <w:keepNext/>
              <w:jc w:val="center"/>
              <w:rPr>
                <w:sz w:val="22"/>
                <w:szCs w:val="22"/>
                <w:lang w:val="en-GB"/>
              </w:rPr>
            </w:pPr>
            <m:oMathPara>
              <m:oMath>
                <m:sSub>
                  <m:sSubPr>
                    <m:ctrlPr>
                      <w:rPr>
                        <w:rFonts w:ascii="Cambria Math" w:hAnsi="Cambria Math"/>
                        <w:i/>
                        <w:szCs w:val="22"/>
                        <w:lang w:val="en-GB"/>
                      </w:rPr>
                    </m:ctrlPr>
                  </m:sSubPr>
                  <m:e>
                    <m:r>
                      <m:rPr>
                        <m:sty m:val="p"/>
                      </m:rPr>
                      <w:rPr>
                        <w:rFonts w:ascii="Cambria Math" w:hAnsi="Cambria Math"/>
                        <w:szCs w:val="22"/>
                        <w:lang w:val="en-GB"/>
                      </w:rPr>
                      <m:t>φ</m:t>
                    </m:r>
                  </m:e>
                  <m:sub>
                    <m:r>
                      <w:rPr>
                        <w:rFonts w:ascii="Cambria Math" w:hAnsi="Cambria Math"/>
                        <w:szCs w:val="22"/>
                        <w:lang w:val="en-GB"/>
                      </w:rPr>
                      <m:t>0</m:t>
                    </m:r>
                  </m:sub>
                </m:sSub>
                <m:r>
                  <w:rPr>
                    <w:rFonts w:ascii="Cambria Math" w:hAnsi="Cambria Math"/>
                    <w:szCs w:val="22"/>
                    <w:lang w:val="en-GB"/>
                  </w:rPr>
                  <m:t>=</m:t>
                </m:r>
                <m:f>
                  <m:fPr>
                    <m:ctrlPr>
                      <w:rPr>
                        <w:rFonts w:ascii="Cambria Math" w:hAnsi="Cambria Math"/>
                        <w:i/>
                        <w:szCs w:val="22"/>
                        <w:lang w:val="en-GB"/>
                      </w:rPr>
                    </m:ctrlPr>
                  </m:fPr>
                  <m:num>
                    <m:r>
                      <w:rPr>
                        <w:rFonts w:ascii="Cambria Math" w:hAnsi="Cambria Math"/>
                        <w:szCs w:val="22"/>
                        <w:lang w:val="en-GB"/>
                      </w:rPr>
                      <m:t>20√3</m:t>
                    </m:r>
                  </m:num>
                  <m:den>
                    <m:r>
                      <w:rPr>
                        <w:rFonts w:ascii="Cambria Math" w:hAnsi="Cambria Math"/>
                        <w:szCs w:val="22"/>
                        <w:lang w:val="en-GB"/>
                      </w:rPr>
                      <m:t>D/</m:t>
                    </m:r>
                    <m:r>
                      <m:rPr>
                        <m:sty m:val="p"/>
                      </m:rPr>
                      <w:rPr>
                        <w:rFonts w:ascii="Cambria Math" w:hAnsi="Cambria Math"/>
                        <w:szCs w:val="22"/>
                        <w:lang w:val="en-GB"/>
                      </w:rPr>
                      <m:t>λ</m:t>
                    </m:r>
                  </m:den>
                </m:f>
                <m:r>
                  <w:rPr>
                    <w:rFonts w:ascii="Cambria Math" w:hAnsi="Cambria Math"/>
                    <w:szCs w:val="22"/>
                    <w:lang w:val="en-GB"/>
                  </w:rPr>
                  <m:t xml:space="preserve">      (</m:t>
                </m:r>
                <m:r>
                  <m:rPr>
                    <m:sty m:val="p"/>
                  </m:rPr>
                  <w:rPr>
                    <w:rFonts w:ascii="Cambria Math" w:hAnsi="Cambria Math"/>
                    <w:szCs w:val="22"/>
                    <w:lang w:val="en-GB"/>
                  </w:rPr>
                  <m:t>degrés)</m:t>
                </m:r>
              </m:oMath>
            </m:oMathPara>
          </w:p>
        </w:tc>
      </w:tr>
    </w:tbl>
    <w:p w:rsidR="00B56CF3" w:rsidRPr="00587147" w:rsidRDefault="00B56CF3" w:rsidP="00B56CF3">
      <w:pPr>
        <w:spacing w:before="0"/>
        <w:rPr>
          <w:szCs w:val="24"/>
          <w:lang w:val="fr-CH"/>
        </w:rPr>
      </w:pPr>
      <w:r w:rsidRPr="00587147">
        <w:rPr>
          <w:szCs w:val="24"/>
          <w:lang w:val="fr-CH"/>
        </w:rPr>
        <w:t>où:</w:t>
      </w:r>
    </w:p>
    <w:p w:rsidR="00B56CF3" w:rsidRPr="00AC57F8" w:rsidRDefault="00B56CF3" w:rsidP="00B56CF3">
      <w:pPr>
        <w:pStyle w:val="Equationlegend"/>
        <w:rPr>
          <w:lang w:val="fr-CH"/>
        </w:rPr>
      </w:pPr>
      <w:r w:rsidRPr="00587147">
        <w:rPr>
          <w:lang w:val="fr-CH"/>
        </w:rPr>
        <w:tab/>
      </w:r>
      <w:r w:rsidRPr="003049BF">
        <w:rPr>
          <w:lang w:val="en-GB"/>
        </w:rPr>
        <w:t>η</w:t>
      </w:r>
      <w:r w:rsidRPr="00AC57F8">
        <w:rPr>
          <w:lang w:val="fr-CH"/>
        </w:rPr>
        <w:t>:</w:t>
      </w:r>
      <w:r w:rsidRPr="00AC57F8">
        <w:rPr>
          <w:lang w:val="fr-CH"/>
        </w:rPr>
        <w:tab/>
      </w:r>
      <w:r>
        <w:rPr>
          <w:lang w:val="fr-CH"/>
        </w:rPr>
        <w:t>r</w:t>
      </w:r>
      <w:r w:rsidRPr="00B56CF3">
        <w:rPr>
          <w:lang w:val="fr-CH"/>
        </w:rPr>
        <w:t>endement d'ouverture de l'antenne</w:t>
      </w:r>
    </w:p>
    <w:p w:rsidR="00B56CF3" w:rsidRPr="00AC57F8" w:rsidRDefault="00B56CF3" w:rsidP="00B56CF3">
      <w:pPr>
        <w:pStyle w:val="Equationlegend"/>
        <w:rPr>
          <w:lang w:val="fr-CH"/>
        </w:rPr>
      </w:pPr>
      <w:r w:rsidRPr="00AC57F8">
        <w:rPr>
          <w:lang w:val="fr-CH"/>
        </w:rPr>
        <w:tab/>
      </w:r>
      <w:r w:rsidRPr="00AC57F8">
        <w:rPr>
          <w:i/>
          <w:lang w:val="fr-CH"/>
        </w:rPr>
        <w:t>D</w:t>
      </w:r>
      <w:r w:rsidRPr="00AC57F8">
        <w:rPr>
          <w:iCs/>
          <w:lang w:val="fr-CH"/>
        </w:rPr>
        <w:t>:</w:t>
      </w:r>
      <w:r w:rsidRPr="00AC57F8">
        <w:rPr>
          <w:lang w:val="fr-CH"/>
        </w:rPr>
        <w:tab/>
        <w:t>diamètre de l'antenne (m)</w:t>
      </w:r>
    </w:p>
    <w:p w:rsidR="00B56CF3" w:rsidRPr="00971292" w:rsidRDefault="00B56CF3" w:rsidP="00B56CF3">
      <w:pPr>
        <w:pStyle w:val="Equationlegend"/>
        <w:rPr>
          <w:lang w:val="fr-CH"/>
        </w:rPr>
      </w:pPr>
      <w:r w:rsidRPr="00AC57F8">
        <w:rPr>
          <w:lang w:val="fr-CH"/>
        </w:rPr>
        <w:tab/>
      </w:r>
      <w:r w:rsidRPr="003049BF">
        <w:rPr>
          <w:lang w:val="en-GB"/>
        </w:rPr>
        <w:t>λ</w:t>
      </w:r>
      <w:r w:rsidRPr="00971292">
        <w:rPr>
          <w:lang w:val="fr-CH"/>
        </w:rPr>
        <w:t>:</w:t>
      </w:r>
      <w:r w:rsidRPr="00971292">
        <w:rPr>
          <w:lang w:val="fr-CH"/>
        </w:rPr>
        <w:tab/>
        <w:t>longueur d'onde (m);</w:t>
      </w:r>
    </w:p>
    <w:p w:rsidR="00B56CF3" w:rsidRDefault="00B56CF3" w:rsidP="00B56CF3">
      <w:r>
        <w:rPr>
          <w:b/>
        </w:rPr>
        <w:t>2</w:t>
      </w:r>
      <w:r>
        <w:tab/>
        <w:t xml:space="preserve">que les administrations soient invitées à présenter des diagrammes d'antenne mesurés (voir l'Annexe), susceptibles d'être utilisés, si nécessaire, pour réviser les diagrammes de rayonnement d'antenne de référence indiqués sous le point </w:t>
      </w:r>
      <w:r w:rsidRPr="00EC20D5">
        <w:rPr>
          <w:b/>
          <w:bCs/>
        </w:rPr>
        <w:t>1</w:t>
      </w:r>
      <w:r>
        <w:t xml:space="preserve"> du </w:t>
      </w:r>
      <w:r w:rsidRPr="001B6993">
        <w:rPr>
          <w:i/>
          <w:iCs/>
        </w:rPr>
        <w:t>recommande</w:t>
      </w:r>
      <w:r>
        <w:t>.</w:t>
      </w:r>
    </w:p>
    <w:p w:rsidR="00B56CF3" w:rsidRPr="00B56CF3" w:rsidRDefault="00B56CF3" w:rsidP="00B56CF3">
      <w:pPr>
        <w:pStyle w:val="FigureNo"/>
        <w:rPr>
          <w:lang w:val="fr-CH"/>
        </w:rPr>
      </w:pPr>
      <w:r w:rsidRPr="00B56CF3">
        <w:rPr>
          <w:lang w:val="fr-CH"/>
        </w:rPr>
        <w:t>FIGURE 1</w:t>
      </w:r>
    </w:p>
    <w:p w:rsidR="00B56CF3" w:rsidRDefault="00B56CF3" w:rsidP="00B56CF3">
      <w:pPr>
        <w:pStyle w:val="Figuretitle"/>
        <w:rPr>
          <w:lang w:val="fr-CH"/>
        </w:rPr>
      </w:pPr>
      <w:r w:rsidRPr="00164DC6">
        <w:rPr>
          <w:lang w:val="fr-CH"/>
        </w:rPr>
        <w:t>Diagramme de rayonnem</w:t>
      </w:r>
      <w:r>
        <w:rPr>
          <w:lang w:val="fr-CH"/>
        </w:rPr>
        <w:t>ent d'antenne de réfé</w:t>
      </w:r>
      <w:r w:rsidRPr="00164DC6">
        <w:rPr>
          <w:lang w:val="fr-CH"/>
        </w:rPr>
        <w:t xml:space="preserve">rence </w:t>
      </w:r>
      <w:r>
        <w:rPr>
          <w:lang w:val="fr-CH"/>
        </w:rPr>
        <w:t xml:space="preserve">à utiliser en l'absence </w:t>
      </w:r>
      <w:r>
        <w:rPr>
          <w:lang w:val="fr-CH"/>
        </w:rPr>
        <w:br/>
        <w:t>de données mesuré</w:t>
      </w:r>
      <w:r w:rsidRPr="00164DC6">
        <w:rPr>
          <w:lang w:val="fr-CH"/>
        </w:rPr>
        <w:t>es (une seule source de brouillage)</w:t>
      </w:r>
    </w:p>
    <w:p w:rsidR="00B56CF3" w:rsidRPr="006B090F" w:rsidRDefault="009E1099" w:rsidP="00B56CF3">
      <w:pPr>
        <w:pStyle w:val="Figure"/>
        <w:keepLines w:val="0"/>
        <w:rPr>
          <w:lang w:val="fr-CH"/>
        </w:rPr>
      </w:pPr>
      <w:r>
        <w:object w:dxaOrig="3509" w:dyaOrig="22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0.45pt;height:226.55pt;mso-position-vertical:absolute" o:ole="">
            <v:imagedata r:id="rId13" o:title=""/>
          </v:shape>
          <o:OLEObject Type="Embed" ProgID="CorelDRAW.Graphic.14" ShapeID="_x0000_i1025" DrawAspect="Content" ObjectID="_1470486756" r:id="rId14"/>
        </w:object>
      </w:r>
    </w:p>
    <w:p w:rsidR="00B56CF3" w:rsidRDefault="00B56CF3" w:rsidP="00B56CF3">
      <w:pPr>
        <w:pStyle w:val="FigureNo"/>
      </w:pPr>
      <w:r>
        <w:t>Figure 2</w:t>
      </w:r>
    </w:p>
    <w:p w:rsidR="00B56CF3" w:rsidRDefault="00B56CF3" w:rsidP="00B56CF3">
      <w:pPr>
        <w:pStyle w:val="Figuretitle"/>
      </w:pPr>
      <w:r w:rsidRPr="00164DC6">
        <w:rPr>
          <w:lang w:val="fr-CH"/>
        </w:rPr>
        <w:t>Diagramme de rayonnem</w:t>
      </w:r>
      <w:r>
        <w:rPr>
          <w:lang w:val="fr-CH"/>
        </w:rPr>
        <w:t>ent d'antenne de réfé</w:t>
      </w:r>
      <w:r w:rsidRPr="00164DC6">
        <w:rPr>
          <w:lang w:val="fr-CH"/>
        </w:rPr>
        <w:t xml:space="preserve">rence </w:t>
      </w:r>
      <w:r>
        <w:rPr>
          <w:lang w:val="fr-CH"/>
        </w:rPr>
        <w:t xml:space="preserve">à utiliser en l'absence </w:t>
      </w:r>
      <w:r>
        <w:rPr>
          <w:lang w:val="fr-CH"/>
        </w:rPr>
        <w:br/>
        <w:t>de données mesuré</w:t>
      </w:r>
      <w:r w:rsidRPr="00164DC6">
        <w:rPr>
          <w:lang w:val="fr-CH"/>
        </w:rPr>
        <w:t xml:space="preserve">es </w:t>
      </w:r>
      <w:r>
        <w:t>(plusieurs sources de brouillage)</w:t>
      </w:r>
    </w:p>
    <w:p w:rsidR="00B56CF3" w:rsidRPr="006B090F" w:rsidRDefault="009E1099" w:rsidP="00B56CF3">
      <w:pPr>
        <w:pStyle w:val="Figure"/>
      </w:pPr>
      <w:r>
        <w:object w:dxaOrig="3515" w:dyaOrig="2228">
          <v:shape id="_x0000_i1026" type="#_x0000_t75" style="width:357.7pt;height:226.55pt" o:ole="">
            <v:imagedata r:id="rId15" o:title=""/>
          </v:shape>
          <o:OLEObject Type="Embed" ProgID="CorelDRAW.Graphic.14" ShapeID="_x0000_i1026" DrawAspect="Content" ObjectID="_1470486757" r:id="rId16"/>
        </w:object>
      </w:r>
    </w:p>
    <w:p w:rsidR="00B56CF3" w:rsidRPr="001B6993" w:rsidRDefault="00B56CF3" w:rsidP="00B56CF3">
      <w:pPr>
        <w:rPr>
          <w:lang w:val="en-US"/>
        </w:rPr>
      </w:pPr>
    </w:p>
    <w:p w:rsidR="00B56CF3" w:rsidRPr="001B6993" w:rsidRDefault="00B56CF3" w:rsidP="00B56CF3">
      <w:pPr>
        <w:rPr>
          <w:lang w:val="en-US"/>
        </w:rPr>
      </w:pPr>
    </w:p>
    <w:p w:rsidR="00B56CF3" w:rsidRDefault="00B56CF3" w:rsidP="00B56CF3">
      <w:pPr>
        <w:pStyle w:val="AnnexNoTitle"/>
      </w:pPr>
      <w:r>
        <w:br w:type="page"/>
        <w:t xml:space="preserve">Annexe </w:t>
      </w:r>
      <w:r>
        <w:br/>
      </w:r>
      <w:r>
        <w:br/>
        <w:t>Diagrammes de rayonnement mesurés d'antennes de station terrienne</w:t>
      </w:r>
      <w:r>
        <w:br/>
        <w:t>de recherche spatiale et de radioastronomie</w:t>
      </w:r>
    </w:p>
    <w:p w:rsidR="00B56CF3" w:rsidRDefault="00B56CF3" w:rsidP="00B56CF3">
      <w:pPr>
        <w:pStyle w:val="Heading1"/>
      </w:pPr>
      <w:r>
        <w:t>1</w:t>
      </w:r>
      <w:r>
        <w:tab/>
        <w:t>Antenne de radioastronomie Lovell Mk1A</w:t>
      </w:r>
    </w:p>
    <w:p w:rsidR="00B56CF3" w:rsidRDefault="00B56CF3" w:rsidP="00B56CF3">
      <w:r>
        <w:t>La Figure A.1 ci</w:t>
      </w:r>
      <w:r>
        <w:noBreakHyphen/>
        <w:t>après donne le gain mesuré de l'antenne de radioastronomie Lovel Mk1A à 1 420 MHz. Cette antenne a un seul réflecteur d'ouverture circulaire et un diamètre de 76,2 m. La crête de la réponse mesurée au voisinage de 95° est due à un débordement.</w:t>
      </w:r>
    </w:p>
    <w:p w:rsidR="00B56CF3" w:rsidRPr="00B56CF3" w:rsidRDefault="00B56CF3" w:rsidP="00B56CF3">
      <w:pPr>
        <w:pStyle w:val="FigureNo"/>
        <w:rPr>
          <w:lang w:val="fr-CH"/>
        </w:rPr>
      </w:pPr>
      <w:r w:rsidRPr="00B56CF3">
        <w:rPr>
          <w:lang w:val="fr-CH"/>
        </w:rPr>
        <w:t>FIGURE A.1</w:t>
      </w:r>
    </w:p>
    <w:p w:rsidR="00B56CF3" w:rsidRPr="00587147" w:rsidRDefault="00B56CF3" w:rsidP="00B56CF3">
      <w:pPr>
        <w:pStyle w:val="Figuretitle"/>
        <w:rPr>
          <w:lang w:val="fr-CH"/>
        </w:rPr>
      </w:pPr>
      <w:r>
        <w:t xml:space="preserve">Diagramme des lobes latéraux mesuré à </w:t>
      </w:r>
      <w:r w:rsidRPr="00587147">
        <w:rPr>
          <w:lang w:val="fr-CH"/>
        </w:rPr>
        <w:t>1 420 MHz</w:t>
      </w:r>
    </w:p>
    <w:p w:rsidR="00B56CF3" w:rsidRDefault="009E1099" w:rsidP="00B56CF3">
      <w:pPr>
        <w:pStyle w:val="Figure"/>
      </w:pPr>
      <w:r>
        <w:rPr>
          <w:lang w:val="en-GB"/>
        </w:rPr>
        <w:object w:dxaOrig="3667" w:dyaOrig="2592">
          <v:shape id="_x0000_i1027" type="#_x0000_t75" style="width:361.4pt;height:255pt" o:ole="">
            <v:imagedata r:id="rId17" o:title=""/>
          </v:shape>
          <o:OLEObject Type="Embed" ProgID="CorelDRAW.Graphic.14" ShapeID="_x0000_i1027" DrawAspect="Content" ObjectID="_1470486758" r:id="rId18"/>
        </w:object>
      </w:r>
    </w:p>
    <w:p w:rsidR="00B56CF3" w:rsidRDefault="00B56CF3" w:rsidP="00B56CF3"/>
    <w:p w:rsidR="00B56CF3" w:rsidRDefault="00B56CF3" w:rsidP="00B56CF3">
      <w:pPr>
        <w:pStyle w:val="Reasons"/>
      </w:pPr>
    </w:p>
    <w:p w:rsidR="00A6617B" w:rsidRDefault="00A6617B" w:rsidP="00242AEE">
      <w:pPr>
        <w:pStyle w:val="HeadingSum"/>
      </w:pPr>
    </w:p>
    <w:p w:rsidR="00B56CF3" w:rsidRPr="00B56CF3" w:rsidRDefault="00B56CF3" w:rsidP="00B56CF3">
      <w:pPr>
        <w:jc w:val="center"/>
        <w:rPr>
          <w:lang w:val="es-ES_tradnl"/>
        </w:rPr>
      </w:pPr>
      <w:r>
        <w:rPr>
          <w:lang w:val="es-ES_tradnl"/>
        </w:rPr>
        <w:t>___________________</w:t>
      </w:r>
    </w:p>
    <w:sectPr w:rsidR="00B56CF3" w:rsidRPr="00B56CF3" w:rsidSect="007634F2">
      <w:headerReference w:type="even" r:id="rId19"/>
      <w:headerReference w:type="default" r:id="rId20"/>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A2A72" w:rsidRDefault="00DA2A72">
      <w:r>
        <w:separator/>
      </w:r>
    </w:p>
  </w:endnote>
  <w:endnote w:type="continuationSeparator" w:id="0">
    <w:p w:rsidR="00DA2A72" w:rsidRDefault="00DA2A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A2A72" w:rsidRDefault="00DA2A72">
      <w:r>
        <w:separator/>
      </w:r>
    </w:p>
  </w:footnote>
  <w:footnote w:type="continuationSeparator" w:id="0">
    <w:p w:rsidR="00DA2A72" w:rsidRDefault="00DA2A7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34F2" w:rsidRDefault="007634F2">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34F2" w:rsidRDefault="007634F2" w:rsidP="00C668C8">
    <w:pPr>
      <w:pStyle w:val="Header"/>
      <w:ind w:right="360" w:firstLine="360"/>
    </w:pPr>
    <w:r>
      <w:rPr>
        <w:noProof/>
        <w:lang w:val="en-US"/>
      </w:rPr>
      <w:drawing>
        <wp:anchor distT="0" distB="0" distL="114300" distR="114300" simplePos="0" relativeHeight="251659264" behindDoc="1" locked="0" layoutInCell="1" allowOverlap="1" wp14:anchorId="145D4CC4" wp14:editId="5A56BF16">
          <wp:simplePos x="0" y="0"/>
          <wp:positionH relativeFrom="page">
            <wp:posOffset>0</wp:posOffset>
          </wp:positionH>
          <wp:positionV relativeFrom="page">
            <wp:posOffset>0</wp:posOffset>
          </wp:positionV>
          <wp:extent cx="7592060" cy="10760075"/>
          <wp:effectExtent l="19050" t="0" r="8890" b="0"/>
          <wp:wrapNone/>
          <wp:docPr id="11" name="Picture 1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34F2" w:rsidRPr="00837CB5" w:rsidRDefault="007634F2">
    <w:pPr>
      <w:pStyle w:val="Header"/>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sidR="00707918">
      <w:rPr>
        <w:rStyle w:val="PageNumber"/>
        <w:b/>
        <w:bCs/>
        <w:noProof/>
      </w:rPr>
      <w:t>ii</w:t>
    </w:r>
    <w:r>
      <w:rPr>
        <w:rStyle w:val="PageNumber"/>
        <w:b/>
        <w:bCs/>
      </w:rPr>
      <w:fldChar w:fldCharType="end"/>
    </w:r>
    <w:r w:rsidRPr="00837CB5">
      <w:tab/>
    </w:r>
    <w:fldSimple w:instr=" DOCPROPERTY &quot;Header&quot; \* MERGEFORMAT ">
      <w:r w:rsidR="00CC384E" w:rsidRPr="00CC384E">
        <w:rPr>
          <w:b/>
          <w:bCs/>
        </w:rPr>
        <w:t xml:space="preserve">Rec. </w:t>
      </w:r>
    </w:fldSimple>
    <w:r>
      <w:rPr>
        <w:b/>
        <w:bCs/>
      </w:rPr>
      <w:t xml:space="preserve"> </w:t>
    </w:r>
    <w:r>
      <w:rPr>
        <w:b/>
        <w:bCs/>
      </w:rPr>
      <w:fldChar w:fldCharType="begin"/>
    </w:r>
    <w:r w:rsidRPr="00837CB5">
      <w:rPr>
        <w:b/>
        <w:bCs/>
      </w:rPr>
      <w:instrText>styleref href</w:instrText>
    </w:r>
    <w:r>
      <w:rPr>
        <w:b/>
        <w:bCs/>
      </w:rPr>
      <w:fldChar w:fldCharType="separate"/>
    </w:r>
    <w:r w:rsidR="00707918">
      <w:rPr>
        <w:b/>
        <w:bCs/>
        <w:noProof/>
      </w:rPr>
      <w:t>UIT-R  SA.509-3</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34F2" w:rsidRDefault="007634F2">
    <w:pPr>
      <w:pStyle w:val="Header"/>
    </w:pPr>
    <w:r>
      <w:tab/>
    </w:r>
    <w:fldSimple w:instr=" DOCPROPERTY &quot;Header&quot; \* MERGEFORMAT ">
      <w:r w:rsidR="00CC384E" w:rsidRPr="00CC384E">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CC384E">
      <w:rPr>
        <w:b/>
        <w:bCs/>
        <w:noProof/>
      </w:rPr>
      <w:t>UIT-R  SA.509-3</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D68" w:rsidRDefault="00607D6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707918">
      <w:rPr>
        <w:rStyle w:val="PageNumber"/>
        <w:b/>
        <w:bCs/>
        <w:noProof/>
        <w:lang w:val="en-US"/>
      </w:rPr>
      <w:t>4</w:t>
    </w:r>
    <w:r>
      <w:rPr>
        <w:rStyle w:val="PageNumber"/>
        <w:b/>
        <w:bCs/>
      </w:rPr>
      <w:fldChar w:fldCharType="end"/>
    </w:r>
    <w:r>
      <w:rPr>
        <w:lang w:val="en-US"/>
      </w:rPr>
      <w:tab/>
    </w:r>
    <w:r w:rsidR="009E00A8">
      <w:fldChar w:fldCharType="begin"/>
    </w:r>
    <w:r w:rsidR="009E00A8" w:rsidRPr="009E00A8">
      <w:rPr>
        <w:lang w:val="en-US"/>
      </w:rPr>
      <w:instrText xml:space="preserve"> DOCPROPERTY "Header" \* MERGEFORMAT </w:instrText>
    </w:r>
    <w:r w:rsidR="009E00A8">
      <w:fldChar w:fldCharType="separate"/>
    </w:r>
    <w:r w:rsidR="00CC384E" w:rsidRPr="00CC384E">
      <w:rPr>
        <w:b/>
        <w:bCs/>
        <w:lang w:val="en-US"/>
      </w:rPr>
      <w:t xml:space="preserve">Rec. </w:t>
    </w:r>
    <w:r w:rsidR="009E00A8">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707918">
      <w:rPr>
        <w:b/>
        <w:bCs/>
        <w:noProof/>
      </w:rPr>
      <w:t>UIT-R  SA.509-3</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D68" w:rsidRDefault="00607D68">
    <w:pPr>
      <w:pStyle w:val="Header"/>
    </w:pPr>
    <w:r>
      <w:tab/>
    </w:r>
    <w:fldSimple w:instr=" DOCPROPERTY &quot;Header&quot; \* MERGEFORMAT ">
      <w:r w:rsidR="00CC384E" w:rsidRPr="00CC384E">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707918">
      <w:rPr>
        <w:b/>
        <w:bCs/>
        <w:noProof/>
      </w:rPr>
      <w:t>UIT-R  SA.509-3</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707918">
      <w:rPr>
        <w:rStyle w:val="PageNumber"/>
        <w:b/>
        <w:bCs/>
        <w:noProof/>
      </w:rPr>
      <w:t>3</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4"/>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2A72"/>
    <w:rsid w:val="0010318E"/>
    <w:rsid w:val="00217EBF"/>
    <w:rsid w:val="00242AEE"/>
    <w:rsid w:val="002D76C4"/>
    <w:rsid w:val="0052529D"/>
    <w:rsid w:val="00607D68"/>
    <w:rsid w:val="00707918"/>
    <w:rsid w:val="007468DA"/>
    <w:rsid w:val="007634F2"/>
    <w:rsid w:val="009E00A8"/>
    <w:rsid w:val="009E1099"/>
    <w:rsid w:val="00A6617B"/>
    <w:rsid w:val="00AB0DC8"/>
    <w:rsid w:val="00B44E24"/>
    <w:rsid w:val="00B56CF3"/>
    <w:rsid w:val="00C44ADF"/>
    <w:rsid w:val="00CC384E"/>
    <w:rsid w:val="00DA2A72"/>
    <w:rsid w:val="00DF417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9"/>
    <o:shapelayout v:ext="edit">
      <o:idmap v:ext="edit" data="1"/>
    </o:shapelayout>
  </w:shapeDefaults>
  <w:decimalSymbol w:val="."/>
  <w:listSeparator w:val=","/>
  <w15:docId w15:val="{B1C71702-F13A-4F23-800C-8AED2C1E08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634F2"/>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7634F2"/>
    <w:rPr>
      <w:color w:val="0000FF"/>
      <w:u w:val="single"/>
    </w:rPr>
  </w:style>
  <w:style w:type="paragraph" w:customStyle="1" w:styleId="Reasons">
    <w:name w:val="Reasons"/>
    <w:basedOn w:val="Normal"/>
    <w:qFormat/>
    <w:rsid w:val="00B56CF3"/>
    <w:pPr>
      <w:tabs>
        <w:tab w:val="clear" w:pos="794"/>
        <w:tab w:val="clear" w:pos="1191"/>
        <w:tab w:val="left" w:pos="1134"/>
      </w:tabs>
      <w:jc w:val="lef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2.emf"/><Relationship Id="rId18" Type="http://schemas.openxmlformats.org/officeDocument/2006/relationships/oleObject" Target="embeddings/oleObject3.bin"/><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eader" Target="header1.xml"/><Relationship Id="rId12" Type="http://schemas.openxmlformats.org/officeDocument/2006/relationships/header" Target="header4.xml"/><Relationship Id="rId17" Type="http://schemas.openxmlformats.org/officeDocument/2006/relationships/image" Target="media/image4.emf"/><Relationship Id="rId2" Type="http://schemas.openxmlformats.org/officeDocument/2006/relationships/styles" Target="styles.xml"/><Relationship Id="rId16" Type="http://schemas.openxmlformats.org/officeDocument/2006/relationships/oleObject" Target="embeddings/oleObject2.bin"/><Relationship Id="rId20"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3.emf"/><Relationship Id="rId10" Type="http://schemas.openxmlformats.org/officeDocument/2006/relationships/hyperlink" Target="http://www.itu.int/publ/R-REC/fr" TargetMode="External"/><Relationship Id="rId19" Type="http://schemas.openxmlformats.org/officeDocument/2006/relationships/header" Target="header5.xml"/><Relationship Id="rId4" Type="http://schemas.openxmlformats.org/officeDocument/2006/relationships/webSettings" Target="webSettings.xml"/><Relationship Id="rId9" Type="http://schemas.openxmlformats.org/officeDocument/2006/relationships/hyperlink" Target="http://www.itu.int/ITU-R/go/patents/fr" TargetMode="External"/><Relationship Id="rId14" Type="http://schemas.openxmlformats.org/officeDocument/2006/relationships/oleObject" Target="embeddings/oleObject1.bin"/><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rice\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EA7CF8-43C2-49C6-B779-4660C034CE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218</TotalTime>
  <Pages>6</Pages>
  <Words>1137</Words>
  <Characters>7105</Characters>
  <Application>Microsoft Office Word</Application>
  <DocSecurity>0</DocSecurity>
  <Lines>338</Lines>
  <Paragraphs>152</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8090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Brice, Corinne</dc:creator>
  <cp:keywords/>
  <dc:description/>
  <cp:lastModifiedBy>Brice, Corinne</cp:lastModifiedBy>
  <cp:revision>9</cp:revision>
  <cp:lastPrinted>2005-02-10T15:54:00Z</cp:lastPrinted>
  <dcterms:created xsi:type="dcterms:W3CDTF">2014-08-25T08:30:00Z</dcterms:created>
  <dcterms:modified xsi:type="dcterms:W3CDTF">2014-08-25T13:44:00Z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