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p w:rsidR="00950E51" w:rsidRDefault="00950E51" w:rsidP="00950E51"/>
    <w:tbl>
      <w:tblPr>
        <w:tblW w:w="10089" w:type="dxa"/>
        <w:tblLook w:val="01E0" w:firstRow="1" w:lastRow="1" w:firstColumn="1" w:lastColumn="1" w:noHBand="0" w:noVBand="0"/>
      </w:tblPr>
      <w:tblGrid>
        <w:gridCol w:w="10089"/>
      </w:tblGrid>
      <w:tr w:rsidR="00950E51" w:rsidTr="004345AB">
        <w:tc>
          <w:tcPr>
            <w:tcW w:w="10089" w:type="dxa"/>
          </w:tcPr>
          <w:p w:rsidR="00950E51" w:rsidRPr="001511A6" w:rsidRDefault="00950E51" w:rsidP="004345AB">
            <w:pPr>
              <w:spacing w:before="380" w:line="280" w:lineRule="exact"/>
              <w:jc w:val="right"/>
              <w:rPr>
                <w:rFonts w:ascii="Tahoma" w:hAnsi="Tahoma" w:cs="Tahoma"/>
                <w:b/>
                <w:bCs/>
                <w:iCs/>
                <w:color w:val="243285"/>
                <w:sz w:val="32"/>
                <w:szCs w:val="32"/>
                <w:lang w:val="en-US"/>
              </w:rPr>
            </w:pPr>
          </w:p>
          <w:p w:rsidR="00950E51" w:rsidRPr="0081070A" w:rsidRDefault="00950E51" w:rsidP="00950E51">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w:t>
            </w:r>
            <w:bookmarkStart w:id="0" w:name="_GoBack"/>
            <w:bookmarkEnd w:id="0"/>
            <w:r w:rsidRPr="0081070A">
              <w:rPr>
                <w:rFonts w:ascii="Tahoma" w:hAnsi="Tahoma" w:cs="Tahoma"/>
                <w:b/>
                <w:bCs/>
                <w:iCs/>
                <w:color w:val="243285"/>
                <w:sz w:val="36"/>
                <w:szCs w:val="36"/>
                <w:lang w:val="fr-CH"/>
              </w:rPr>
              <w:t>ommendation  ITU-R  SA.</w:t>
            </w:r>
            <w:r>
              <w:rPr>
                <w:rFonts w:ascii="Tahoma" w:hAnsi="Tahoma" w:cs="Tahoma"/>
                <w:b/>
                <w:bCs/>
                <w:iCs/>
                <w:color w:val="243285"/>
                <w:sz w:val="36"/>
                <w:szCs w:val="36"/>
                <w:lang w:val="fr-CH"/>
              </w:rPr>
              <w:t>364-6</w:t>
            </w:r>
          </w:p>
          <w:p w:rsidR="00950E51" w:rsidRPr="0081070A" w:rsidRDefault="00950E51" w:rsidP="00950E51">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12</w:t>
            </w:r>
            <w:r w:rsidRPr="00FB15D4">
              <w:rPr>
                <w:rFonts w:ascii="Tahoma" w:hAnsi="Tahoma" w:cs="Tahoma"/>
                <w:b/>
                <w:bCs/>
                <w:iCs/>
                <w:color w:val="243285"/>
                <w:szCs w:val="24"/>
                <w:lang w:val="fr-CH"/>
              </w:rPr>
              <w:t>/</w:t>
            </w:r>
            <w:r>
              <w:rPr>
                <w:rFonts w:ascii="Tahoma" w:hAnsi="Tahoma" w:cs="Tahoma"/>
                <w:b/>
                <w:bCs/>
                <w:iCs/>
                <w:color w:val="243285"/>
                <w:szCs w:val="24"/>
                <w:lang w:val="fr-CH"/>
              </w:rPr>
              <w:t>2018</w:t>
            </w:r>
            <w:r w:rsidRPr="0081070A">
              <w:rPr>
                <w:rFonts w:ascii="Tahoma" w:hAnsi="Tahoma" w:cs="Tahoma"/>
                <w:b/>
                <w:bCs/>
                <w:iCs/>
                <w:color w:val="243285"/>
                <w:szCs w:val="24"/>
                <w:lang w:val="fr-CH"/>
              </w:rPr>
              <w:t>)</w:t>
            </w:r>
          </w:p>
        </w:tc>
      </w:tr>
      <w:tr w:rsidR="00950E51" w:rsidRPr="00406AB2" w:rsidTr="004345AB">
        <w:tc>
          <w:tcPr>
            <w:tcW w:w="10089" w:type="dxa"/>
          </w:tcPr>
          <w:p w:rsidR="00950E51" w:rsidRPr="00950E51" w:rsidRDefault="00406AB2" w:rsidP="00406AB2">
            <w:pPr>
              <w:spacing w:before="80" w:line="500" w:lineRule="exact"/>
              <w:jc w:val="right"/>
              <w:rPr>
                <w:rFonts w:ascii="Tahoma" w:hAnsi="Tahoma" w:cs="Tahoma"/>
                <w:b/>
                <w:bCs/>
                <w:iCs/>
                <w:color w:val="243285"/>
                <w:sz w:val="44"/>
                <w:szCs w:val="44"/>
                <w:lang w:val="en-US"/>
              </w:rPr>
            </w:pPr>
            <w:r w:rsidRPr="00406AB2">
              <w:rPr>
                <w:rFonts w:ascii="Tahoma" w:hAnsi="Tahoma" w:cs="Tahoma"/>
                <w:b/>
                <w:bCs/>
                <w:iCs/>
                <w:color w:val="243285"/>
                <w:sz w:val="44"/>
                <w:szCs w:val="44"/>
                <w:lang w:val="en-GB"/>
              </w:rPr>
              <w:t>Preferred frequencies and bandwidths for manned and unmanned near-Earth satellites of the space research service</w:t>
            </w:r>
          </w:p>
          <w:p w:rsidR="00950E51" w:rsidRPr="00950E51" w:rsidRDefault="00950E51" w:rsidP="004345AB">
            <w:pPr>
              <w:spacing w:before="80" w:line="500" w:lineRule="exact"/>
              <w:jc w:val="right"/>
              <w:rPr>
                <w:rFonts w:ascii="Tahoma" w:hAnsi="Tahoma" w:cs="Tahoma"/>
                <w:b/>
                <w:bCs/>
                <w:iCs/>
                <w:color w:val="243285"/>
                <w:sz w:val="40"/>
                <w:szCs w:val="40"/>
                <w:lang w:val="en-US"/>
              </w:rPr>
            </w:pPr>
          </w:p>
        </w:tc>
      </w:tr>
      <w:tr w:rsidR="00950E51" w:rsidRPr="00950E51" w:rsidTr="004345AB">
        <w:tc>
          <w:tcPr>
            <w:tcW w:w="10089" w:type="dxa"/>
          </w:tcPr>
          <w:p w:rsidR="00950E51" w:rsidRPr="00950E51" w:rsidRDefault="00950E51" w:rsidP="004345AB">
            <w:pPr>
              <w:spacing w:before="80" w:line="280" w:lineRule="exact"/>
              <w:ind w:right="640"/>
              <w:rPr>
                <w:rFonts w:ascii="Tahoma" w:hAnsi="Tahoma" w:cs="Tahoma"/>
                <w:b/>
                <w:bCs/>
                <w:iCs/>
                <w:color w:val="243285"/>
                <w:sz w:val="32"/>
                <w:szCs w:val="32"/>
                <w:lang w:val="en-US"/>
              </w:rPr>
            </w:pPr>
          </w:p>
          <w:p w:rsidR="00950E51" w:rsidRPr="00950E51" w:rsidRDefault="00950E51" w:rsidP="004345AB">
            <w:pPr>
              <w:spacing w:before="80" w:line="280" w:lineRule="exact"/>
              <w:ind w:right="640"/>
              <w:rPr>
                <w:rFonts w:ascii="Tahoma" w:hAnsi="Tahoma" w:cs="Tahoma"/>
                <w:b/>
                <w:bCs/>
                <w:iCs/>
                <w:color w:val="243285"/>
                <w:sz w:val="32"/>
                <w:szCs w:val="32"/>
                <w:lang w:val="en-US"/>
              </w:rPr>
            </w:pPr>
          </w:p>
          <w:p w:rsidR="00950E51" w:rsidRPr="00950E51" w:rsidRDefault="00950E51" w:rsidP="004345AB">
            <w:pPr>
              <w:spacing w:before="80" w:after="180" w:line="360" w:lineRule="exact"/>
              <w:ind w:right="720"/>
              <w:rPr>
                <w:rFonts w:ascii="Tahoma" w:hAnsi="Tahoma" w:cs="Tahoma"/>
                <w:b/>
                <w:bCs/>
                <w:iCs/>
                <w:color w:val="243285"/>
                <w:sz w:val="36"/>
                <w:szCs w:val="36"/>
                <w:lang w:val="en-US"/>
              </w:rPr>
            </w:pPr>
          </w:p>
          <w:p w:rsidR="00950E51" w:rsidRPr="001511A6" w:rsidRDefault="00950E51" w:rsidP="004345A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950E51" w:rsidRPr="001511A6" w:rsidRDefault="00950E51" w:rsidP="004345AB">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950E51" w:rsidRPr="001511A6" w:rsidRDefault="00950E51" w:rsidP="004345AB">
            <w:pPr>
              <w:spacing w:before="80" w:line="360" w:lineRule="exact"/>
              <w:jc w:val="right"/>
              <w:rPr>
                <w:rFonts w:ascii="Tahoma" w:hAnsi="Tahoma" w:cs="Tahoma"/>
                <w:b/>
                <w:bCs/>
                <w:iCs/>
                <w:color w:val="243285"/>
                <w:sz w:val="32"/>
                <w:szCs w:val="32"/>
                <w:lang w:val="en-US"/>
              </w:rPr>
            </w:pPr>
          </w:p>
        </w:tc>
      </w:tr>
    </w:tbl>
    <w:p w:rsidR="00950E51" w:rsidRDefault="00950E51" w:rsidP="00950E51">
      <w:pPr>
        <w:spacing w:before="80"/>
        <w:rPr>
          <w:i/>
          <w:sz w:val="22"/>
          <w:lang w:val="en-US"/>
        </w:rPr>
      </w:pPr>
    </w:p>
    <w:p w:rsidR="00950E51" w:rsidRDefault="00950E51" w:rsidP="00950E51">
      <w:pPr>
        <w:spacing w:before="80"/>
        <w:rPr>
          <w:i/>
          <w:sz w:val="22"/>
          <w:lang w:val="en-US"/>
        </w:rPr>
      </w:pPr>
    </w:p>
    <w:p w:rsidR="00950E51" w:rsidRDefault="00950E51" w:rsidP="00950E51">
      <w:pPr>
        <w:spacing w:before="80"/>
        <w:rPr>
          <w:i/>
          <w:sz w:val="22"/>
          <w:lang w:val="en-US"/>
        </w:rPr>
      </w:pPr>
    </w:p>
    <w:p w:rsidR="00950E51" w:rsidRDefault="00950E51" w:rsidP="00950E51">
      <w:pPr>
        <w:spacing w:before="80"/>
        <w:rPr>
          <w:i/>
          <w:sz w:val="22"/>
          <w:lang w:val="en-US"/>
        </w:rPr>
      </w:pPr>
    </w:p>
    <w:p w:rsidR="00950E51" w:rsidRDefault="00950E51" w:rsidP="00950E51">
      <w:pPr>
        <w:spacing w:before="80"/>
        <w:rPr>
          <w:i/>
          <w:sz w:val="22"/>
          <w:lang w:val="en-US"/>
        </w:rPr>
      </w:pPr>
    </w:p>
    <w:p w:rsidR="00950E51" w:rsidRDefault="00950E51" w:rsidP="00950E51">
      <w:pPr>
        <w:spacing w:before="80"/>
        <w:rPr>
          <w:i/>
          <w:sz w:val="22"/>
          <w:lang w:val="en-US"/>
        </w:rPr>
      </w:pPr>
    </w:p>
    <w:p w:rsidR="00950E51" w:rsidRDefault="00950E51" w:rsidP="00950E51">
      <w:pPr>
        <w:pStyle w:val="Equation"/>
        <w:tabs>
          <w:tab w:val="clear" w:pos="4820"/>
          <w:tab w:val="clear" w:pos="9639"/>
          <w:tab w:val="left" w:pos="1191"/>
          <w:tab w:val="left" w:pos="1588"/>
          <w:tab w:val="left" w:pos="1985"/>
        </w:tabs>
        <w:rPr>
          <w:rFonts w:ascii="Palatino Linotype" w:hAnsi="Palatino Linotype"/>
          <w:lang w:val="en-US"/>
        </w:rPr>
        <w:sectPr w:rsidR="00950E51">
          <w:headerReference w:type="even" r:id="rId6"/>
          <w:headerReference w:type="default" r:id="rId7"/>
          <w:pgSz w:w="11907" w:h="16840" w:code="9"/>
          <w:pgMar w:top="1089" w:right="1089" w:bottom="284" w:left="1089" w:header="567" w:footer="284" w:gutter="0"/>
          <w:pgNumType w:start="1"/>
          <w:cols w:space="720"/>
        </w:sectPr>
      </w:pPr>
    </w:p>
    <w:p w:rsidR="00950E51" w:rsidRPr="00586EF8" w:rsidRDefault="00950E51" w:rsidP="00950E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50E51" w:rsidRDefault="00950E51" w:rsidP="00950E5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50E51" w:rsidRDefault="00950E51" w:rsidP="00950E5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50E51" w:rsidRPr="00B714F3" w:rsidRDefault="00950E51" w:rsidP="00950E51">
      <w:pPr>
        <w:pStyle w:val="Heading1"/>
        <w:spacing w:before="680"/>
        <w:jc w:val="center"/>
        <w:rPr>
          <w:szCs w:val="24"/>
          <w:lang w:val="en-US"/>
        </w:rPr>
      </w:pPr>
      <w:r w:rsidRPr="00B714F3">
        <w:rPr>
          <w:szCs w:val="24"/>
          <w:lang w:val="en-US"/>
        </w:rPr>
        <w:t>Policy on Intellectual Property Right (IPR)</w:t>
      </w:r>
    </w:p>
    <w:p w:rsidR="00950E51" w:rsidRPr="00B714F3" w:rsidRDefault="00950E51" w:rsidP="00950E5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50E51" w:rsidRDefault="00950E51" w:rsidP="00950E51">
      <w:pPr>
        <w:jc w:val="center"/>
        <w:rPr>
          <w:sz w:val="22"/>
          <w:lang w:val="en-US"/>
        </w:rPr>
      </w:pPr>
    </w:p>
    <w:p w:rsidR="00950E51" w:rsidRDefault="00950E51" w:rsidP="00950E5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50E51" w:rsidRPr="00406AB2" w:rsidTr="004345AB">
        <w:tc>
          <w:tcPr>
            <w:tcW w:w="9360" w:type="dxa"/>
            <w:gridSpan w:val="2"/>
          </w:tcPr>
          <w:p w:rsidR="00950E51" w:rsidRPr="00036EE3" w:rsidRDefault="00950E51" w:rsidP="004345A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50E51" w:rsidRPr="00036EE3"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950E51" w:rsidRPr="00036EE3" w:rsidTr="004345AB">
        <w:tc>
          <w:tcPr>
            <w:tcW w:w="1140" w:type="dxa"/>
            <w:tcBorders>
              <w:bottom w:val="nil"/>
            </w:tcBorders>
          </w:tcPr>
          <w:p w:rsidR="00950E51" w:rsidRPr="00036EE3" w:rsidRDefault="00950E51" w:rsidP="004345AB">
            <w:pPr>
              <w:spacing w:before="200" w:after="100"/>
              <w:ind w:left="57"/>
              <w:rPr>
                <w:b/>
                <w:bCs/>
                <w:sz w:val="20"/>
                <w:lang w:val="en-US"/>
              </w:rPr>
            </w:pPr>
            <w:r w:rsidRPr="00036EE3">
              <w:rPr>
                <w:b/>
                <w:bCs/>
                <w:sz w:val="20"/>
                <w:lang w:val="en-US"/>
              </w:rPr>
              <w:t>Series</w:t>
            </w:r>
          </w:p>
        </w:tc>
        <w:tc>
          <w:tcPr>
            <w:tcW w:w="8220" w:type="dxa"/>
            <w:tcBorders>
              <w:bottom w:val="nil"/>
            </w:tcBorders>
          </w:tcPr>
          <w:p w:rsidR="00950E51" w:rsidRPr="00036EE3"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50E51" w:rsidRPr="00A4173A" w:rsidTr="004345AB">
        <w:tc>
          <w:tcPr>
            <w:tcW w:w="1140" w:type="dxa"/>
            <w:tcBorders>
              <w:top w:val="nil"/>
              <w:bottom w:val="nil"/>
            </w:tcBorders>
            <w:shd w:val="clear" w:color="auto" w:fill="auto"/>
          </w:tcPr>
          <w:p w:rsidR="00950E51" w:rsidRPr="00A4173A" w:rsidRDefault="00950E51" w:rsidP="004345A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950E51" w:rsidRPr="00A4173A"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950E51" w:rsidRPr="00406AB2" w:rsidTr="004345AB">
        <w:tc>
          <w:tcPr>
            <w:tcW w:w="1140" w:type="dxa"/>
            <w:tcBorders>
              <w:top w:val="nil"/>
            </w:tcBorders>
          </w:tcPr>
          <w:p w:rsidR="00950E51" w:rsidRPr="00036EE3" w:rsidRDefault="00950E51" w:rsidP="004345AB">
            <w:pPr>
              <w:spacing w:before="30" w:after="30"/>
              <w:ind w:left="57"/>
              <w:jc w:val="left"/>
              <w:rPr>
                <w:b/>
                <w:bCs/>
                <w:sz w:val="20"/>
                <w:lang w:val="en-US"/>
              </w:rPr>
            </w:pPr>
            <w:r w:rsidRPr="00036EE3">
              <w:rPr>
                <w:b/>
                <w:bCs/>
                <w:sz w:val="20"/>
                <w:lang w:val="en-US"/>
              </w:rPr>
              <w:t>BR</w:t>
            </w:r>
          </w:p>
        </w:tc>
        <w:tc>
          <w:tcPr>
            <w:tcW w:w="8220" w:type="dxa"/>
            <w:tcBorders>
              <w:top w:val="nil"/>
            </w:tcBorders>
          </w:tcPr>
          <w:p w:rsidR="00950E51" w:rsidRPr="00036EE3"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50E51" w:rsidRPr="00036EE3" w:rsidTr="004345AB">
        <w:tc>
          <w:tcPr>
            <w:tcW w:w="1140" w:type="dxa"/>
          </w:tcPr>
          <w:p w:rsidR="00950E51" w:rsidRPr="00036EE3" w:rsidRDefault="00950E51" w:rsidP="004345AB">
            <w:pPr>
              <w:spacing w:before="30" w:after="30"/>
              <w:ind w:left="57"/>
              <w:jc w:val="left"/>
              <w:rPr>
                <w:b/>
                <w:bCs/>
                <w:sz w:val="20"/>
                <w:lang w:val="en-US"/>
              </w:rPr>
            </w:pPr>
            <w:r w:rsidRPr="00036EE3">
              <w:rPr>
                <w:b/>
                <w:bCs/>
                <w:sz w:val="20"/>
                <w:lang w:val="en-US"/>
              </w:rPr>
              <w:t>BS</w:t>
            </w:r>
          </w:p>
        </w:tc>
        <w:tc>
          <w:tcPr>
            <w:tcW w:w="8220" w:type="dxa"/>
          </w:tcPr>
          <w:p w:rsidR="00950E51" w:rsidRPr="00036EE3"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50E51" w:rsidRPr="00ED2695" w:rsidTr="004345AB">
        <w:tc>
          <w:tcPr>
            <w:tcW w:w="1140" w:type="dxa"/>
            <w:shd w:val="clear" w:color="auto" w:fill="auto"/>
          </w:tcPr>
          <w:p w:rsidR="00950E51" w:rsidRPr="00ED2695" w:rsidRDefault="00950E51" w:rsidP="004345AB">
            <w:pPr>
              <w:spacing w:before="30" w:after="30"/>
              <w:ind w:left="57"/>
              <w:jc w:val="left"/>
              <w:rPr>
                <w:b/>
                <w:bCs/>
                <w:sz w:val="20"/>
                <w:lang w:val="en-US"/>
              </w:rPr>
            </w:pPr>
            <w:r w:rsidRPr="00ED2695">
              <w:rPr>
                <w:b/>
                <w:bCs/>
                <w:sz w:val="20"/>
                <w:lang w:val="en-US"/>
              </w:rPr>
              <w:t>BT</w:t>
            </w:r>
          </w:p>
        </w:tc>
        <w:tc>
          <w:tcPr>
            <w:tcW w:w="8220" w:type="dxa"/>
            <w:shd w:val="clear" w:color="auto" w:fill="auto"/>
          </w:tcPr>
          <w:p w:rsidR="00950E51" w:rsidRPr="00ED2695"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50E51" w:rsidRPr="00036EE3" w:rsidTr="004345AB">
        <w:tc>
          <w:tcPr>
            <w:tcW w:w="1140" w:type="dxa"/>
            <w:shd w:val="clear" w:color="auto" w:fill="auto"/>
          </w:tcPr>
          <w:p w:rsidR="00950E51" w:rsidRPr="00036EE3" w:rsidRDefault="00950E51" w:rsidP="004345AB">
            <w:pPr>
              <w:spacing w:before="30" w:after="30"/>
              <w:ind w:left="57"/>
              <w:jc w:val="left"/>
              <w:rPr>
                <w:b/>
                <w:bCs/>
                <w:sz w:val="20"/>
                <w:lang w:val="fr-CH"/>
              </w:rPr>
            </w:pPr>
            <w:r w:rsidRPr="00036EE3">
              <w:rPr>
                <w:b/>
                <w:bCs/>
                <w:sz w:val="20"/>
                <w:lang w:val="fr-CH"/>
              </w:rPr>
              <w:t>F</w:t>
            </w:r>
          </w:p>
        </w:tc>
        <w:tc>
          <w:tcPr>
            <w:tcW w:w="8220" w:type="dxa"/>
            <w:shd w:val="clear" w:color="auto" w:fill="auto"/>
          </w:tcPr>
          <w:p w:rsidR="00950E51" w:rsidRPr="00036EE3" w:rsidRDefault="00950E51" w:rsidP="00434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50E51" w:rsidRPr="00036EE3" w:rsidTr="004345AB">
        <w:tc>
          <w:tcPr>
            <w:tcW w:w="1140" w:type="dxa"/>
            <w:shd w:val="clear" w:color="auto" w:fill="auto"/>
          </w:tcPr>
          <w:p w:rsidR="00950E51" w:rsidRPr="00906589" w:rsidRDefault="00950E51" w:rsidP="004345AB">
            <w:pPr>
              <w:spacing w:before="30" w:after="30"/>
              <w:ind w:left="57"/>
              <w:jc w:val="left"/>
              <w:rPr>
                <w:b/>
                <w:bCs/>
                <w:sz w:val="20"/>
                <w:lang w:val="en-US"/>
              </w:rPr>
            </w:pPr>
            <w:r w:rsidRPr="00906589">
              <w:rPr>
                <w:b/>
                <w:bCs/>
                <w:sz w:val="20"/>
                <w:lang w:val="en-US"/>
              </w:rPr>
              <w:t>M</w:t>
            </w:r>
          </w:p>
        </w:tc>
        <w:tc>
          <w:tcPr>
            <w:tcW w:w="8220" w:type="dxa"/>
            <w:shd w:val="clear" w:color="auto" w:fill="auto"/>
          </w:tcPr>
          <w:p w:rsidR="00950E51" w:rsidRPr="00906589" w:rsidRDefault="00950E51" w:rsidP="00434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50E51" w:rsidRPr="00036EE3" w:rsidTr="004345AB">
        <w:tc>
          <w:tcPr>
            <w:tcW w:w="1140" w:type="dxa"/>
          </w:tcPr>
          <w:p w:rsidR="00950E51" w:rsidRPr="00036EE3" w:rsidRDefault="00950E51" w:rsidP="004345AB">
            <w:pPr>
              <w:spacing w:before="30" w:after="30"/>
              <w:ind w:left="57"/>
              <w:jc w:val="left"/>
              <w:rPr>
                <w:b/>
                <w:bCs/>
                <w:sz w:val="20"/>
                <w:lang w:val="fr-CH"/>
              </w:rPr>
            </w:pPr>
            <w:r w:rsidRPr="00036EE3">
              <w:rPr>
                <w:b/>
                <w:bCs/>
                <w:sz w:val="20"/>
                <w:lang w:val="fr-CH"/>
              </w:rPr>
              <w:t>P</w:t>
            </w:r>
          </w:p>
        </w:tc>
        <w:tc>
          <w:tcPr>
            <w:tcW w:w="8220" w:type="dxa"/>
          </w:tcPr>
          <w:p w:rsidR="00950E51" w:rsidRPr="00036EE3" w:rsidRDefault="00950E51" w:rsidP="004345AB">
            <w:pPr>
              <w:spacing w:before="30" w:after="30"/>
              <w:jc w:val="left"/>
              <w:rPr>
                <w:sz w:val="20"/>
                <w:lang w:val="fr-CH"/>
              </w:rPr>
            </w:pPr>
            <w:r w:rsidRPr="00036EE3">
              <w:rPr>
                <w:sz w:val="20"/>
                <w:lang w:val="fr-CH"/>
              </w:rPr>
              <w:t>Radiowave propagation</w:t>
            </w:r>
          </w:p>
        </w:tc>
      </w:tr>
      <w:tr w:rsidR="00950E51" w:rsidRPr="00036EE3" w:rsidTr="004345AB">
        <w:tc>
          <w:tcPr>
            <w:tcW w:w="1140" w:type="dxa"/>
          </w:tcPr>
          <w:p w:rsidR="00950E51" w:rsidRPr="00036EE3" w:rsidRDefault="00950E51" w:rsidP="004345AB">
            <w:pPr>
              <w:spacing w:before="30" w:after="30"/>
              <w:ind w:left="57"/>
              <w:jc w:val="left"/>
              <w:rPr>
                <w:b/>
                <w:bCs/>
                <w:sz w:val="20"/>
                <w:lang w:val="en-US"/>
              </w:rPr>
            </w:pPr>
            <w:r w:rsidRPr="00036EE3">
              <w:rPr>
                <w:b/>
                <w:bCs/>
                <w:sz w:val="20"/>
                <w:lang w:val="en-US"/>
              </w:rPr>
              <w:t>RA</w:t>
            </w:r>
          </w:p>
        </w:tc>
        <w:tc>
          <w:tcPr>
            <w:tcW w:w="8220" w:type="dxa"/>
          </w:tcPr>
          <w:p w:rsidR="00950E51" w:rsidRPr="00036EE3" w:rsidRDefault="00950E51" w:rsidP="00434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50E51" w:rsidRPr="00036EE3" w:rsidTr="004345AB">
        <w:tc>
          <w:tcPr>
            <w:tcW w:w="1140" w:type="dxa"/>
          </w:tcPr>
          <w:p w:rsidR="00950E51" w:rsidRPr="00036EE3" w:rsidRDefault="00950E51" w:rsidP="004345AB">
            <w:pPr>
              <w:spacing w:before="30" w:after="30"/>
              <w:ind w:left="57"/>
              <w:jc w:val="left"/>
              <w:rPr>
                <w:b/>
                <w:bCs/>
                <w:sz w:val="20"/>
                <w:lang w:val="en-US"/>
              </w:rPr>
            </w:pPr>
            <w:r w:rsidRPr="00036EE3">
              <w:rPr>
                <w:b/>
                <w:bCs/>
                <w:sz w:val="20"/>
                <w:lang w:val="en-US"/>
              </w:rPr>
              <w:t>RS</w:t>
            </w:r>
          </w:p>
        </w:tc>
        <w:tc>
          <w:tcPr>
            <w:tcW w:w="8220" w:type="dxa"/>
          </w:tcPr>
          <w:p w:rsidR="00950E51" w:rsidRPr="00036EE3" w:rsidRDefault="00950E51" w:rsidP="00434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50E51" w:rsidRPr="00036EE3" w:rsidTr="004345AB">
        <w:tc>
          <w:tcPr>
            <w:tcW w:w="1140" w:type="dxa"/>
            <w:tcBorders>
              <w:bottom w:val="nil"/>
            </w:tcBorders>
          </w:tcPr>
          <w:p w:rsidR="00950E51" w:rsidRPr="00036EE3" w:rsidRDefault="00950E51" w:rsidP="004345AB">
            <w:pPr>
              <w:spacing w:before="30" w:after="30"/>
              <w:ind w:left="57"/>
              <w:jc w:val="left"/>
              <w:rPr>
                <w:b/>
                <w:bCs/>
                <w:sz w:val="20"/>
                <w:lang w:val="en-US"/>
              </w:rPr>
            </w:pPr>
            <w:r w:rsidRPr="00036EE3">
              <w:rPr>
                <w:b/>
                <w:bCs/>
                <w:sz w:val="20"/>
                <w:lang w:val="en-US"/>
              </w:rPr>
              <w:t>S</w:t>
            </w:r>
          </w:p>
        </w:tc>
        <w:tc>
          <w:tcPr>
            <w:tcW w:w="8220" w:type="dxa"/>
            <w:tcBorders>
              <w:bottom w:val="nil"/>
            </w:tcBorders>
          </w:tcPr>
          <w:p w:rsidR="00950E51" w:rsidRPr="00036EE3" w:rsidRDefault="00950E51" w:rsidP="004345AB">
            <w:pPr>
              <w:spacing w:before="30" w:after="30"/>
              <w:jc w:val="left"/>
              <w:rPr>
                <w:sz w:val="20"/>
                <w:lang w:val="en-US"/>
              </w:rPr>
            </w:pPr>
            <w:r w:rsidRPr="00036EE3">
              <w:rPr>
                <w:sz w:val="20"/>
                <w:lang w:val="en-US"/>
              </w:rPr>
              <w:t>Fixed-satellite service</w:t>
            </w:r>
          </w:p>
        </w:tc>
      </w:tr>
      <w:tr w:rsidR="00950E51" w:rsidRPr="00A4173A" w:rsidTr="004345AB">
        <w:tc>
          <w:tcPr>
            <w:tcW w:w="1140" w:type="dxa"/>
            <w:tcBorders>
              <w:top w:val="nil"/>
              <w:bottom w:val="nil"/>
            </w:tcBorders>
            <w:shd w:val="clear" w:color="auto" w:fill="F3F3F3"/>
          </w:tcPr>
          <w:p w:rsidR="00950E51" w:rsidRPr="00A4173A" w:rsidRDefault="00950E51" w:rsidP="004345A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950E51" w:rsidRPr="00A4173A" w:rsidRDefault="00950E51" w:rsidP="004345AB">
            <w:pPr>
              <w:spacing w:before="30" w:after="30"/>
              <w:jc w:val="left"/>
              <w:rPr>
                <w:b/>
                <w:bCs/>
                <w:color w:val="000080"/>
                <w:sz w:val="20"/>
                <w:lang w:val="en-US"/>
              </w:rPr>
            </w:pPr>
            <w:r w:rsidRPr="00A4173A">
              <w:rPr>
                <w:b/>
                <w:bCs/>
                <w:color w:val="000080"/>
                <w:sz w:val="20"/>
                <w:lang w:val="en-US"/>
              </w:rPr>
              <w:t>Space applications and meteorology</w:t>
            </w:r>
          </w:p>
        </w:tc>
      </w:tr>
      <w:tr w:rsidR="00950E51" w:rsidRPr="00406AB2" w:rsidTr="004345AB">
        <w:tc>
          <w:tcPr>
            <w:tcW w:w="1140" w:type="dxa"/>
            <w:tcBorders>
              <w:top w:val="nil"/>
              <w:bottom w:val="nil"/>
            </w:tcBorders>
          </w:tcPr>
          <w:p w:rsidR="00950E51" w:rsidRPr="00036EE3" w:rsidRDefault="00950E51" w:rsidP="004345A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950E51" w:rsidRPr="00036EE3" w:rsidRDefault="00950E51" w:rsidP="004345AB">
            <w:pPr>
              <w:spacing w:before="30" w:after="30"/>
              <w:jc w:val="left"/>
              <w:rPr>
                <w:sz w:val="20"/>
                <w:lang w:val="en-US"/>
              </w:rPr>
            </w:pPr>
            <w:r w:rsidRPr="00036EE3">
              <w:rPr>
                <w:sz w:val="20"/>
                <w:lang w:val="en-US"/>
              </w:rPr>
              <w:t>Frequency sharing and coordination between fixed-satellite and fixed service systems</w:t>
            </w:r>
          </w:p>
        </w:tc>
      </w:tr>
      <w:tr w:rsidR="00950E51" w:rsidRPr="00036EE3" w:rsidTr="004345AB">
        <w:tc>
          <w:tcPr>
            <w:tcW w:w="1140" w:type="dxa"/>
            <w:tcBorders>
              <w:top w:val="nil"/>
              <w:bottom w:val="nil"/>
            </w:tcBorders>
            <w:shd w:val="clear" w:color="auto" w:fill="auto"/>
          </w:tcPr>
          <w:p w:rsidR="00950E51" w:rsidRPr="001B164E" w:rsidRDefault="00950E51" w:rsidP="004345A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950E51" w:rsidRPr="001B164E" w:rsidRDefault="00950E51" w:rsidP="004345AB">
            <w:pPr>
              <w:spacing w:before="30" w:after="30"/>
              <w:jc w:val="left"/>
              <w:rPr>
                <w:rFonts w:hAnsi="Times New Roman Bold"/>
                <w:sz w:val="20"/>
                <w:lang w:val="en-US"/>
              </w:rPr>
            </w:pPr>
            <w:r w:rsidRPr="001B164E">
              <w:rPr>
                <w:rFonts w:hAnsi="Times New Roman Bold"/>
                <w:sz w:val="20"/>
                <w:lang w:val="en-US"/>
              </w:rPr>
              <w:t>Spectrum management</w:t>
            </w:r>
          </w:p>
        </w:tc>
      </w:tr>
      <w:tr w:rsidR="00950E51" w:rsidRPr="00036EE3" w:rsidTr="004345AB">
        <w:tc>
          <w:tcPr>
            <w:tcW w:w="1140" w:type="dxa"/>
            <w:tcBorders>
              <w:top w:val="nil"/>
            </w:tcBorders>
          </w:tcPr>
          <w:p w:rsidR="00950E51" w:rsidRPr="00036EE3" w:rsidRDefault="00950E51" w:rsidP="004345AB">
            <w:pPr>
              <w:spacing w:before="30" w:after="30"/>
              <w:ind w:left="57"/>
              <w:jc w:val="left"/>
              <w:rPr>
                <w:b/>
                <w:bCs/>
                <w:sz w:val="20"/>
                <w:lang w:val="en-US"/>
              </w:rPr>
            </w:pPr>
            <w:r w:rsidRPr="00036EE3">
              <w:rPr>
                <w:b/>
                <w:bCs/>
                <w:sz w:val="20"/>
                <w:lang w:val="en-US"/>
              </w:rPr>
              <w:t>SNG</w:t>
            </w:r>
          </w:p>
        </w:tc>
        <w:tc>
          <w:tcPr>
            <w:tcW w:w="8220" w:type="dxa"/>
            <w:tcBorders>
              <w:top w:val="nil"/>
            </w:tcBorders>
          </w:tcPr>
          <w:p w:rsidR="00950E51" w:rsidRPr="00036EE3" w:rsidRDefault="00950E51" w:rsidP="004345AB">
            <w:pPr>
              <w:spacing w:before="30" w:after="30"/>
              <w:jc w:val="left"/>
              <w:rPr>
                <w:sz w:val="20"/>
                <w:lang w:val="en-US"/>
              </w:rPr>
            </w:pPr>
            <w:r w:rsidRPr="00036EE3">
              <w:rPr>
                <w:sz w:val="20"/>
                <w:lang w:val="en-US"/>
              </w:rPr>
              <w:t>Satellite news gathering</w:t>
            </w:r>
          </w:p>
        </w:tc>
      </w:tr>
      <w:tr w:rsidR="00950E51" w:rsidRPr="00406AB2" w:rsidTr="004345AB">
        <w:tc>
          <w:tcPr>
            <w:tcW w:w="1140" w:type="dxa"/>
          </w:tcPr>
          <w:p w:rsidR="00950E51" w:rsidRPr="00036EE3" w:rsidRDefault="00950E51" w:rsidP="004345AB">
            <w:pPr>
              <w:spacing w:before="30" w:after="30"/>
              <w:ind w:left="57"/>
              <w:jc w:val="left"/>
              <w:rPr>
                <w:b/>
                <w:bCs/>
                <w:sz w:val="20"/>
                <w:lang w:val="en-US"/>
              </w:rPr>
            </w:pPr>
            <w:r w:rsidRPr="00036EE3">
              <w:rPr>
                <w:b/>
                <w:bCs/>
                <w:sz w:val="20"/>
                <w:lang w:val="en-US"/>
              </w:rPr>
              <w:t>TF</w:t>
            </w:r>
          </w:p>
        </w:tc>
        <w:tc>
          <w:tcPr>
            <w:tcW w:w="8220" w:type="dxa"/>
          </w:tcPr>
          <w:p w:rsidR="00950E51" w:rsidRPr="00036EE3" w:rsidRDefault="00950E51" w:rsidP="004345AB">
            <w:pPr>
              <w:spacing w:before="30" w:after="30"/>
              <w:jc w:val="left"/>
              <w:rPr>
                <w:sz w:val="20"/>
                <w:lang w:val="en-US"/>
              </w:rPr>
            </w:pPr>
            <w:r w:rsidRPr="00036EE3">
              <w:rPr>
                <w:sz w:val="20"/>
                <w:lang w:val="en-US"/>
              </w:rPr>
              <w:t>Time signals and frequency standards emissions</w:t>
            </w:r>
          </w:p>
        </w:tc>
      </w:tr>
      <w:tr w:rsidR="00950E51" w:rsidRPr="00036EE3" w:rsidTr="004345AB">
        <w:tc>
          <w:tcPr>
            <w:tcW w:w="1140" w:type="dxa"/>
          </w:tcPr>
          <w:p w:rsidR="00950E51" w:rsidRPr="00036EE3" w:rsidRDefault="00950E51" w:rsidP="004345AB">
            <w:pPr>
              <w:spacing w:before="30" w:after="30"/>
              <w:ind w:left="57"/>
              <w:jc w:val="left"/>
              <w:rPr>
                <w:b/>
                <w:bCs/>
                <w:sz w:val="20"/>
                <w:lang w:val="en-US"/>
              </w:rPr>
            </w:pPr>
            <w:r w:rsidRPr="00036EE3">
              <w:rPr>
                <w:b/>
                <w:bCs/>
                <w:sz w:val="20"/>
                <w:lang w:val="en-US"/>
              </w:rPr>
              <w:t>V</w:t>
            </w:r>
          </w:p>
        </w:tc>
        <w:tc>
          <w:tcPr>
            <w:tcW w:w="8220" w:type="dxa"/>
          </w:tcPr>
          <w:p w:rsidR="00950E51" w:rsidRPr="00036EE3" w:rsidRDefault="00950E51" w:rsidP="004345AB">
            <w:pPr>
              <w:spacing w:before="30" w:after="180"/>
              <w:jc w:val="left"/>
              <w:rPr>
                <w:sz w:val="20"/>
                <w:lang w:val="en-US"/>
              </w:rPr>
            </w:pPr>
            <w:r w:rsidRPr="00036EE3">
              <w:rPr>
                <w:sz w:val="20"/>
                <w:lang w:val="en-US"/>
              </w:rPr>
              <w:t>Vocabulary and related subjects</w:t>
            </w:r>
          </w:p>
        </w:tc>
      </w:tr>
    </w:tbl>
    <w:p w:rsidR="00950E51" w:rsidRPr="00036EE3" w:rsidRDefault="00950E51" w:rsidP="00950E5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50E51" w:rsidTr="004345AB">
        <w:tc>
          <w:tcPr>
            <w:tcW w:w="720" w:type="dxa"/>
          </w:tcPr>
          <w:p w:rsidR="00950E51" w:rsidRDefault="00950E51" w:rsidP="004345AB">
            <w:pPr>
              <w:jc w:val="center"/>
              <w:rPr>
                <w:sz w:val="22"/>
                <w:lang w:val="en-US"/>
              </w:rPr>
            </w:pPr>
          </w:p>
        </w:tc>
      </w:tr>
    </w:tbl>
    <w:p w:rsidR="00950E51" w:rsidRPr="00036EE3" w:rsidRDefault="00950E51" w:rsidP="00950E5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50E51" w:rsidRPr="00406AB2" w:rsidTr="004345AB">
        <w:tc>
          <w:tcPr>
            <w:tcW w:w="9360" w:type="dxa"/>
          </w:tcPr>
          <w:p w:rsidR="00950E51" w:rsidRPr="002F5199" w:rsidRDefault="00950E51" w:rsidP="004345A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50E51" w:rsidRDefault="00950E51" w:rsidP="00950E51">
      <w:pPr>
        <w:spacing w:before="0"/>
        <w:jc w:val="center"/>
        <w:rPr>
          <w:sz w:val="22"/>
          <w:lang w:val="en-US"/>
        </w:rPr>
      </w:pPr>
    </w:p>
    <w:p w:rsidR="00950E51" w:rsidRDefault="00950E51" w:rsidP="00950E51">
      <w:pPr>
        <w:spacing w:before="0"/>
        <w:jc w:val="center"/>
        <w:rPr>
          <w:sz w:val="22"/>
          <w:lang w:val="en-US"/>
        </w:rPr>
      </w:pPr>
    </w:p>
    <w:p w:rsidR="00950E51" w:rsidRPr="002F5199" w:rsidRDefault="00950E51" w:rsidP="00950E51">
      <w:pPr>
        <w:spacing w:before="0"/>
        <w:jc w:val="right"/>
        <w:rPr>
          <w:i/>
          <w:iCs/>
          <w:sz w:val="20"/>
          <w:lang w:val="en-US"/>
        </w:rPr>
      </w:pPr>
      <w:r w:rsidRPr="002F5199">
        <w:rPr>
          <w:i/>
          <w:iCs/>
          <w:sz w:val="20"/>
          <w:lang w:val="en-US"/>
        </w:rPr>
        <w:t>Electronic Publication</w:t>
      </w:r>
    </w:p>
    <w:p w:rsidR="00950E51" w:rsidRPr="002F5199" w:rsidRDefault="00950E51" w:rsidP="00950E5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985B57">
        <w:rPr>
          <w:sz w:val="20"/>
          <w:lang w:val="en-US"/>
        </w:rPr>
        <w:t>8</w:t>
      </w:r>
    </w:p>
    <w:p w:rsidR="00950E51" w:rsidRDefault="00950E51" w:rsidP="00950E51">
      <w:pPr>
        <w:jc w:val="center"/>
        <w:rPr>
          <w:sz w:val="22"/>
          <w:lang w:val="en-US"/>
        </w:rPr>
      </w:pPr>
    </w:p>
    <w:p w:rsidR="00950E51" w:rsidRPr="00470E28" w:rsidRDefault="00950E51" w:rsidP="00950E5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985B57">
        <w:rPr>
          <w:sz w:val="20"/>
          <w:lang w:val="en-US"/>
        </w:rPr>
        <w:t>8</w:t>
      </w:r>
    </w:p>
    <w:p w:rsidR="00950E51" w:rsidRPr="00470E28" w:rsidRDefault="00950E51" w:rsidP="00950E5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50E51" w:rsidRDefault="00950E51" w:rsidP="00950E51">
      <w:pPr>
        <w:spacing w:before="160"/>
        <w:rPr>
          <w:i/>
          <w:sz w:val="20"/>
          <w:lang w:val="en-US"/>
        </w:rPr>
        <w:sectPr w:rsidR="00950E5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50E51" w:rsidRPr="00C95C69" w:rsidRDefault="00950E51" w:rsidP="00985B57">
      <w:pPr>
        <w:pStyle w:val="RecNo"/>
        <w:rPr>
          <w:rFonts w:asciiTheme="majorBidi" w:hAnsiTheme="majorBidi" w:cstheme="majorBidi"/>
          <w:b/>
          <w:lang w:val="en-GB"/>
        </w:rPr>
      </w:pPr>
      <w:bookmarkStart w:id="3" w:name="irecnoe"/>
      <w:bookmarkEnd w:id="3"/>
      <w:r w:rsidRPr="00950E51">
        <w:rPr>
          <w:lang w:val="en-US"/>
        </w:rPr>
        <w:lastRenderedPageBreak/>
        <w:t xml:space="preserve">RECOMMENDATION  </w:t>
      </w:r>
      <w:r w:rsidRPr="00950E51">
        <w:rPr>
          <w:rStyle w:val="href"/>
          <w:lang w:val="en-US"/>
        </w:rPr>
        <w:t>ITU-R  SA.</w:t>
      </w:r>
      <w:r w:rsidR="00985B57">
        <w:rPr>
          <w:rStyle w:val="href"/>
          <w:lang w:val="en-US"/>
        </w:rPr>
        <w:t>364-6</w:t>
      </w:r>
    </w:p>
    <w:p w:rsidR="00950E51" w:rsidRPr="00950E51" w:rsidRDefault="00950E51" w:rsidP="00985B57">
      <w:pPr>
        <w:pStyle w:val="Rectitle"/>
        <w:rPr>
          <w:lang w:val="en-GB"/>
        </w:rPr>
      </w:pPr>
      <w:r w:rsidRPr="00950E51">
        <w:rPr>
          <w:lang w:val="en-GB"/>
        </w:rPr>
        <w:t>Preferred frequencies and bandwidths for manned and unmanned near-Earth satellites of the space research service</w:t>
      </w:r>
    </w:p>
    <w:p w:rsidR="00950E51" w:rsidRPr="00950E51" w:rsidRDefault="00950E51" w:rsidP="00985B57">
      <w:pPr>
        <w:pStyle w:val="Recdate"/>
        <w:rPr>
          <w:lang w:val="en-GB"/>
        </w:rPr>
      </w:pPr>
      <w:r w:rsidRPr="00950E51">
        <w:rPr>
          <w:lang w:val="en-GB"/>
        </w:rPr>
        <w:t>(1963-1966-1970-1978-1986-1992</w:t>
      </w:r>
      <w:r w:rsidR="00985B57">
        <w:rPr>
          <w:lang w:val="en-GB"/>
        </w:rPr>
        <w:t>-218</w:t>
      </w:r>
      <w:r w:rsidRPr="00950E51">
        <w:rPr>
          <w:lang w:val="en-GB"/>
        </w:rPr>
        <w:t>)</w:t>
      </w:r>
    </w:p>
    <w:p w:rsidR="00950E51" w:rsidRPr="007119B5" w:rsidRDefault="00950E51" w:rsidP="00985B57">
      <w:pPr>
        <w:pStyle w:val="HeadingSum"/>
        <w:rPr>
          <w:lang w:val="en-GB"/>
        </w:rPr>
      </w:pPr>
      <w:r w:rsidRPr="007119B5">
        <w:rPr>
          <w:lang w:val="en-GB"/>
        </w:rPr>
        <w:t>Scope</w:t>
      </w:r>
    </w:p>
    <w:p w:rsidR="00950E51" w:rsidRPr="007119B5" w:rsidRDefault="00950E51" w:rsidP="00985B57">
      <w:pPr>
        <w:pStyle w:val="Summary"/>
        <w:rPr>
          <w:lang w:val="en-GB"/>
        </w:rPr>
      </w:pPr>
      <w:r w:rsidRPr="007119B5">
        <w:rPr>
          <w:lang w:val="en-GB"/>
        </w:rPr>
        <w:t xml:space="preserve">This Recommendation provides guidance for the selection of frequencies and bandwidths for manned and unmanned near-Earth satellites of the space research service from a preferred list of frequencies and bandwidths. </w:t>
      </w:r>
    </w:p>
    <w:p w:rsidR="00950E51" w:rsidRPr="00950E51" w:rsidRDefault="00950E51" w:rsidP="00985B57">
      <w:pPr>
        <w:pStyle w:val="Headingb"/>
        <w:rPr>
          <w:lang w:val="en-GB"/>
        </w:rPr>
      </w:pPr>
      <w:r w:rsidRPr="00950E51">
        <w:rPr>
          <w:lang w:val="en-GB"/>
        </w:rPr>
        <w:t>Keywords</w:t>
      </w:r>
    </w:p>
    <w:p w:rsidR="00950E51" w:rsidRPr="00950E51" w:rsidRDefault="00950E51" w:rsidP="00950E51">
      <w:pPr>
        <w:tabs>
          <w:tab w:val="clear" w:pos="794"/>
          <w:tab w:val="clear" w:pos="1191"/>
          <w:tab w:val="clear" w:pos="1588"/>
          <w:tab w:val="clear" w:pos="1985"/>
          <w:tab w:val="left" w:pos="1134"/>
          <w:tab w:val="left" w:pos="1871"/>
          <w:tab w:val="left" w:pos="2268"/>
        </w:tabs>
        <w:jc w:val="left"/>
        <w:rPr>
          <w:szCs w:val="24"/>
          <w:lang w:val="en-GB"/>
        </w:rPr>
      </w:pPr>
      <w:r w:rsidRPr="00950E51">
        <w:rPr>
          <w:szCs w:val="24"/>
          <w:lang w:val="en-GB"/>
        </w:rPr>
        <w:t>Preferred frequencies and bandwidth, the space research service (SRS), near-Earth, manned, unmanned</w:t>
      </w:r>
    </w:p>
    <w:p w:rsidR="00950E51" w:rsidRPr="00950E51" w:rsidRDefault="00950E51" w:rsidP="00985B57">
      <w:pPr>
        <w:pStyle w:val="Headingb"/>
        <w:rPr>
          <w:lang w:val="fr-CH" w:eastAsia="zh-CN"/>
        </w:rPr>
      </w:pPr>
      <w:r w:rsidRPr="00950E51">
        <w:rPr>
          <w:lang w:val="fr-CH" w:eastAsia="zh-CN"/>
        </w:rPr>
        <w:t>Related Recommendations and Reports</w:t>
      </w:r>
    </w:p>
    <w:p w:rsidR="00950E51" w:rsidRPr="00950E51" w:rsidRDefault="00950E51" w:rsidP="00985B57">
      <w:pPr>
        <w:rPr>
          <w:lang w:val="fr-CH" w:eastAsia="zh-CN"/>
        </w:rPr>
      </w:pPr>
      <w:r w:rsidRPr="00950E51">
        <w:rPr>
          <w:lang w:val="fr-CH" w:eastAsia="zh-CN"/>
        </w:rPr>
        <w:t>Recommendations ITU-R SA.363, ITU-R SA.1019, ITU-R SA.1863</w:t>
      </w:r>
    </w:p>
    <w:p w:rsidR="00950E51" w:rsidRPr="00950E51" w:rsidRDefault="00950E51" w:rsidP="00950E51">
      <w:pPr>
        <w:tabs>
          <w:tab w:val="clear" w:pos="794"/>
          <w:tab w:val="clear" w:pos="1191"/>
          <w:tab w:val="clear" w:pos="1588"/>
          <w:tab w:val="clear" w:pos="1985"/>
          <w:tab w:val="left" w:pos="1134"/>
          <w:tab w:val="left" w:pos="1871"/>
          <w:tab w:val="left" w:pos="2268"/>
        </w:tabs>
        <w:spacing w:before="360"/>
        <w:jc w:val="left"/>
        <w:rPr>
          <w:lang w:val="en-GB"/>
        </w:rPr>
      </w:pPr>
      <w:r w:rsidRPr="00950E51">
        <w:rPr>
          <w:lang w:val="en-GB"/>
        </w:rPr>
        <w:t>The ITU Radiocommunication Assembly,</w:t>
      </w:r>
    </w:p>
    <w:p w:rsidR="00950E51" w:rsidRPr="00950E51" w:rsidRDefault="00950E51" w:rsidP="0042027F">
      <w:pPr>
        <w:pStyle w:val="Call"/>
        <w:rPr>
          <w:lang w:val="en-GB"/>
        </w:rPr>
      </w:pPr>
      <w:r w:rsidRPr="00950E51">
        <w:rPr>
          <w:lang w:val="en-GB"/>
        </w:rPr>
        <w:t>considering</w:t>
      </w:r>
    </w:p>
    <w:p w:rsidR="00950E51" w:rsidRPr="00950E51" w:rsidRDefault="00950E51" w:rsidP="0042027F">
      <w:pPr>
        <w:rPr>
          <w:lang w:val="en-GB"/>
        </w:rPr>
      </w:pPr>
      <w:r w:rsidRPr="00950E51">
        <w:rPr>
          <w:i/>
          <w:iCs/>
          <w:lang w:val="en-GB"/>
        </w:rPr>
        <w:t>a)</w:t>
      </w:r>
      <w:r w:rsidRPr="00950E51">
        <w:rPr>
          <w:lang w:val="en-GB"/>
        </w:rPr>
        <w:tab/>
        <w:t>that suitable frequencies and required radio-frequency bandwidths for near</w:t>
      </w:r>
      <w:r w:rsidRPr="00950E51">
        <w:rPr>
          <w:lang w:val="en-GB"/>
        </w:rPr>
        <w:noBreakHyphen/>
        <w:t>Earth space research missions are determined by radiowave propagation factors and technical requirements;</w:t>
      </w:r>
    </w:p>
    <w:p w:rsidR="00950E51" w:rsidRPr="00950E51" w:rsidRDefault="00950E51" w:rsidP="0042027F">
      <w:pPr>
        <w:rPr>
          <w:lang w:val="en-GB"/>
        </w:rPr>
      </w:pPr>
      <w:r w:rsidRPr="00950E51">
        <w:rPr>
          <w:i/>
          <w:iCs/>
          <w:lang w:val="en-GB"/>
        </w:rPr>
        <w:t>b)</w:t>
      </w:r>
      <w:r w:rsidRPr="00950E51">
        <w:rPr>
          <w:lang w:val="en-GB"/>
        </w:rPr>
        <w:tab/>
        <w:t>that two-way communication is required for many near-Earth missions, and is vital for manned missions;</w:t>
      </w:r>
    </w:p>
    <w:p w:rsidR="00950E51" w:rsidRPr="00950E51" w:rsidRDefault="00950E51" w:rsidP="0042027F">
      <w:pPr>
        <w:rPr>
          <w:lang w:val="en-GB"/>
        </w:rPr>
      </w:pPr>
      <w:r w:rsidRPr="00950E51">
        <w:rPr>
          <w:i/>
          <w:iCs/>
          <w:lang w:val="en-GB"/>
        </w:rPr>
        <w:t>c)</w:t>
      </w:r>
      <w:r w:rsidRPr="00950E51">
        <w:rPr>
          <w:lang w:val="en-GB"/>
        </w:rPr>
        <w:tab/>
        <w:t>that it is necessary to satisfy requirements for radiocommunication reliability during periods of adverse atmospheric conditions;</w:t>
      </w:r>
    </w:p>
    <w:p w:rsidR="00950E51" w:rsidRPr="00950E51" w:rsidRDefault="00950E51" w:rsidP="0042027F">
      <w:pPr>
        <w:rPr>
          <w:lang w:val="en-GB"/>
        </w:rPr>
      </w:pPr>
      <w:r w:rsidRPr="00950E51">
        <w:rPr>
          <w:i/>
          <w:iCs/>
          <w:lang w:val="en-GB"/>
        </w:rPr>
        <w:t>d)</w:t>
      </w:r>
      <w:r w:rsidRPr="00950E51">
        <w:rPr>
          <w:lang w:val="en-GB"/>
        </w:rPr>
        <w:tab/>
        <w:t>that it is practical and desirable to effect radiocommunication functions on a single link;</w:t>
      </w:r>
    </w:p>
    <w:p w:rsidR="00950E51" w:rsidRPr="00950E51" w:rsidRDefault="00950E51" w:rsidP="0042027F">
      <w:pPr>
        <w:rPr>
          <w:lang w:val="en-GB"/>
        </w:rPr>
      </w:pPr>
      <w:r w:rsidRPr="00950E51">
        <w:rPr>
          <w:i/>
          <w:iCs/>
          <w:lang w:val="en-GB"/>
        </w:rPr>
        <w:t>e)</w:t>
      </w:r>
      <w:r w:rsidRPr="00950E51">
        <w:rPr>
          <w:lang w:val="en-GB"/>
        </w:rPr>
        <w:tab/>
        <w:t>that to effect precision tracking, a pair of coherently related Earth-to-space and space</w:t>
      </w:r>
      <w:r w:rsidRPr="00950E51">
        <w:rPr>
          <w:lang w:val="en-GB"/>
        </w:rPr>
        <w:noBreakHyphen/>
        <w:t>to-Earth links’ frequencies is desirable;</w:t>
      </w:r>
    </w:p>
    <w:p w:rsidR="00950E51" w:rsidRPr="00950E51" w:rsidRDefault="00950E51" w:rsidP="0042027F">
      <w:pPr>
        <w:rPr>
          <w:lang w:val="en-GB"/>
        </w:rPr>
      </w:pPr>
      <w:r w:rsidRPr="00950E51">
        <w:rPr>
          <w:i/>
          <w:iCs/>
          <w:lang w:val="en-GB"/>
        </w:rPr>
        <w:t>f)</w:t>
      </w:r>
      <w:r w:rsidRPr="00950E51">
        <w:rPr>
          <w:lang w:val="en-GB"/>
        </w:rPr>
        <w:tab/>
        <w:t>that for simultaneous transmit/receive operations involving a single antenna, the paired Earth-to-space and space-to-Earth links’ frequencies should be separated by at least 6%;</w:t>
      </w:r>
    </w:p>
    <w:p w:rsidR="00950E51" w:rsidRPr="00950E51" w:rsidRDefault="00950E51" w:rsidP="0042027F">
      <w:pPr>
        <w:rPr>
          <w:lang w:val="en-GB"/>
        </w:rPr>
      </w:pPr>
      <w:r w:rsidRPr="00950E51">
        <w:rPr>
          <w:i/>
          <w:iCs/>
          <w:lang w:val="en-GB"/>
        </w:rPr>
        <w:t>g)</w:t>
      </w:r>
      <w:r w:rsidRPr="00950E51">
        <w:rPr>
          <w:lang w:val="en-GB"/>
        </w:rPr>
        <w:tab/>
        <w:t>that space-to-space and Earth-to-space relay satellite radiocommunication links are necessary to accommodate the growth and development of near-Earth explorations in the space research service;</w:t>
      </w:r>
    </w:p>
    <w:p w:rsidR="00950E51" w:rsidRPr="00950E51" w:rsidRDefault="00950E51" w:rsidP="0042027F">
      <w:pPr>
        <w:rPr>
          <w:lang w:val="en-GB"/>
        </w:rPr>
      </w:pPr>
      <w:r w:rsidRPr="00950E51">
        <w:rPr>
          <w:i/>
          <w:iCs/>
          <w:lang w:val="en-GB"/>
        </w:rPr>
        <w:t>h)</w:t>
      </w:r>
      <w:r w:rsidRPr="00950E51">
        <w:rPr>
          <w:lang w:val="en-GB"/>
        </w:rPr>
        <w:tab/>
        <w:t>that particular modulation and channel coding techniques may be required for some links in order to comply with power flux-density (pfd) limits or to guard against multipath and/or interference effects,</w:t>
      </w:r>
    </w:p>
    <w:p w:rsidR="00950E51" w:rsidRPr="00950E51" w:rsidRDefault="00950E51" w:rsidP="0042027F">
      <w:pPr>
        <w:pStyle w:val="Call"/>
        <w:rPr>
          <w:lang w:val="en-GB"/>
        </w:rPr>
      </w:pPr>
      <w:r w:rsidRPr="00950E51">
        <w:rPr>
          <w:lang w:val="en-GB"/>
        </w:rPr>
        <w:t>recommends</w:t>
      </w:r>
    </w:p>
    <w:p w:rsidR="00950E51" w:rsidRPr="00950E51" w:rsidRDefault="00950E51" w:rsidP="0042027F">
      <w:pPr>
        <w:rPr>
          <w:lang w:val="en-GB"/>
        </w:rPr>
      </w:pPr>
      <w:r w:rsidRPr="00950E51">
        <w:rPr>
          <w:b/>
          <w:lang w:val="en-GB"/>
        </w:rPr>
        <w:t>1</w:t>
      </w:r>
      <w:r w:rsidRPr="00950E51">
        <w:rPr>
          <w:lang w:val="en-GB"/>
        </w:rPr>
        <w:tab/>
        <w:t>that frequency bands for near-Earth missions in the space research service be selected, with due regard to the purpose of the link and to the feasibility of sharing, in the preferred frequency ranges listed in Table 1;</w:t>
      </w:r>
    </w:p>
    <w:p w:rsidR="00950E51" w:rsidRPr="00950E51" w:rsidRDefault="00950E51" w:rsidP="0042027F">
      <w:pPr>
        <w:rPr>
          <w:lang w:val="en-GB"/>
        </w:rPr>
      </w:pPr>
      <w:r w:rsidRPr="00950E51">
        <w:rPr>
          <w:b/>
          <w:lang w:val="en-GB"/>
        </w:rPr>
        <w:lastRenderedPageBreak/>
        <w:t>2</w:t>
      </w:r>
      <w:r w:rsidRPr="00950E51">
        <w:rPr>
          <w:lang w:val="en-GB"/>
        </w:rPr>
        <w:tab/>
        <w:t>that information concerning typical individual link bandwidths and their uses listed in Table</w:t>
      </w:r>
      <w:r w:rsidR="0042027F">
        <w:rPr>
          <w:lang w:val="en-GB"/>
        </w:rPr>
        <w:t> </w:t>
      </w:r>
      <w:r w:rsidRPr="00950E51">
        <w:rPr>
          <w:lang w:val="en-GB"/>
        </w:rPr>
        <w:t>2 of the Annex be employed in order to provide for present and future near-Earth telecommunications in multi-spacecraft, multi-mission systems, within the space research service;</w:t>
      </w:r>
    </w:p>
    <w:p w:rsidR="00950E51" w:rsidRPr="00950E51" w:rsidRDefault="00950E51" w:rsidP="0042027F">
      <w:pPr>
        <w:rPr>
          <w:lang w:val="en-GB"/>
        </w:rPr>
      </w:pPr>
      <w:r w:rsidRPr="00950E51">
        <w:rPr>
          <w:b/>
          <w:lang w:val="en-GB"/>
        </w:rPr>
        <w:t>3</w:t>
      </w:r>
      <w:r w:rsidRPr="00950E51">
        <w:rPr>
          <w:lang w:val="en-GB"/>
        </w:rPr>
        <w:tab/>
        <w:t>that the frequency bands allocated to the space research service, corresponding pfd limits, and typical use of these frequency bands as provided in the Attachment to the Annex be taken into account in designing space research systems.</w:t>
      </w:r>
    </w:p>
    <w:p w:rsidR="00950E51" w:rsidRPr="00950E51" w:rsidRDefault="00950E51" w:rsidP="00950E51">
      <w:pPr>
        <w:tabs>
          <w:tab w:val="clear" w:pos="794"/>
          <w:tab w:val="clear" w:pos="1191"/>
          <w:tab w:val="clear" w:pos="1588"/>
          <w:tab w:val="clear" w:pos="1985"/>
          <w:tab w:val="left" w:pos="1134"/>
          <w:tab w:val="left" w:pos="1871"/>
          <w:tab w:val="left" w:pos="2268"/>
        </w:tabs>
        <w:jc w:val="left"/>
        <w:rPr>
          <w:lang w:val="en-GB"/>
        </w:rPr>
      </w:pPr>
    </w:p>
    <w:p w:rsidR="00950E51" w:rsidRPr="00950E51" w:rsidRDefault="00950E51" w:rsidP="00950E51">
      <w:pPr>
        <w:tabs>
          <w:tab w:val="clear" w:pos="794"/>
          <w:tab w:val="clear" w:pos="1191"/>
          <w:tab w:val="clear" w:pos="1588"/>
          <w:tab w:val="clear" w:pos="1985"/>
          <w:tab w:val="left" w:pos="1134"/>
          <w:tab w:val="left" w:pos="1871"/>
          <w:tab w:val="left" w:pos="2268"/>
        </w:tabs>
        <w:jc w:val="left"/>
        <w:rPr>
          <w:lang w:val="en-GB"/>
        </w:rPr>
      </w:pPr>
    </w:p>
    <w:p w:rsidR="00950E51" w:rsidRPr="00950E51" w:rsidRDefault="00950E51" w:rsidP="0042027F">
      <w:pPr>
        <w:pStyle w:val="AnnexNoTitle"/>
        <w:rPr>
          <w:lang w:val="en-GB"/>
        </w:rPr>
      </w:pPr>
      <w:r w:rsidRPr="00950E51">
        <w:rPr>
          <w:caps/>
          <w:lang w:val="en-GB"/>
        </w:rPr>
        <w:t>A</w:t>
      </w:r>
      <w:r w:rsidR="0042027F" w:rsidRPr="00950E51">
        <w:rPr>
          <w:lang w:val="en-GB"/>
        </w:rPr>
        <w:t>nnex</w:t>
      </w:r>
      <w:r w:rsidRPr="00950E51">
        <w:rPr>
          <w:caps/>
          <w:lang w:val="en-GB"/>
        </w:rPr>
        <w:t xml:space="preserve"> </w:t>
      </w:r>
      <w:bookmarkStart w:id="4" w:name="_Toc523127109"/>
      <w:bookmarkStart w:id="5" w:name="_Toc523129593"/>
      <w:bookmarkStart w:id="6" w:name="_Toc526047771"/>
      <w:bookmarkStart w:id="7" w:name="_Toc526051934"/>
      <w:bookmarkStart w:id="8" w:name="_Toc526133618"/>
      <w:bookmarkStart w:id="9" w:name="_Toc1790108"/>
      <w:bookmarkStart w:id="10" w:name="_Toc1790773"/>
      <w:bookmarkStart w:id="11" w:name="_Toc298159332"/>
      <w:r w:rsidR="0042027F">
        <w:rPr>
          <w:caps/>
          <w:position w:val="6"/>
          <w:sz w:val="18"/>
          <w:lang w:val="en-GB"/>
        </w:rPr>
        <w:br/>
      </w:r>
      <w:r w:rsidR="0042027F">
        <w:rPr>
          <w:caps/>
          <w:position w:val="6"/>
          <w:sz w:val="18"/>
          <w:lang w:val="en-GB"/>
        </w:rPr>
        <w:br/>
      </w:r>
      <w:r w:rsidRPr="00950E51">
        <w:rPr>
          <w:lang w:val="en-GB"/>
        </w:rPr>
        <w:t>Preferred frequencies and bandwidths for manned and unmanned near-Earth satellites of the space research service</w:t>
      </w:r>
    </w:p>
    <w:p w:rsidR="00950E51" w:rsidRPr="00950E51" w:rsidRDefault="00950E51" w:rsidP="0042027F">
      <w:pPr>
        <w:pStyle w:val="Heading1"/>
        <w:rPr>
          <w:lang w:val="en-GB"/>
        </w:rPr>
      </w:pPr>
      <w:r w:rsidRPr="00950E51">
        <w:rPr>
          <w:lang w:val="en-GB"/>
        </w:rPr>
        <w:t>1</w:t>
      </w:r>
      <w:r w:rsidRPr="00950E51">
        <w:rPr>
          <w:lang w:val="en-GB"/>
        </w:rPr>
        <w:tab/>
        <w:t>Introduction</w:t>
      </w:r>
    </w:p>
    <w:p w:rsidR="00950E51" w:rsidRPr="00950E51" w:rsidRDefault="00950E51" w:rsidP="0042027F">
      <w:pPr>
        <w:rPr>
          <w:lang w:val="en-GB"/>
        </w:rPr>
      </w:pPr>
      <w:r w:rsidRPr="00950E51">
        <w:rPr>
          <w:lang w:val="en-GB"/>
        </w:rPr>
        <w:t xml:space="preserve">This Recommendation provides information on the preferred frequencies and bandwidths for manned and unmanned near-Earth satellites operating in the space research service (SRS). Section 2 explores the various functions of SRS communications, including command, telemetry, and tracking. Section 3 discusses the frequency bands for SRS missions, including mission and equipment requirements, propagation and radiation effects, link performance considerations, and related ITU-R Recommendations. Section 4 contains tables of preferred frequency bands and their uses and typical individual links bandwidths and their uses. </w:t>
      </w:r>
    </w:p>
    <w:p w:rsidR="00950E51" w:rsidRPr="00950E51" w:rsidRDefault="00950E51" w:rsidP="00DC258F">
      <w:pPr>
        <w:pStyle w:val="Heading1"/>
        <w:rPr>
          <w:lang w:val="en-GB"/>
        </w:rPr>
      </w:pPr>
      <w:r w:rsidRPr="00950E51">
        <w:rPr>
          <w:lang w:val="en-GB"/>
        </w:rPr>
        <w:t>2</w:t>
      </w:r>
      <w:r w:rsidRPr="00950E51">
        <w:rPr>
          <w:lang w:val="en-GB"/>
        </w:rPr>
        <w:tab/>
        <w:t>Space research communication and tracking functions and their technical requirements</w:t>
      </w:r>
    </w:p>
    <w:p w:rsidR="00950E51" w:rsidRPr="00950E51" w:rsidRDefault="00950E51" w:rsidP="00DC258F">
      <w:pPr>
        <w:rPr>
          <w:lang w:val="en-GB"/>
        </w:rPr>
      </w:pPr>
      <w:r w:rsidRPr="00950E51">
        <w:rPr>
          <w:lang w:val="en-GB"/>
        </w:rPr>
        <w:t>The three primary spacecraft functions discussed below, command, telemetry and tracking, are space operation functions. Space research missions use frequency bands allocated to the SRS to provide the space operation functions as well as the mission telemetry within a single radio system. This allows for more efficient use of the radio-frequency spectrum, as well as less stringent requirements for spacecraft power, component space, and weight.</w:t>
      </w:r>
    </w:p>
    <w:p w:rsidR="00950E51" w:rsidRPr="00950E51" w:rsidRDefault="00950E51" w:rsidP="00DC258F">
      <w:pPr>
        <w:pStyle w:val="Heading2"/>
        <w:rPr>
          <w:lang w:val="en-GB"/>
        </w:rPr>
      </w:pPr>
      <w:bookmarkStart w:id="12" w:name="_Toc523127126"/>
      <w:bookmarkStart w:id="13" w:name="_Toc523129610"/>
      <w:bookmarkStart w:id="14" w:name="_Toc526047787"/>
      <w:bookmarkStart w:id="15" w:name="_Toc526051950"/>
      <w:bookmarkStart w:id="16" w:name="_Toc526133634"/>
      <w:bookmarkStart w:id="17" w:name="_Toc1790124"/>
      <w:bookmarkStart w:id="18" w:name="_Toc1790789"/>
      <w:bookmarkStart w:id="19" w:name="_Toc298159350"/>
      <w:bookmarkEnd w:id="4"/>
      <w:bookmarkEnd w:id="5"/>
      <w:bookmarkEnd w:id="6"/>
      <w:bookmarkEnd w:id="7"/>
      <w:bookmarkEnd w:id="8"/>
      <w:bookmarkEnd w:id="9"/>
      <w:bookmarkEnd w:id="10"/>
      <w:bookmarkEnd w:id="11"/>
      <w:r w:rsidRPr="00950E51">
        <w:rPr>
          <w:lang w:val="en-GB"/>
        </w:rPr>
        <w:t>2.1</w:t>
      </w:r>
      <w:r w:rsidRPr="00950E51">
        <w:rPr>
          <w:lang w:val="en-GB"/>
        </w:rPr>
        <w:tab/>
        <w:t>Functions</w:t>
      </w:r>
    </w:p>
    <w:p w:rsidR="00950E51" w:rsidRPr="00950E51" w:rsidRDefault="00950E51" w:rsidP="00DC258F">
      <w:pPr>
        <w:pStyle w:val="Heading3"/>
        <w:rPr>
          <w:lang w:val="en-GB"/>
        </w:rPr>
      </w:pPr>
      <w:bookmarkStart w:id="20" w:name="_Toc523127110"/>
      <w:bookmarkStart w:id="21" w:name="_Toc523129594"/>
      <w:bookmarkStart w:id="22" w:name="_Toc526047772"/>
      <w:bookmarkStart w:id="23" w:name="_Toc526051935"/>
      <w:bookmarkStart w:id="24" w:name="_Toc526133619"/>
      <w:bookmarkStart w:id="25" w:name="_Toc1790109"/>
      <w:bookmarkStart w:id="26" w:name="_Toc1790774"/>
      <w:bookmarkStart w:id="27" w:name="_Toc298159333"/>
      <w:r w:rsidRPr="00950E51">
        <w:rPr>
          <w:lang w:val="en-GB"/>
        </w:rPr>
        <w:t>2.1.1</w:t>
      </w:r>
      <w:r w:rsidRPr="00950E51">
        <w:rPr>
          <w:lang w:val="en-GB"/>
        </w:rPr>
        <w:tab/>
        <w:t>Command transmissions</w:t>
      </w:r>
      <w:bookmarkEnd w:id="20"/>
      <w:bookmarkEnd w:id="21"/>
      <w:bookmarkEnd w:id="22"/>
      <w:bookmarkEnd w:id="23"/>
      <w:bookmarkEnd w:id="24"/>
      <w:bookmarkEnd w:id="25"/>
      <w:bookmarkEnd w:id="26"/>
      <w:bookmarkEnd w:id="27"/>
    </w:p>
    <w:p w:rsidR="00950E51" w:rsidRPr="00950E51" w:rsidRDefault="00950E51" w:rsidP="00DC258F">
      <w:pPr>
        <w:rPr>
          <w:b/>
          <w:lang w:val="en-GB"/>
        </w:rPr>
      </w:pPr>
      <w:r w:rsidRPr="00950E51">
        <w:rPr>
          <w:lang w:val="en-GB"/>
        </w:rPr>
        <w:t>Commands</w:t>
      </w:r>
      <w:r w:rsidRPr="00950E51">
        <w:rPr>
          <w:b/>
          <w:lang w:val="en-GB"/>
        </w:rPr>
        <w:t xml:space="preserve"> </w:t>
      </w:r>
      <w:r w:rsidRPr="00950E51">
        <w:rPr>
          <w:lang w:val="en-GB"/>
        </w:rPr>
        <w:t>provide control of a spacecraft, activate various mission functions or modify the operation of a spacecraft or its payloads, and counter operational anomalies. During launch operations, most commands are recorded and delivered by an on-board sequencer. Earth-to-space commands are transmitted for execution in real time or may be stored for later sequencing. Critical commands are often sent as two stage commands; the first command configures the operation to be taken, and the second command executes the operation. Both commands in a two</w:t>
      </w:r>
      <w:r w:rsidRPr="00950E51">
        <w:rPr>
          <w:lang w:val="en-GB"/>
        </w:rPr>
        <w:noBreakHyphen/>
        <w:t>stage set must be successfully received for the operation to be implemented.</w:t>
      </w:r>
    </w:p>
    <w:p w:rsidR="00950E51" w:rsidRPr="00950E51" w:rsidRDefault="00950E51" w:rsidP="00DC258F">
      <w:pPr>
        <w:pStyle w:val="Heading3"/>
        <w:rPr>
          <w:lang w:val="en-GB"/>
        </w:rPr>
      </w:pPr>
      <w:bookmarkStart w:id="28" w:name="_Toc523127111"/>
      <w:bookmarkStart w:id="29" w:name="_Toc523129595"/>
      <w:bookmarkStart w:id="30" w:name="_Toc526047773"/>
      <w:bookmarkStart w:id="31" w:name="_Toc526051936"/>
      <w:bookmarkStart w:id="32" w:name="_Toc526133620"/>
      <w:bookmarkStart w:id="33" w:name="_Toc1790110"/>
      <w:bookmarkStart w:id="34" w:name="_Toc1790775"/>
      <w:bookmarkStart w:id="35" w:name="_Toc298159334"/>
      <w:r w:rsidRPr="00950E51">
        <w:rPr>
          <w:bCs/>
          <w:lang w:val="en-GB"/>
        </w:rPr>
        <w:t>2.1.2</w:t>
      </w:r>
      <w:r w:rsidRPr="00950E51">
        <w:rPr>
          <w:bCs/>
          <w:lang w:val="en-GB"/>
        </w:rPr>
        <w:tab/>
      </w:r>
      <w:r w:rsidRPr="00950E51">
        <w:rPr>
          <w:lang w:val="en-GB"/>
        </w:rPr>
        <w:t>Spacecraft telemetry transmissions</w:t>
      </w:r>
      <w:bookmarkEnd w:id="28"/>
      <w:bookmarkEnd w:id="29"/>
      <w:bookmarkEnd w:id="30"/>
      <w:bookmarkEnd w:id="31"/>
      <w:bookmarkEnd w:id="32"/>
      <w:bookmarkEnd w:id="33"/>
      <w:bookmarkEnd w:id="34"/>
      <w:bookmarkEnd w:id="35"/>
    </w:p>
    <w:p w:rsidR="00950E51" w:rsidRPr="00950E51" w:rsidRDefault="00950E51" w:rsidP="00DC258F">
      <w:pPr>
        <w:rPr>
          <w:b/>
          <w:lang w:val="en-GB"/>
        </w:rPr>
      </w:pPr>
      <w:r w:rsidRPr="00950E51">
        <w:rPr>
          <w:lang w:val="en-GB"/>
        </w:rPr>
        <w:t xml:space="preserve">The spacecraft telemetry subsystem reports the condition of the spacecraft systems, its payloads, and provides measured data from spacecraft instrumentation to a designated earth station. This system also gives the status of the reception and execution of commands. Telemetry data may be </w:t>
      </w:r>
      <w:r w:rsidRPr="00950E51">
        <w:rPr>
          <w:lang w:val="en-GB"/>
        </w:rPr>
        <w:lastRenderedPageBreak/>
        <w:t>stored for subsequent transmission or require real time transmission, as in the case for launch and contingency operations.</w:t>
      </w:r>
    </w:p>
    <w:p w:rsidR="00950E51" w:rsidRPr="00950E51" w:rsidRDefault="00950E51" w:rsidP="00DC258F">
      <w:pPr>
        <w:pStyle w:val="Heading3"/>
        <w:rPr>
          <w:lang w:val="en-GB"/>
        </w:rPr>
      </w:pPr>
      <w:bookmarkStart w:id="36" w:name="_Toc523127112"/>
      <w:bookmarkStart w:id="37" w:name="_Toc523129596"/>
      <w:bookmarkStart w:id="38" w:name="_Toc526047774"/>
      <w:bookmarkStart w:id="39" w:name="_Toc526051937"/>
      <w:bookmarkStart w:id="40" w:name="_Toc526133621"/>
      <w:bookmarkStart w:id="41" w:name="_Toc1790111"/>
      <w:bookmarkStart w:id="42" w:name="_Toc1790776"/>
      <w:bookmarkStart w:id="43" w:name="_Toc298159335"/>
      <w:r w:rsidRPr="00950E51">
        <w:rPr>
          <w:lang w:val="en-GB"/>
        </w:rPr>
        <w:t>2.1.3</w:t>
      </w:r>
      <w:r w:rsidRPr="00950E51">
        <w:rPr>
          <w:lang w:val="en-GB"/>
        </w:rPr>
        <w:tab/>
        <w:t>Mission telemetry transmissions</w:t>
      </w:r>
      <w:bookmarkEnd w:id="36"/>
      <w:bookmarkEnd w:id="37"/>
      <w:bookmarkEnd w:id="38"/>
      <w:bookmarkEnd w:id="39"/>
      <w:bookmarkEnd w:id="40"/>
      <w:bookmarkEnd w:id="41"/>
      <w:bookmarkEnd w:id="42"/>
      <w:bookmarkEnd w:id="43"/>
    </w:p>
    <w:p w:rsidR="00950E51" w:rsidRPr="00950E51" w:rsidRDefault="00950E51" w:rsidP="00DC258F">
      <w:pPr>
        <w:rPr>
          <w:lang w:val="en-GB"/>
        </w:rPr>
      </w:pPr>
      <w:r w:rsidRPr="00950E51">
        <w:rPr>
          <w:lang w:val="en-GB"/>
        </w:rPr>
        <w:t>The mission telemetry subsystem is responsible for the transmission to the Earth of scientific and technical data accumulated through experimentation, active and passive sensing, and data generated by spacecraft and payloads such as probes and landers. For manned missions the telemetry subsystem is also required to transmit audio and video.</w:t>
      </w:r>
    </w:p>
    <w:p w:rsidR="00950E51" w:rsidRPr="00950E51" w:rsidRDefault="00950E51" w:rsidP="00DC258F">
      <w:pPr>
        <w:pStyle w:val="Heading3"/>
        <w:rPr>
          <w:lang w:val="en-GB"/>
        </w:rPr>
      </w:pPr>
      <w:bookmarkStart w:id="44" w:name="_Toc523127113"/>
      <w:bookmarkStart w:id="45" w:name="_Toc523129597"/>
      <w:bookmarkStart w:id="46" w:name="_Toc526047775"/>
      <w:bookmarkStart w:id="47" w:name="_Toc526051938"/>
      <w:bookmarkStart w:id="48" w:name="_Toc526133622"/>
      <w:bookmarkStart w:id="49" w:name="_Toc1790112"/>
      <w:bookmarkStart w:id="50" w:name="_Toc1790777"/>
      <w:bookmarkStart w:id="51" w:name="_Toc298159336"/>
      <w:r w:rsidRPr="00950E51">
        <w:rPr>
          <w:bCs/>
          <w:lang w:val="en-GB"/>
        </w:rPr>
        <w:t>2.1.4</w:t>
      </w:r>
      <w:r w:rsidRPr="00950E51">
        <w:rPr>
          <w:bCs/>
          <w:lang w:val="en-GB"/>
        </w:rPr>
        <w:tab/>
      </w:r>
      <w:r w:rsidRPr="00950E51">
        <w:rPr>
          <w:lang w:val="en-GB"/>
        </w:rPr>
        <w:t>Tracking</w:t>
      </w:r>
      <w:bookmarkEnd w:id="44"/>
      <w:bookmarkEnd w:id="45"/>
      <w:bookmarkEnd w:id="46"/>
      <w:bookmarkEnd w:id="47"/>
      <w:bookmarkEnd w:id="48"/>
      <w:bookmarkEnd w:id="49"/>
      <w:bookmarkEnd w:id="50"/>
      <w:bookmarkEnd w:id="51"/>
    </w:p>
    <w:p w:rsidR="00950E51" w:rsidRPr="00950E51" w:rsidRDefault="00950E51" w:rsidP="00DC258F">
      <w:pPr>
        <w:rPr>
          <w:lang w:val="en-GB"/>
        </w:rPr>
      </w:pPr>
      <w:r w:rsidRPr="00950E51">
        <w:rPr>
          <w:lang w:val="en-GB"/>
        </w:rPr>
        <w:t>Tracking is a basic requirement of any space research mission. In addition to providing information necessary to determine the location and velocity of the spacecraft, tracking is also required for evaluation of launch and orbit performance, for trajectory corrections, for determining the precise timing for critical functions such as retrorocket firing, and forecasting spacecraft visibility and antenna pointing angles required by spacecraft and earth stations.</w:t>
      </w:r>
    </w:p>
    <w:p w:rsidR="00950E51" w:rsidRPr="00950E51" w:rsidRDefault="00950E51" w:rsidP="00DC258F">
      <w:pPr>
        <w:pStyle w:val="Heading1"/>
        <w:rPr>
          <w:lang w:val="en-GB"/>
        </w:rPr>
      </w:pPr>
      <w:r w:rsidRPr="00950E51">
        <w:rPr>
          <w:lang w:val="en-GB"/>
        </w:rPr>
        <w:t>3</w:t>
      </w:r>
      <w:r w:rsidRPr="00950E51">
        <w:rPr>
          <w:lang w:val="en-GB"/>
        </w:rPr>
        <w:tab/>
        <w:t>Frequency bands for space research missions</w:t>
      </w:r>
    </w:p>
    <w:p w:rsidR="00950E51" w:rsidRPr="00950E51" w:rsidRDefault="00950E51" w:rsidP="00DC258F">
      <w:pPr>
        <w:rPr>
          <w:b/>
          <w:lang w:val="en-GB"/>
        </w:rPr>
      </w:pPr>
      <w:r w:rsidRPr="00950E51">
        <w:rPr>
          <w:lang w:val="en-GB"/>
        </w:rPr>
        <w:t>Factors that determine the suitability of specific frequencies for space research missions include mission requirements, equipment availability and cost, radiowave propagation and radiation effects, link performance and existing SRS frequency allocations. Evolving mission requirements and physical effects are used to define requirements for new space research allocations.</w:t>
      </w:r>
    </w:p>
    <w:p w:rsidR="00950E51" w:rsidRPr="00950E51" w:rsidRDefault="00950E51" w:rsidP="00DC258F">
      <w:pPr>
        <w:pStyle w:val="Heading2"/>
        <w:rPr>
          <w:lang w:val="en-GB"/>
        </w:rPr>
      </w:pPr>
      <w:bookmarkStart w:id="52" w:name="_Toc523127125"/>
      <w:bookmarkStart w:id="53" w:name="_Toc523129609"/>
      <w:bookmarkStart w:id="54" w:name="_Toc526047786"/>
      <w:bookmarkStart w:id="55" w:name="_Toc526051949"/>
      <w:bookmarkStart w:id="56" w:name="_Toc526133633"/>
      <w:bookmarkStart w:id="57" w:name="_Toc1790123"/>
      <w:bookmarkStart w:id="58" w:name="_Toc1790788"/>
      <w:bookmarkStart w:id="59" w:name="_Toc298159349"/>
      <w:r w:rsidRPr="00950E51">
        <w:rPr>
          <w:lang w:val="en-GB"/>
        </w:rPr>
        <w:t>3.1</w:t>
      </w:r>
      <w:r w:rsidRPr="00950E51">
        <w:rPr>
          <w:lang w:val="en-GB"/>
        </w:rPr>
        <w:tab/>
        <w:t>Mission requirements</w:t>
      </w:r>
      <w:bookmarkEnd w:id="52"/>
      <w:bookmarkEnd w:id="53"/>
      <w:bookmarkEnd w:id="54"/>
      <w:bookmarkEnd w:id="55"/>
      <w:bookmarkEnd w:id="56"/>
      <w:bookmarkEnd w:id="57"/>
      <w:bookmarkEnd w:id="58"/>
      <w:bookmarkEnd w:id="59"/>
    </w:p>
    <w:p w:rsidR="00950E51" w:rsidRPr="00950E51" w:rsidRDefault="00950E51" w:rsidP="00DC258F">
      <w:pPr>
        <w:rPr>
          <w:lang w:val="en-GB"/>
        </w:rPr>
      </w:pPr>
      <w:r w:rsidRPr="00950E51">
        <w:rPr>
          <w:lang w:val="en-GB"/>
        </w:rPr>
        <w:t>Space research missions require a variety of data types to support command, telemetry, and tracking functions. Real time audio and video are required for manned missions. These requirements are usually multiplexed onto a single frequency carrier to implement an efficient spectrum usage.</w:t>
      </w:r>
    </w:p>
    <w:p w:rsidR="00950E51" w:rsidRPr="00950E51" w:rsidRDefault="00950E51" w:rsidP="00DC258F">
      <w:pPr>
        <w:rPr>
          <w:lang w:val="en-GB"/>
        </w:rPr>
      </w:pPr>
      <w:r w:rsidRPr="00950E51">
        <w:rPr>
          <w:lang w:val="en-GB"/>
        </w:rPr>
        <w:t>Higher frequency allocations generally allow the use of wider bandwidths. Wider bandwidth provides the ability to support higher data rate requirements, video communications, and the use of more complex coding schemes to effectively reduce error rates and susceptibility to interference.</w:t>
      </w:r>
    </w:p>
    <w:p w:rsidR="00950E51" w:rsidRPr="00950E51" w:rsidRDefault="00950E51" w:rsidP="00DC258F">
      <w:pPr>
        <w:rPr>
          <w:lang w:val="en-GB"/>
        </w:rPr>
      </w:pPr>
      <w:r w:rsidRPr="00950E51">
        <w:rPr>
          <w:lang w:val="en-GB"/>
        </w:rPr>
        <w:t>Frequencies may be reused among spacecraft if their orbital characteristics and transmission requirements are such as could avoid excessive levels of interference. However, different frequencies are required for spacecraft if their orbital characteristics and transmission requirements are such as could lead to excessive levels of interference.</w:t>
      </w:r>
    </w:p>
    <w:p w:rsidR="00950E51" w:rsidRPr="00950E51" w:rsidRDefault="00950E51" w:rsidP="00DC258F">
      <w:pPr>
        <w:rPr>
          <w:lang w:val="en-GB"/>
        </w:rPr>
      </w:pPr>
      <w:r w:rsidRPr="00950E51">
        <w:rPr>
          <w:lang w:val="en-GB"/>
        </w:rPr>
        <w:t>Precision tracking requires that the frequencies for Earth-to-space and space-to-Earth tracking signals be coherently related by a suitable turn-around ratio. This requirement is provided by ensuring that the forward and return frequency separation ranges between 6-10% of the higher frequency.</w:t>
      </w:r>
    </w:p>
    <w:p w:rsidR="00950E51" w:rsidRPr="00950E51" w:rsidRDefault="00950E51" w:rsidP="00DC258F">
      <w:pPr>
        <w:rPr>
          <w:b/>
          <w:lang w:val="en-GB"/>
        </w:rPr>
      </w:pPr>
      <w:r w:rsidRPr="00950E51">
        <w:rPr>
          <w:lang w:val="en-GB"/>
        </w:rPr>
        <w:t>Frequency bands for active and passive sensing depend on the particular information being sought with respect to the characteristics of the object, the space environment, and/or the particular phenomenon in space being studied. The frequency bands chosen are those identified by the physics as optimum for the scientific investigation. Bandwidths determine the resolution and precision that is obtainable</w:t>
      </w:r>
      <w:r w:rsidRPr="00950E51">
        <w:rPr>
          <w:bCs/>
          <w:lang w:val="en-GB"/>
        </w:rPr>
        <w:t>.</w:t>
      </w:r>
    </w:p>
    <w:bookmarkEnd w:id="12"/>
    <w:bookmarkEnd w:id="13"/>
    <w:bookmarkEnd w:id="14"/>
    <w:bookmarkEnd w:id="15"/>
    <w:bookmarkEnd w:id="16"/>
    <w:bookmarkEnd w:id="17"/>
    <w:bookmarkEnd w:id="18"/>
    <w:bookmarkEnd w:id="19"/>
    <w:p w:rsidR="00950E51" w:rsidRPr="00950E51" w:rsidRDefault="00950E51" w:rsidP="001E6E52">
      <w:pPr>
        <w:pStyle w:val="Heading2"/>
        <w:rPr>
          <w:lang w:val="en-GB"/>
        </w:rPr>
      </w:pPr>
      <w:r w:rsidRPr="00950E51">
        <w:rPr>
          <w:lang w:val="en-GB"/>
        </w:rPr>
        <w:t>3.2</w:t>
      </w:r>
      <w:r w:rsidRPr="00950E51">
        <w:rPr>
          <w:lang w:val="en-GB"/>
        </w:rPr>
        <w:tab/>
        <w:t>Equipment requirements</w:t>
      </w:r>
    </w:p>
    <w:p w:rsidR="00950E51" w:rsidRPr="00950E51" w:rsidRDefault="00950E51" w:rsidP="001E6E52">
      <w:pPr>
        <w:rPr>
          <w:lang w:val="en-GB"/>
        </w:rPr>
      </w:pPr>
      <w:r w:rsidRPr="00950E51">
        <w:rPr>
          <w:lang w:val="en-GB"/>
        </w:rPr>
        <w:t xml:space="preserve">Frequency dependent equipment factors either directly influence link performance, such as antenna gain, efficiency and pointing accuracy, or do not directly affect link performance but nevertheless require consideration in the selection of frequencies. For simultaneous transmit and receive </w:t>
      </w:r>
      <w:r w:rsidRPr="00950E51">
        <w:rPr>
          <w:lang w:val="en-GB"/>
        </w:rPr>
        <w:lastRenderedPageBreak/>
        <w:t>operations involving a single antenna, the paired Earth-to-space and space-to-Earth frequency bands need to be separated by 6-7% of the high frequency for near-Earth and 8-20% of the high frequency for deep-space missions.</w:t>
      </w:r>
    </w:p>
    <w:p w:rsidR="00950E51" w:rsidRPr="00950E51" w:rsidRDefault="00950E51" w:rsidP="001E6E52">
      <w:pPr>
        <w:rPr>
          <w:lang w:val="en-GB"/>
        </w:rPr>
      </w:pPr>
      <w:r w:rsidRPr="00950E51">
        <w:rPr>
          <w:lang w:val="en-GB"/>
        </w:rPr>
        <w:t>Spacecraft antenna size is limited by space and weight limitations, technology development for large unfurlable antennas, and the capability of the satellite to point the antenna with the required precision. The 100 MHz to 1 GHz frequency range is suitable for spacecraft with widebeam or omnidirectional antenna and narrow bandwidth requirements and for simple earth stations without facilities for antenna tracking. In the 1-10 GHz frequency range, spacecraft antennas have gains compatible with attitude stabilization and beam steering requirements. Surface and pointing accuracy required for large earth stations can also be met in this range, which is also suitable for wide band precision tracking and communication systems.</w:t>
      </w:r>
    </w:p>
    <w:p w:rsidR="00950E51" w:rsidRPr="00950E51" w:rsidRDefault="00950E51" w:rsidP="001E6E52">
      <w:pPr>
        <w:rPr>
          <w:lang w:val="en-GB"/>
        </w:rPr>
      </w:pPr>
      <w:r w:rsidRPr="00950E51">
        <w:rPr>
          <w:lang w:val="en-GB"/>
        </w:rPr>
        <w:t>The availability of space qualified hardware could be a limiting factor in the use of higher frequencies. Currently, the most mature space research hardware has been developed for the 2 GHz and the 7/8 GHz frequency bands, which are essential for providing weather tolerant links. This equipment is also attractive and readily available for small project/missions with low data rate requirements and budget constraints. Hardware is becoming mature for the 27/32/34 GHz frequency bands that provide the advantage of wider available bandwidths for near-Earth and deep-space spacecraft.</w:t>
      </w:r>
    </w:p>
    <w:p w:rsidR="00950E51" w:rsidRPr="00950E51" w:rsidRDefault="00950E51" w:rsidP="001E6E52">
      <w:pPr>
        <w:pStyle w:val="Heading2"/>
        <w:rPr>
          <w:lang w:val="en-GB"/>
        </w:rPr>
      </w:pPr>
      <w:bookmarkStart w:id="60" w:name="_Toc523127127"/>
      <w:bookmarkStart w:id="61" w:name="_Toc523129611"/>
      <w:bookmarkStart w:id="62" w:name="_Toc526047788"/>
      <w:bookmarkStart w:id="63" w:name="_Toc526051951"/>
      <w:bookmarkStart w:id="64" w:name="_Toc526133635"/>
      <w:bookmarkStart w:id="65" w:name="_Toc1790125"/>
      <w:bookmarkStart w:id="66" w:name="_Toc1790790"/>
      <w:bookmarkStart w:id="67" w:name="_Toc298159351"/>
      <w:r w:rsidRPr="00950E51">
        <w:rPr>
          <w:lang w:val="en-GB"/>
        </w:rPr>
        <w:t>3.3</w:t>
      </w:r>
      <w:r w:rsidRPr="00950E51">
        <w:rPr>
          <w:lang w:val="en-GB"/>
        </w:rPr>
        <w:tab/>
        <w:t>Propagation and radiation effects</w:t>
      </w:r>
      <w:bookmarkEnd w:id="60"/>
      <w:bookmarkEnd w:id="61"/>
      <w:bookmarkEnd w:id="62"/>
      <w:bookmarkEnd w:id="63"/>
      <w:bookmarkEnd w:id="64"/>
      <w:bookmarkEnd w:id="65"/>
      <w:bookmarkEnd w:id="66"/>
      <w:bookmarkEnd w:id="67"/>
    </w:p>
    <w:p w:rsidR="00950E51" w:rsidRPr="00950E51" w:rsidRDefault="00950E51" w:rsidP="001E6E52">
      <w:pPr>
        <w:rPr>
          <w:lang w:val="en-GB"/>
        </w:rPr>
      </w:pPr>
      <w:r w:rsidRPr="00950E51">
        <w:rPr>
          <w:lang w:val="en-GB"/>
        </w:rPr>
        <w:t>Radiocommunication links between earth stations and space research satellites pass through the Earth’s atmosphere where absorption, precipitation and scattering affect the propagation of radio signals and limit the use of a number of frequency bands. Precipitation, especially rain, causes absorption and scattering of radio waves that can lead to severe signal attenuation. For all rainfall rates, the specific attenuation increases rapidly with increase of the used frequency up to about 100 GHz, after which the rate of attenuation does not increase appreciably as a function of frequency. For countries located in regions of high rain rate, the choice of suitable frequencies is critical if they are to maintain a high quality of performance despite adverse weather conditions.</w:t>
      </w:r>
    </w:p>
    <w:p w:rsidR="00950E51" w:rsidRPr="00950E51" w:rsidRDefault="00950E51" w:rsidP="001E6E52">
      <w:pPr>
        <w:rPr>
          <w:lang w:val="en-GB"/>
        </w:rPr>
      </w:pPr>
      <w:r w:rsidRPr="00950E51">
        <w:rPr>
          <w:lang w:val="en-GB"/>
        </w:rPr>
        <w:t>Molecular absorption is primarily due to atmospheric water vapour and oxygen. Trace gases, in the absence of water vapour, can also contribute significant attenuation for frequencies greater than 70 GHz. Water vapour has absorption lines centred at 22.235 GHz, at 183.3 GHz and around 325 GHz. Oxygen has a series of absorption lines extending from 53.5 to 65.2 GHz, and an isolated line centred at 118.74 GHz. In the future it may be desirable to employ geostationary relay stations operating at frequencies which are relatively opaque to the transmission of radio signals through the Earth’s atmosphere, thereby limiting interference between the relay stations and spacecraft from terrestrial stations.</w:t>
      </w:r>
    </w:p>
    <w:p w:rsidR="00950E51" w:rsidRPr="00950E51" w:rsidRDefault="00950E51" w:rsidP="001E6E52">
      <w:pPr>
        <w:rPr>
          <w:lang w:val="en-GB"/>
        </w:rPr>
      </w:pPr>
      <w:r w:rsidRPr="00950E51">
        <w:rPr>
          <w:lang w:val="en-GB"/>
        </w:rPr>
        <w:t>Sky noise temperature as seen by an earth station antenna is a function of frequency, antenna elevation angle, and atmospheric conditions. Above about 4 GHz, precipitation can result in an increase in sky noise that is several times larger than the receiver noise temperature. The sky noise temperature seen by a spacecraft is determined primarily by celestial bodies such as the moons and the planets that provide the backdrop for most space research missions. The Sun with blackbody radiation temperature of 6</w:t>
      </w:r>
      <w:r w:rsidRPr="00950E51">
        <w:rPr>
          <w:sz w:val="12"/>
          <w:lang w:val="en-GB"/>
        </w:rPr>
        <w:t> </w:t>
      </w:r>
      <w:r w:rsidRPr="00950E51">
        <w:rPr>
          <w:lang w:val="en-GB"/>
        </w:rPr>
        <w:t>000 K, would greatly increase the system noise temperature and therefore transmissions that require a receiving antenna to point at or near the Sun are usually avoided. The blackbody radiation temperatures of the moon and planets range from about 50-700 K (the Earth temperature is 290 K). For many near-Earth missions, the Earth will generally be within the main lobe of a spacecraft or DRS antenna and contribute to the overall noise temperature of the receiving system. System noise temperature of typical spacecraft range from 600 to 1</w:t>
      </w:r>
      <w:r w:rsidRPr="00950E51">
        <w:rPr>
          <w:sz w:val="12"/>
          <w:lang w:val="en-GB"/>
        </w:rPr>
        <w:t> </w:t>
      </w:r>
      <w:r w:rsidRPr="00950E51">
        <w:rPr>
          <w:lang w:val="en-GB"/>
        </w:rPr>
        <w:t>500 K.</w:t>
      </w:r>
    </w:p>
    <w:p w:rsidR="00950E51" w:rsidRPr="00950E51" w:rsidRDefault="00950E51" w:rsidP="00A0254F">
      <w:pPr>
        <w:rPr>
          <w:lang w:val="en-GB"/>
        </w:rPr>
      </w:pPr>
      <w:r w:rsidRPr="00950E51">
        <w:rPr>
          <w:lang w:val="en-GB"/>
        </w:rPr>
        <w:lastRenderedPageBreak/>
        <w:t>Radio-frequency spectrum below 100 MHz is generally not considered for space research because ionospheric effects, cosmic and man-made noise mitigate against the use of frequencies in that range. In the range between 100 MHz and 1 GHz, atmospheric absorption is low and weather has very little effect on signal propagation. Background noise, however, is relatively high, increasing as 1/</w:t>
      </w:r>
      <w:r w:rsidRPr="00950E51">
        <w:rPr>
          <w:i/>
          <w:iCs/>
          <w:lang w:val="en-GB"/>
        </w:rPr>
        <w:t>f</w:t>
      </w:r>
      <w:r w:rsidRPr="00950E51">
        <w:rPr>
          <w:sz w:val="16"/>
          <w:lang w:val="en-GB"/>
        </w:rPr>
        <w:t> </w:t>
      </w:r>
      <w:r w:rsidRPr="00950E51">
        <w:rPr>
          <w:position w:val="6"/>
          <w:sz w:val="20"/>
          <w:lang w:val="en-GB"/>
        </w:rPr>
        <w:t>2</w:t>
      </w:r>
      <w:r w:rsidRPr="00950E51">
        <w:rPr>
          <w:lang w:val="en-GB"/>
        </w:rPr>
        <w:t>, and therefore the use of low-noise receivers do not provide significant improvement in performance in this range of frequencies. In the 1 to 10 GHz frequency range, weather effects are very small particularly at the lower end of the range permitting essentially weather independent communications. Both galactic and atmospheric noise are low permitting the use of low-noise receivers. Above 10 GHz and up to 275 GHz, the propagation of signals through the atmosphere is subject to high attenuation primarily due to precipitation and gaseous absorption. Both of these conditions can have a significant effect on Earth-to-space communication paths.</w:t>
      </w:r>
    </w:p>
    <w:p w:rsidR="00950E51" w:rsidRPr="00950E51" w:rsidRDefault="00950E51" w:rsidP="00A0254F">
      <w:pPr>
        <w:pStyle w:val="Heading2"/>
        <w:rPr>
          <w:lang w:val="en-GB"/>
        </w:rPr>
      </w:pPr>
      <w:bookmarkStart w:id="68" w:name="_Toc523127128"/>
      <w:bookmarkStart w:id="69" w:name="_Toc523129612"/>
      <w:bookmarkStart w:id="70" w:name="_Toc526047789"/>
      <w:bookmarkStart w:id="71" w:name="_Toc526051952"/>
      <w:bookmarkStart w:id="72" w:name="_Toc526133636"/>
      <w:bookmarkStart w:id="73" w:name="_Toc1790126"/>
      <w:bookmarkStart w:id="74" w:name="_Toc1790791"/>
      <w:bookmarkStart w:id="75" w:name="_Toc298159352"/>
      <w:r w:rsidRPr="00950E51">
        <w:rPr>
          <w:lang w:val="en-GB"/>
        </w:rPr>
        <w:t>3.4</w:t>
      </w:r>
      <w:r w:rsidRPr="00950E51">
        <w:rPr>
          <w:lang w:val="en-GB"/>
        </w:rPr>
        <w:tab/>
        <w:t>Link performance</w:t>
      </w:r>
      <w:bookmarkEnd w:id="68"/>
      <w:bookmarkEnd w:id="69"/>
      <w:bookmarkEnd w:id="70"/>
      <w:bookmarkEnd w:id="71"/>
      <w:bookmarkEnd w:id="72"/>
      <w:bookmarkEnd w:id="73"/>
      <w:bookmarkEnd w:id="74"/>
      <w:bookmarkEnd w:id="75"/>
    </w:p>
    <w:p w:rsidR="00950E51" w:rsidRPr="00950E51" w:rsidRDefault="00950E51" w:rsidP="00A0254F">
      <w:pPr>
        <w:rPr>
          <w:lang w:val="en-GB"/>
        </w:rPr>
      </w:pPr>
      <w:r w:rsidRPr="00950E51">
        <w:rPr>
          <w:lang w:val="en-GB"/>
        </w:rPr>
        <w:t>Link reliability is an important mission requirement. Critical operations such as launch and contingency operations when the orientation of the spacecraft cannot be guaranteed require highly reliable links. Reliability is of paramount importance for all manned missions. The 2 GHz allocations to the SRS are employed to provide a reliable, weather independent link for space research missions and are used for these critical functions.</w:t>
      </w:r>
    </w:p>
    <w:p w:rsidR="00950E51" w:rsidRPr="00950E51" w:rsidRDefault="00950E51" w:rsidP="00A0254F">
      <w:pPr>
        <w:rPr>
          <w:lang w:val="en-GB"/>
        </w:rPr>
      </w:pPr>
      <w:r w:rsidRPr="00950E51">
        <w:rPr>
          <w:lang w:val="en-GB"/>
        </w:rPr>
        <w:t>The identification of frequency bands which provide the best performance for space research communication and tracking links is done in the link performance analysis and depends on radiowave propagation parameters and equipment characteristics. A convenient index of link performance is the ratio of received signal power to noise power spectral density ratio (</w:t>
      </w:r>
      <w:r w:rsidRPr="00950E51">
        <w:rPr>
          <w:i/>
          <w:iCs/>
          <w:lang w:val="en-GB"/>
        </w:rPr>
        <w:t>P</w:t>
      </w:r>
      <w:r w:rsidRPr="00950E51">
        <w:rPr>
          <w:i/>
          <w:iCs/>
          <w:position w:val="-4"/>
          <w:sz w:val="20"/>
          <w:lang w:val="en-GB"/>
        </w:rPr>
        <w:t>r</w:t>
      </w:r>
      <w:r w:rsidRPr="00950E51">
        <w:rPr>
          <w:i/>
          <w:iCs/>
          <w:position w:val="-4"/>
          <w:sz w:val="8"/>
          <w:lang w:val="en-GB"/>
        </w:rPr>
        <w:t> </w:t>
      </w:r>
      <w:r w:rsidRPr="00950E51">
        <w:rPr>
          <w:lang w:val="en-GB"/>
        </w:rPr>
        <w:t>/</w:t>
      </w:r>
      <w:r w:rsidRPr="00950E51">
        <w:rPr>
          <w:i/>
          <w:iCs/>
          <w:lang w:val="en-GB"/>
        </w:rPr>
        <w:t>N</w:t>
      </w:r>
      <w:r w:rsidRPr="00950E51">
        <w:rPr>
          <w:position w:val="-4"/>
          <w:sz w:val="20"/>
          <w:lang w:val="en-GB"/>
        </w:rPr>
        <w:t>0</w:t>
      </w:r>
      <w:r w:rsidRPr="00950E51">
        <w:rPr>
          <w:position w:val="-4"/>
          <w:lang w:val="en-GB"/>
        </w:rPr>
        <w:t>)</w:t>
      </w:r>
      <w:r w:rsidRPr="00950E51">
        <w:rPr>
          <w:lang w:val="en-GB"/>
        </w:rPr>
        <w:t xml:space="preserve">. Information curves derived from link performance analysis assist in identifying frequency ranges that provide optimum performance for the proposed mission conditions. Different assumptions about communication distance, antenna characteristics and transmitter power alter the absolute values of </w:t>
      </w:r>
      <w:r w:rsidRPr="00950E51">
        <w:rPr>
          <w:i/>
          <w:iCs/>
          <w:lang w:val="en-GB"/>
        </w:rPr>
        <w:t>P</w:t>
      </w:r>
      <w:r w:rsidRPr="00950E51">
        <w:rPr>
          <w:i/>
          <w:iCs/>
          <w:position w:val="-4"/>
          <w:sz w:val="20"/>
          <w:lang w:val="en-GB"/>
        </w:rPr>
        <w:t>r</w:t>
      </w:r>
      <w:r w:rsidRPr="00950E51">
        <w:rPr>
          <w:i/>
          <w:iCs/>
          <w:position w:val="-4"/>
          <w:sz w:val="8"/>
          <w:lang w:val="en-GB"/>
        </w:rPr>
        <w:t> </w:t>
      </w:r>
      <w:r w:rsidRPr="00950E51">
        <w:rPr>
          <w:lang w:val="en-GB"/>
        </w:rPr>
        <w:t>/</w:t>
      </w:r>
      <w:r w:rsidRPr="00950E51">
        <w:rPr>
          <w:i/>
          <w:iCs/>
          <w:lang w:val="en-GB"/>
        </w:rPr>
        <w:t>N</w:t>
      </w:r>
      <w:r w:rsidRPr="00950E51">
        <w:rPr>
          <w:position w:val="-4"/>
          <w:sz w:val="20"/>
          <w:lang w:val="en-GB"/>
        </w:rPr>
        <w:t>0</w:t>
      </w:r>
      <w:r w:rsidRPr="00950E51">
        <w:rPr>
          <w:position w:val="-4"/>
          <w:lang w:val="en-GB"/>
        </w:rPr>
        <w:t xml:space="preserve"> </w:t>
      </w:r>
      <w:r w:rsidRPr="00950E51">
        <w:rPr>
          <w:lang w:val="en-GB"/>
        </w:rPr>
        <w:t xml:space="preserve">but do not change the shape of the curves. The frequency band which provides the highest value of </w:t>
      </w:r>
      <w:r w:rsidRPr="00950E51">
        <w:rPr>
          <w:i/>
          <w:iCs/>
          <w:lang w:val="en-GB"/>
        </w:rPr>
        <w:t>P</w:t>
      </w:r>
      <w:r w:rsidRPr="00950E51">
        <w:rPr>
          <w:i/>
          <w:iCs/>
          <w:position w:val="-4"/>
          <w:sz w:val="20"/>
          <w:lang w:val="en-GB"/>
        </w:rPr>
        <w:t>r</w:t>
      </w:r>
      <w:r w:rsidRPr="00950E51">
        <w:rPr>
          <w:i/>
          <w:iCs/>
          <w:position w:val="-4"/>
          <w:sz w:val="8"/>
          <w:lang w:val="en-GB"/>
        </w:rPr>
        <w:t> </w:t>
      </w:r>
      <w:r w:rsidRPr="00950E51">
        <w:rPr>
          <w:lang w:val="en-GB"/>
        </w:rPr>
        <w:t>/</w:t>
      </w:r>
      <w:r w:rsidRPr="00950E51">
        <w:rPr>
          <w:i/>
          <w:iCs/>
          <w:lang w:val="en-GB"/>
        </w:rPr>
        <w:t>N</w:t>
      </w:r>
      <w:r w:rsidRPr="00950E51">
        <w:rPr>
          <w:position w:val="-4"/>
          <w:sz w:val="20"/>
          <w:lang w:val="en-GB"/>
        </w:rPr>
        <w:t>0</w:t>
      </w:r>
      <w:r w:rsidRPr="00950E51">
        <w:rPr>
          <w:position w:val="-4"/>
          <w:lang w:val="en-GB"/>
        </w:rPr>
        <w:t xml:space="preserve"> </w:t>
      </w:r>
      <w:r w:rsidRPr="00950E51">
        <w:rPr>
          <w:lang w:val="en-GB"/>
        </w:rPr>
        <w:t>for a particular system and set of propagation conditions is defined as the preferred frequency band.</w:t>
      </w:r>
    </w:p>
    <w:p w:rsidR="00950E51" w:rsidRPr="00950E51" w:rsidRDefault="00950E51" w:rsidP="00A0254F">
      <w:pPr>
        <w:pStyle w:val="Heading2"/>
        <w:rPr>
          <w:lang w:val="en-GB"/>
        </w:rPr>
      </w:pPr>
      <w:bookmarkStart w:id="76" w:name="_Toc523127129"/>
      <w:bookmarkStart w:id="77" w:name="_Toc523129613"/>
      <w:bookmarkStart w:id="78" w:name="_Toc526047790"/>
      <w:bookmarkStart w:id="79" w:name="_Toc526051953"/>
      <w:bookmarkStart w:id="80" w:name="_Toc526133637"/>
      <w:bookmarkStart w:id="81" w:name="_Toc1790127"/>
      <w:bookmarkStart w:id="82" w:name="_Toc1790792"/>
      <w:bookmarkStart w:id="83" w:name="_Toc298159353"/>
      <w:r w:rsidRPr="00950E51">
        <w:rPr>
          <w:lang w:val="en-GB"/>
        </w:rPr>
        <w:t>3.5</w:t>
      </w:r>
      <w:r w:rsidRPr="00950E51">
        <w:rPr>
          <w:lang w:val="en-GB"/>
        </w:rPr>
        <w:tab/>
        <w:t xml:space="preserve">Recommendations related to space research service </w:t>
      </w:r>
      <w:bookmarkEnd w:id="76"/>
      <w:bookmarkEnd w:id="77"/>
      <w:bookmarkEnd w:id="78"/>
      <w:bookmarkEnd w:id="79"/>
      <w:bookmarkEnd w:id="80"/>
      <w:bookmarkEnd w:id="81"/>
      <w:bookmarkEnd w:id="82"/>
      <w:bookmarkEnd w:id="83"/>
      <w:r w:rsidRPr="00950E51">
        <w:rPr>
          <w:lang w:val="en-GB"/>
        </w:rPr>
        <w:t>allocations</w:t>
      </w:r>
    </w:p>
    <w:p w:rsidR="00950E51" w:rsidRPr="00950E51" w:rsidRDefault="00950E51" w:rsidP="00A0254F">
      <w:pPr>
        <w:rPr>
          <w:b/>
          <w:lang w:val="en-GB"/>
        </w:rPr>
      </w:pPr>
      <w:r w:rsidRPr="00950E51">
        <w:rPr>
          <w:lang w:val="en-GB"/>
        </w:rPr>
        <w:t>Frequency band allocations for space research were initiated during the 1959 Ordinary Administrative Radio Conference in Geneva when provisional allocations to transmissions between the Earth and artificial Earth satellites were made in the frequency bands 136-137 MHz and 2</w:t>
      </w:r>
      <w:r w:rsidRPr="00950E51">
        <w:rPr>
          <w:sz w:val="12"/>
          <w:lang w:val="en-GB"/>
        </w:rPr>
        <w:t> </w:t>
      </w:r>
      <w:r w:rsidRPr="00950E51">
        <w:rPr>
          <w:lang w:val="en-GB"/>
        </w:rPr>
        <w:t>290</w:t>
      </w:r>
      <w:r w:rsidR="00A0254F">
        <w:rPr>
          <w:lang w:val="en-GB"/>
        </w:rPr>
        <w:noBreakHyphen/>
      </w:r>
      <w:r w:rsidRPr="00950E51">
        <w:rPr>
          <w:lang w:val="en-GB"/>
        </w:rPr>
        <w:t>2</w:t>
      </w:r>
      <w:r w:rsidRPr="00950E51">
        <w:rPr>
          <w:sz w:val="12"/>
          <w:lang w:val="en-GB"/>
        </w:rPr>
        <w:t> </w:t>
      </w:r>
      <w:r w:rsidRPr="00950E51">
        <w:rPr>
          <w:lang w:val="en-GB"/>
        </w:rPr>
        <w:t>300 MHz. In 1963 the Extraordinary Administrative Radio Conference fortified these two space research allocations making them primary, co-equal with other services, and exclusive in Region 2. That time advances in the space research technology and communications and demands to meet ever increasing data requirements have necessitated the allocation of additional bands to meet the growing needs of the space research service.</w:t>
      </w:r>
    </w:p>
    <w:p w:rsidR="00950E51" w:rsidRPr="00950E51" w:rsidRDefault="00950E51" w:rsidP="00A0254F">
      <w:pPr>
        <w:rPr>
          <w:lang w:val="en-GB"/>
        </w:rPr>
      </w:pPr>
      <w:r w:rsidRPr="00950E51">
        <w:rPr>
          <w:lang w:val="en-GB"/>
        </w:rPr>
        <w:t>Preferred frequency bands for the space research service can be found in the following ITU-R Recommendations:</w:t>
      </w:r>
    </w:p>
    <w:p w:rsidR="00950E51" w:rsidRPr="00950E51" w:rsidRDefault="00950E51" w:rsidP="00A0254F">
      <w:pPr>
        <w:pStyle w:val="enumlev1"/>
        <w:rPr>
          <w:lang w:val="en-GB"/>
        </w:rPr>
      </w:pPr>
      <w:r w:rsidRPr="00950E51">
        <w:rPr>
          <w:lang w:val="en-GB"/>
        </w:rPr>
        <w:t>–</w:t>
      </w:r>
      <w:r w:rsidRPr="00950E51">
        <w:rPr>
          <w:lang w:val="en-GB"/>
        </w:rPr>
        <w:tab/>
        <w:t>Recommendation ITU-R SA.363 – Space operation systems</w:t>
      </w:r>
    </w:p>
    <w:p w:rsidR="00950E51" w:rsidRPr="00950E51" w:rsidRDefault="00950E51" w:rsidP="00A0254F">
      <w:pPr>
        <w:pStyle w:val="enumlev1"/>
        <w:rPr>
          <w:lang w:val="en-GB"/>
        </w:rPr>
      </w:pPr>
      <w:r w:rsidRPr="00950E51">
        <w:rPr>
          <w:lang w:val="en-GB"/>
        </w:rPr>
        <w:t>–</w:t>
      </w:r>
      <w:r w:rsidRPr="00950E51">
        <w:rPr>
          <w:lang w:val="en-GB"/>
        </w:rPr>
        <w:tab/>
        <w:t>Recommendation ITU-R SA.1019 – Preferred frequency bands and transmission directions for data relay satellite systems</w:t>
      </w:r>
    </w:p>
    <w:p w:rsidR="00950E51" w:rsidRPr="00950E51" w:rsidRDefault="00950E51" w:rsidP="00A0254F">
      <w:pPr>
        <w:pStyle w:val="enumlev1"/>
        <w:rPr>
          <w:lang w:val="en-GB"/>
        </w:rPr>
      </w:pPr>
      <w:r w:rsidRPr="00950E51">
        <w:rPr>
          <w:lang w:val="en-GB"/>
        </w:rPr>
        <w:t>–</w:t>
      </w:r>
      <w:r w:rsidRPr="00950E51">
        <w:rPr>
          <w:lang w:val="en-GB"/>
        </w:rPr>
        <w:tab/>
        <w:t>Recommendation ITU-R SA.1863 ‒ Radiocommunications used for emergencies in manned space flight.</w:t>
      </w:r>
    </w:p>
    <w:p w:rsidR="00950E51" w:rsidRPr="00950E51" w:rsidRDefault="00950E51" w:rsidP="00A0254F">
      <w:pPr>
        <w:rPr>
          <w:lang w:val="en-GB"/>
        </w:rPr>
      </w:pPr>
      <w:r w:rsidRPr="00950E51">
        <w:rPr>
          <w:lang w:val="en-GB"/>
        </w:rPr>
        <w:t>A comprehensive table of SRS allocations, their use by SRS systems and corresponding pfd limits is presented in the Attachment to this Annex.</w:t>
      </w:r>
    </w:p>
    <w:p w:rsidR="00950E51" w:rsidRPr="00950E51" w:rsidRDefault="00950E51" w:rsidP="00A0254F">
      <w:pPr>
        <w:pStyle w:val="Heading1"/>
        <w:rPr>
          <w:lang w:val="en-GB"/>
        </w:rPr>
      </w:pPr>
      <w:r w:rsidRPr="00950E51">
        <w:rPr>
          <w:lang w:val="en-GB"/>
        </w:rPr>
        <w:lastRenderedPageBreak/>
        <w:t>4</w:t>
      </w:r>
      <w:r w:rsidRPr="00950E51">
        <w:rPr>
          <w:lang w:val="en-GB"/>
        </w:rPr>
        <w:tab/>
        <w:t>Preferred frequency bands, their uses by SRS systems and typical individual links bandwidths and their uses</w:t>
      </w:r>
    </w:p>
    <w:p w:rsidR="00950E51" w:rsidRPr="00950E51" w:rsidRDefault="00950E51" w:rsidP="00A0254F">
      <w:pPr>
        <w:rPr>
          <w:lang w:val="en-GB"/>
        </w:rPr>
      </w:pPr>
      <w:r w:rsidRPr="00950E51">
        <w:rPr>
          <w:lang w:val="en-GB"/>
        </w:rPr>
        <w:t xml:space="preserve">Maximum data rate capability is obtained by using frequency bands where </w:t>
      </w:r>
      <w:r w:rsidRPr="00950E51">
        <w:rPr>
          <w:i/>
          <w:lang w:val="en-GB"/>
        </w:rPr>
        <w:t>P</w:t>
      </w:r>
      <w:r w:rsidRPr="00950E51">
        <w:rPr>
          <w:i/>
          <w:position w:val="-3"/>
          <w:sz w:val="16"/>
          <w:lang w:val="en-GB"/>
        </w:rPr>
        <w:t>r</w:t>
      </w:r>
      <w:r w:rsidRPr="00950E51">
        <w:rPr>
          <w:i/>
          <w:position w:val="-3"/>
          <w:sz w:val="12"/>
          <w:lang w:val="en-GB"/>
        </w:rPr>
        <w:t> </w:t>
      </w:r>
      <w:r w:rsidRPr="00950E51">
        <w:rPr>
          <w:iCs/>
          <w:lang w:val="en-GB"/>
        </w:rPr>
        <w:t>/</w:t>
      </w:r>
      <w:r w:rsidRPr="00950E51">
        <w:rPr>
          <w:i/>
          <w:sz w:val="12"/>
          <w:lang w:val="en-GB"/>
        </w:rPr>
        <w:t> </w:t>
      </w:r>
      <w:r w:rsidRPr="00950E51">
        <w:rPr>
          <w:i/>
          <w:lang w:val="en-GB"/>
        </w:rPr>
        <w:t>N</w:t>
      </w:r>
      <w:r w:rsidRPr="00950E51">
        <w:rPr>
          <w:position w:val="-3"/>
          <w:sz w:val="16"/>
          <w:lang w:val="en-GB"/>
        </w:rPr>
        <w:t>0</w:t>
      </w:r>
      <w:r w:rsidRPr="00950E51">
        <w:rPr>
          <w:lang w:val="en-GB"/>
        </w:rPr>
        <w:t xml:space="preserve"> is a maximum for the weather conditions and space-station antenna limitations considered. Table 1 summarizes the frequency bands preferred for various applications. A high rain rate was assumed when determining the width of all-weather frequency bands in order that the results be applicable worldwide. Frequency bands outside this range may be suitable for areas of lower rain rates.</w:t>
      </w:r>
    </w:p>
    <w:p w:rsidR="00950E51" w:rsidRPr="00950E51" w:rsidRDefault="00950E51" w:rsidP="00A0254F">
      <w:pPr>
        <w:rPr>
          <w:lang w:val="en-GB"/>
        </w:rPr>
      </w:pPr>
      <w:r w:rsidRPr="00950E51">
        <w:rPr>
          <w:lang w:val="en-GB"/>
        </w:rPr>
        <w:t xml:space="preserve">Space-to-space links are best located in the frequency ranges of high atmospheric attenuation as this virtually eliminates any problem of interference to and from terrestrial sources. </w:t>
      </w:r>
    </w:p>
    <w:p w:rsidR="00950E51" w:rsidRPr="00950E51" w:rsidRDefault="00950E51" w:rsidP="00A0254F">
      <w:pPr>
        <w:rPr>
          <w:lang w:val="en-GB"/>
        </w:rPr>
      </w:pPr>
      <w:r w:rsidRPr="00950E51">
        <w:rPr>
          <w:lang w:val="en-GB"/>
        </w:rPr>
        <w:t>Above about 150 GHz, trans-atmospheric communications are subject to a high level of signal attenuation when the elevation angle is low. However, the range of frequencies above 150 GHz may be considered for links through the atmosphere, where the elevation angle of operation is not low.</w:t>
      </w:r>
    </w:p>
    <w:p w:rsidR="00950E51" w:rsidRPr="00950E51" w:rsidRDefault="00950E51" w:rsidP="00A0254F">
      <w:pPr>
        <w:rPr>
          <w:lang w:val="en-GB"/>
        </w:rPr>
      </w:pPr>
      <w:r w:rsidRPr="00950E51">
        <w:rPr>
          <w:lang w:val="en-GB"/>
        </w:rPr>
        <w:t>The list of frequency bands given in Table 1 is intended to identify those frequency ranges which are preferred from a technical standpoint. The inclusion of a frequency band in the table is not intended to indicate that there will be sufficient available link margin or bandwidth and does not mean that these frequencies have been allocated. Also, exclusion of other frequencies from the table does not necessarily preclude operations in these frequency bands where frequency sharing considerations and state of the art equipment limitations dictate their use.</w:t>
      </w:r>
    </w:p>
    <w:p w:rsidR="00950E51" w:rsidRPr="00950E51" w:rsidRDefault="00950E51" w:rsidP="00A0254F">
      <w:pPr>
        <w:pStyle w:val="TableNo"/>
        <w:rPr>
          <w:lang w:val="en-GB"/>
        </w:rPr>
      </w:pPr>
      <w:r w:rsidRPr="00950E51">
        <w:rPr>
          <w:lang w:val="en-GB"/>
        </w:rPr>
        <w:t>TABLE 1</w:t>
      </w:r>
    </w:p>
    <w:p w:rsidR="00950E51" w:rsidRPr="00950E51" w:rsidRDefault="00950E51" w:rsidP="00A0254F">
      <w:pPr>
        <w:pStyle w:val="Tabletitle"/>
        <w:rPr>
          <w:lang w:val="en-GB"/>
        </w:rPr>
      </w:pPr>
      <w:r w:rsidRPr="00950E51">
        <w:rPr>
          <w:lang w:val="en-GB"/>
        </w:rPr>
        <w:t>Preferred frequency ranges and their uses*</w:t>
      </w:r>
    </w:p>
    <w:tbl>
      <w:tblPr>
        <w:tblW w:w="9639" w:type="dxa"/>
        <w:jc w:val="center"/>
        <w:tblLayout w:type="fixed"/>
        <w:tblLook w:val="0000" w:firstRow="0" w:lastRow="0" w:firstColumn="0" w:lastColumn="0" w:noHBand="0" w:noVBand="0"/>
      </w:tblPr>
      <w:tblGrid>
        <w:gridCol w:w="1688"/>
        <w:gridCol w:w="2339"/>
        <w:gridCol w:w="5612"/>
      </w:tblGrid>
      <w:tr w:rsidR="00950E51" w:rsidRPr="00950E51"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head"/>
              <w:rPr>
                <w:sz w:val="18"/>
                <w:szCs w:val="18"/>
                <w:lang w:val="en-GB"/>
              </w:rPr>
            </w:pPr>
            <w:r w:rsidRPr="00A0254F">
              <w:rPr>
                <w:sz w:val="18"/>
                <w:szCs w:val="18"/>
                <w:lang w:val="en-GB"/>
              </w:rPr>
              <w:t>Frequency ranges</w:t>
            </w:r>
            <w:r w:rsidRPr="00A0254F">
              <w:rPr>
                <w:sz w:val="18"/>
                <w:szCs w:val="18"/>
                <w:lang w:val="en-GB"/>
              </w:rPr>
              <w:br/>
              <w:t>(GHz)</w:t>
            </w:r>
          </w:p>
        </w:tc>
        <w:tc>
          <w:tcPr>
            <w:tcW w:w="2270" w:type="dxa"/>
            <w:tcBorders>
              <w:top w:val="single" w:sz="6" w:space="0" w:color="auto"/>
              <w:left w:val="single" w:sz="6" w:space="0" w:color="auto"/>
              <w:bottom w:val="single" w:sz="6" w:space="0" w:color="auto"/>
              <w:right w:val="nil"/>
            </w:tcBorders>
          </w:tcPr>
          <w:p w:rsidR="00950E51" w:rsidRPr="00A0254F" w:rsidRDefault="00950E51" w:rsidP="00A0254F">
            <w:pPr>
              <w:pStyle w:val="Tablehead"/>
              <w:rPr>
                <w:sz w:val="18"/>
                <w:szCs w:val="18"/>
                <w:lang w:val="en-GB"/>
              </w:rPr>
            </w:pPr>
            <w:r w:rsidRPr="00A0254F">
              <w:rPr>
                <w:sz w:val="18"/>
                <w:szCs w:val="18"/>
                <w:lang w:val="en-GB"/>
              </w:rPr>
              <w:t>Direction</w:t>
            </w:r>
          </w:p>
          <w:p w:rsidR="00950E51" w:rsidRPr="00A0254F" w:rsidRDefault="00950E51" w:rsidP="00A0254F">
            <w:pPr>
              <w:pStyle w:val="Tablehead"/>
              <w:rPr>
                <w:sz w:val="18"/>
                <w:szCs w:val="18"/>
                <w:lang w:val="en-GB"/>
              </w:rPr>
            </w:pPr>
            <w:r w:rsidRPr="00A0254F">
              <w:rPr>
                <w:sz w:val="18"/>
                <w:szCs w:val="18"/>
                <w:lang w:val="en-GB"/>
              </w:rPr>
              <w:t>s-E = space-to-Earth</w:t>
            </w:r>
            <w:r w:rsidRPr="00A0254F">
              <w:rPr>
                <w:sz w:val="18"/>
                <w:szCs w:val="18"/>
                <w:lang w:val="en-GB"/>
              </w:rPr>
              <w:br/>
              <w:t>E-s = Earth-to-space</w:t>
            </w:r>
            <w:r w:rsidRPr="00A0254F">
              <w:rPr>
                <w:sz w:val="18"/>
                <w:szCs w:val="18"/>
                <w:lang w:val="en-GB"/>
              </w:rPr>
              <w:br/>
              <w:t>s-s = space-to-space</w:t>
            </w:r>
          </w:p>
        </w:tc>
        <w:tc>
          <w:tcPr>
            <w:tcW w:w="5447"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head"/>
              <w:rPr>
                <w:sz w:val="18"/>
                <w:szCs w:val="18"/>
                <w:lang w:val="en-GB"/>
              </w:rPr>
            </w:pPr>
            <w:r w:rsidRPr="00A0254F">
              <w:rPr>
                <w:sz w:val="18"/>
                <w:szCs w:val="18"/>
                <w:lang w:val="en-GB"/>
              </w:rPr>
              <w:t>Comments</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0.1-2.5</w:t>
            </w:r>
            <w:r w:rsidRPr="00A0254F">
              <w:rPr>
                <w:sz w:val="18"/>
                <w:szCs w:val="18"/>
                <w:lang w:val="en-GB"/>
              </w:rPr>
              <w:br/>
              <w:t>0.1-3.0</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s-E</w:t>
            </w:r>
            <w:r w:rsidRPr="00A0254F">
              <w:rPr>
                <w:sz w:val="18"/>
                <w:szCs w:val="18"/>
                <w:lang w:val="en-GB"/>
              </w:rPr>
              <w:br/>
              <w:t>E-s</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t>An all-weather link, optimum also when communications must be established regardless of spacecraft orientation</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0.1-10</w:t>
            </w:r>
            <w:r w:rsidRPr="00A0254F">
              <w:rPr>
                <w:sz w:val="18"/>
                <w:szCs w:val="18"/>
                <w:lang w:val="en-GB"/>
              </w:rPr>
              <w:br/>
              <w:t>0.1-10</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s-E</w:t>
            </w:r>
            <w:r w:rsidRPr="00A0254F">
              <w:rPr>
                <w:sz w:val="18"/>
                <w:szCs w:val="18"/>
                <w:lang w:val="en-GB"/>
              </w:rPr>
              <w:br/>
              <w:t>E-s</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t>A clear-weather link, optimum when a broad or fixed beamwidth antenna is required on the spacecraft</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 xml:space="preserve">0.02-6 </w:t>
            </w:r>
            <w:r w:rsidRPr="00A0254F">
              <w:rPr>
                <w:sz w:val="18"/>
                <w:szCs w:val="18"/>
                <w:lang w:val="en-GB"/>
              </w:rPr>
              <w:br/>
              <w:t>0.02-6</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s-E</w:t>
            </w:r>
            <w:r w:rsidRPr="00A0254F">
              <w:rPr>
                <w:sz w:val="18"/>
                <w:szCs w:val="18"/>
                <w:lang w:val="en-GB"/>
              </w:rPr>
              <w:br/>
              <w:t>E-s</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t>An all-weather link for use with directive antennas</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A0254F" w:rsidP="00A0254F">
            <w:pPr>
              <w:pStyle w:val="Tabletext"/>
              <w:jc w:val="center"/>
              <w:rPr>
                <w:sz w:val="18"/>
                <w:szCs w:val="18"/>
                <w:lang w:val="en-GB"/>
              </w:rPr>
            </w:pPr>
            <w:r w:rsidRPr="00A0254F">
              <w:rPr>
                <w:sz w:val="18"/>
                <w:szCs w:val="18"/>
                <w:lang w:val="en-GB"/>
              </w:rPr>
              <w:t xml:space="preserve">0.02-6 </w:t>
            </w:r>
            <w:r w:rsidRPr="00A0254F">
              <w:rPr>
                <w:sz w:val="18"/>
                <w:szCs w:val="18"/>
                <w:lang w:val="en-GB"/>
              </w:rPr>
              <w:br/>
            </w:r>
            <w:r w:rsidR="00950E51" w:rsidRPr="00A0254F">
              <w:rPr>
                <w:sz w:val="18"/>
                <w:szCs w:val="18"/>
                <w:lang w:val="en-GB"/>
              </w:rPr>
              <w:t>13.4-27.5</w:t>
            </w:r>
            <w:r w:rsidR="00950E51" w:rsidRPr="00A0254F">
              <w:rPr>
                <w:sz w:val="18"/>
                <w:szCs w:val="18"/>
                <w:lang w:val="en-GB"/>
              </w:rPr>
              <w:br/>
              <w:t>31-36</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s-s</w:t>
            </w:r>
            <w:r w:rsidRPr="00A0254F">
              <w:rPr>
                <w:sz w:val="18"/>
                <w:szCs w:val="18"/>
                <w:lang w:val="en-GB"/>
              </w:rPr>
              <w:br/>
              <w:t>s-s</w:t>
            </w:r>
            <w:r w:rsidRPr="00A0254F">
              <w:rPr>
                <w:sz w:val="18"/>
                <w:szCs w:val="18"/>
                <w:lang w:val="en-GB"/>
              </w:rPr>
              <w:br/>
              <w:t>s-s</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t>Frequency bands necessary to provide space-to-space communications with existing and proven space equipment and technology. Also necessary to provide continuity of service until other frequency bands show practical and technical usability</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A0254F" w:rsidP="00A0254F">
            <w:pPr>
              <w:pStyle w:val="Tabletext"/>
              <w:jc w:val="center"/>
              <w:rPr>
                <w:sz w:val="18"/>
                <w:szCs w:val="18"/>
                <w:lang w:val="en-GB"/>
              </w:rPr>
            </w:pPr>
            <w:r w:rsidRPr="00A0254F">
              <w:rPr>
                <w:sz w:val="18"/>
                <w:szCs w:val="18"/>
                <w:lang w:val="en-GB"/>
              </w:rPr>
              <w:t>10-26</w:t>
            </w:r>
            <w:r w:rsidRPr="00A0254F">
              <w:rPr>
                <w:sz w:val="18"/>
                <w:szCs w:val="18"/>
                <w:lang w:val="en-GB"/>
              </w:rPr>
              <w:br/>
              <w:t xml:space="preserve">14-23 </w:t>
            </w:r>
            <w:r w:rsidRPr="00A0254F">
              <w:rPr>
                <w:sz w:val="18"/>
                <w:szCs w:val="18"/>
                <w:lang w:val="en-GB"/>
              </w:rPr>
              <w:br/>
            </w:r>
            <w:r w:rsidR="00950E51" w:rsidRPr="00A0254F">
              <w:rPr>
                <w:sz w:val="18"/>
                <w:szCs w:val="18"/>
                <w:lang w:val="en-GB"/>
              </w:rPr>
              <w:t>31-36</w:t>
            </w:r>
          </w:p>
          <w:p w:rsidR="00950E51" w:rsidRPr="00A0254F" w:rsidRDefault="00A0254F" w:rsidP="00A0254F">
            <w:pPr>
              <w:pStyle w:val="Tabletext"/>
              <w:jc w:val="center"/>
              <w:rPr>
                <w:sz w:val="18"/>
                <w:szCs w:val="18"/>
                <w:lang w:val="en-GB"/>
              </w:rPr>
            </w:pPr>
            <w:r w:rsidRPr="00A0254F">
              <w:rPr>
                <w:sz w:val="18"/>
                <w:szCs w:val="18"/>
                <w:lang w:val="en-GB"/>
              </w:rPr>
              <w:t>40-41</w:t>
            </w:r>
            <w:r w:rsidRPr="00A0254F">
              <w:rPr>
                <w:sz w:val="18"/>
                <w:szCs w:val="18"/>
                <w:lang w:val="en-GB"/>
              </w:rPr>
              <w:br/>
            </w:r>
            <w:r w:rsidR="00950E51" w:rsidRPr="00A0254F">
              <w:rPr>
                <w:sz w:val="18"/>
                <w:szCs w:val="18"/>
                <w:lang w:val="en-GB"/>
              </w:rPr>
              <w:t>31-36</w:t>
            </w:r>
          </w:p>
          <w:p w:rsidR="00950E51" w:rsidRPr="00A0254F" w:rsidRDefault="00950E51" w:rsidP="00A0254F">
            <w:pPr>
              <w:pStyle w:val="Tabletext"/>
              <w:jc w:val="center"/>
              <w:rPr>
                <w:sz w:val="18"/>
                <w:szCs w:val="18"/>
                <w:lang w:val="en-GB"/>
              </w:rPr>
            </w:pPr>
            <w:r w:rsidRPr="00A0254F">
              <w:rPr>
                <w:sz w:val="18"/>
                <w:szCs w:val="18"/>
                <w:lang w:val="en-GB"/>
              </w:rPr>
              <w:t>37-38</w:t>
            </w:r>
          </w:p>
          <w:p w:rsidR="00950E51" w:rsidRPr="00A0254F" w:rsidRDefault="00950E51" w:rsidP="00A0254F">
            <w:pPr>
              <w:pStyle w:val="Tabletext"/>
              <w:jc w:val="center"/>
              <w:rPr>
                <w:sz w:val="18"/>
                <w:szCs w:val="18"/>
                <w:lang w:val="en-GB"/>
              </w:rPr>
            </w:pPr>
            <w:r w:rsidRPr="00A0254F">
              <w:rPr>
                <w:sz w:val="18"/>
                <w:szCs w:val="18"/>
                <w:lang w:val="en-GB"/>
              </w:rPr>
              <w:t>74-84</w:t>
            </w:r>
          </w:p>
          <w:p w:rsidR="00950E51" w:rsidRPr="00A0254F" w:rsidRDefault="00950E51" w:rsidP="00A0254F">
            <w:pPr>
              <w:pStyle w:val="Tabletext"/>
              <w:jc w:val="center"/>
              <w:rPr>
                <w:sz w:val="18"/>
                <w:szCs w:val="18"/>
                <w:lang w:val="en-GB"/>
              </w:rPr>
            </w:pPr>
            <w:r w:rsidRPr="00A0254F">
              <w:rPr>
                <w:sz w:val="18"/>
                <w:szCs w:val="18"/>
                <w:lang w:val="en-GB"/>
              </w:rPr>
              <w:t>85-100</w:t>
            </w:r>
            <w:r w:rsidRPr="00A0254F">
              <w:rPr>
                <w:sz w:val="18"/>
                <w:szCs w:val="18"/>
                <w:lang w:val="en-GB"/>
              </w:rPr>
              <w:br/>
              <w:t>127-137</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s-E</w:t>
            </w:r>
            <w:r w:rsidRPr="00A0254F">
              <w:rPr>
                <w:sz w:val="18"/>
                <w:szCs w:val="18"/>
                <w:lang w:val="en-GB"/>
              </w:rPr>
              <w:br/>
              <w:t>E-s</w:t>
            </w:r>
            <w:r w:rsidRPr="00A0254F">
              <w:rPr>
                <w:sz w:val="18"/>
                <w:szCs w:val="18"/>
                <w:lang w:val="en-GB"/>
              </w:rPr>
              <w:br/>
              <w:t>E-s</w:t>
            </w:r>
          </w:p>
          <w:p w:rsidR="00950E51" w:rsidRPr="00A0254F" w:rsidRDefault="00950E51" w:rsidP="00A0254F">
            <w:pPr>
              <w:pStyle w:val="Tabletext"/>
              <w:jc w:val="center"/>
              <w:rPr>
                <w:sz w:val="18"/>
                <w:szCs w:val="18"/>
                <w:lang w:val="en-GB"/>
              </w:rPr>
            </w:pPr>
            <w:r w:rsidRPr="00A0254F">
              <w:rPr>
                <w:sz w:val="18"/>
                <w:szCs w:val="18"/>
                <w:lang w:val="en-GB"/>
              </w:rPr>
              <w:t>E-s</w:t>
            </w:r>
            <w:r w:rsidRPr="00A0254F">
              <w:rPr>
                <w:sz w:val="18"/>
                <w:szCs w:val="18"/>
                <w:lang w:val="en-GB"/>
              </w:rPr>
              <w:br/>
              <w:t>s-E</w:t>
            </w:r>
          </w:p>
          <w:p w:rsidR="00950E51" w:rsidRPr="00A0254F" w:rsidRDefault="00950E51" w:rsidP="00A0254F">
            <w:pPr>
              <w:pStyle w:val="Tabletext"/>
              <w:jc w:val="center"/>
              <w:rPr>
                <w:sz w:val="18"/>
                <w:szCs w:val="18"/>
                <w:lang w:val="en-GB"/>
              </w:rPr>
            </w:pPr>
            <w:r w:rsidRPr="00A0254F">
              <w:rPr>
                <w:sz w:val="18"/>
                <w:szCs w:val="18"/>
                <w:lang w:val="en-GB"/>
              </w:rPr>
              <w:t>s-E</w:t>
            </w:r>
          </w:p>
          <w:p w:rsidR="00950E51" w:rsidRPr="00A0254F" w:rsidRDefault="00950E51" w:rsidP="00A0254F">
            <w:pPr>
              <w:pStyle w:val="Tabletext"/>
              <w:jc w:val="center"/>
              <w:rPr>
                <w:sz w:val="18"/>
                <w:szCs w:val="18"/>
                <w:lang w:val="en-GB"/>
              </w:rPr>
            </w:pPr>
            <w:r w:rsidRPr="00A0254F">
              <w:rPr>
                <w:sz w:val="18"/>
                <w:szCs w:val="18"/>
                <w:lang w:val="en-GB"/>
              </w:rPr>
              <w:t>s-E</w:t>
            </w:r>
            <w:r w:rsidRPr="00A0254F">
              <w:rPr>
                <w:sz w:val="18"/>
                <w:szCs w:val="18"/>
                <w:lang w:val="en-GB"/>
              </w:rPr>
              <w:br/>
              <w:t>E-s and s-E</w:t>
            </w:r>
            <w:r w:rsidRPr="00A0254F">
              <w:rPr>
                <w:sz w:val="18"/>
                <w:szCs w:val="18"/>
                <w:lang w:val="en-GB"/>
              </w:rPr>
              <w:br/>
              <w:t>E-s and s-E</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br/>
            </w:r>
            <w:r w:rsidRPr="00A0254F">
              <w:rPr>
                <w:sz w:val="18"/>
                <w:szCs w:val="18"/>
                <w:lang w:val="en-GB"/>
              </w:rPr>
              <w:br/>
              <w:t>A clear-weather link, optimum for a high or medium gain antenna on the spacecraft</w:t>
            </w:r>
          </w:p>
        </w:tc>
      </w:tr>
      <w:tr w:rsidR="00950E51" w:rsidRPr="00406AB2" w:rsidTr="00A0254F">
        <w:trPr>
          <w:cantSplit/>
          <w:jc w:val="center"/>
        </w:trPr>
        <w:tc>
          <w:tcPr>
            <w:tcW w:w="1638" w:type="dxa"/>
            <w:tcBorders>
              <w:top w:val="single" w:sz="6" w:space="0" w:color="auto"/>
              <w:left w:val="single" w:sz="6" w:space="0" w:color="auto"/>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65-66</w:t>
            </w:r>
            <w:r w:rsidRPr="00A0254F">
              <w:rPr>
                <w:sz w:val="18"/>
                <w:szCs w:val="18"/>
                <w:lang w:val="en-GB"/>
              </w:rPr>
              <w:br/>
              <w:t>117-120</w:t>
            </w:r>
            <w:r w:rsidRPr="00A0254F">
              <w:rPr>
                <w:sz w:val="18"/>
                <w:szCs w:val="18"/>
                <w:lang w:val="en-GB"/>
              </w:rPr>
              <w:br/>
              <w:t>178-188</w:t>
            </w:r>
            <w:r w:rsidRPr="00A0254F">
              <w:rPr>
                <w:sz w:val="18"/>
                <w:szCs w:val="18"/>
                <w:lang w:val="en-GB"/>
              </w:rPr>
              <w:br/>
              <w:t>318-328</w:t>
            </w:r>
          </w:p>
        </w:tc>
        <w:tc>
          <w:tcPr>
            <w:tcW w:w="2270" w:type="dxa"/>
            <w:tcBorders>
              <w:top w:val="single" w:sz="6" w:space="0" w:color="auto"/>
              <w:left w:val="nil"/>
              <w:bottom w:val="single" w:sz="6" w:space="0" w:color="auto"/>
              <w:right w:val="single" w:sz="6" w:space="0" w:color="auto"/>
            </w:tcBorders>
          </w:tcPr>
          <w:p w:rsidR="00950E51" w:rsidRPr="00A0254F" w:rsidRDefault="00950E51" w:rsidP="00A0254F">
            <w:pPr>
              <w:pStyle w:val="Tabletext"/>
              <w:jc w:val="center"/>
              <w:rPr>
                <w:sz w:val="18"/>
                <w:szCs w:val="18"/>
                <w:lang w:val="en-GB"/>
              </w:rPr>
            </w:pPr>
            <w:r w:rsidRPr="00A0254F">
              <w:rPr>
                <w:sz w:val="18"/>
                <w:szCs w:val="18"/>
                <w:lang w:val="en-GB"/>
              </w:rPr>
              <w:t>s-s</w:t>
            </w:r>
            <w:r w:rsidRPr="00A0254F">
              <w:rPr>
                <w:sz w:val="18"/>
                <w:szCs w:val="18"/>
                <w:lang w:val="en-GB"/>
              </w:rPr>
              <w:br/>
              <w:t>s-s</w:t>
            </w:r>
            <w:r w:rsidRPr="00A0254F">
              <w:rPr>
                <w:sz w:val="18"/>
                <w:szCs w:val="18"/>
                <w:lang w:val="en-GB"/>
              </w:rPr>
              <w:br/>
              <w:t>s-s</w:t>
            </w:r>
            <w:r w:rsidRPr="00A0254F">
              <w:rPr>
                <w:sz w:val="18"/>
                <w:szCs w:val="18"/>
                <w:lang w:val="en-GB"/>
              </w:rPr>
              <w:br/>
              <w:t>s-s</w:t>
            </w:r>
          </w:p>
        </w:tc>
        <w:tc>
          <w:tcPr>
            <w:tcW w:w="5447" w:type="dxa"/>
            <w:tcBorders>
              <w:top w:val="single" w:sz="6" w:space="0" w:color="auto"/>
              <w:left w:val="nil"/>
              <w:bottom w:val="single" w:sz="6" w:space="0" w:color="auto"/>
              <w:right w:val="single" w:sz="6" w:space="0" w:color="auto"/>
            </w:tcBorders>
          </w:tcPr>
          <w:p w:rsidR="00950E51" w:rsidRPr="00A0254F" w:rsidRDefault="00950E51" w:rsidP="00A0254F">
            <w:pPr>
              <w:pStyle w:val="Tabletext"/>
              <w:rPr>
                <w:sz w:val="18"/>
                <w:szCs w:val="18"/>
                <w:lang w:val="en-GB"/>
              </w:rPr>
            </w:pPr>
            <w:r w:rsidRPr="00A0254F">
              <w:rPr>
                <w:sz w:val="18"/>
                <w:szCs w:val="18"/>
                <w:lang w:val="en-GB"/>
              </w:rPr>
              <w:t>Frequency bands affording maximum clear-sky interference protection to space-to-space links from terrestrial applications, optimum for high to medium gain spacecraft antennas</w:t>
            </w:r>
          </w:p>
        </w:tc>
      </w:tr>
      <w:tr w:rsidR="00950E51" w:rsidRPr="00406AB2" w:rsidTr="00A0254F">
        <w:trPr>
          <w:cantSplit/>
          <w:jc w:val="center"/>
        </w:trPr>
        <w:tc>
          <w:tcPr>
            <w:tcW w:w="9355" w:type="dxa"/>
            <w:gridSpan w:val="3"/>
            <w:tcBorders>
              <w:top w:val="single" w:sz="6" w:space="0" w:color="auto"/>
            </w:tcBorders>
          </w:tcPr>
          <w:p w:rsidR="00950E51" w:rsidRPr="00A0254F" w:rsidRDefault="00950E51" w:rsidP="00A0254F">
            <w:pPr>
              <w:pStyle w:val="Tabletext"/>
              <w:ind w:left="284" w:hanging="284"/>
              <w:rPr>
                <w:sz w:val="18"/>
                <w:szCs w:val="18"/>
                <w:lang w:val="en-GB"/>
              </w:rPr>
            </w:pPr>
            <w:r w:rsidRPr="00A0254F">
              <w:rPr>
                <w:sz w:val="18"/>
                <w:szCs w:val="18"/>
                <w:lang w:val="en-GB"/>
              </w:rPr>
              <w:t>*</w:t>
            </w:r>
            <w:r w:rsidRPr="00A0254F">
              <w:rPr>
                <w:sz w:val="18"/>
                <w:szCs w:val="18"/>
                <w:lang w:val="en-GB"/>
              </w:rPr>
              <w:tab/>
              <w:t>Specific frequency bands for SRS systems need to be used in accordance with existing SRS allocations (see Attachment to the Annex).</w:t>
            </w:r>
          </w:p>
        </w:tc>
      </w:tr>
    </w:tbl>
    <w:p w:rsidR="00950E51" w:rsidRPr="00950E51" w:rsidRDefault="00950E51" w:rsidP="00950E51">
      <w:pPr>
        <w:tabs>
          <w:tab w:val="clear" w:pos="794"/>
          <w:tab w:val="clear" w:pos="1191"/>
          <w:tab w:val="clear" w:pos="1588"/>
          <w:tab w:val="clear" w:pos="1985"/>
          <w:tab w:val="left" w:pos="1134"/>
          <w:tab w:val="left" w:pos="1871"/>
          <w:tab w:val="left" w:pos="2268"/>
        </w:tabs>
        <w:jc w:val="left"/>
        <w:rPr>
          <w:lang w:val="en-GB"/>
        </w:rPr>
      </w:pPr>
    </w:p>
    <w:p w:rsidR="00950E51" w:rsidRPr="00950E51" w:rsidRDefault="00950E51" w:rsidP="00A0254F">
      <w:pPr>
        <w:rPr>
          <w:lang w:val="en-GB"/>
        </w:rPr>
      </w:pPr>
      <w:r w:rsidRPr="00950E51">
        <w:rPr>
          <w:lang w:val="en-GB"/>
        </w:rPr>
        <w:lastRenderedPageBreak/>
        <w:t>The list of typical individual link bandwidths given in Table 2 contains information on link bandwidths which can be supported with the current technology. The inclusion of a link bandwidth in the table is not intended to indicate the frequency band in which the individual link may be required to operate nor to limit the numbers of such links that may be required to support any particular spacecraft or mission systems.</w:t>
      </w:r>
    </w:p>
    <w:p w:rsidR="00950E51" w:rsidRPr="00950E51" w:rsidRDefault="00950E51" w:rsidP="00A0254F">
      <w:pPr>
        <w:pStyle w:val="TableNo"/>
        <w:rPr>
          <w:lang w:val="en-GB"/>
        </w:rPr>
      </w:pPr>
      <w:r w:rsidRPr="00950E51">
        <w:rPr>
          <w:lang w:val="en-GB"/>
        </w:rPr>
        <w:t>TABLE 2</w:t>
      </w:r>
    </w:p>
    <w:p w:rsidR="00950E51" w:rsidRPr="00950E51" w:rsidRDefault="00950E51" w:rsidP="00A0254F">
      <w:pPr>
        <w:pStyle w:val="Tabletitle"/>
        <w:rPr>
          <w:lang w:val="en-GB"/>
        </w:rPr>
      </w:pPr>
      <w:r w:rsidRPr="00950E51">
        <w:rPr>
          <w:lang w:val="en-GB"/>
        </w:rPr>
        <w:t>Typical individual link bandwidths and their uses</w:t>
      </w:r>
    </w:p>
    <w:tbl>
      <w:tblPr>
        <w:tblW w:w="9639" w:type="dxa"/>
        <w:jc w:val="center"/>
        <w:tblLayout w:type="fixed"/>
        <w:tblLook w:val="0000" w:firstRow="0" w:lastRow="0" w:firstColumn="0" w:lastColumn="0" w:noHBand="0" w:noVBand="0"/>
      </w:tblPr>
      <w:tblGrid>
        <w:gridCol w:w="1753"/>
        <w:gridCol w:w="1752"/>
        <w:gridCol w:w="2191"/>
        <w:gridCol w:w="3943"/>
      </w:tblGrid>
      <w:tr w:rsidR="00950E51" w:rsidRPr="00950E51" w:rsidTr="00A0254F">
        <w:trPr>
          <w:cantSplit/>
          <w:jc w:val="center"/>
        </w:trPr>
        <w:tc>
          <w:tcPr>
            <w:tcW w:w="1701" w:type="dxa"/>
            <w:tcBorders>
              <w:top w:val="single" w:sz="6" w:space="0" w:color="auto"/>
              <w:left w:val="single" w:sz="6" w:space="0" w:color="auto"/>
              <w:bottom w:val="single" w:sz="6" w:space="0" w:color="auto"/>
              <w:right w:val="single" w:sz="6" w:space="0" w:color="auto"/>
            </w:tcBorders>
          </w:tcPr>
          <w:p w:rsidR="00950E51" w:rsidRPr="00950E51" w:rsidRDefault="00950E51" w:rsidP="00A0254F">
            <w:pPr>
              <w:pStyle w:val="Tablehead"/>
              <w:rPr>
                <w:lang w:val="en-GB"/>
              </w:rPr>
            </w:pPr>
            <w:r w:rsidRPr="00950E51">
              <w:rPr>
                <w:lang w:val="en-GB"/>
              </w:rPr>
              <w:t>Type of the use</w:t>
            </w:r>
          </w:p>
        </w:tc>
        <w:tc>
          <w:tcPr>
            <w:tcW w:w="1701" w:type="dxa"/>
            <w:tcBorders>
              <w:top w:val="single" w:sz="6" w:space="0" w:color="auto"/>
              <w:left w:val="single" w:sz="6" w:space="0" w:color="auto"/>
              <w:bottom w:val="single" w:sz="6" w:space="0" w:color="auto"/>
              <w:right w:val="single" w:sz="6" w:space="0" w:color="auto"/>
            </w:tcBorders>
          </w:tcPr>
          <w:p w:rsidR="00950E51" w:rsidRPr="00950E51" w:rsidRDefault="00950E51" w:rsidP="00A0254F">
            <w:pPr>
              <w:pStyle w:val="Tablehead"/>
              <w:rPr>
                <w:lang w:val="en-GB"/>
              </w:rPr>
            </w:pPr>
            <w:r w:rsidRPr="00950E51">
              <w:rPr>
                <w:lang w:val="en-GB"/>
              </w:rPr>
              <w:t>Direction</w:t>
            </w:r>
          </w:p>
        </w:tc>
        <w:tc>
          <w:tcPr>
            <w:tcW w:w="2127" w:type="dxa"/>
            <w:tcBorders>
              <w:top w:val="single" w:sz="6" w:space="0" w:color="auto"/>
              <w:left w:val="single" w:sz="6" w:space="0" w:color="auto"/>
              <w:bottom w:val="single" w:sz="6" w:space="0" w:color="auto"/>
              <w:right w:val="single" w:sz="6" w:space="0" w:color="auto"/>
            </w:tcBorders>
          </w:tcPr>
          <w:p w:rsidR="00950E51" w:rsidRPr="00950E51" w:rsidRDefault="00950E51" w:rsidP="00A0254F">
            <w:pPr>
              <w:pStyle w:val="Tablehead"/>
              <w:rPr>
                <w:lang w:val="en-GB"/>
              </w:rPr>
            </w:pPr>
            <w:r w:rsidRPr="00950E51">
              <w:rPr>
                <w:lang w:val="en-GB"/>
              </w:rPr>
              <w:t>Typical bandwidth</w:t>
            </w:r>
          </w:p>
        </w:tc>
        <w:tc>
          <w:tcPr>
            <w:tcW w:w="3828" w:type="dxa"/>
            <w:tcBorders>
              <w:top w:val="single" w:sz="6" w:space="0" w:color="auto"/>
              <w:left w:val="single" w:sz="6" w:space="0" w:color="auto"/>
              <w:bottom w:val="single" w:sz="6" w:space="0" w:color="auto"/>
              <w:right w:val="single" w:sz="6" w:space="0" w:color="auto"/>
            </w:tcBorders>
          </w:tcPr>
          <w:p w:rsidR="00950E51" w:rsidRPr="00950E51" w:rsidRDefault="00950E51" w:rsidP="00A0254F">
            <w:pPr>
              <w:pStyle w:val="Tablehead"/>
              <w:rPr>
                <w:lang w:val="en-GB"/>
              </w:rPr>
            </w:pPr>
            <w:r w:rsidRPr="00950E51">
              <w:rPr>
                <w:lang w:val="en-GB"/>
              </w:rPr>
              <w:t>Comments</w:t>
            </w:r>
          </w:p>
        </w:tc>
      </w:tr>
      <w:tr w:rsidR="00950E51" w:rsidRPr="00950E51" w:rsidTr="00A0254F">
        <w:trPr>
          <w:cantSplit/>
          <w:jc w:val="center"/>
        </w:trPr>
        <w:tc>
          <w:tcPr>
            <w:tcW w:w="1701" w:type="dxa"/>
            <w:tcBorders>
              <w:top w:val="single" w:sz="6" w:space="0" w:color="auto"/>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Telecommand</w:t>
            </w:r>
          </w:p>
        </w:tc>
        <w:tc>
          <w:tcPr>
            <w:tcW w:w="1701" w:type="dxa"/>
            <w:tcBorders>
              <w:top w:val="single" w:sz="6" w:space="0" w:color="auto"/>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E-s</w:t>
            </w:r>
          </w:p>
        </w:tc>
        <w:tc>
          <w:tcPr>
            <w:tcW w:w="2127" w:type="dxa"/>
            <w:tcBorders>
              <w:top w:val="single" w:sz="6" w:space="0" w:color="auto"/>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10-500 kHz</w:t>
            </w:r>
          </w:p>
        </w:tc>
        <w:tc>
          <w:tcPr>
            <w:tcW w:w="3828" w:type="dxa"/>
            <w:tcBorders>
              <w:top w:val="single" w:sz="6" w:space="0" w:color="auto"/>
              <w:left w:val="nil"/>
              <w:bottom w:val="nil"/>
              <w:right w:val="single" w:sz="6" w:space="0" w:color="auto"/>
            </w:tcBorders>
          </w:tcPr>
          <w:p w:rsidR="00950E51" w:rsidRPr="00950E51" w:rsidRDefault="00950E51" w:rsidP="00A0254F">
            <w:pPr>
              <w:pStyle w:val="Tabletext"/>
              <w:rPr>
                <w:lang w:val="en-GB"/>
              </w:rPr>
            </w:pPr>
          </w:p>
        </w:tc>
      </w:tr>
      <w:tr w:rsidR="00950E51" w:rsidRPr="00950E51"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Maintenance</w:t>
            </w:r>
            <w:r w:rsidRPr="00950E51">
              <w:rPr>
                <w:lang w:val="en-GB"/>
              </w:rPr>
              <w:br/>
              <w:t>telemetry</w:t>
            </w:r>
          </w:p>
        </w:tc>
        <w:tc>
          <w:tcPr>
            <w:tcW w:w="1701" w:type="dxa"/>
            <w:tcBorders>
              <w:top w:val="nil"/>
              <w:left w:val="nil"/>
              <w:bottom w:val="nil"/>
              <w:right w:val="single" w:sz="6" w:space="0" w:color="auto"/>
            </w:tcBorders>
            <w:vAlign w:val="center"/>
          </w:tcPr>
          <w:p w:rsidR="00950E51" w:rsidRPr="00950E51" w:rsidRDefault="00950E51" w:rsidP="00A0254F">
            <w:pPr>
              <w:pStyle w:val="Tabletext"/>
              <w:jc w:val="center"/>
              <w:rPr>
                <w:lang w:val="en-GB"/>
              </w:rPr>
            </w:pPr>
            <w:r w:rsidRPr="00950E51">
              <w:rPr>
                <w:lang w:val="en-GB"/>
              </w:rPr>
              <w:t>s-E</w:t>
            </w:r>
          </w:p>
        </w:tc>
        <w:tc>
          <w:tcPr>
            <w:tcW w:w="2127" w:type="dxa"/>
            <w:tcBorders>
              <w:top w:val="nil"/>
              <w:left w:val="nil"/>
              <w:bottom w:val="nil"/>
              <w:right w:val="single" w:sz="6" w:space="0" w:color="auto"/>
            </w:tcBorders>
            <w:vAlign w:val="center"/>
          </w:tcPr>
          <w:p w:rsidR="00950E51" w:rsidRPr="00950E51" w:rsidRDefault="00950E51" w:rsidP="00A0254F">
            <w:pPr>
              <w:pStyle w:val="Tabletext"/>
              <w:jc w:val="center"/>
              <w:rPr>
                <w:lang w:val="en-GB"/>
              </w:rPr>
            </w:pPr>
            <w:r w:rsidRPr="00950E51">
              <w:rPr>
                <w:lang w:val="en-GB"/>
              </w:rPr>
              <w:t>5-500 kHz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p>
        </w:tc>
      </w:tr>
      <w:tr w:rsidR="00950E51" w:rsidRPr="00406AB2"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Telemetry</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s-E (direct)</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100 kHz-100 MHz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Direct satellite transmission to the Earth</w:t>
            </w:r>
          </w:p>
        </w:tc>
      </w:tr>
      <w:tr w:rsidR="00950E51" w:rsidRPr="00406AB2"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Telemetry</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s-E (relay)</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225-650 MHz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Relay satellite link to an earth station, data from one or more user satellites</w:t>
            </w:r>
          </w:p>
        </w:tc>
      </w:tr>
      <w:tr w:rsidR="00950E51" w:rsidRPr="00406AB2"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Telemetry</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s-s</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5-225 MHz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User satellite link to relay satellite</w:t>
            </w:r>
          </w:p>
        </w:tc>
      </w:tr>
      <w:tr w:rsidR="00950E51" w:rsidRPr="00406AB2"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Telemetry</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s-s</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&gt; 1 GHz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Relay satellite link to relay satellite</w:t>
            </w:r>
          </w:p>
        </w:tc>
      </w:tr>
      <w:tr w:rsidR="00950E51" w:rsidRPr="00950E51"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Tracking</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s-E</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500 Hz-500 kHz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Interferometry</w:t>
            </w:r>
          </w:p>
        </w:tc>
      </w:tr>
      <w:tr w:rsidR="00950E51" w:rsidRPr="00406AB2"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Tracking</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E-s</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1-3 MHz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Range and range rate systems</w:t>
            </w:r>
          </w:p>
        </w:tc>
      </w:tr>
      <w:tr w:rsidR="00950E51" w:rsidRPr="00950E51" w:rsidTr="00A0254F">
        <w:trPr>
          <w:cantSplit/>
          <w:jc w:val="center"/>
        </w:trPr>
        <w:tc>
          <w:tcPr>
            <w:tcW w:w="1701" w:type="dxa"/>
            <w:tcBorders>
              <w:top w:val="nil"/>
              <w:left w:val="single" w:sz="6" w:space="0" w:color="auto"/>
              <w:bottom w:val="nil"/>
              <w:right w:val="single" w:sz="6" w:space="0" w:color="auto"/>
            </w:tcBorders>
          </w:tcPr>
          <w:p w:rsidR="00950E51" w:rsidRPr="00950E51" w:rsidRDefault="00950E51" w:rsidP="00A0254F">
            <w:pPr>
              <w:pStyle w:val="Tabletext"/>
              <w:rPr>
                <w:lang w:val="en-GB"/>
              </w:rPr>
            </w:pPr>
            <w:r w:rsidRPr="00950E51">
              <w:rPr>
                <w:lang w:val="en-GB"/>
              </w:rPr>
              <w:t>Tracking</w:t>
            </w:r>
          </w:p>
        </w:tc>
        <w:tc>
          <w:tcPr>
            <w:tcW w:w="1701"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E-s</w:t>
            </w:r>
          </w:p>
        </w:tc>
        <w:tc>
          <w:tcPr>
            <w:tcW w:w="2127" w:type="dxa"/>
            <w:tcBorders>
              <w:top w:val="nil"/>
              <w:left w:val="nil"/>
              <w:bottom w:val="nil"/>
              <w:right w:val="single" w:sz="6" w:space="0" w:color="auto"/>
            </w:tcBorders>
          </w:tcPr>
          <w:p w:rsidR="00950E51" w:rsidRPr="00950E51" w:rsidRDefault="00950E51" w:rsidP="00A0254F">
            <w:pPr>
              <w:pStyle w:val="Tabletext"/>
              <w:jc w:val="center"/>
              <w:rPr>
                <w:lang w:val="en-GB"/>
              </w:rPr>
            </w:pPr>
            <w:r w:rsidRPr="00950E51">
              <w:rPr>
                <w:lang w:val="en-GB"/>
              </w:rPr>
              <w:t>1-10 MHz</w:t>
            </w:r>
          </w:p>
        </w:tc>
        <w:tc>
          <w:tcPr>
            <w:tcW w:w="3828" w:type="dxa"/>
            <w:tcBorders>
              <w:top w:val="nil"/>
              <w:left w:val="nil"/>
              <w:bottom w:val="nil"/>
              <w:right w:val="single" w:sz="6" w:space="0" w:color="auto"/>
            </w:tcBorders>
          </w:tcPr>
          <w:p w:rsidR="00950E51" w:rsidRPr="00950E51" w:rsidRDefault="00950E51" w:rsidP="00A0254F">
            <w:pPr>
              <w:pStyle w:val="Tabletext"/>
              <w:rPr>
                <w:lang w:val="en-GB"/>
              </w:rPr>
            </w:pPr>
            <w:r w:rsidRPr="00950E51">
              <w:rPr>
                <w:lang w:val="en-GB"/>
              </w:rPr>
              <w:t>Radar</w:t>
            </w:r>
          </w:p>
        </w:tc>
      </w:tr>
      <w:tr w:rsidR="00950E51" w:rsidRPr="00950E51" w:rsidTr="00A0254F">
        <w:trPr>
          <w:cantSplit/>
          <w:jc w:val="center"/>
        </w:trPr>
        <w:tc>
          <w:tcPr>
            <w:tcW w:w="1701" w:type="dxa"/>
            <w:tcBorders>
              <w:top w:val="nil"/>
              <w:left w:val="single" w:sz="6" w:space="0" w:color="auto"/>
              <w:bottom w:val="single" w:sz="6" w:space="0" w:color="auto"/>
              <w:right w:val="single" w:sz="6" w:space="0" w:color="auto"/>
            </w:tcBorders>
          </w:tcPr>
          <w:p w:rsidR="00950E51" w:rsidRPr="00950E51" w:rsidRDefault="00950E51" w:rsidP="00A0254F">
            <w:pPr>
              <w:pStyle w:val="Tabletext"/>
              <w:rPr>
                <w:lang w:val="en-GB"/>
              </w:rPr>
            </w:pPr>
            <w:r w:rsidRPr="00950E51">
              <w:rPr>
                <w:lang w:val="en-GB"/>
              </w:rPr>
              <w:t>Tracking</w:t>
            </w:r>
          </w:p>
        </w:tc>
        <w:tc>
          <w:tcPr>
            <w:tcW w:w="1701" w:type="dxa"/>
            <w:tcBorders>
              <w:top w:val="nil"/>
              <w:left w:val="nil"/>
              <w:bottom w:val="single" w:sz="6" w:space="0" w:color="auto"/>
              <w:right w:val="single" w:sz="6" w:space="0" w:color="auto"/>
            </w:tcBorders>
          </w:tcPr>
          <w:p w:rsidR="00950E51" w:rsidRPr="00950E51" w:rsidRDefault="00950E51" w:rsidP="00A0254F">
            <w:pPr>
              <w:pStyle w:val="Tabletext"/>
              <w:jc w:val="center"/>
              <w:rPr>
                <w:lang w:val="en-GB"/>
              </w:rPr>
            </w:pPr>
            <w:r w:rsidRPr="00950E51">
              <w:rPr>
                <w:lang w:val="en-GB"/>
              </w:rPr>
              <w:t>E-s</w:t>
            </w:r>
          </w:p>
        </w:tc>
        <w:tc>
          <w:tcPr>
            <w:tcW w:w="2127" w:type="dxa"/>
            <w:tcBorders>
              <w:top w:val="nil"/>
              <w:left w:val="nil"/>
              <w:bottom w:val="single" w:sz="6" w:space="0" w:color="auto"/>
              <w:right w:val="single" w:sz="6" w:space="0" w:color="auto"/>
            </w:tcBorders>
          </w:tcPr>
          <w:p w:rsidR="00950E51" w:rsidRPr="00950E51" w:rsidRDefault="00950E51" w:rsidP="00A0254F">
            <w:pPr>
              <w:pStyle w:val="Tabletext"/>
              <w:jc w:val="center"/>
              <w:rPr>
                <w:lang w:val="en-GB"/>
              </w:rPr>
            </w:pPr>
            <w:r w:rsidRPr="00950E51">
              <w:rPr>
                <w:lang w:val="en-GB"/>
              </w:rPr>
              <w:t>5-6 MHz</w:t>
            </w:r>
          </w:p>
        </w:tc>
        <w:tc>
          <w:tcPr>
            <w:tcW w:w="3828" w:type="dxa"/>
            <w:tcBorders>
              <w:top w:val="nil"/>
              <w:left w:val="nil"/>
              <w:bottom w:val="single" w:sz="6" w:space="0" w:color="auto"/>
              <w:right w:val="single" w:sz="6" w:space="0" w:color="auto"/>
            </w:tcBorders>
          </w:tcPr>
          <w:p w:rsidR="00950E51" w:rsidRPr="00950E51" w:rsidRDefault="00950E51" w:rsidP="00A0254F">
            <w:pPr>
              <w:pStyle w:val="Tabletext"/>
              <w:rPr>
                <w:lang w:val="en-GB"/>
              </w:rPr>
            </w:pPr>
            <w:r w:rsidRPr="00950E51">
              <w:rPr>
                <w:lang w:val="en-GB"/>
              </w:rPr>
              <w:t>Bilateration ranging</w:t>
            </w:r>
          </w:p>
        </w:tc>
      </w:tr>
    </w:tbl>
    <w:p w:rsidR="00950E51" w:rsidRPr="00950E51" w:rsidRDefault="00950E51" w:rsidP="00950E51">
      <w:pPr>
        <w:tabs>
          <w:tab w:val="clear" w:pos="794"/>
          <w:tab w:val="clear" w:pos="1191"/>
          <w:tab w:val="clear" w:pos="1588"/>
          <w:tab w:val="clear" w:pos="1985"/>
          <w:tab w:val="left" w:pos="1134"/>
          <w:tab w:val="left" w:pos="1871"/>
          <w:tab w:val="left" w:pos="2268"/>
        </w:tabs>
        <w:spacing w:before="0"/>
        <w:jc w:val="left"/>
        <w:rPr>
          <w:sz w:val="20"/>
          <w:lang w:val="en-GB"/>
        </w:rPr>
      </w:pPr>
    </w:p>
    <w:p w:rsidR="00A0254F" w:rsidRDefault="00A0254F" w:rsidP="00A0254F">
      <w:pPr>
        <w:rPr>
          <w:lang w:val="en-GB"/>
        </w:rPr>
      </w:pPr>
    </w:p>
    <w:p w:rsidR="00950E51" w:rsidRPr="00950E51" w:rsidRDefault="00950E51" w:rsidP="00A0254F">
      <w:pPr>
        <w:pStyle w:val="AnnexNoTitle"/>
        <w:rPr>
          <w:lang w:val="en-GB"/>
        </w:rPr>
      </w:pPr>
      <w:r w:rsidRPr="00950E51">
        <w:rPr>
          <w:lang w:val="en-GB"/>
        </w:rPr>
        <w:t xml:space="preserve">Attachment </w:t>
      </w:r>
      <w:r w:rsidR="00A0254F">
        <w:rPr>
          <w:lang w:val="en-GB"/>
        </w:rPr>
        <w:t>to A</w:t>
      </w:r>
      <w:r w:rsidR="00A0254F" w:rsidRPr="00950E51">
        <w:rPr>
          <w:lang w:val="en-GB"/>
        </w:rPr>
        <w:t>nnex</w:t>
      </w:r>
    </w:p>
    <w:p w:rsidR="00950E51" w:rsidRPr="00950E51" w:rsidRDefault="00950E51" w:rsidP="00F0252A">
      <w:pPr>
        <w:pStyle w:val="TableNo"/>
        <w:rPr>
          <w:lang w:val="en-GB"/>
        </w:rPr>
      </w:pPr>
      <w:bookmarkStart w:id="84" w:name="_Toc298159367"/>
      <w:r w:rsidRPr="00950E51">
        <w:rPr>
          <w:lang w:val="en-GB"/>
        </w:rPr>
        <w:t>TABLE 3</w:t>
      </w:r>
    </w:p>
    <w:p w:rsidR="00950E51" w:rsidRPr="00950E51" w:rsidRDefault="00950E51" w:rsidP="00F0252A">
      <w:pPr>
        <w:pStyle w:val="Tabletitle"/>
        <w:rPr>
          <w:caps/>
          <w:kern w:val="28"/>
          <w:lang w:val="en-GB"/>
        </w:rPr>
      </w:pPr>
      <w:r w:rsidRPr="00950E51">
        <w:rPr>
          <w:lang w:val="en-GB"/>
        </w:rPr>
        <w:t>Frequency bands allocated to the SRS, corresponding pfd limits</w:t>
      </w:r>
      <w:bookmarkEnd w:id="84"/>
      <w:r w:rsidRPr="00950E51">
        <w:rPr>
          <w:lang w:val="en-GB"/>
        </w:rPr>
        <w:t xml:space="preserve"> as specified in the Radio Regulations (Edition 2016) and the use of these frequency bands by SRS systems</w:t>
      </w:r>
    </w:p>
    <w:tbl>
      <w:tblPr>
        <w:tblW w:w="9639" w:type="dxa"/>
        <w:tblLayout w:type="fixed"/>
        <w:tblCellMar>
          <w:left w:w="0" w:type="dxa"/>
          <w:right w:w="0" w:type="dxa"/>
        </w:tblCellMar>
        <w:tblLook w:val="0000" w:firstRow="0" w:lastRow="0" w:firstColumn="0" w:lastColumn="0" w:noHBand="0" w:noVBand="0"/>
      </w:tblPr>
      <w:tblGrid>
        <w:gridCol w:w="1624"/>
        <w:gridCol w:w="950"/>
        <w:gridCol w:w="1982"/>
        <w:gridCol w:w="1063"/>
        <w:gridCol w:w="1772"/>
        <w:gridCol w:w="1155"/>
        <w:gridCol w:w="1093"/>
      </w:tblGrid>
      <w:tr w:rsidR="00950E51" w:rsidRPr="00950E51" w:rsidTr="00F0252A">
        <w:trPr>
          <w:trHeight w:val="840"/>
          <w:tblHeader/>
        </w:trPr>
        <w:tc>
          <w:tcPr>
            <w:tcW w:w="2574" w:type="dxa"/>
            <w:gridSpan w:val="2"/>
            <w:vMerge w:val="restart"/>
            <w:tcBorders>
              <w:top w:val="single" w:sz="8" w:space="0" w:color="auto"/>
              <w:left w:val="single" w:sz="8" w:space="0" w:color="auto"/>
              <w:right w:val="single" w:sz="4" w:space="0" w:color="auto"/>
            </w:tcBorders>
            <w:shd w:val="clear" w:color="auto" w:fill="auto"/>
            <w:vAlign w:val="center"/>
          </w:tcPr>
          <w:p w:rsidR="00950E51" w:rsidRPr="00F0252A" w:rsidRDefault="00950E51" w:rsidP="00F0252A">
            <w:pPr>
              <w:pStyle w:val="Tablehead"/>
              <w:rPr>
                <w:sz w:val="20"/>
                <w:lang w:val="en-GB"/>
              </w:rPr>
            </w:pPr>
            <w:r w:rsidRPr="00F0252A">
              <w:rPr>
                <w:sz w:val="20"/>
                <w:lang w:val="en-GB"/>
              </w:rPr>
              <w:t>Frequency bands</w:t>
            </w:r>
          </w:p>
        </w:tc>
        <w:tc>
          <w:tcPr>
            <w:tcW w:w="198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50E51" w:rsidRPr="00F0252A" w:rsidRDefault="00950E51" w:rsidP="00F0252A">
            <w:pPr>
              <w:pStyle w:val="Tablehead"/>
              <w:rPr>
                <w:bCs/>
                <w:sz w:val="20"/>
                <w:lang w:val="en-GB"/>
              </w:rPr>
            </w:pPr>
            <w:r w:rsidRPr="00F0252A">
              <w:rPr>
                <w:bCs/>
                <w:sz w:val="20"/>
                <w:lang w:val="en-GB"/>
              </w:rPr>
              <w:t>Use</w:t>
            </w:r>
            <w:r w:rsidRPr="00F0252A">
              <w:rPr>
                <w:bCs/>
                <w:sz w:val="20"/>
                <w:lang w:val="en-GB"/>
              </w:rPr>
              <w:br/>
              <w:t>SRS = Non specific</w:t>
            </w:r>
          </w:p>
          <w:p w:rsidR="00950E51" w:rsidRPr="00F0252A" w:rsidRDefault="00950E51" w:rsidP="00F0252A">
            <w:pPr>
              <w:pStyle w:val="Tablehead"/>
              <w:rPr>
                <w:bCs/>
                <w:sz w:val="20"/>
                <w:lang w:val="en-GB"/>
              </w:rPr>
            </w:pPr>
            <w:r w:rsidRPr="00F0252A">
              <w:rPr>
                <w:bCs/>
                <w:sz w:val="20"/>
                <w:lang w:val="en-GB"/>
              </w:rPr>
              <w:t>s-E = space-to-Earth</w:t>
            </w:r>
          </w:p>
          <w:p w:rsidR="00950E51" w:rsidRPr="00F0252A" w:rsidRDefault="00950E51" w:rsidP="00F0252A">
            <w:pPr>
              <w:pStyle w:val="Tablehead"/>
              <w:rPr>
                <w:bCs/>
                <w:sz w:val="20"/>
                <w:lang w:val="en-GB"/>
              </w:rPr>
            </w:pPr>
            <w:r w:rsidRPr="00F0252A">
              <w:rPr>
                <w:bCs/>
                <w:sz w:val="20"/>
                <w:lang w:val="en-GB"/>
              </w:rPr>
              <w:t>E-s = Earth-to-space</w:t>
            </w:r>
          </w:p>
          <w:p w:rsidR="00950E51" w:rsidRPr="00F0252A" w:rsidRDefault="00950E51" w:rsidP="00F0252A">
            <w:pPr>
              <w:pStyle w:val="Tablehead"/>
              <w:rPr>
                <w:bCs/>
                <w:sz w:val="20"/>
                <w:lang w:val="en-GB"/>
              </w:rPr>
            </w:pPr>
            <w:r w:rsidRPr="00F0252A">
              <w:rPr>
                <w:bCs/>
                <w:sz w:val="20"/>
                <w:lang w:val="en-GB"/>
              </w:rPr>
              <w:t>s-s = space-to-space</w:t>
            </w:r>
          </w:p>
        </w:tc>
        <w:tc>
          <w:tcPr>
            <w:tcW w:w="3990" w:type="dxa"/>
            <w:gridSpan w:val="3"/>
            <w:tcBorders>
              <w:top w:val="single" w:sz="8" w:space="0" w:color="auto"/>
              <w:left w:val="nil"/>
              <w:bottom w:val="single" w:sz="4" w:space="0" w:color="auto"/>
              <w:right w:val="single" w:sz="4" w:space="0" w:color="auto"/>
            </w:tcBorders>
            <w:shd w:val="clear" w:color="auto" w:fill="auto"/>
            <w:vAlign w:val="center"/>
          </w:tcPr>
          <w:p w:rsidR="00950E51" w:rsidRPr="00F0252A" w:rsidRDefault="00950E51" w:rsidP="00F0252A">
            <w:pPr>
              <w:pStyle w:val="Tablehead"/>
              <w:rPr>
                <w:bCs/>
                <w:sz w:val="20"/>
                <w:lang w:val="en-GB"/>
              </w:rPr>
            </w:pPr>
            <w:r w:rsidRPr="00F0252A">
              <w:rPr>
                <w:bCs/>
                <w:sz w:val="20"/>
                <w:lang w:val="en-GB"/>
              </w:rPr>
              <w:t>Power flux-density limit for angles of arrival (θ) Above the horizontal plane (dBW/m</w:t>
            </w:r>
            <w:r w:rsidRPr="00F0252A">
              <w:rPr>
                <w:bCs/>
                <w:sz w:val="20"/>
                <w:vertAlign w:val="superscript"/>
                <w:lang w:val="en-GB"/>
              </w:rPr>
              <w:t>2</w:t>
            </w:r>
            <w:r w:rsidRPr="00F0252A">
              <w:rPr>
                <w:bCs/>
                <w:sz w:val="20"/>
                <w:lang w:val="en-GB"/>
              </w:rPr>
              <w:t>)</w:t>
            </w:r>
            <w:r w:rsidRPr="00F0252A">
              <w:rPr>
                <w:bCs/>
                <w:sz w:val="20"/>
                <w:vertAlign w:val="superscript"/>
                <w:lang w:val="en-GB"/>
              </w:rPr>
              <w:t xml:space="preserve"> (1)</w:t>
            </w:r>
          </w:p>
        </w:tc>
        <w:tc>
          <w:tcPr>
            <w:tcW w:w="1093"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950E51" w:rsidRPr="00F0252A" w:rsidRDefault="00950E51" w:rsidP="00F0252A">
            <w:pPr>
              <w:pStyle w:val="Tablehead"/>
              <w:rPr>
                <w:bCs/>
                <w:sz w:val="20"/>
                <w:lang w:val="en-GB"/>
              </w:rPr>
            </w:pPr>
            <w:r w:rsidRPr="00F0252A">
              <w:rPr>
                <w:bCs/>
                <w:sz w:val="20"/>
                <w:lang w:val="en-GB"/>
              </w:rPr>
              <w:t>Reference bandwidth</w:t>
            </w:r>
          </w:p>
        </w:tc>
      </w:tr>
      <w:tr w:rsidR="00950E51" w:rsidRPr="00950E51" w:rsidTr="00F0252A">
        <w:trPr>
          <w:trHeight w:val="360"/>
          <w:tblHeader/>
        </w:trPr>
        <w:tc>
          <w:tcPr>
            <w:tcW w:w="2574" w:type="dxa"/>
            <w:gridSpan w:val="2"/>
            <w:vMerge/>
            <w:tcBorders>
              <w:left w:val="single" w:sz="8" w:space="0" w:color="auto"/>
              <w:bottom w:val="single" w:sz="8" w:space="0" w:color="000000"/>
              <w:right w:val="single" w:sz="4" w:space="0" w:color="auto"/>
            </w:tcBorders>
            <w:vAlign w:val="center"/>
          </w:tcPr>
          <w:p w:rsidR="00950E51" w:rsidRPr="00F0252A" w:rsidRDefault="00950E51" w:rsidP="00F0252A">
            <w:pPr>
              <w:pStyle w:val="Tablehead"/>
              <w:rPr>
                <w:rFonts w:asciiTheme="majorBidi" w:hAnsiTheme="majorBidi" w:cstheme="majorBidi"/>
                <w:bCs/>
                <w:sz w:val="20"/>
                <w:lang w:val="en-GB"/>
              </w:rPr>
            </w:pPr>
          </w:p>
        </w:tc>
        <w:tc>
          <w:tcPr>
            <w:tcW w:w="1982" w:type="dxa"/>
            <w:vMerge/>
            <w:tcBorders>
              <w:top w:val="single" w:sz="8" w:space="0" w:color="auto"/>
              <w:left w:val="single" w:sz="4" w:space="0" w:color="auto"/>
              <w:bottom w:val="single" w:sz="8" w:space="0" w:color="000000"/>
              <w:right w:val="single" w:sz="4" w:space="0" w:color="auto"/>
            </w:tcBorders>
            <w:vAlign w:val="center"/>
          </w:tcPr>
          <w:p w:rsidR="00950E51" w:rsidRPr="00F0252A" w:rsidRDefault="00950E51" w:rsidP="00F0252A">
            <w:pPr>
              <w:pStyle w:val="Tablehead"/>
              <w:rPr>
                <w:rFonts w:asciiTheme="majorBidi" w:hAnsiTheme="majorBidi" w:cstheme="majorBidi"/>
                <w:bCs/>
                <w:sz w:val="20"/>
                <w:lang w:val="en-GB"/>
              </w:rPr>
            </w:pPr>
          </w:p>
        </w:tc>
        <w:tc>
          <w:tcPr>
            <w:tcW w:w="1063" w:type="dxa"/>
            <w:tcBorders>
              <w:top w:val="nil"/>
              <w:left w:val="nil"/>
              <w:bottom w:val="single" w:sz="8" w:space="0" w:color="auto"/>
              <w:right w:val="single" w:sz="4" w:space="0" w:color="auto"/>
            </w:tcBorders>
            <w:shd w:val="clear" w:color="auto" w:fill="auto"/>
            <w:vAlign w:val="center"/>
          </w:tcPr>
          <w:p w:rsidR="00950E51" w:rsidRPr="00F0252A" w:rsidRDefault="00950E51" w:rsidP="00F0252A">
            <w:pPr>
              <w:pStyle w:val="Tablehead"/>
              <w:rPr>
                <w:rFonts w:asciiTheme="majorBidi" w:hAnsiTheme="majorBidi" w:cstheme="majorBidi"/>
                <w:bCs/>
                <w:sz w:val="20"/>
                <w:lang w:val="en-GB"/>
              </w:rPr>
            </w:pPr>
            <w:r w:rsidRPr="00F0252A">
              <w:rPr>
                <w:rFonts w:asciiTheme="majorBidi" w:hAnsiTheme="majorBidi" w:cstheme="majorBidi"/>
                <w:bCs/>
                <w:sz w:val="20"/>
                <w:lang w:val="en-GB"/>
              </w:rPr>
              <w:t>0º≤θ≤5º</w:t>
            </w:r>
          </w:p>
        </w:tc>
        <w:tc>
          <w:tcPr>
            <w:tcW w:w="1772" w:type="dxa"/>
            <w:tcBorders>
              <w:top w:val="nil"/>
              <w:left w:val="nil"/>
              <w:bottom w:val="single" w:sz="8" w:space="0" w:color="auto"/>
              <w:right w:val="single" w:sz="4" w:space="0" w:color="auto"/>
            </w:tcBorders>
            <w:shd w:val="clear" w:color="auto" w:fill="auto"/>
            <w:vAlign w:val="center"/>
          </w:tcPr>
          <w:p w:rsidR="00950E51" w:rsidRPr="00F0252A" w:rsidRDefault="00950E51" w:rsidP="00F0252A">
            <w:pPr>
              <w:pStyle w:val="Tablehead"/>
              <w:rPr>
                <w:rFonts w:asciiTheme="majorBidi" w:hAnsiTheme="majorBidi" w:cstheme="majorBidi"/>
                <w:bCs/>
                <w:sz w:val="20"/>
                <w:lang w:val="en-GB"/>
              </w:rPr>
            </w:pPr>
            <w:r w:rsidRPr="00F0252A">
              <w:rPr>
                <w:rFonts w:asciiTheme="majorBidi" w:hAnsiTheme="majorBidi" w:cstheme="majorBidi"/>
                <w:bCs/>
                <w:sz w:val="20"/>
                <w:lang w:val="en-GB"/>
              </w:rPr>
              <w:t>5º&lt;θ≤25º</w:t>
            </w:r>
          </w:p>
        </w:tc>
        <w:tc>
          <w:tcPr>
            <w:tcW w:w="1155" w:type="dxa"/>
            <w:tcBorders>
              <w:top w:val="nil"/>
              <w:left w:val="nil"/>
              <w:bottom w:val="single" w:sz="8" w:space="0" w:color="auto"/>
              <w:right w:val="single" w:sz="4" w:space="0" w:color="auto"/>
            </w:tcBorders>
            <w:shd w:val="clear" w:color="auto" w:fill="auto"/>
            <w:vAlign w:val="center"/>
          </w:tcPr>
          <w:p w:rsidR="00950E51" w:rsidRPr="00F0252A" w:rsidRDefault="00950E51" w:rsidP="00F0252A">
            <w:pPr>
              <w:pStyle w:val="Tablehead"/>
              <w:rPr>
                <w:rFonts w:asciiTheme="majorBidi" w:hAnsiTheme="majorBidi" w:cstheme="majorBidi"/>
                <w:bCs/>
                <w:sz w:val="20"/>
                <w:lang w:val="en-GB"/>
              </w:rPr>
            </w:pPr>
            <w:r w:rsidRPr="00F0252A">
              <w:rPr>
                <w:rFonts w:asciiTheme="majorBidi" w:hAnsiTheme="majorBidi" w:cstheme="majorBidi"/>
                <w:bCs/>
                <w:sz w:val="20"/>
                <w:lang w:val="en-GB"/>
              </w:rPr>
              <w:t>25º&lt;θ≤90</w:t>
            </w:r>
            <w:r w:rsidRPr="00F0252A">
              <w:rPr>
                <w:rFonts w:asciiTheme="majorBidi" w:hAnsiTheme="majorBidi" w:cstheme="majorBidi"/>
                <w:bCs/>
                <w:sz w:val="20"/>
                <w:vertAlign w:val="superscript"/>
                <w:lang w:val="en-GB"/>
              </w:rPr>
              <w:t>º</w:t>
            </w:r>
          </w:p>
        </w:tc>
        <w:tc>
          <w:tcPr>
            <w:tcW w:w="1093" w:type="dxa"/>
            <w:vMerge/>
            <w:tcBorders>
              <w:top w:val="single" w:sz="8" w:space="0" w:color="auto"/>
              <w:left w:val="single" w:sz="4" w:space="0" w:color="auto"/>
              <w:bottom w:val="single" w:sz="8" w:space="0" w:color="000000"/>
              <w:right w:val="single" w:sz="8" w:space="0" w:color="auto"/>
            </w:tcBorders>
            <w:vAlign w:val="center"/>
          </w:tcPr>
          <w:p w:rsidR="00950E51" w:rsidRPr="00F0252A" w:rsidRDefault="00950E51" w:rsidP="00F0252A">
            <w:pPr>
              <w:pStyle w:val="Tablehead"/>
              <w:rPr>
                <w:rFonts w:asciiTheme="majorBidi" w:hAnsiTheme="majorBidi" w:cstheme="majorBidi"/>
                <w:bCs/>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2 501-2 502</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5 003-5 005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10 003-10 005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15 005-15 010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18 052-18 068</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19 990-19 995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25 005-25 010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kHz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30.005-30.01</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bl>
    <w:p w:rsidR="00F0252A" w:rsidRDefault="00F0252A">
      <w:r>
        <w:br w:type="page"/>
      </w:r>
    </w:p>
    <w:p w:rsidR="00F0252A" w:rsidRPr="00F0252A" w:rsidRDefault="00F0252A" w:rsidP="00F0252A">
      <w:pPr>
        <w:pStyle w:val="TableNo"/>
        <w:rPr>
          <w:lang w:val="en-GB"/>
        </w:rPr>
      </w:pPr>
      <w:r w:rsidRPr="00950E51">
        <w:rPr>
          <w:lang w:val="en-GB"/>
        </w:rPr>
        <w:lastRenderedPageBreak/>
        <w:t>TABLE 3</w:t>
      </w:r>
      <w:r>
        <w:rPr>
          <w:lang w:val="en-GB"/>
        </w:rPr>
        <w:t xml:space="preserve"> (</w:t>
      </w:r>
      <w:r w:rsidRPr="00F0252A">
        <w:rPr>
          <w:i/>
          <w:iCs/>
          <w:lang w:val="en-GB"/>
        </w:rPr>
        <w:t>end</w:t>
      </w:r>
      <w:r>
        <w:rPr>
          <w:lang w:val="en-GB"/>
        </w:rPr>
        <w:t>)</w:t>
      </w:r>
    </w:p>
    <w:tbl>
      <w:tblPr>
        <w:tblW w:w="9639" w:type="dxa"/>
        <w:tblLayout w:type="fixed"/>
        <w:tblCellMar>
          <w:left w:w="0" w:type="dxa"/>
          <w:right w:w="0" w:type="dxa"/>
        </w:tblCellMar>
        <w:tblLook w:val="0000" w:firstRow="0" w:lastRow="0" w:firstColumn="0" w:lastColumn="0" w:noHBand="0" w:noVBand="0"/>
      </w:tblPr>
      <w:tblGrid>
        <w:gridCol w:w="1624"/>
        <w:gridCol w:w="950"/>
        <w:gridCol w:w="1982"/>
        <w:gridCol w:w="1063"/>
        <w:gridCol w:w="1772"/>
        <w:gridCol w:w="1155"/>
        <w:gridCol w:w="1093"/>
      </w:tblGrid>
      <w:tr w:rsidR="00F0252A" w:rsidRPr="00950E51" w:rsidTr="00F0252A">
        <w:trPr>
          <w:trHeight w:val="840"/>
          <w:tblHeader/>
        </w:trPr>
        <w:tc>
          <w:tcPr>
            <w:tcW w:w="2574" w:type="dxa"/>
            <w:gridSpan w:val="2"/>
            <w:vMerge w:val="restart"/>
            <w:tcBorders>
              <w:top w:val="single" w:sz="8" w:space="0" w:color="auto"/>
              <w:left w:val="single" w:sz="8" w:space="0" w:color="auto"/>
              <w:right w:val="single" w:sz="4" w:space="0" w:color="auto"/>
            </w:tcBorders>
            <w:shd w:val="clear" w:color="auto" w:fill="auto"/>
            <w:vAlign w:val="center"/>
          </w:tcPr>
          <w:p w:rsidR="00F0252A" w:rsidRPr="00F0252A" w:rsidRDefault="00F0252A" w:rsidP="004345AB">
            <w:pPr>
              <w:pStyle w:val="Tablehead"/>
              <w:rPr>
                <w:sz w:val="20"/>
                <w:lang w:val="en-GB"/>
              </w:rPr>
            </w:pPr>
            <w:r w:rsidRPr="00F0252A">
              <w:rPr>
                <w:sz w:val="20"/>
                <w:lang w:val="en-GB"/>
              </w:rPr>
              <w:t>Frequency bands</w:t>
            </w:r>
          </w:p>
        </w:tc>
        <w:tc>
          <w:tcPr>
            <w:tcW w:w="198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0252A" w:rsidRPr="00F0252A" w:rsidRDefault="00F0252A" w:rsidP="004345AB">
            <w:pPr>
              <w:pStyle w:val="Tablehead"/>
              <w:rPr>
                <w:bCs/>
                <w:sz w:val="20"/>
                <w:lang w:val="en-GB"/>
              </w:rPr>
            </w:pPr>
            <w:r w:rsidRPr="00F0252A">
              <w:rPr>
                <w:bCs/>
                <w:sz w:val="20"/>
                <w:lang w:val="en-GB"/>
              </w:rPr>
              <w:t>Use</w:t>
            </w:r>
            <w:r w:rsidRPr="00F0252A">
              <w:rPr>
                <w:bCs/>
                <w:sz w:val="20"/>
                <w:lang w:val="en-GB"/>
              </w:rPr>
              <w:br/>
              <w:t>SRS = Non specific</w:t>
            </w:r>
          </w:p>
          <w:p w:rsidR="00F0252A" w:rsidRPr="00F0252A" w:rsidRDefault="00F0252A" w:rsidP="004345AB">
            <w:pPr>
              <w:pStyle w:val="Tablehead"/>
              <w:rPr>
                <w:bCs/>
                <w:sz w:val="20"/>
                <w:lang w:val="en-GB"/>
              </w:rPr>
            </w:pPr>
            <w:r w:rsidRPr="00F0252A">
              <w:rPr>
                <w:bCs/>
                <w:sz w:val="20"/>
                <w:lang w:val="en-GB"/>
              </w:rPr>
              <w:t>s-E = space-to-Earth</w:t>
            </w:r>
          </w:p>
          <w:p w:rsidR="00F0252A" w:rsidRPr="00F0252A" w:rsidRDefault="00F0252A" w:rsidP="004345AB">
            <w:pPr>
              <w:pStyle w:val="Tablehead"/>
              <w:rPr>
                <w:bCs/>
                <w:sz w:val="20"/>
                <w:lang w:val="en-GB"/>
              </w:rPr>
            </w:pPr>
            <w:r w:rsidRPr="00F0252A">
              <w:rPr>
                <w:bCs/>
                <w:sz w:val="20"/>
                <w:lang w:val="en-GB"/>
              </w:rPr>
              <w:t>E-s = Earth-to-space</w:t>
            </w:r>
          </w:p>
          <w:p w:rsidR="00F0252A" w:rsidRPr="00F0252A" w:rsidRDefault="00F0252A" w:rsidP="004345AB">
            <w:pPr>
              <w:pStyle w:val="Tablehead"/>
              <w:rPr>
                <w:bCs/>
                <w:sz w:val="20"/>
                <w:lang w:val="en-GB"/>
              </w:rPr>
            </w:pPr>
            <w:r w:rsidRPr="00F0252A">
              <w:rPr>
                <w:bCs/>
                <w:sz w:val="20"/>
                <w:lang w:val="en-GB"/>
              </w:rPr>
              <w:t>s-s = space-to-space</w:t>
            </w:r>
          </w:p>
        </w:tc>
        <w:tc>
          <w:tcPr>
            <w:tcW w:w="3990" w:type="dxa"/>
            <w:gridSpan w:val="3"/>
            <w:tcBorders>
              <w:top w:val="single" w:sz="8" w:space="0" w:color="auto"/>
              <w:left w:val="nil"/>
              <w:bottom w:val="single" w:sz="4" w:space="0" w:color="auto"/>
              <w:right w:val="single" w:sz="4" w:space="0" w:color="auto"/>
            </w:tcBorders>
            <w:shd w:val="clear" w:color="auto" w:fill="auto"/>
            <w:vAlign w:val="center"/>
          </w:tcPr>
          <w:p w:rsidR="00F0252A" w:rsidRPr="00F0252A" w:rsidRDefault="00F0252A" w:rsidP="004345AB">
            <w:pPr>
              <w:pStyle w:val="Tablehead"/>
              <w:rPr>
                <w:bCs/>
                <w:sz w:val="20"/>
                <w:lang w:val="en-GB"/>
              </w:rPr>
            </w:pPr>
            <w:r w:rsidRPr="00F0252A">
              <w:rPr>
                <w:bCs/>
                <w:sz w:val="20"/>
                <w:lang w:val="en-GB"/>
              </w:rPr>
              <w:t>Power flux-density limit for angles of arrival (θ) Above the horizontal plane (dBW/m</w:t>
            </w:r>
            <w:r w:rsidRPr="00F0252A">
              <w:rPr>
                <w:bCs/>
                <w:sz w:val="20"/>
                <w:vertAlign w:val="superscript"/>
                <w:lang w:val="en-GB"/>
              </w:rPr>
              <w:t>2</w:t>
            </w:r>
            <w:r w:rsidRPr="00F0252A">
              <w:rPr>
                <w:bCs/>
                <w:sz w:val="20"/>
                <w:lang w:val="en-GB"/>
              </w:rPr>
              <w:t>)</w:t>
            </w:r>
            <w:r w:rsidRPr="00F0252A">
              <w:rPr>
                <w:bCs/>
                <w:sz w:val="20"/>
                <w:vertAlign w:val="superscript"/>
                <w:lang w:val="en-GB"/>
              </w:rPr>
              <w:t xml:space="preserve"> (1)</w:t>
            </w:r>
          </w:p>
        </w:tc>
        <w:tc>
          <w:tcPr>
            <w:tcW w:w="1093"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F0252A" w:rsidRPr="00F0252A" w:rsidRDefault="00F0252A" w:rsidP="004345AB">
            <w:pPr>
              <w:pStyle w:val="Tablehead"/>
              <w:rPr>
                <w:bCs/>
                <w:sz w:val="20"/>
                <w:lang w:val="en-GB"/>
              </w:rPr>
            </w:pPr>
            <w:r w:rsidRPr="00F0252A">
              <w:rPr>
                <w:bCs/>
                <w:sz w:val="20"/>
                <w:lang w:val="en-GB"/>
              </w:rPr>
              <w:t>Reference bandwidth</w:t>
            </w:r>
          </w:p>
        </w:tc>
      </w:tr>
      <w:tr w:rsidR="00F0252A" w:rsidRPr="00950E51" w:rsidTr="00F0252A">
        <w:trPr>
          <w:trHeight w:val="360"/>
          <w:tblHeader/>
        </w:trPr>
        <w:tc>
          <w:tcPr>
            <w:tcW w:w="2574" w:type="dxa"/>
            <w:gridSpan w:val="2"/>
            <w:vMerge/>
            <w:tcBorders>
              <w:left w:val="single" w:sz="8" w:space="0" w:color="auto"/>
              <w:bottom w:val="single" w:sz="8" w:space="0" w:color="000000"/>
              <w:right w:val="single" w:sz="4" w:space="0" w:color="auto"/>
            </w:tcBorders>
            <w:vAlign w:val="center"/>
          </w:tcPr>
          <w:p w:rsidR="00F0252A" w:rsidRPr="00F0252A" w:rsidRDefault="00F0252A" w:rsidP="004345AB">
            <w:pPr>
              <w:pStyle w:val="Tablehead"/>
              <w:rPr>
                <w:rFonts w:asciiTheme="majorBidi" w:hAnsiTheme="majorBidi" w:cstheme="majorBidi"/>
                <w:bCs/>
                <w:sz w:val="20"/>
                <w:lang w:val="en-GB"/>
              </w:rPr>
            </w:pPr>
          </w:p>
        </w:tc>
        <w:tc>
          <w:tcPr>
            <w:tcW w:w="1982" w:type="dxa"/>
            <w:vMerge/>
            <w:tcBorders>
              <w:top w:val="single" w:sz="8" w:space="0" w:color="auto"/>
              <w:left w:val="single" w:sz="4" w:space="0" w:color="auto"/>
              <w:bottom w:val="single" w:sz="8" w:space="0" w:color="000000"/>
              <w:right w:val="single" w:sz="4" w:space="0" w:color="auto"/>
            </w:tcBorders>
            <w:vAlign w:val="center"/>
          </w:tcPr>
          <w:p w:rsidR="00F0252A" w:rsidRPr="00F0252A" w:rsidRDefault="00F0252A" w:rsidP="004345AB">
            <w:pPr>
              <w:pStyle w:val="Tablehead"/>
              <w:rPr>
                <w:rFonts w:asciiTheme="majorBidi" w:hAnsiTheme="majorBidi" w:cstheme="majorBidi"/>
                <w:bCs/>
                <w:sz w:val="20"/>
                <w:lang w:val="en-GB"/>
              </w:rPr>
            </w:pPr>
          </w:p>
        </w:tc>
        <w:tc>
          <w:tcPr>
            <w:tcW w:w="1063" w:type="dxa"/>
            <w:tcBorders>
              <w:top w:val="nil"/>
              <w:left w:val="nil"/>
              <w:bottom w:val="single" w:sz="8" w:space="0" w:color="auto"/>
              <w:right w:val="single" w:sz="4" w:space="0" w:color="auto"/>
            </w:tcBorders>
            <w:shd w:val="clear" w:color="auto" w:fill="auto"/>
            <w:vAlign w:val="center"/>
          </w:tcPr>
          <w:p w:rsidR="00F0252A" w:rsidRPr="00F0252A" w:rsidRDefault="00F0252A" w:rsidP="004345AB">
            <w:pPr>
              <w:pStyle w:val="Tablehead"/>
              <w:rPr>
                <w:rFonts w:asciiTheme="majorBidi" w:hAnsiTheme="majorBidi" w:cstheme="majorBidi"/>
                <w:bCs/>
                <w:sz w:val="20"/>
                <w:lang w:val="en-GB"/>
              </w:rPr>
            </w:pPr>
            <w:r w:rsidRPr="00F0252A">
              <w:rPr>
                <w:rFonts w:asciiTheme="majorBidi" w:hAnsiTheme="majorBidi" w:cstheme="majorBidi"/>
                <w:bCs/>
                <w:sz w:val="20"/>
                <w:lang w:val="en-GB"/>
              </w:rPr>
              <w:t>0º≤θ≤5º</w:t>
            </w:r>
          </w:p>
        </w:tc>
        <w:tc>
          <w:tcPr>
            <w:tcW w:w="1772" w:type="dxa"/>
            <w:tcBorders>
              <w:top w:val="nil"/>
              <w:left w:val="nil"/>
              <w:bottom w:val="single" w:sz="8" w:space="0" w:color="auto"/>
              <w:right w:val="single" w:sz="4" w:space="0" w:color="auto"/>
            </w:tcBorders>
            <w:shd w:val="clear" w:color="auto" w:fill="auto"/>
            <w:vAlign w:val="center"/>
          </w:tcPr>
          <w:p w:rsidR="00F0252A" w:rsidRPr="00F0252A" w:rsidRDefault="00F0252A" w:rsidP="004345AB">
            <w:pPr>
              <w:pStyle w:val="Tablehead"/>
              <w:rPr>
                <w:rFonts w:asciiTheme="majorBidi" w:hAnsiTheme="majorBidi" w:cstheme="majorBidi"/>
                <w:bCs/>
                <w:sz w:val="20"/>
                <w:lang w:val="en-GB"/>
              </w:rPr>
            </w:pPr>
            <w:r w:rsidRPr="00F0252A">
              <w:rPr>
                <w:rFonts w:asciiTheme="majorBidi" w:hAnsiTheme="majorBidi" w:cstheme="majorBidi"/>
                <w:bCs/>
                <w:sz w:val="20"/>
                <w:lang w:val="en-GB"/>
              </w:rPr>
              <w:t>5º&lt;θ≤25º</w:t>
            </w:r>
          </w:p>
        </w:tc>
        <w:tc>
          <w:tcPr>
            <w:tcW w:w="1155" w:type="dxa"/>
            <w:tcBorders>
              <w:top w:val="nil"/>
              <w:left w:val="nil"/>
              <w:bottom w:val="single" w:sz="8" w:space="0" w:color="auto"/>
              <w:right w:val="single" w:sz="4" w:space="0" w:color="auto"/>
            </w:tcBorders>
            <w:shd w:val="clear" w:color="auto" w:fill="auto"/>
            <w:vAlign w:val="center"/>
          </w:tcPr>
          <w:p w:rsidR="00F0252A" w:rsidRPr="00F0252A" w:rsidRDefault="00F0252A" w:rsidP="004345AB">
            <w:pPr>
              <w:pStyle w:val="Tablehead"/>
              <w:rPr>
                <w:rFonts w:asciiTheme="majorBidi" w:hAnsiTheme="majorBidi" w:cstheme="majorBidi"/>
                <w:bCs/>
                <w:sz w:val="20"/>
                <w:lang w:val="en-GB"/>
              </w:rPr>
            </w:pPr>
            <w:r w:rsidRPr="00F0252A">
              <w:rPr>
                <w:rFonts w:asciiTheme="majorBidi" w:hAnsiTheme="majorBidi" w:cstheme="majorBidi"/>
                <w:bCs/>
                <w:sz w:val="20"/>
                <w:lang w:val="en-GB"/>
              </w:rPr>
              <w:t>25º&lt;θ≤90</w:t>
            </w:r>
            <w:r w:rsidRPr="00F0252A">
              <w:rPr>
                <w:rFonts w:asciiTheme="majorBidi" w:hAnsiTheme="majorBidi" w:cstheme="majorBidi"/>
                <w:bCs/>
                <w:sz w:val="20"/>
                <w:vertAlign w:val="superscript"/>
                <w:lang w:val="en-GB"/>
              </w:rPr>
              <w:t>º</w:t>
            </w:r>
          </w:p>
        </w:tc>
        <w:tc>
          <w:tcPr>
            <w:tcW w:w="1093" w:type="dxa"/>
            <w:vMerge/>
            <w:tcBorders>
              <w:top w:val="single" w:sz="8" w:space="0" w:color="auto"/>
              <w:left w:val="single" w:sz="4" w:space="0" w:color="auto"/>
              <w:bottom w:val="single" w:sz="8" w:space="0" w:color="000000"/>
              <w:right w:val="single" w:sz="8" w:space="0" w:color="auto"/>
            </w:tcBorders>
            <w:vAlign w:val="center"/>
          </w:tcPr>
          <w:p w:rsidR="00F0252A" w:rsidRPr="00F0252A" w:rsidRDefault="00F0252A" w:rsidP="004345AB">
            <w:pPr>
              <w:pStyle w:val="Tablehead"/>
              <w:rPr>
                <w:rFonts w:asciiTheme="majorBidi" w:hAnsiTheme="majorBidi" w:cstheme="majorBidi"/>
                <w:bCs/>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39.986-40.02</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40.98-41.015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137-138</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138-143.6</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143.6-143.65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143.65-144</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400.15-401</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410-420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s-s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sz w:val="20"/>
                <w:lang w:val="en-GB"/>
              </w:rPr>
              <w:t>1 215-1 300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r w:rsidRPr="00F0252A">
              <w:rPr>
                <w:color w:val="000000"/>
                <w:sz w:val="20"/>
                <w:lang w:val="en-GB"/>
              </w:rPr>
              <w:t xml:space="preserve">SRS </w:t>
            </w:r>
            <w:r w:rsidRPr="00F0252A">
              <w:rPr>
                <w:sz w:val="20"/>
                <w:lang w:val="en-GB"/>
              </w:rPr>
              <w:t>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2 025-2 110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E-s. s-s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154</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sidRPr="00F0252A">
              <w:rPr>
                <w:color w:val="000000"/>
                <w:sz w:val="20"/>
                <w:lang w:val="en-GB"/>
              </w:rPr>
              <w:t>−</w:t>
            </w:r>
            <w:r w:rsidR="00950E51" w:rsidRPr="00F0252A">
              <w:rPr>
                <w:color w:val="000000"/>
                <w:sz w:val="20"/>
                <w:lang w:val="en-GB"/>
              </w:rPr>
              <w:t>154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144</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4 kHz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2 200-2 290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 s-s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154</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154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144</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4 kHz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3 100-3 300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7 190-7 235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E-s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8 450-8 500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150</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150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140</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4 kHz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8 550-8 650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9 300-9 800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9 800-9 900</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MHz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13.25-13.4</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13.4-14.3</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14.4-14.47</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14.5-15.35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17.2-17.3</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22.55-23.55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22.55-23.15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E-s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25.25-27.5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25.5-27</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31-31.3</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34.7-35.2</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115 + 0.5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35.5- 36</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37-38</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 NGSO</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120</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120 + 0.75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37-38</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 GSO</w:t>
            </w:r>
          </w:p>
        </w:tc>
        <w:tc>
          <w:tcPr>
            <w:tcW w:w="1063"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125</w:t>
            </w:r>
          </w:p>
        </w:tc>
        <w:tc>
          <w:tcPr>
            <w:tcW w:w="1772"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125 + (θ - 5)</w:t>
            </w:r>
          </w:p>
        </w:tc>
        <w:tc>
          <w:tcPr>
            <w:tcW w:w="1155" w:type="dxa"/>
            <w:tcBorders>
              <w:top w:val="nil"/>
              <w:left w:val="nil"/>
              <w:bottom w:val="single" w:sz="4" w:space="0" w:color="auto"/>
              <w:right w:val="single" w:sz="4" w:space="0" w:color="auto"/>
            </w:tcBorders>
            <w:shd w:val="clear" w:color="auto" w:fill="auto"/>
          </w:tcPr>
          <w:p w:rsidR="00950E51" w:rsidRPr="00F0252A" w:rsidRDefault="00F0252A" w:rsidP="00F0252A">
            <w:pPr>
              <w:pStyle w:val="Tabletext"/>
              <w:jc w:val="center"/>
              <w:rPr>
                <w:color w:val="000000"/>
                <w:sz w:val="20"/>
                <w:lang w:val="en-GB"/>
              </w:rPr>
            </w:pPr>
            <w:r>
              <w:rPr>
                <w:color w:val="000000"/>
                <w:sz w:val="20"/>
                <w:lang w:val="en-GB"/>
              </w:rPr>
              <w:t>−</w:t>
            </w:r>
            <w:r w:rsidR="00950E51" w:rsidRPr="00F0252A">
              <w:rPr>
                <w:color w:val="000000"/>
                <w:sz w:val="20"/>
                <w:lang w:val="en-GB"/>
              </w:rPr>
              <w:t>105</w:t>
            </w: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1 MHz</w:t>
            </w: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40-40.5</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E-s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65-66</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74-84</w:t>
            </w:r>
          </w:p>
        </w:tc>
        <w:tc>
          <w:tcPr>
            <w:tcW w:w="950" w:type="dxa"/>
            <w:tcBorders>
              <w:top w:val="nil"/>
              <w:left w:val="nil"/>
              <w:bottom w:val="single" w:sz="4"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4"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s-E</w:t>
            </w:r>
          </w:p>
        </w:tc>
        <w:tc>
          <w:tcPr>
            <w:tcW w:w="1063"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4"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4"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950E51" w:rsidTr="00F0252A">
        <w:trPr>
          <w:trHeight w:val="270"/>
        </w:trPr>
        <w:tc>
          <w:tcPr>
            <w:tcW w:w="1624" w:type="dxa"/>
            <w:tcBorders>
              <w:top w:val="nil"/>
              <w:left w:val="single" w:sz="8" w:space="0" w:color="auto"/>
              <w:bottom w:val="single" w:sz="8"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94-94.1</w:t>
            </w:r>
          </w:p>
        </w:tc>
        <w:tc>
          <w:tcPr>
            <w:tcW w:w="950" w:type="dxa"/>
            <w:tcBorders>
              <w:top w:val="nil"/>
              <w:left w:val="nil"/>
              <w:bottom w:val="single" w:sz="8" w:space="0" w:color="auto"/>
              <w:right w:val="single" w:sz="4" w:space="0" w:color="auto"/>
            </w:tcBorders>
          </w:tcPr>
          <w:p w:rsidR="00950E51" w:rsidRPr="00F0252A" w:rsidRDefault="00950E51" w:rsidP="00F0252A">
            <w:pPr>
              <w:pStyle w:val="Tabletext"/>
              <w:jc w:val="center"/>
              <w:rPr>
                <w:color w:val="000000"/>
                <w:sz w:val="20"/>
                <w:lang w:val="en-GB"/>
              </w:rPr>
            </w:pPr>
            <w:r w:rsidRPr="00F0252A">
              <w:rPr>
                <w:color w:val="000000"/>
                <w:sz w:val="20"/>
                <w:lang w:val="en-GB"/>
              </w:rPr>
              <w:t>GHz</w:t>
            </w:r>
          </w:p>
        </w:tc>
        <w:tc>
          <w:tcPr>
            <w:tcW w:w="1982" w:type="dxa"/>
            <w:tcBorders>
              <w:top w:val="nil"/>
              <w:left w:val="single" w:sz="4" w:space="0" w:color="auto"/>
              <w:bottom w:val="single" w:sz="8" w:space="0" w:color="auto"/>
              <w:right w:val="single" w:sz="4" w:space="0" w:color="auto"/>
            </w:tcBorders>
            <w:shd w:val="clear" w:color="auto" w:fill="auto"/>
          </w:tcPr>
          <w:p w:rsidR="00950E51" w:rsidRPr="00F0252A" w:rsidRDefault="00950E51" w:rsidP="00F0252A">
            <w:pPr>
              <w:pStyle w:val="Tabletext"/>
              <w:jc w:val="center"/>
              <w:rPr>
                <w:color w:val="000000"/>
                <w:sz w:val="20"/>
                <w:lang w:val="en-GB"/>
              </w:rPr>
            </w:pPr>
            <w:r w:rsidRPr="00F0252A">
              <w:rPr>
                <w:color w:val="000000"/>
                <w:sz w:val="20"/>
                <w:lang w:val="en-GB"/>
              </w:rPr>
              <w:t>SRS active sensing</w:t>
            </w:r>
          </w:p>
        </w:tc>
        <w:tc>
          <w:tcPr>
            <w:tcW w:w="1063" w:type="dxa"/>
            <w:tcBorders>
              <w:top w:val="nil"/>
              <w:left w:val="nil"/>
              <w:bottom w:val="single" w:sz="8"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772" w:type="dxa"/>
            <w:tcBorders>
              <w:top w:val="nil"/>
              <w:left w:val="nil"/>
              <w:bottom w:val="single" w:sz="8"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155" w:type="dxa"/>
            <w:tcBorders>
              <w:top w:val="nil"/>
              <w:left w:val="nil"/>
              <w:bottom w:val="single" w:sz="8" w:space="0" w:color="auto"/>
              <w:right w:val="single" w:sz="4" w:space="0" w:color="auto"/>
            </w:tcBorders>
            <w:shd w:val="clear" w:color="auto" w:fill="auto"/>
          </w:tcPr>
          <w:p w:rsidR="00950E51" w:rsidRPr="00F0252A" w:rsidRDefault="00950E51" w:rsidP="00F0252A">
            <w:pPr>
              <w:pStyle w:val="Tabletext"/>
              <w:jc w:val="center"/>
              <w:rPr>
                <w:sz w:val="20"/>
                <w:lang w:val="en-GB"/>
              </w:rPr>
            </w:pPr>
          </w:p>
        </w:tc>
        <w:tc>
          <w:tcPr>
            <w:tcW w:w="1093" w:type="dxa"/>
            <w:tcBorders>
              <w:top w:val="nil"/>
              <w:left w:val="nil"/>
              <w:bottom w:val="single" w:sz="8" w:space="0" w:color="auto"/>
              <w:right w:val="single" w:sz="8" w:space="0" w:color="auto"/>
            </w:tcBorders>
            <w:shd w:val="clear" w:color="auto" w:fill="auto"/>
          </w:tcPr>
          <w:p w:rsidR="00950E51" w:rsidRPr="00F0252A" w:rsidRDefault="00950E51" w:rsidP="00F0252A">
            <w:pPr>
              <w:pStyle w:val="Tabletext"/>
              <w:jc w:val="center"/>
              <w:rPr>
                <w:sz w:val="20"/>
                <w:lang w:val="en-GB"/>
              </w:rPr>
            </w:pPr>
          </w:p>
        </w:tc>
      </w:tr>
      <w:tr w:rsidR="00950E51" w:rsidRPr="00406AB2" w:rsidTr="00F0252A">
        <w:trPr>
          <w:trHeight w:val="270"/>
        </w:trPr>
        <w:tc>
          <w:tcPr>
            <w:tcW w:w="9639" w:type="dxa"/>
            <w:gridSpan w:val="7"/>
            <w:tcBorders>
              <w:top w:val="single" w:sz="8" w:space="0" w:color="auto"/>
            </w:tcBorders>
          </w:tcPr>
          <w:p w:rsidR="00950E51" w:rsidRPr="00F0252A" w:rsidRDefault="00950E51" w:rsidP="00F0252A">
            <w:pPr>
              <w:pStyle w:val="Tabletext"/>
              <w:rPr>
                <w:sz w:val="20"/>
                <w:lang w:val="en-GB"/>
              </w:rPr>
            </w:pPr>
            <w:r w:rsidRPr="00F0252A">
              <w:rPr>
                <w:sz w:val="20"/>
                <w:vertAlign w:val="superscript"/>
                <w:lang w:val="en-GB"/>
              </w:rPr>
              <w:t>(1)</w:t>
            </w:r>
            <w:r w:rsidRPr="00F0252A">
              <w:rPr>
                <w:sz w:val="20"/>
                <w:lang w:val="en-GB"/>
              </w:rPr>
              <w:t xml:space="preserve"> </w:t>
            </w:r>
            <w:r w:rsidRPr="00F0252A">
              <w:rPr>
                <w:sz w:val="20"/>
                <w:lang w:val="en-GB"/>
              </w:rPr>
              <w:tab/>
              <w:t>Blank cell means the value is not available.</w:t>
            </w:r>
          </w:p>
        </w:tc>
      </w:tr>
    </w:tbl>
    <w:p w:rsidR="00950E51" w:rsidRPr="00950E51" w:rsidRDefault="00950E51" w:rsidP="00950E51">
      <w:pPr>
        <w:tabs>
          <w:tab w:val="clear" w:pos="794"/>
          <w:tab w:val="clear" w:pos="1191"/>
          <w:tab w:val="clear" w:pos="1588"/>
          <w:tab w:val="clear" w:pos="1985"/>
          <w:tab w:val="left" w:pos="1134"/>
          <w:tab w:val="left" w:pos="1871"/>
          <w:tab w:val="left" w:pos="2268"/>
        </w:tabs>
        <w:spacing w:before="0"/>
        <w:jc w:val="left"/>
        <w:rPr>
          <w:sz w:val="20"/>
          <w:lang w:val="en-GB"/>
        </w:rPr>
      </w:pPr>
    </w:p>
    <w:p w:rsidR="00F0252A" w:rsidRPr="00950E51" w:rsidRDefault="00F0252A" w:rsidP="00F0252A">
      <w:pPr>
        <w:pStyle w:val="Line"/>
      </w:pPr>
    </w:p>
    <w:sectPr w:rsidR="00F0252A" w:rsidRPr="00950E51" w:rsidSect="00F0252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DA2" w:rsidRDefault="000E7DA2">
      <w:r>
        <w:separator/>
      </w:r>
    </w:p>
  </w:endnote>
  <w:endnote w:type="continuationSeparator" w:id="0">
    <w:p w:rsidR="000E7DA2" w:rsidRDefault="000E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DA2" w:rsidRDefault="000E7DA2">
      <w:r>
        <w:separator/>
      </w:r>
    </w:p>
  </w:footnote>
  <w:footnote w:type="continuationSeparator" w:id="0">
    <w:p w:rsidR="000E7DA2" w:rsidRDefault="000E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51" w:rsidRDefault="00950E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51" w:rsidRDefault="00950E51" w:rsidP="00B033C8">
    <w:pPr>
      <w:pStyle w:val="Header"/>
      <w:ind w:right="360" w:firstLine="360"/>
    </w:pPr>
    <w:r>
      <w:rPr>
        <w:noProof/>
        <w:lang w:val="en-GB" w:eastAsia="en-GB"/>
      </w:rPr>
      <w:drawing>
        <wp:anchor distT="0" distB="0" distL="114300" distR="114300" simplePos="0" relativeHeight="251659264" behindDoc="1" locked="0" layoutInCell="1" allowOverlap="1" wp14:anchorId="7B4E6D45" wp14:editId="0AC2EA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51" w:rsidRPr="00C95C69" w:rsidRDefault="00950E51">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486BF9">
      <w:rPr>
        <w:rStyle w:val="PageNumber"/>
        <w:b/>
        <w:bCs/>
        <w:noProof/>
        <w:lang w:val="fr-CH"/>
      </w:rPr>
      <w:t>ii</w:t>
    </w:r>
    <w:r>
      <w:rPr>
        <w:rStyle w:val="PageNumber"/>
        <w:b/>
        <w:bCs/>
      </w:rPr>
      <w:fldChar w:fldCharType="end"/>
    </w:r>
    <w:r w:rsidRPr="00C95C69">
      <w:rPr>
        <w:lang w:val="fr-CH"/>
      </w:rPr>
      <w:tab/>
    </w:r>
    <w:r w:rsidR="00486BF9">
      <w:rPr>
        <w:b/>
        <w:bCs/>
        <w:lang w:val="fr-CH"/>
      </w:rPr>
      <w:fldChar w:fldCharType="begin"/>
    </w:r>
    <w:r w:rsidR="00486BF9">
      <w:rPr>
        <w:b/>
        <w:bCs/>
        <w:lang w:val="fr-CH"/>
      </w:rPr>
      <w:instrText xml:space="preserve"> DOCPROPERTY "Header" \* MERGEFORMAT </w:instrText>
    </w:r>
    <w:r w:rsidR="00486BF9">
      <w:rPr>
        <w:b/>
        <w:bCs/>
        <w:lang w:val="fr-CH"/>
      </w:rPr>
      <w:fldChar w:fldCharType="separate"/>
    </w:r>
    <w:r w:rsidR="00486BF9">
      <w:rPr>
        <w:b/>
        <w:bCs/>
        <w:lang w:val="fr-CH"/>
      </w:rPr>
      <w:t xml:space="preserve">Rec. </w:t>
    </w:r>
    <w:r w:rsidR="00486BF9">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486BF9">
      <w:rPr>
        <w:b/>
        <w:bCs/>
        <w:noProof/>
      </w:rPr>
      <w:t>ITU-R  SA.364-6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51" w:rsidRDefault="00950E51">
    <w:pPr>
      <w:pStyle w:val="Header"/>
    </w:pPr>
    <w:r>
      <w:tab/>
    </w:r>
    <w:r w:rsidR="00486BF9">
      <w:rPr>
        <w:b/>
        <w:bCs/>
      </w:rPr>
      <w:fldChar w:fldCharType="begin"/>
    </w:r>
    <w:r w:rsidR="00486BF9">
      <w:rPr>
        <w:b/>
        <w:bCs/>
      </w:rPr>
      <w:instrText xml:space="preserve"> DOCPROPERTY "Header" \* MERGEFORMAT </w:instrText>
    </w:r>
    <w:r w:rsidR="00486BF9">
      <w:rPr>
        <w:b/>
        <w:bCs/>
      </w:rPr>
      <w:fldChar w:fldCharType="separate"/>
    </w:r>
    <w:r w:rsidR="00486BF9">
      <w:rPr>
        <w:b/>
        <w:bCs/>
      </w:rPr>
      <w:t xml:space="preserve">Rec. </w:t>
    </w:r>
    <w:r w:rsidR="00486BF9">
      <w:rPr>
        <w:b/>
        <w:bCs/>
      </w:rPr>
      <w:fldChar w:fldCharType="end"/>
    </w:r>
    <w:r>
      <w:rPr>
        <w:b/>
        <w:bCs/>
      </w:rPr>
      <w:t xml:space="preserve"> </w:t>
    </w:r>
    <w:r>
      <w:rPr>
        <w:b/>
        <w:bCs/>
      </w:rPr>
      <w:fldChar w:fldCharType="begin"/>
    </w:r>
    <w:r>
      <w:rPr>
        <w:b/>
        <w:bCs/>
      </w:rPr>
      <w:instrText>styleref href</w:instrText>
    </w:r>
    <w:r>
      <w:rPr>
        <w:b/>
        <w:bCs/>
      </w:rPr>
      <w:fldChar w:fldCharType="separate"/>
    </w:r>
    <w:r w:rsidR="00486BF9">
      <w:rPr>
        <w:b/>
        <w:bCs/>
        <w:noProof/>
      </w:rPr>
      <w:t>ITU-R  SA.364-6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6BF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86BF9" w:rsidRPr="00486BF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6BF9">
      <w:rPr>
        <w:b/>
        <w:bCs/>
        <w:noProof/>
      </w:rPr>
      <w:t>ITU-R  SA.364-6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0E7DA2">
      <w:rPr>
        <w:b/>
        <w:bCs/>
      </w:rPr>
      <w:fldChar w:fldCharType="begin"/>
    </w:r>
    <w:r w:rsidR="000E7DA2">
      <w:rPr>
        <w:b/>
        <w:bCs/>
      </w:rPr>
      <w:instrText xml:space="preserve"> DOCPROPERTY "Header" \* MERGEFORMAT </w:instrText>
    </w:r>
    <w:r w:rsidR="000E7DA2">
      <w:rPr>
        <w:b/>
        <w:bCs/>
      </w:rPr>
      <w:fldChar w:fldCharType="separate"/>
    </w:r>
    <w:r w:rsidR="00486BF9">
      <w:rPr>
        <w:b/>
        <w:bCs/>
      </w:rPr>
      <w:t xml:space="preserve">Rec. </w:t>
    </w:r>
    <w:r w:rsidR="000E7DA2">
      <w:rPr>
        <w:b/>
        <w:bCs/>
      </w:rPr>
      <w:fldChar w:fldCharType="end"/>
    </w:r>
    <w:r>
      <w:rPr>
        <w:b/>
        <w:bCs/>
      </w:rPr>
      <w:t xml:space="preserve"> </w:t>
    </w:r>
    <w:r>
      <w:rPr>
        <w:b/>
        <w:bCs/>
      </w:rPr>
      <w:fldChar w:fldCharType="begin"/>
    </w:r>
    <w:r>
      <w:rPr>
        <w:b/>
        <w:bCs/>
      </w:rPr>
      <w:instrText>styleref href</w:instrText>
    </w:r>
    <w:r>
      <w:rPr>
        <w:b/>
        <w:bCs/>
      </w:rPr>
      <w:fldChar w:fldCharType="separate"/>
    </w:r>
    <w:r w:rsidR="00486BF9">
      <w:rPr>
        <w:b/>
        <w:bCs/>
        <w:noProof/>
      </w:rPr>
      <w:t>ITU-R  SA.364-6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6BF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E51"/>
    <w:rsid w:val="000E7DA2"/>
    <w:rsid w:val="001E6E52"/>
    <w:rsid w:val="00217EBF"/>
    <w:rsid w:val="00225636"/>
    <w:rsid w:val="00242AEE"/>
    <w:rsid w:val="002D76C4"/>
    <w:rsid w:val="00406AB2"/>
    <w:rsid w:val="0042027F"/>
    <w:rsid w:val="00486BF9"/>
    <w:rsid w:val="0052529D"/>
    <w:rsid w:val="00607D68"/>
    <w:rsid w:val="007119B5"/>
    <w:rsid w:val="007468DA"/>
    <w:rsid w:val="00950E51"/>
    <w:rsid w:val="00985B57"/>
    <w:rsid w:val="009E00A8"/>
    <w:rsid w:val="00A0254F"/>
    <w:rsid w:val="00A6617B"/>
    <w:rsid w:val="00AB0DC8"/>
    <w:rsid w:val="00B44E24"/>
    <w:rsid w:val="00DC258F"/>
    <w:rsid w:val="00DF4176"/>
    <w:rsid w:val="00F025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F96DE80A-54F8-455B-B810-C5BD8C8E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5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85B57"/>
    <w:pPr>
      <w:keepNext/>
      <w:keepLines/>
      <w:spacing w:before="480"/>
      <w:ind w:left="794" w:hanging="794"/>
      <w:outlineLvl w:val="0"/>
    </w:pPr>
    <w:rPr>
      <w:b/>
    </w:rPr>
  </w:style>
  <w:style w:type="paragraph" w:styleId="Heading2">
    <w:name w:val="heading 2"/>
    <w:basedOn w:val="Heading1"/>
    <w:next w:val="Normal"/>
    <w:qFormat/>
    <w:rsid w:val="00985B57"/>
    <w:pPr>
      <w:spacing w:before="320"/>
      <w:outlineLvl w:val="1"/>
    </w:pPr>
  </w:style>
  <w:style w:type="paragraph" w:styleId="Heading3">
    <w:name w:val="heading 3"/>
    <w:basedOn w:val="Heading1"/>
    <w:next w:val="Normal"/>
    <w:qFormat/>
    <w:rsid w:val="00985B57"/>
    <w:pPr>
      <w:spacing w:before="200"/>
      <w:outlineLvl w:val="2"/>
    </w:pPr>
  </w:style>
  <w:style w:type="paragraph" w:styleId="Heading4">
    <w:name w:val="heading 4"/>
    <w:basedOn w:val="Heading3"/>
    <w:next w:val="Normal"/>
    <w:qFormat/>
    <w:rsid w:val="00985B57"/>
    <w:pPr>
      <w:tabs>
        <w:tab w:val="clear" w:pos="794"/>
        <w:tab w:val="left" w:pos="992"/>
      </w:tabs>
      <w:ind w:left="992" w:hanging="992"/>
      <w:outlineLvl w:val="3"/>
    </w:pPr>
  </w:style>
  <w:style w:type="paragraph" w:styleId="Heading5">
    <w:name w:val="heading 5"/>
    <w:basedOn w:val="Heading4"/>
    <w:next w:val="Normal"/>
    <w:qFormat/>
    <w:rsid w:val="00985B57"/>
    <w:pPr>
      <w:outlineLvl w:val="4"/>
    </w:pPr>
  </w:style>
  <w:style w:type="paragraph" w:styleId="Heading6">
    <w:name w:val="heading 6"/>
    <w:basedOn w:val="Heading4"/>
    <w:next w:val="Normal"/>
    <w:qFormat/>
    <w:rsid w:val="00985B57"/>
    <w:pPr>
      <w:tabs>
        <w:tab w:val="clear" w:pos="992"/>
        <w:tab w:val="clear" w:pos="1191"/>
      </w:tabs>
      <w:ind w:left="1588" w:hanging="1588"/>
      <w:outlineLvl w:val="5"/>
    </w:pPr>
  </w:style>
  <w:style w:type="paragraph" w:styleId="Heading7">
    <w:name w:val="heading 7"/>
    <w:basedOn w:val="Heading6"/>
    <w:next w:val="Normal"/>
    <w:qFormat/>
    <w:rsid w:val="00985B57"/>
    <w:pPr>
      <w:outlineLvl w:val="6"/>
    </w:pPr>
  </w:style>
  <w:style w:type="paragraph" w:styleId="Heading8">
    <w:name w:val="heading 8"/>
    <w:basedOn w:val="Heading6"/>
    <w:next w:val="Normal"/>
    <w:qFormat/>
    <w:rsid w:val="00985B57"/>
    <w:pPr>
      <w:outlineLvl w:val="7"/>
    </w:pPr>
  </w:style>
  <w:style w:type="paragraph" w:styleId="Heading9">
    <w:name w:val="heading 9"/>
    <w:basedOn w:val="Heading6"/>
    <w:next w:val="Normal"/>
    <w:qFormat/>
    <w:rsid w:val="00985B5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5B5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85B5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5B57"/>
  </w:style>
  <w:style w:type="paragraph" w:customStyle="1" w:styleId="Headingb">
    <w:name w:val="Heading_b"/>
    <w:basedOn w:val="Heading3"/>
    <w:next w:val="Normal"/>
    <w:rsid w:val="00985B57"/>
    <w:pPr>
      <w:spacing w:before="160"/>
      <w:ind w:left="0" w:firstLine="0"/>
      <w:outlineLvl w:val="9"/>
    </w:pPr>
  </w:style>
  <w:style w:type="paragraph" w:customStyle="1" w:styleId="Headingi">
    <w:name w:val="Heading_i"/>
    <w:basedOn w:val="Heading3"/>
    <w:next w:val="Normal"/>
    <w:rsid w:val="00985B57"/>
    <w:pPr>
      <w:spacing w:before="160"/>
      <w:ind w:left="0" w:firstLine="0"/>
    </w:pPr>
    <w:rPr>
      <w:b w:val="0"/>
      <w:i/>
    </w:rPr>
  </w:style>
  <w:style w:type="character" w:customStyle="1" w:styleId="href">
    <w:name w:val="href"/>
    <w:basedOn w:val="DefaultParagraphFont"/>
    <w:rsid w:val="00985B57"/>
  </w:style>
  <w:style w:type="paragraph" w:customStyle="1" w:styleId="enumlev1">
    <w:name w:val="enumlev1"/>
    <w:basedOn w:val="Normal"/>
    <w:rsid w:val="00985B57"/>
    <w:pPr>
      <w:spacing w:before="80"/>
      <w:ind w:left="794" w:hanging="794"/>
    </w:pPr>
  </w:style>
  <w:style w:type="paragraph" w:customStyle="1" w:styleId="enumlev2">
    <w:name w:val="enumlev2"/>
    <w:basedOn w:val="enumlev1"/>
    <w:rsid w:val="00985B57"/>
    <w:pPr>
      <w:ind w:left="1191" w:hanging="397"/>
    </w:pPr>
  </w:style>
  <w:style w:type="paragraph" w:customStyle="1" w:styleId="enumlev3">
    <w:name w:val="enumlev3"/>
    <w:basedOn w:val="enumlev2"/>
    <w:rsid w:val="00985B57"/>
    <w:pPr>
      <w:ind w:left="1588"/>
    </w:pPr>
  </w:style>
  <w:style w:type="paragraph" w:customStyle="1" w:styleId="Normalaftertitle">
    <w:name w:val="Normal_after_title"/>
    <w:basedOn w:val="Normal"/>
    <w:next w:val="Normal"/>
    <w:rsid w:val="00985B57"/>
    <w:pPr>
      <w:spacing w:before="320"/>
    </w:pPr>
  </w:style>
  <w:style w:type="paragraph" w:customStyle="1" w:styleId="Note">
    <w:name w:val="Note"/>
    <w:basedOn w:val="Normal"/>
    <w:rsid w:val="00985B5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5B5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85B57"/>
    <w:pPr>
      <w:spacing w:before="240"/>
    </w:pPr>
    <w:rPr>
      <w:sz w:val="22"/>
      <w:lang w:val="es-ES_tradnl"/>
    </w:rPr>
  </w:style>
  <w:style w:type="paragraph" w:customStyle="1" w:styleId="Recref">
    <w:name w:val="Rec_ref"/>
    <w:basedOn w:val="Normal"/>
    <w:next w:val="Recdate"/>
    <w:rsid w:val="00985B57"/>
    <w:pPr>
      <w:jc w:val="center"/>
    </w:pPr>
  </w:style>
  <w:style w:type="paragraph" w:customStyle="1" w:styleId="Recdate">
    <w:name w:val="Rec_date"/>
    <w:basedOn w:val="Recref"/>
    <w:next w:val="Normalaftertitle"/>
    <w:rsid w:val="00985B57"/>
    <w:pPr>
      <w:jc w:val="right"/>
    </w:pPr>
  </w:style>
  <w:style w:type="paragraph" w:customStyle="1" w:styleId="AnnexNoTitle">
    <w:name w:val="Annex_NoTitle"/>
    <w:basedOn w:val="Normal"/>
    <w:next w:val="Normalaftertitle"/>
    <w:rsid w:val="0042027F"/>
    <w:pPr>
      <w:keepNext/>
      <w:keepLines/>
      <w:spacing w:before="480" w:after="80"/>
      <w:jc w:val="center"/>
      <w:outlineLvl w:val="0"/>
    </w:pPr>
    <w:rPr>
      <w:b/>
      <w:sz w:val="28"/>
    </w:rPr>
  </w:style>
  <w:style w:type="paragraph" w:customStyle="1" w:styleId="AppendixNoTitle">
    <w:name w:val="Appendix_NoTitle"/>
    <w:basedOn w:val="AnnexNoTitle"/>
    <w:next w:val="Normal"/>
    <w:rsid w:val="00985B57"/>
  </w:style>
  <w:style w:type="paragraph" w:customStyle="1" w:styleId="Tablefin">
    <w:name w:val="Table_fin"/>
    <w:basedOn w:val="Normal"/>
    <w:next w:val="Normal"/>
    <w:rsid w:val="00985B57"/>
    <w:pPr>
      <w:spacing w:before="0"/>
    </w:pPr>
    <w:rPr>
      <w:sz w:val="20"/>
      <w:lang w:val="en-GB"/>
    </w:rPr>
  </w:style>
  <w:style w:type="paragraph" w:customStyle="1" w:styleId="Tablehead">
    <w:name w:val="Table_head"/>
    <w:basedOn w:val="Normal"/>
    <w:next w:val="Normal"/>
    <w:rsid w:val="00985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5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5B57"/>
    <w:pPr>
      <w:keepNext/>
      <w:spacing w:before="360" w:after="120"/>
      <w:jc w:val="center"/>
    </w:pPr>
  </w:style>
  <w:style w:type="paragraph" w:customStyle="1" w:styleId="Tabletext">
    <w:name w:val="Table_text"/>
    <w:basedOn w:val="Normal"/>
    <w:rsid w:val="00A025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985B57"/>
    <w:pPr>
      <w:tabs>
        <w:tab w:val="clear" w:pos="1191"/>
        <w:tab w:val="clear" w:pos="1588"/>
        <w:tab w:val="clear" w:pos="1985"/>
        <w:tab w:val="center" w:pos="4820"/>
        <w:tab w:val="right" w:pos="9639"/>
      </w:tabs>
    </w:pPr>
  </w:style>
  <w:style w:type="paragraph" w:customStyle="1" w:styleId="Equationlegend">
    <w:name w:val="Equation_legend"/>
    <w:basedOn w:val="NormalIndent"/>
    <w:rsid w:val="00985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5B57"/>
    <w:pPr>
      <w:ind w:left="794"/>
    </w:pPr>
  </w:style>
  <w:style w:type="paragraph" w:customStyle="1" w:styleId="Figurelegend">
    <w:name w:val="Figure_legend"/>
    <w:basedOn w:val="Normal"/>
    <w:rsid w:val="00985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85B57"/>
    <w:pPr>
      <w:keepNext/>
      <w:keepLines/>
      <w:spacing w:before="480" w:after="80"/>
      <w:jc w:val="center"/>
    </w:pPr>
    <w:rPr>
      <w:caps/>
      <w:sz w:val="18"/>
    </w:rPr>
  </w:style>
  <w:style w:type="paragraph" w:customStyle="1" w:styleId="tocpart">
    <w:name w:val="tocpart"/>
    <w:basedOn w:val="Normal"/>
    <w:rsid w:val="00985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5B57"/>
    <w:pPr>
      <w:keepNext/>
      <w:keepLines/>
      <w:spacing w:before="480"/>
      <w:jc w:val="center"/>
    </w:pPr>
    <w:rPr>
      <w:sz w:val="28"/>
    </w:rPr>
  </w:style>
  <w:style w:type="paragraph" w:customStyle="1" w:styleId="Arttitle">
    <w:name w:val="Art_title"/>
    <w:basedOn w:val="Normal"/>
    <w:next w:val="Normalaftertitle"/>
    <w:rsid w:val="00985B57"/>
    <w:pPr>
      <w:keepNext/>
      <w:keepLines/>
      <w:spacing w:before="240"/>
      <w:jc w:val="center"/>
    </w:pPr>
    <w:rPr>
      <w:b/>
      <w:sz w:val="28"/>
    </w:rPr>
  </w:style>
  <w:style w:type="paragraph" w:customStyle="1" w:styleId="Blanc">
    <w:name w:val="Blanc"/>
    <w:basedOn w:val="Normal"/>
    <w:next w:val="Tabletext"/>
    <w:rsid w:val="00985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5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5B57"/>
    <w:pPr>
      <w:keepNext/>
      <w:keepLines/>
      <w:spacing w:before="160"/>
      <w:ind w:left="794"/>
    </w:pPr>
    <w:rPr>
      <w:i/>
    </w:rPr>
  </w:style>
  <w:style w:type="paragraph" w:customStyle="1" w:styleId="ChapNo">
    <w:name w:val="Chap_No"/>
    <w:basedOn w:val="ArtNo"/>
    <w:next w:val="Chaptitle"/>
    <w:rsid w:val="00985B57"/>
    <w:rPr>
      <w:b/>
    </w:rPr>
  </w:style>
  <w:style w:type="paragraph" w:customStyle="1" w:styleId="Chaptitle">
    <w:name w:val="Chap_title"/>
    <w:basedOn w:val="Arttitle"/>
    <w:next w:val="Normalaftertitle"/>
    <w:rsid w:val="00985B57"/>
  </w:style>
  <w:style w:type="character" w:styleId="FootnoteReference">
    <w:name w:val="footnote reference"/>
    <w:basedOn w:val="DefaultParagraphFont"/>
    <w:semiHidden/>
    <w:rsid w:val="00985B57"/>
    <w:rPr>
      <w:position w:val="6"/>
      <w:sz w:val="18"/>
    </w:rPr>
  </w:style>
  <w:style w:type="paragraph" w:styleId="FootnoteText">
    <w:name w:val="footnote text"/>
    <w:basedOn w:val="Normal"/>
    <w:semiHidden/>
    <w:rsid w:val="00985B57"/>
    <w:pPr>
      <w:keepLines/>
      <w:tabs>
        <w:tab w:val="left" w:pos="255"/>
      </w:tabs>
      <w:ind w:left="255" w:hanging="255"/>
    </w:pPr>
    <w:rPr>
      <w:sz w:val="22"/>
    </w:rPr>
  </w:style>
  <w:style w:type="paragraph" w:styleId="Index1">
    <w:name w:val="index 1"/>
    <w:basedOn w:val="Normal"/>
    <w:next w:val="Normal"/>
    <w:semiHidden/>
    <w:rsid w:val="00985B57"/>
  </w:style>
  <w:style w:type="paragraph" w:styleId="Index2">
    <w:name w:val="index 2"/>
    <w:basedOn w:val="Normal"/>
    <w:next w:val="Normal"/>
    <w:semiHidden/>
    <w:rsid w:val="00985B57"/>
    <w:pPr>
      <w:ind w:left="283"/>
    </w:pPr>
  </w:style>
  <w:style w:type="paragraph" w:styleId="Index3">
    <w:name w:val="index 3"/>
    <w:basedOn w:val="Normal"/>
    <w:next w:val="Normal"/>
    <w:semiHidden/>
    <w:rsid w:val="00985B57"/>
    <w:pPr>
      <w:ind w:left="566"/>
    </w:pPr>
  </w:style>
  <w:style w:type="paragraph" w:styleId="IndexHeading">
    <w:name w:val="index heading"/>
    <w:basedOn w:val="Normal"/>
    <w:next w:val="Index1"/>
    <w:semiHidden/>
    <w:rsid w:val="00985B57"/>
  </w:style>
  <w:style w:type="paragraph" w:customStyle="1" w:styleId="Line">
    <w:name w:val="Line"/>
    <w:basedOn w:val="Normal"/>
    <w:next w:val="Normal"/>
    <w:rsid w:val="00985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5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5B57"/>
  </w:style>
  <w:style w:type="paragraph" w:customStyle="1" w:styleId="Partref">
    <w:name w:val="Part_ref"/>
    <w:basedOn w:val="Normal"/>
    <w:next w:val="Normal"/>
    <w:rsid w:val="00985B57"/>
    <w:pPr>
      <w:keepNext/>
      <w:keepLines/>
      <w:spacing w:after="280"/>
      <w:jc w:val="center"/>
    </w:pPr>
  </w:style>
  <w:style w:type="paragraph" w:customStyle="1" w:styleId="Parttitle">
    <w:name w:val="Part_title"/>
    <w:basedOn w:val="Normal"/>
    <w:next w:val="Normalaftertitle"/>
    <w:rsid w:val="00985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5B57"/>
  </w:style>
  <w:style w:type="paragraph" w:customStyle="1" w:styleId="QuestionNo">
    <w:name w:val="Question_No"/>
    <w:basedOn w:val="RecNo"/>
    <w:next w:val="Normal"/>
    <w:rsid w:val="00985B57"/>
  </w:style>
  <w:style w:type="paragraph" w:customStyle="1" w:styleId="Questionref">
    <w:name w:val="Question_ref"/>
    <w:basedOn w:val="Recref"/>
    <w:next w:val="Questiondate"/>
    <w:rsid w:val="00985B57"/>
  </w:style>
  <w:style w:type="paragraph" w:customStyle="1" w:styleId="Questiontitle">
    <w:name w:val="Question_title"/>
    <w:basedOn w:val="Normal"/>
    <w:next w:val="Questionref"/>
    <w:rsid w:val="00985B57"/>
  </w:style>
  <w:style w:type="paragraph" w:customStyle="1" w:styleId="Reftext">
    <w:name w:val="Ref_text"/>
    <w:basedOn w:val="Normal"/>
    <w:rsid w:val="00985B57"/>
    <w:pPr>
      <w:ind w:left="794" w:hanging="794"/>
    </w:pPr>
    <w:rPr>
      <w:sz w:val="22"/>
    </w:rPr>
  </w:style>
  <w:style w:type="paragraph" w:customStyle="1" w:styleId="Reftitle">
    <w:name w:val="Ref_title"/>
    <w:basedOn w:val="Normal"/>
    <w:next w:val="Reftext"/>
    <w:rsid w:val="00985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5B57"/>
  </w:style>
  <w:style w:type="paragraph" w:customStyle="1" w:styleId="RepNo">
    <w:name w:val="Rep_No"/>
    <w:basedOn w:val="RecNo"/>
    <w:next w:val="Reptitle"/>
    <w:rsid w:val="00985B57"/>
  </w:style>
  <w:style w:type="paragraph" w:customStyle="1" w:styleId="Repref">
    <w:name w:val="Rep_ref"/>
    <w:basedOn w:val="Recref"/>
    <w:next w:val="Repdate"/>
    <w:rsid w:val="00985B57"/>
  </w:style>
  <w:style w:type="paragraph" w:customStyle="1" w:styleId="Reptitle">
    <w:name w:val="Rep_title"/>
    <w:basedOn w:val="Rectitle"/>
    <w:next w:val="Repref"/>
    <w:rsid w:val="00985B57"/>
  </w:style>
  <w:style w:type="paragraph" w:customStyle="1" w:styleId="Resdate">
    <w:name w:val="Res_date"/>
    <w:basedOn w:val="Recdate"/>
    <w:next w:val="Normalaftertitle"/>
    <w:rsid w:val="00985B57"/>
  </w:style>
  <w:style w:type="paragraph" w:customStyle="1" w:styleId="ResNo">
    <w:name w:val="Res_No"/>
    <w:basedOn w:val="RecNo"/>
    <w:next w:val="Restitle"/>
    <w:rsid w:val="00985B57"/>
  </w:style>
  <w:style w:type="paragraph" w:customStyle="1" w:styleId="Resref">
    <w:name w:val="Res_ref"/>
    <w:basedOn w:val="Recref"/>
    <w:next w:val="Resdate"/>
    <w:rsid w:val="00985B57"/>
  </w:style>
  <w:style w:type="paragraph" w:customStyle="1" w:styleId="Restitle">
    <w:name w:val="Res_title"/>
    <w:basedOn w:val="Normal"/>
    <w:next w:val="Resref"/>
    <w:rsid w:val="00985B57"/>
    <w:pPr>
      <w:spacing w:before="240"/>
      <w:jc w:val="center"/>
    </w:pPr>
    <w:rPr>
      <w:b/>
      <w:sz w:val="28"/>
    </w:rPr>
  </w:style>
  <w:style w:type="paragraph" w:customStyle="1" w:styleId="SectionNo">
    <w:name w:val="Section_No"/>
    <w:basedOn w:val="Normal"/>
    <w:next w:val="Normal"/>
    <w:rsid w:val="00985B57"/>
  </w:style>
  <w:style w:type="paragraph" w:customStyle="1" w:styleId="Sectiontitle">
    <w:name w:val="Section_title"/>
    <w:basedOn w:val="Normal"/>
    <w:next w:val="Normalaftertitle"/>
    <w:rsid w:val="00985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5B57"/>
    <w:pPr>
      <w:tabs>
        <w:tab w:val="clear" w:pos="794"/>
        <w:tab w:val="clear" w:pos="1191"/>
        <w:tab w:val="clear" w:pos="1588"/>
        <w:tab w:val="clear" w:pos="1985"/>
        <w:tab w:val="right" w:pos="9611"/>
      </w:tabs>
    </w:pPr>
    <w:rPr>
      <w:i/>
    </w:rPr>
  </w:style>
  <w:style w:type="paragraph" w:styleId="TOC1">
    <w:name w:val="toc 1"/>
    <w:basedOn w:val="Normal"/>
    <w:semiHidden/>
    <w:rsid w:val="00985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85B57"/>
    <w:pPr>
      <w:tabs>
        <w:tab w:val="clear" w:pos="567"/>
        <w:tab w:val="left" w:pos="1276"/>
      </w:tabs>
      <w:spacing w:before="160"/>
      <w:ind w:left="1276" w:hanging="709"/>
    </w:pPr>
  </w:style>
  <w:style w:type="paragraph" w:styleId="TOC3">
    <w:name w:val="toc 3"/>
    <w:basedOn w:val="TOC2"/>
    <w:semiHidden/>
    <w:rsid w:val="00985B57"/>
    <w:pPr>
      <w:tabs>
        <w:tab w:val="clear" w:pos="1276"/>
        <w:tab w:val="left" w:pos="2155"/>
      </w:tabs>
      <w:ind w:left="2155" w:hanging="879"/>
    </w:pPr>
  </w:style>
  <w:style w:type="paragraph" w:styleId="TOC4">
    <w:name w:val="toc 4"/>
    <w:basedOn w:val="TOC3"/>
    <w:semiHidden/>
    <w:rsid w:val="00985B57"/>
    <w:pPr>
      <w:tabs>
        <w:tab w:val="left" w:pos="3261"/>
      </w:tabs>
      <w:spacing w:before="80"/>
      <w:ind w:left="3261" w:hanging="993"/>
    </w:pPr>
  </w:style>
  <w:style w:type="paragraph" w:styleId="TOC5">
    <w:name w:val="toc 5"/>
    <w:basedOn w:val="TOC4"/>
    <w:semiHidden/>
    <w:rsid w:val="00985B57"/>
  </w:style>
  <w:style w:type="paragraph" w:styleId="TOC6">
    <w:name w:val="toc 6"/>
    <w:basedOn w:val="TOC4"/>
    <w:semiHidden/>
    <w:rsid w:val="00985B57"/>
  </w:style>
  <w:style w:type="paragraph" w:styleId="TOC7">
    <w:name w:val="toc 7"/>
    <w:basedOn w:val="TOC4"/>
    <w:semiHidden/>
    <w:rsid w:val="00985B57"/>
  </w:style>
  <w:style w:type="paragraph" w:styleId="TOC8">
    <w:name w:val="toc 8"/>
    <w:basedOn w:val="TOC4"/>
    <w:semiHidden/>
    <w:rsid w:val="00985B57"/>
  </w:style>
  <w:style w:type="paragraph" w:customStyle="1" w:styleId="Rectitle">
    <w:name w:val="Rec_title"/>
    <w:basedOn w:val="Normal"/>
    <w:next w:val="Recref"/>
    <w:rsid w:val="00985B57"/>
    <w:pPr>
      <w:keepNext/>
      <w:keepLines/>
      <w:spacing w:before="240"/>
      <w:jc w:val="center"/>
    </w:pPr>
    <w:rPr>
      <w:b/>
      <w:sz w:val="28"/>
    </w:rPr>
  </w:style>
  <w:style w:type="paragraph" w:customStyle="1" w:styleId="Annexref">
    <w:name w:val="Annex_ref"/>
    <w:basedOn w:val="Normal"/>
    <w:next w:val="Normalaftertitle"/>
    <w:rsid w:val="00985B57"/>
    <w:pPr>
      <w:keepNext/>
      <w:keepLines/>
      <w:spacing w:after="280"/>
      <w:jc w:val="center"/>
    </w:pPr>
  </w:style>
  <w:style w:type="paragraph" w:customStyle="1" w:styleId="Appendixref">
    <w:name w:val="Appendix_ref"/>
    <w:basedOn w:val="Annexref"/>
    <w:next w:val="Normalaftertitle"/>
    <w:rsid w:val="00985B57"/>
  </w:style>
  <w:style w:type="paragraph" w:customStyle="1" w:styleId="Figuretitle">
    <w:name w:val="Figure_title"/>
    <w:basedOn w:val="Normal"/>
    <w:next w:val="Figure"/>
    <w:rsid w:val="00985B5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85B57"/>
    <w:pPr>
      <w:keepNext/>
      <w:spacing w:before="0" w:after="120"/>
      <w:jc w:val="center"/>
    </w:pPr>
    <w:rPr>
      <w:b/>
    </w:rPr>
  </w:style>
  <w:style w:type="paragraph" w:customStyle="1" w:styleId="Summary">
    <w:name w:val="Summary"/>
    <w:basedOn w:val="Normal"/>
    <w:next w:val="Normalaftertitle"/>
    <w:autoRedefine/>
    <w:rsid w:val="00985B57"/>
    <w:pPr>
      <w:spacing w:after="480"/>
    </w:pPr>
    <w:rPr>
      <w:sz w:val="22"/>
      <w:lang w:val="es-ES_tradnl"/>
    </w:rPr>
  </w:style>
  <w:style w:type="paragraph" w:customStyle="1" w:styleId="TableLegendNote">
    <w:name w:val="Table_Legend_Note"/>
    <w:basedOn w:val="Tablelegend"/>
    <w:next w:val="Tablelegend"/>
    <w:rsid w:val="00985B57"/>
    <w:pPr>
      <w:ind w:left="-85" w:firstLine="0"/>
    </w:pPr>
    <w:rPr>
      <w:lang w:val="en-US"/>
    </w:rPr>
  </w:style>
  <w:style w:type="paragraph" w:customStyle="1" w:styleId="Figure">
    <w:name w:val="Figure"/>
    <w:basedOn w:val="FigureNo"/>
    <w:next w:val="Normal"/>
    <w:rsid w:val="00985B57"/>
    <w:pPr>
      <w:keepNext w:val="0"/>
      <w:spacing w:before="0" w:after="240"/>
    </w:pPr>
  </w:style>
  <w:style w:type="character" w:styleId="Hyperlink">
    <w:name w:val="Hyperlink"/>
    <w:basedOn w:val="DefaultParagraphFont"/>
    <w:rsid w:val="00950E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10</Pages>
  <Words>3692</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2019-01-22T09:49:00Z</cp:lastPrinted>
  <dcterms:created xsi:type="dcterms:W3CDTF">2018-11-13T11:07:00Z</dcterms:created>
  <dcterms:modified xsi:type="dcterms:W3CDTF">2019-01-22T09:49:00Z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