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834" w14:textId="77777777" w:rsidR="00C7547B" w:rsidRPr="00715A77" w:rsidRDefault="00C7547B" w:rsidP="00C7547B">
      <w:pPr>
        <w:rPr>
          <w:i/>
          <w:lang w:val="es-ES_tradnl"/>
        </w:rPr>
      </w:pPr>
    </w:p>
    <w:p w14:paraId="63A93EAE" w14:textId="77777777" w:rsidR="00C7547B" w:rsidRPr="00715A77" w:rsidRDefault="00C7547B" w:rsidP="00C7547B">
      <w:pPr>
        <w:rPr>
          <w:lang w:val="es-ES_tradnl"/>
        </w:rPr>
      </w:pPr>
    </w:p>
    <w:p w14:paraId="6ED69776" w14:textId="77777777" w:rsidR="00C7547B" w:rsidRPr="00715A77" w:rsidRDefault="00C7547B" w:rsidP="00C7547B">
      <w:pPr>
        <w:rPr>
          <w:lang w:val="es-ES_tradnl"/>
        </w:rPr>
      </w:pPr>
    </w:p>
    <w:p w14:paraId="397D8C8B" w14:textId="77777777" w:rsidR="00C7547B" w:rsidRPr="00715A77" w:rsidRDefault="00C7547B" w:rsidP="00C7547B">
      <w:pPr>
        <w:rPr>
          <w:lang w:val="es-ES_tradnl"/>
        </w:rPr>
      </w:pPr>
    </w:p>
    <w:p w14:paraId="208581F2" w14:textId="77777777" w:rsidR="00C7547B" w:rsidRPr="00715A77" w:rsidRDefault="00C7547B" w:rsidP="00C7547B">
      <w:pPr>
        <w:rPr>
          <w:lang w:val="es-ES_tradnl"/>
        </w:rPr>
      </w:pPr>
    </w:p>
    <w:p w14:paraId="3CD6E566" w14:textId="77777777" w:rsidR="00C7547B" w:rsidRPr="00715A77" w:rsidRDefault="00C7547B" w:rsidP="00C7547B">
      <w:pPr>
        <w:rPr>
          <w:lang w:val="es-ES_tradnl"/>
        </w:rPr>
      </w:pPr>
    </w:p>
    <w:p w14:paraId="1B2B54A5" w14:textId="228A83E0" w:rsidR="00C7547B" w:rsidRPr="00715A77" w:rsidRDefault="00C7547B" w:rsidP="00C7547B">
      <w:pPr>
        <w:rPr>
          <w:lang w:val="es-ES_tradnl"/>
        </w:rPr>
      </w:pPr>
    </w:p>
    <w:p w14:paraId="685B0891" w14:textId="77777777" w:rsidR="00C7547B" w:rsidRPr="00715A77" w:rsidRDefault="00C7547B" w:rsidP="00C7547B">
      <w:pPr>
        <w:rPr>
          <w:lang w:val="es-ES_tradnl"/>
        </w:rPr>
      </w:pPr>
    </w:p>
    <w:p w14:paraId="07649F96" w14:textId="58B91A1D" w:rsidR="00C7547B" w:rsidRPr="00715A77" w:rsidRDefault="00C7547B" w:rsidP="004F1E3D">
      <w:pPr>
        <w:tabs>
          <w:tab w:val="clear" w:pos="794"/>
          <w:tab w:val="clear" w:pos="1191"/>
          <w:tab w:val="clear" w:pos="1588"/>
          <w:tab w:val="clear" w:pos="1985"/>
          <w:tab w:val="left" w:pos="5358"/>
        </w:tabs>
        <w:rPr>
          <w:lang w:val="es-ES_tradnl"/>
        </w:rPr>
      </w:pPr>
    </w:p>
    <w:p w14:paraId="3A4AE91A" w14:textId="77777777" w:rsidR="00C7547B" w:rsidRPr="00715A77" w:rsidRDefault="00C7547B" w:rsidP="00C7547B">
      <w:pPr>
        <w:rPr>
          <w:lang w:val="es-ES_tradnl"/>
        </w:rPr>
      </w:pPr>
    </w:p>
    <w:p w14:paraId="66DD5958" w14:textId="77777777" w:rsidR="00C7547B" w:rsidRPr="00715A77" w:rsidRDefault="00C7547B" w:rsidP="00C7547B">
      <w:pPr>
        <w:rPr>
          <w:lang w:val="es-ES_tradnl"/>
        </w:rPr>
      </w:pPr>
    </w:p>
    <w:p w14:paraId="54B96912" w14:textId="77777777" w:rsidR="00C7547B" w:rsidRPr="00715A77" w:rsidRDefault="00C7547B" w:rsidP="00C7547B">
      <w:pPr>
        <w:rPr>
          <w:lang w:val="es-ES_tradnl"/>
        </w:rPr>
      </w:pPr>
    </w:p>
    <w:tbl>
      <w:tblPr>
        <w:tblW w:w="10089" w:type="dxa"/>
        <w:tblLook w:val="01E0" w:firstRow="1" w:lastRow="1" w:firstColumn="1" w:lastColumn="1" w:noHBand="0" w:noVBand="0"/>
      </w:tblPr>
      <w:tblGrid>
        <w:gridCol w:w="10089"/>
      </w:tblGrid>
      <w:tr w:rsidR="00C7547B" w:rsidRPr="00715A77" w14:paraId="16434040" w14:textId="77777777" w:rsidTr="00623D19">
        <w:tc>
          <w:tcPr>
            <w:tcW w:w="10089" w:type="dxa"/>
          </w:tcPr>
          <w:p w14:paraId="6800CB27" w14:textId="77777777" w:rsidR="00C7547B" w:rsidRPr="00715A77" w:rsidRDefault="00C7547B" w:rsidP="00623D19">
            <w:pPr>
              <w:spacing w:before="380" w:line="280" w:lineRule="exact"/>
              <w:jc w:val="right"/>
              <w:rPr>
                <w:rFonts w:ascii="Tahoma" w:hAnsi="Tahoma" w:cs="Tahoma"/>
                <w:b/>
                <w:bCs/>
                <w:iCs/>
                <w:color w:val="243285"/>
                <w:sz w:val="32"/>
                <w:szCs w:val="32"/>
                <w:lang w:val="es-ES_tradnl"/>
              </w:rPr>
            </w:pPr>
          </w:p>
          <w:p w14:paraId="017E7B6D" w14:textId="3FA622CF" w:rsidR="00C7547B" w:rsidRPr="00715A77" w:rsidRDefault="00C7547B" w:rsidP="00366637">
            <w:pPr>
              <w:spacing w:before="380" w:line="280" w:lineRule="exact"/>
              <w:jc w:val="right"/>
              <w:rPr>
                <w:rFonts w:ascii="Tahoma" w:hAnsi="Tahoma" w:cs="Tahoma"/>
                <w:b/>
                <w:bCs/>
                <w:iCs/>
                <w:color w:val="243285"/>
                <w:sz w:val="36"/>
                <w:szCs w:val="36"/>
                <w:lang w:val="es-ES_tradnl"/>
              </w:rPr>
            </w:pPr>
            <w:r w:rsidRPr="00715A77">
              <w:rPr>
                <w:rFonts w:ascii="Tahoma" w:hAnsi="Tahoma"/>
                <w:b/>
                <w:color w:val="243285"/>
                <w:sz w:val="36"/>
                <w:lang w:val="es-ES_tradnl"/>
              </w:rPr>
              <w:t xml:space="preserve">Recomendación </w:t>
            </w:r>
            <w:r w:rsidR="00AB2931" w:rsidRPr="00715A77">
              <w:rPr>
                <w:rFonts w:ascii="Tahoma" w:hAnsi="Tahoma"/>
                <w:b/>
                <w:color w:val="243285"/>
                <w:sz w:val="36"/>
                <w:lang w:val="es-ES_tradnl"/>
              </w:rPr>
              <w:t xml:space="preserve"> </w:t>
            </w:r>
            <w:r w:rsidRPr="00715A77">
              <w:rPr>
                <w:rFonts w:ascii="Tahoma" w:hAnsi="Tahoma"/>
                <w:b/>
                <w:color w:val="243285"/>
                <w:sz w:val="36"/>
                <w:lang w:val="es-ES_tradnl"/>
              </w:rPr>
              <w:t xml:space="preserve">UIT-R </w:t>
            </w:r>
            <w:r w:rsidR="00AB2931" w:rsidRPr="00715A77">
              <w:rPr>
                <w:rFonts w:ascii="Tahoma" w:hAnsi="Tahoma"/>
                <w:b/>
                <w:color w:val="243285"/>
                <w:sz w:val="36"/>
                <w:lang w:val="es-ES_tradnl"/>
              </w:rPr>
              <w:t xml:space="preserve"> </w:t>
            </w:r>
            <w:r w:rsidRPr="00715A77">
              <w:rPr>
                <w:rFonts w:ascii="Tahoma" w:hAnsi="Tahoma"/>
                <w:b/>
                <w:color w:val="243285"/>
                <w:sz w:val="36"/>
                <w:lang w:val="es-ES_tradnl"/>
              </w:rPr>
              <w:t>SA.21</w:t>
            </w:r>
            <w:r w:rsidR="0058387A" w:rsidRPr="00715A77">
              <w:rPr>
                <w:rFonts w:ascii="Tahoma" w:hAnsi="Tahoma"/>
                <w:b/>
                <w:color w:val="243285"/>
                <w:sz w:val="36"/>
                <w:lang w:val="es-ES_tradnl"/>
              </w:rPr>
              <w:t>55</w:t>
            </w:r>
            <w:r w:rsidRPr="00715A77">
              <w:rPr>
                <w:rFonts w:ascii="Tahoma" w:hAnsi="Tahoma"/>
                <w:b/>
                <w:color w:val="243285"/>
                <w:sz w:val="36"/>
                <w:lang w:val="es-ES_tradnl"/>
              </w:rPr>
              <w:t>-0</w:t>
            </w:r>
          </w:p>
          <w:p w14:paraId="6C51B96B" w14:textId="3981D93E" w:rsidR="00C7547B" w:rsidRPr="00715A77" w:rsidRDefault="00C7547B" w:rsidP="004A52FE">
            <w:pPr>
              <w:spacing w:before="80" w:line="280" w:lineRule="exact"/>
              <w:jc w:val="right"/>
              <w:rPr>
                <w:rFonts w:ascii="Tahoma" w:hAnsi="Tahoma" w:cs="Tahoma"/>
                <w:b/>
                <w:bCs/>
                <w:iCs/>
                <w:color w:val="243285"/>
                <w:szCs w:val="24"/>
                <w:lang w:val="es-ES_tradnl"/>
              </w:rPr>
            </w:pPr>
            <w:r w:rsidRPr="00715A77">
              <w:rPr>
                <w:rFonts w:ascii="Tahoma" w:hAnsi="Tahoma"/>
                <w:b/>
                <w:color w:val="243285"/>
                <w:lang w:val="es-ES_tradnl"/>
              </w:rPr>
              <w:t>(12/202</w:t>
            </w:r>
            <w:r w:rsidR="0058387A" w:rsidRPr="00715A77">
              <w:rPr>
                <w:rFonts w:ascii="Tahoma" w:hAnsi="Tahoma"/>
                <w:b/>
                <w:color w:val="243285"/>
                <w:lang w:val="es-ES_tradnl"/>
              </w:rPr>
              <w:t>2</w:t>
            </w:r>
            <w:r w:rsidRPr="00715A77">
              <w:rPr>
                <w:rFonts w:ascii="Tahoma" w:hAnsi="Tahoma"/>
                <w:b/>
                <w:color w:val="243285"/>
                <w:lang w:val="es-ES_tradnl"/>
              </w:rPr>
              <w:t>)</w:t>
            </w:r>
          </w:p>
        </w:tc>
      </w:tr>
      <w:tr w:rsidR="00C7547B" w:rsidRPr="00715A77" w14:paraId="2B344623" w14:textId="77777777" w:rsidTr="00623D19">
        <w:tc>
          <w:tcPr>
            <w:tcW w:w="10089" w:type="dxa"/>
          </w:tcPr>
          <w:p w14:paraId="2D04985D" w14:textId="77777777" w:rsidR="00C7547B" w:rsidRPr="00715A77" w:rsidRDefault="00C7547B" w:rsidP="00623D19">
            <w:pPr>
              <w:spacing w:before="80" w:line="500" w:lineRule="exact"/>
              <w:jc w:val="right"/>
              <w:rPr>
                <w:rFonts w:ascii="Tahoma" w:hAnsi="Tahoma" w:cs="Tahoma"/>
                <w:b/>
                <w:bCs/>
                <w:iCs/>
                <w:color w:val="243285"/>
                <w:sz w:val="44"/>
                <w:szCs w:val="44"/>
                <w:lang w:val="es-ES_tradnl"/>
              </w:rPr>
            </w:pPr>
          </w:p>
          <w:p w14:paraId="2455FBB5" w14:textId="24BA8A75" w:rsidR="00C7547B" w:rsidRPr="00715A77" w:rsidRDefault="0058387A" w:rsidP="00366637">
            <w:pPr>
              <w:spacing w:before="80" w:line="500" w:lineRule="exact"/>
              <w:jc w:val="right"/>
              <w:rPr>
                <w:rFonts w:ascii="Tahoma" w:hAnsi="Tahoma" w:cs="Tahoma"/>
                <w:b/>
                <w:bCs/>
                <w:iCs/>
                <w:color w:val="243285"/>
                <w:sz w:val="44"/>
                <w:szCs w:val="44"/>
                <w:lang w:val="es-ES_tradnl"/>
              </w:rPr>
            </w:pPr>
            <w:r w:rsidRPr="00715A77">
              <w:rPr>
                <w:rFonts w:ascii="Tahoma" w:hAnsi="Tahoma" w:cs="Tahoma"/>
                <w:b/>
                <w:bCs/>
                <w:iCs/>
                <w:color w:val="243285"/>
                <w:sz w:val="44"/>
                <w:szCs w:val="44"/>
                <w:lang w:val="es-ES_tradnl"/>
              </w:rPr>
              <w:t>Directrices sobre la utilización de la banda de frecuencias 2 200-2 290 MHz por redes o sistemas de satélites que no utilizan modulación de espectro ensanchado del servicio de exploración de la Tierra por satélite/servicio de investigación espacial/servicio de operaciones espaciales</w:t>
            </w:r>
          </w:p>
          <w:p w14:paraId="11A61304" w14:textId="77777777" w:rsidR="00C7547B" w:rsidRPr="00715A77" w:rsidRDefault="00C7547B" w:rsidP="00623D19">
            <w:pPr>
              <w:spacing w:before="80" w:line="500" w:lineRule="exact"/>
              <w:jc w:val="right"/>
              <w:rPr>
                <w:rFonts w:ascii="Tahoma" w:hAnsi="Tahoma" w:cs="Tahoma"/>
                <w:b/>
                <w:bCs/>
                <w:iCs/>
                <w:color w:val="243285"/>
                <w:sz w:val="40"/>
                <w:szCs w:val="40"/>
                <w:lang w:val="es-ES_tradnl"/>
              </w:rPr>
            </w:pPr>
          </w:p>
        </w:tc>
      </w:tr>
      <w:tr w:rsidR="00C7547B" w:rsidRPr="00715A77" w14:paraId="4575E019" w14:textId="77777777" w:rsidTr="00255053">
        <w:trPr>
          <w:trHeight w:val="1890"/>
        </w:trPr>
        <w:tc>
          <w:tcPr>
            <w:tcW w:w="10089" w:type="dxa"/>
          </w:tcPr>
          <w:p w14:paraId="5D908C2C" w14:textId="77777777" w:rsidR="00C7547B" w:rsidRPr="00715A77" w:rsidRDefault="00C7547B" w:rsidP="00623D19">
            <w:pPr>
              <w:spacing w:before="80" w:line="280" w:lineRule="exact"/>
              <w:ind w:right="640"/>
              <w:rPr>
                <w:rFonts w:ascii="Tahoma" w:hAnsi="Tahoma" w:cs="Tahoma"/>
                <w:b/>
                <w:bCs/>
                <w:iCs/>
                <w:color w:val="243285"/>
                <w:sz w:val="32"/>
                <w:szCs w:val="32"/>
                <w:lang w:val="es-ES_tradnl"/>
              </w:rPr>
            </w:pPr>
          </w:p>
          <w:p w14:paraId="0D5E5086" w14:textId="77777777" w:rsidR="00C7547B" w:rsidRPr="00715A77" w:rsidRDefault="00C7547B" w:rsidP="00623D19">
            <w:pPr>
              <w:spacing w:before="80" w:after="180" w:line="360" w:lineRule="exact"/>
              <w:ind w:right="720"/>
              <w:rPr>
                <w:rFonts w:ascii="Tahoma" w:hAnsi="Tahoma" w:cs="Tahoma"/>
                <w:b/>
                <w:bCs/>
                <w:iCs/>
                <w:color w:val="243285"/>
                <w:sz w:val="36"/>
                <w:szCs w:val="36"/>
                <w:lang w:val="es-ES_tradnl"/>
              </w:rPr>
            </w:pPr>
          </w:p>
          <w:p w14:paraId="7643E4AA" w14:textId="5ECE76AA" w:rsidR="00C7547B" w:rsidRPr="00715A77" w:rsidRDefault="008C4E93" w:rsidP="00623D19">
            <w:pPr>
              <w:spacing w:before="80" w:after="180" w:line="360" w:lineRule="exact"/>
              <w:jc w:val="right"/>
              <w:rPr>
                <w:rFonts w:ascii="Tahoma" w:hAnsi="Tahoma" w:cs="Tahoma"/>
                <w:b/>
                <w:bCs/>
                <w:iCs/>
                <w:color w:val="243285"/>
                <w:sz w:val="36"/>
                <w:szCs w:val="36"/>
                <w:lang w:val="es-ES_tradnl"/>
              </w:rPr>
            </w:pPr>
            <w:r w:rsidRPr="00715A77">
              <w:rPr>
                <w:rFonts w:ascii="Tahoma" w:hAnsi="Tahoma"/>
                <w:b/>
                <w:color w:val="243285"/>
                <w:sz w:val="36"/>
                <w:lang w:val="es-ES_tradnl"/>
              </w:rPr>
              <w:t>Serie SA</w:t>
            </w:r>
          </w:p>
          <w:p w14:paraId="25A8529C" w14:textId="776777C3" w:rsidR="00C7547B" w:rsidRPr="00715A77" w:rsidRDefault="00774666" w:rsidP="00623D19">
            <w:pPr>
              <w:spacing w:before="80" w:line="360" w:lineRule="exact"/>
              <w:jc w:val="right"/>
              <w:rPr>
                <w:rFonts w:ascii="Tahoma" w:hAnsi="Tahoma" w:cs="Tahoma"/>
                <w:b/>
                <w:bCs/>
                <w:iCs/>
                <w:color w:val="243285"/>
                <w:sz w:val="36"/>
                <w:szCs w:val="36"/>
                <w:lang w:val="es-ES_tradnl"/>
              </w:rPr>
            </w:pPr>
            <w:r w:rsidRPr="00715A77">
              <w:rPr>
                <w:rFonts w:ascii="Tahoma" w:hAnsi="Tahoma"/>
                <w:b/>
                <w:color w:val="243285"/>
                <w:sz w:val="36"/>
                <w:lang w:val="es-ES_tradnl"/>
              </w:rPr>
              <w:t>Aplicaciones espaciales y meteorología</w:t>
            </w:r>
          </w:p>
        </w:tc>
      </w:tr>
    </w:tbl>
    <w:p w14:paraId="5622E61D" w14:textId="77777777" w:rsidR="00C7547B" w:rsidRPr="00715A77" w:rsidRDefault="00C7547B" w:rsidP="00C7547B">
      <w:pPr>
        <w:spacing w:before="80"/>
        <w:rPr>
          <w:i/>
          <w:sz w:val="22"/>
          <w:lang w:val="es-ES_tradnl"/>
        </w:rPr>
      </w:pPr>
    </w:p>
    <w:p w14:paraId="13E2C7DF" w14:textId="77777777" w:rsidR="00C7547B" w:rsidRPr="00715A77" w:rsidRDefault="00C7547B" w:rsidP="00C7547B">
      <w:pPr>
        <w:spacing w:before="80"/>
        <w:rPr>
          <w:i/>
          <w:sz w:val="22"/>
          <w:lang w:val="es-ES_tradnl"/>
        </w:rPr>
      </w:pPr>
    </w:p>
    <w:p w14:paraId="7E1A679C" w14:textId="77777777" w:rsidR="00C7547B" w:rsidRPr="00715A77" w:rsidRDefault="00C7547B" w:rsidP="00C7547B">
      <w:pPr>
        <w:spacing w:before="80"/>
        <w:rPr>
          <w:i/>
          <w:sz w:val="22"/>
          <w:lang w:val="es-ES_tradnl"/>
        </w:rPr>
      </w:pPr>
    </w:p>
    <w:p w14:paraId="38D551D4" w14:textId="77777777" w:rsidR="00C7547B" w:rsidRPr="00715A77" w:rsidRDefault="00C7547B" w:rsidP="00C7547B">
      <w:pPr>
        <w:spacing w:before="80"/>
        <w:rPr>
          <w:i/>
          <w:sz w:val="22"/>
          <w:lang w:val="es-ES_tradnl"/>
        </w:rPr>
      </w:pPr>
    </w:p>
    <w:p w14:paraId="23071A6B" w14:textId="77777777" w:rsidR="00C7547B" w:rsidRPr="00715A77" w:rsidRDefault="00C7547B" w:rsidP="00C7547B">
      <w:pPr>
        <w:pStyle w:val="Equation"/>
        <w:tabs>
          <w:tab w:val="clear" w:pos="4820"/>
          <w:tab w:val="clear" w:pos="9639"/>
          <w:tab w:val="left" w:pos="1191"/>
          <w:tab w:val="left" w:pos="1588"/>
          <w:tab w:val="left" w:pos="1985"/>
        </w:tabs>
        <w:rPr>
          <w:rFonts w:ascii="Palatino Linotype" w:hAnsi="Palatino Linotype"/>
          <w:lang w:val="es-ES_tradnl"/>
        </w:rPr>
        <w:sectPr w:rsidR="00C7547B" w:rsidRPr="00715A77" w:rsidSect="004F1E3D">
          <w:headerReference w:type="even" r:id="rId8"/>
          <w:headerReference w:type="default" r:id="rId9"/>
          <w:headerReference w:type="first" r:id="rId10"/>
          <w:pgSz w:w="11907" w:h="16840" w:code="9"/>
          <w:pgMar w:top="1089" w:right="1089" w:bottom="284" w:left="1089" w:header="567" w:footer="284" w:gutter="0"/>
          <w:pgNumType w:start="1"/>
          <w:cols w:space="720"/>
          <w:titlePg/>
          <w:docGrid w:linePitch="326"/>
        </w:sectPr>
      </w:pPr>
    </w:p>
    <w:p w14:paraId="628D3144" w14:textId="77777777" w:rsidR="00C7547B" w:rsidRPr="00715A77" w:rsidRDefault="00C7547B" w:rsidP="000B0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4"/>
          <w:szCs w:val="24"/>
          <w:lang w:val="es-ES_tradnl"/>
        </w:rPr>
      </w:pPr>
      <w:bookmarkStart w:id="0" w:name="c2tope"/>
      <w:bookmarkEnd w:id="0"/>
      <w:r w:rsidRPr="00715A77">
        <w:rPr>
          <w:sz w:val="24"/>
          <w:lang w:val="es-ES_tradnl"/>
        </w:rPr>
        <w:lastRenderedPageBreak/>
        <w:t>Prólogo</w:t>
      </w:r>
    </w:p>
    <w:p w14:paraId="5DA7F8F5" w14:textId="77777777" w:rsidR="00C7547B" w:rsidRPr="00715A77" w:rsidRDefault="00C7547B" w:rsidP="000B0A22">
      <w:pPr>
        <w:rPr>
          <w:sz w:val="20"/>
          <w:lang w:val="es-ES_tradnl"/>
        </w:rPr>
      </w:pPr>
      <w:r w:rsidRPr="00715A77">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w:t>
      </w:r>
    </w:p>
    <w:p w14:paraId="1006C77E" w14:textId="5B038B28" w:rsidR="00C7547B" w:rsidRPr="00715A77" w:rsidRDefault="00C7547B" w:rsidP="00C7547B">
      <w:pPr>
        <w:rPr>
          <w:sz w:val="20"/>
          <w:lang w:val="es-ES_tradnl"/>
        </w:rPr>
      </w:pPr>
      <w:r w:rsidRPr="00715A77">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F1FE33E" w14:textId="77777777" w:rsidR="00C7547B" w:rsidRPr="00715A77" w:rsidRDefault="00C7547B" w:rsidP="000B0A22">
      <w:pPr>
        <w:pStyle w:val="Heading1"/>
        <w:spacing w:before="360"/>
        <w:jc w:val="center"/>
        <w:rPr>
          <w:szCs w:val="24"/>
          <w:lang w:val="es-ES_tradnl"/>
        </w:rPr>
      </w:pPr>
      <w:bookmarkStart w:id="1" w:name="_Toc86738362"/>
      <w:bookmarkStart w:id="2" w:name="_Toc102570753"/>
      <w:bookmarkStart w:id="3" w:name="_Toc102986146"/>
      <w:r w:rsidRPr="00715A77">
        <w:rPr>
          <w:lang w:val="es-ES_tradnl"/>
        </w:rPr>
        <w:t>Política sobre Derechos de Propiedad Intelectual (IPR)</w:t>
      </w:r>
      <w:bookmarkEnd w:id="1"/>
      <w:bookmarkEnd w:id="2"/>
      <w:bookmarkEnd w:id="3"/>
    </w:p>
    <w:p w14:paraId="355DC3C0" w14:textId="7A23D9C6" w:rsidR="00C7547B" w:rsidRPr="00715A77" w:rsidRDefault="00C7547B" w:rsidP="00C7547B">
      <w:pPr>
        <w:tabs>
          <w:tab w:val="clear" w:pos="794"/>
          <w:tab w:val="clear" w:pos="1191"/>
          <w:tab w:val="clear" w:pos="1588"/>
          <w:tab w:val="clear" w:pos="1985"/>
        </w:tabs>
        <w:spacing w:before="240"/>
        <w:rPr>
          <w:sz w:val="20"/>
          <w:lang w:val="es-ES_tradnl"/>
        </w:rPr>
      </w:pPr>
      <w:r w:rsidRPr="00715A77">
        <w:rPr>
          <w:sz w:val="20"/>
          <w:lang w:val="es-ES_tradnl"/>
        </w:rPr>
        <w:t>La política del UIT R sobre IPR se describe en la Política Común de Patentes UIT T/UIT R/ISO/CEI a la que se hace referencia en la Resolución UIT</w:t>
      </w:r>
      <w:r w:rsidR="00B72EF8" w:rsidRPr="00715A77">
        <w:rPr>
          <w:sz w:val="20"/>
          <w:lang w:val="es-ES_tradnl"/>
        </w:rPr>
        <w:t>-</w:t>
      </w:r>
      <w:r w:rsidRPr="00715A77">
        <w:rPr>
          <w:sz w:val="20"/>
          <w:lang w:val="es-ES_tradnl"/>
        </w:rPr>
        <w:t>R</w:t>
      </w:r>
      <w:r w:rsidR="00B72EF8" w:rsidRPr="00715A77">
        <w:rPr>
          <w:sz w:val="20"/>
          <w:lang w:val="es-ES_tradnl"/>
        </w:rPr>
        <w:t xml:space="preserve"> </w:t>
      </w:r>
      <w:r w:rsidRPr="00715A77">
        <w:rPr>
          <w:sz w:val="20"/>
          <w:lang w:val="es-ES_tradnl"/>
        </w:rPr>
        <w:t xml:space="preserve">1. Los formularios que deben utilizarse en la declaración sobre patentes y utilización de patentes por los titulares de las mismas figuran en la dirección web </w:t>
      </w:r>
      <w:hyperlink r:id="rId11" w:history="1">
        <w:r w:rsidRPr="00715A77">
          <w:rPr>
            <w:rStyle w:val="Hyperlink"/>
            <w:sz w:val="20"/>
            <w:lang w:val="es-ES_tradnl"/>
          </w:rPr>
          <w:t>http://www.itu.int/ITU-R/go/patents/es</w:t>
        </w:r>
      </w:hyperlink>
      <w:r w:rsidRPr="00715A77">
        <w:rPr>
          <w:sz w:val="20"/>
          <w:lang w:val="es-ES_tradnl"/>
        </w:rPr>
        <w:t>, donde también aparecen las Directrices para la implementación de la Política Común de Patentes UIT</w:t>
      </w:r>
      <w:r w:rsidRPr="00715A77">
        <w:rPr>
          <w:sz w:val="20"/>
          <w:lang w:val="es-ES_tradnl"/>
        </w:rPr>
        <w:noBreakHyphen/>
        <w:t>T/UIT</w:t>
      </w:r>
      <w:r w:rsidRPr="00715A77">
        <w:rPr>
          <w:sz w:val="20"/>
          <w:lang w:val="es-ES_tradnl"/>
        </w:rPr>
        <w:noBreakHyphen/>
        <w:t>R/ISO/CEI y la base de datos sobre información de patentes del UIT-R.</w:t>
      </w:r>
    </w:p>
    <w:p w14:paraId="41B0E4B4" w14:textId="77777777" w:rsidR="00C7547B" w:rsidRPr="00715A77" w:rsidRDefault="00C7547B" w:rsidP="00C7547B">
      <w:pPr>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715A77" w14:paraId="35E3A36A" w14:textId="77777777" w:rsidTr="00623D19">
        <w:tc>
          <w:tcPr>
            <w:tcW w:w="9360" w:type="dxa"/>
            <w:gridSpan w:val="2"/>
          </w:tcPr>
          <w:p w14:paraId="3A429D7D" w14:textId="3ADF8DBC" w:rsidR="00C7547B" w:rsidRPr="00715A77" w:rsidRDefault="00C7547B" w:rsidP="000B0A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15A77">
              <w:rPr>
                <w:sz w:val="22"/>
                <w:lang w:val="es-ES_tradnl"/>
              </w:rPr>
              <w:t>Series de las Recomendaciones UIT-R</w:t>
            </w:r>
          </w:p>
          <w:p w14:paraId="28A0A4EB" w14:textId="6D7FACE0" w:rsidR="00C7547B" w:rsidRPr="00715A77"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15A77">
              <w:rPr>
                <w:b w:val="0"/>
                <w:sz w:val="18"/>
                <w:lang w:val="es-ES_tradnl"/>
              </w:rPr>
              <w:t xml:space="preserve">(También disponible en línea en </w:t>
            </w:r>
            <w:hyperlink r:id="rId12" w:history="1">
              <w:r w:rsidRPr="00715A77">
                <w:rPr>
                  <w:rStyle w:val="Hyperlink"/>
                  <w:b w:val="0"/>
                  <w:sz w:val="18"/>
                  <w:lang w:val="es-ES_tradnl"/>
                </w:rPr>
                <w:t>http://www.itu.int/publ/R-REC/es</w:t>
              </w:r>
            </w:hyperlink>
            <w:r w:rsidRPr="00715A77">
              <w:rPr>
                <w:b w:val="0"/>
                <w:sz w:val="18"/>
                <w:lang w:val="es-ES_tradnl"/>
              </w:rPr>
              <w:t>)</w:t>
            </w:r>
          </w:p>
        </w:tc>
      </w:tr>
      <w:tr w:rsidR="00C7547B" w:rsidRPr="00715A77" w14:paraId="210C20DE" w14:textId="77777777" w:rsidTr="00623D19">
        <w:tc>
          <w:tcPr>
            <w:tcW w:w="1140" w:type="dxa"/>
          </w:tcPr>
          <w:p w14:paraId="7900DD64" w14:textId="77777777" w:rsidR="00C7547B" w:rsidRPr="00715A77" w:rsidRDefault="00C7547B" w:rsidP="000B0A22">
            <w:pPr>
              <w:spacing w:before="90" w:after="100"/>
              <w:ind w:left="57"/>
              <w:rPr>
                <w:b/>
                <w:bCs/>
                <w:sz w:val="20"/>
                <w:lang w:val="es-ES_tradnl"/>
              </w:rPr>
            </w:pPr>
            <w:r w:rsidRPr="00715A77">
              <w:rPr>
                <w:b/>
                <w:sz w:val="20"/>
                <w:lang w:val="es-ES_tradnl"/>
              </w:rPr>
              <w:t>Series</w:t>
            </w:r>
          </w:p>
        </w:tc>
        <w:tc>
          <w:tcPr>
            <w:tcW w:w="8220" w:type="dxa"/>
          </w:tcPr>
          <w:p w14:paraId="313A34E6" w14:textId="77777777" w:rsidR="00C7547B" w:rsidRPr="00715A77" w:rsidRDefault="00C7547B" w:rsidP="000B0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s-ES_tradnl"/>
              </w:rPr>
            </w:pPr>
            <w:r w:rsidRPr="00715A77">
              <w:rPr>
                <w:sz w:val="20"/>
                <w:lang w:val="es-ES_tradnl"/>
              </w:rPr>
              <w:t>Título</w:t>
            </w:r>
          </w:p>
        </w:tc>
      </w:tr>
      <w:tr w:rsidR="00C7547B" w:rsidRPr="00715A77" w14:paraId="3BB25704" w14:textId="77777777" w:rsidTr="00623D19">
        <w:tc>
          <w:tcPr>
            <w:tcW w:w="1140" w:type="dxa"/>
          </w:tcPr>
          <w:p w14:paraId="695598CC" w14:textId="77777777" w:rsidR="00C7547B" w:rsidRPr="00715A77" w:rsidRDefault="00C7547B" w:rsidP="00623D19">
            <w:pPr>
              <w:spacing w:before="30" w:after="30"/>
              <w:ind w:left="57"/>
              <w:jc w:val="left"/>
              <w:rPr>
                <w:b/>
                <w:bCs/>
                <w:sz w:val="20"/>
                <w:lang w:val="es-ES_tradnl"/>
              </w:rPr>
            </w:pPr>
            <w:r w:rsidRPr="00715A77">
              <w:rPr>
                <w:b/>
                <w:sz w:val="20"/>
                <w:lang w:val="es-ES_tradnl"/>
              </w:rPr>
              <w:t>BO</w:t>
            </w:r>
          </w:p>
        </w:tc>
        <w:tc>
          <w:tcPr>
            <w:tcW w:w="8220" w:type="dxa"/>
          </w:tcPr>
          <w:p w14:paraId="13D3B423" w14:textId="77777777" w:rsidR="00C7547B" w:rsidRPr="00715A77"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15A77">
              <w:rPr>
                <w:b w:val="0"/>
                <w:sz w:val="20"/>
                <w:lang w:val="es-ES_tradnl"/>
              </w:rPr>
              <w:t>Distribución por satélite</w:t>
            </w:r>
          </w:p>
        </w:tc>
      </w:tr>
      <w:tr w:rsidR="00C7547B" w:rsidRPr="00715A77" w14:paraId="4EA9A4C9" w14:textId="77777777" w:rsidTr="00623D19">
        <w:tc>
          <w:tcPr>
            <w:tcW w:w="1140" w:type="dxa"/>
            <w:tcBorders>
              <w:bottom w:val="nil"/>
            </w:tcBorders>
          </w:tcPr>
          <w:p w14:paraId="43C1060D" w14:textId="77777777" w:rsidR="00C7547B" w:rsidRPr="00715A77" w:rsidRDefault="00C7547B" w:rsidP="00623D19">
            <w:pPr>
              <w:spacing w:before="30" w:after="30"/>
              <w:ind w:left="57"/>
              <w:jc w:val="left"/>
              <w:rPr>
                <w:b/>
                <w:bCs/>
                <w:sz w:val="20"/>
                <w:lang w:val="es-ES_tradnl"/>
              </w:rPr>
            </w:pPr>
            <w:r w:rsidRPr="00715A77">
              <w:rPr>
                <w:b/>
                <w:sz w:val="20"/>
                <w:lang w:val="es-ES_tradnl"/>
              </w:rPr>
              <w:t>BR</w:t>
            </w:r>
          </w:p>
        </w:tc>
        <w:tc>
          <w:tcPr>
            <w:tcW w:w="8220" w:type="dxa"/>
            <w:tcBorders>
              <w:bottom w:val="nil"/>
            </w:tcBorders>
          </w:tcPr>
          <w:p w14:paraId="5F11F324" w14:textId="77777777" w:rsidR="00C7547B" w:rsidRPr="00715A77"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15A77">
              <w:rPr>
                <w:b w:val="0"/>
                <w:sz w:val="20"/>
                <w:lang w:val="es-ES_tradnl"/>
              </w:rPr>
              <w:t>Registro para producción, archivo y reproducción; películas en televisión</w:t>
            </w:r>
          </w:p>
        </w:tc>
      </w:tr>
      <w:tr w:rsidR="00C7547B" w:rsidRPr="00715A77" w14:paraId="039E84BC" w14:textId="77777777" w:rsidTr="00623D19">
        <w:tc>
          <w:tcPr>
            <w:tcW w:w="1140" w:type="dxa"/>
            <w:tcBorders>
              <w:top w:val="nil"/>
              <w:bottom w:val="nil"/>
            </w:tcBorders>
            <w:shd w:val="clear" w:color="auto" w:fill="auto"/>
          </w:tcPr>
          <w:p w14:paraId="5D23A4C2" w14:textId="77777777" w:rsidR="00C7547B" w:rsidRPr="00715A77" w:rsidRDefault="00C7547B" w:rsidP="00623D19">
            <w:pPr>
              <w:spacing w:before="30" w:after="30"/>
              <w:ind w:left="57"/>
              <w:jc w:val="left"/>
              <w:rPr>
                <w:rFonts w:hAnsi="Times New Roman Bold"/>
                <w:b/>
                <w:bCs/>
                <w:sz w:val="20"/>
                <w:lang w:val="es-ES_tradnl"/>
              </w:rPr>
            </w:pPr>
            <w:r w:rsidRPr="00715A77">
              <w:rPr>
                <w:rFonts w:hAnsi="Times New Roman Bold"/>
                <w:b/>
                <w:sz w:val="20"/>
                <w:lang w:val="es-ES_tradnl"/>
              </w:rPr>
              <w:t>BS</w:t>
            </w:r>
          </w:p>
        </w:tc>
        <w:tc>
          <w:tcPr>
            <w:tcW w:w="8220" w:type="dxa"/>
            <w:tcBorders>
              <w:top w:val="nil"/>
              <w:bottom w:val="nil"/>
            </w:tcBorders>
            <w:shd w:val="clear" w:color="auto" w:fill="auto"/>
          </w:tcPr>
          <w:p w14:paraId="3B749C57" w14:textId="77777777" w:rsidR="00C7547B" w:rsidRPr="00715A77"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15A77">
              <w:rPr>
                <w:rFonts w:hAnsi="Times New Roman Bold"/>
                <w:b w:val="0"/>
                <w:sz w:val="20"/>
                <w:lang w:val="es-ES_tradnl"/>
              </w:rPr>
              <w:t>Servicio de radiodifusi</w:t>
            </w:r>
            <w:r w:rsidRPr="00715A77">
              <w:rPr>
                <w:rFonts w:hAnsi="Times New Roman Bold"/>
                <w:b w:val="0"/>
                <w:sz w:val="20"/>
                <w:lang w:val="es-ES_tradnl"/>
              </w:rPr>
              <w:t>ó</w:t>
            </w:r>
            <w:r w:rsidRPr="00715A77">
              <w:rPr>
                <w:rFonts w:hAnsi="Times New Roman Bold"/>
                <w:b w:val="0"/>
                <w:sz w:val="20"/>
                <w:lang w:val="es-ES_tradnl"/>
              </w:rPr>
              <w:t>n (sonora)</w:t>
            </w:r>
          </w:p>
        </w:tc>
      </w:tr>
      <w:tr w:rsidR="00C7547B" w:rsidRPr="00715A77" w14:paraId="03AC4BFC" w14:textId="77777777" w:rsidTr="00623D19">
        <w:tc>
          <w:tcPr>
            <w:tcW w:w="1140" w:type="dxa"/>
            <w:tcBorders>
              <w:top w:val="nil"/>
              <w:bottom w:val="nil"/>
            </w:tcBorders>
            <w:shd w:val="clear" w:color="auto" w:fill="auto"/>
          </w:tcPr>
          <w:p w14:paraId="7356CC94" w14:textId="77777777" w:rsidR="00C7547B" w:rsidRPr="00715A77" w:rsidRDefault="00C7547B" w:rsidP="00623D19">
            <w:pPr>
              <w:spacing w:before="30" w:after="30"/>
              <w:ind w:left="57"/>
              <w:jc w:val="left"/>
              <w:rPr>
                <w:b/>
                <w:bCs/>
                <w:sz w:val="20"/>
                <w:lang w:val="es-ES_tradnl"/>
              </w:rPr>
            </w:pPr>
            <w:r w:rsidRPr="00715A77">
              <w:rPr>
                <w:b/>
                <w:sz w:val="20"/>
                <w:lang w:val="es-ES_tradnl"/>
              </w:rPr>
              <w:t>BT</w:t>
            </w:r>
          </w:p>
        </w:tc>
        <w:tc>
          <w:tcPr>
            <w:tcW w:w="8220" w:type="dxa"/>
            <w:tcBorders>
              <w:top w:val="nil"/>
              <w:bottom w:val="nil"/>
            </w:tcBorders>
            <w:shd w:val="clear" w:color="auto" w:fill="auto"/>
          </w:tcPr>
          <w:p w14:paraId="63F33104" w14:textId="77777777" w:rsidR="00C7547B" w:rsidRPr="00715A77"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15A77">
              <w:rPr>
                <w:b w:val="0"/>
                <w:sz w:val="20"/>
                <w:lang w:val="es-ES_tradnl"/>
              </w:rPr>
              <w:t>Servicio de radiodifusión (televisión)</w:t>
            </w:r>
          </w:p>
        </w:tc>
      </w:tr>
      <w:tr w:rsidR="00C7547B" w:rsidRPr="00715A77" w14:paraId="7F16F4B1" w14:textId="77777777" w:rsidTr="00623D19">
        <w:tc>
          <w:tcPr>
            <w:tcW w:w="1140" w:type="dxa"/>
            <w:tcBorders>
              <w:top w:val="nil"/>
              <w:bottom w:val="nil"/>
            </w:tcBorders>
            <w:shd w:val="clear" w:color="auto" w:fill="auto"/>
          </w:tcPr>
          <w:p w14:paraId="03EBBABF" w14:textId="77777777" w:rsidR="00C7547B" w:rsidRPr="00715A77" w:rsidRDefault="00C7547B" w:rsidP="00623D19">
            <w:pPr>
              <w:spacing w:before="30" w:after="30"/>
              <w:ind w:left="57"/>
              <w:jc w:val="left"/>
              <w:rPr>
                <w:rFonts w:hAnsi="Times New Roman Bold"/>
                <w:b/>
                <w:bCs/>
                <w:sz w:val="20"/>
                <w:lang w:val="es-ES_tradnl"/>
              </w:rPr>
            </w:pPr>
            <w:r w:rsidRPr="00715A77">
              <w:rPr>
                <w:rFonts w:hAnsi="Times New Roman Bold"/>
                <w:b/>
                <w:sz w:val="20"/>
                <w:lang w:val="es-ES_tradnl"/>
              </w:rPr>
              <w:t>F</w:t>
            </w:r>
          </w:p>
        </w:tc>
        <w:tc>
          <w:tcPr>
            <w:tcW w:w="8220" w:type="dxa"/>
            <w:tcBorders>
              <w:top w:val="nil"/>
              <w:bottom w:val="nil"/>
            </w:tcBorders>
            <w:shd w:val="clear" w:color="auto" w:fill="auto"/>
          </w:tcPr>
          <w:p w14:paraId="0567EDB5" w14:textId="77777777" w:rsidR="00C7547B" w:rsidRPr="00715A77"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s-ES_tradnl"/>
              </w:rPr>
            </w:pPr>
            <w:r w:rsidRPr="00715A77">
              <w:rPr>
                <w:rFonts w:hAnsi="Times New Roman Bold"/>
                <w:sz w:val="20"/>
                <w:lang w:val="es-ES_tradnl"/>
              </w:rPr>
              <w:t>Servicio fijo</w:t>
            </w:r>
          </w:p>
        </w:tc>
      </w:tr>
      <w:tr w:rsidR="00C7547B" w:rsidRPr="00715A77" w14:paraId="2781378A" w14:textId="77777777" w:rsidTr="00623D19">
        <w:tc>
          <w:tcPr>
            <w:tcW w:w="1140" w:type="dxa"/>
            <w:tcBorders>
              <w:top w:val="nil"/>
              <w:bottom w:val="nil"/>
            </w:tcBorders>
            <w:shd w:val="clear" w:color="auto" w:fill="auto"/>
          </w:tcPr>
          <w:p w14:paraId="2EB6367E" w14:textId="77777777" w:rsidR="00C7547B" w:rsidRPr="00715A77" w:rsidRDefault="00C7547B" w:rsidP="00623D19">
            <w:pPr>
              <w:spacing w:before="30" w:after="30"/>
              <w:ind w:left="57"/>
              <w:jc w:val="left"/>
              <w:rPr>
                <w:rFonts w:ascii="Times New Roman Bold" w:hAnsi="Times New Roman Bold" w:cs="Times New Roman Bold"/>
                <w:b/>
                <w:sz w:val="20"/>
                <w:lang w:val="es-ES_tradnl"/>
              </w:rPr>
            </w:pPr>
            <w:r w:rsidRPr="00715A77">
              <w:rPr>
                <w:rFonts w:ascii="Times New Roman Bold" w:hAnsi="Times New Roman Bold"/>
                <w:b/>
                <w:sz w:val="20"/>
                <w:lang w:val="es-ES_tradnl"/>
              </w:rPr>
              <w:t>M</w:t>
            </w:r>
          </w:p>
        </w:tc>
        <w:tc>
          <w:tcPr>
            <w:tcW w:w="8220" w:type="dxa"/>
            <w:tcBorders>
              <w:top w:val="nil"/>
              <w:bottom w:val="nil"/>
            </w:tcBorders>
            <w:shd w:val="clear" w:color="auto" w:fill="auto"/>
          </w:tcPr>
          <w:p w14:paraId="1F5553EC" w14:textId="77777777" w:rsidR="00C7547B" w:rsidRPr="00715A77"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s-ES_tradnl"/>
              </w:rPr>
            </w:pPr>
            <w:r w:rsidRPr="00715A77">
              <w:rPr>
                <w:rFonts w:hAnsi="Times New Roman Bold"/>
                <w:b w:val="0"/>
                <w:sz w:val="20"/>
                <w:lang w:val="es-ES_tradnl"/>
              </w:rPr>
              <w:t>Servicios m</w:t>
            </w:r>
            <w:r w:rsidRPr="00715A77">
              <w:rPr>
                <w:rFonts w:hAnsi="Times New Roman Bold"/>
                <w:b w:val="0"/>
                <w:sz w:val="20"/>
                <w:lang w:val="es-ES_tradnl"/>
              </w:rPr>
              <w:t>ó</w:t>
            </w:r>
            <w:r w:rsidRPr="00715A77">
              <w:rPr>
                <w:rFonts w:hAnsi="Times New Roman Bold"/>
                <w:b w:val="0"/>
                <w:sz w:val="20"/>
                <w:lang w:val="es-ES_tradnl"/>
              </w:rPr>
              <w:t>viles, de radiodeterminaci</w:t>
            </w:r>
            <w:r w:rsidRPr="00715A77">
              <w:rPr>
                <w:rFonts w:hAnsi="Times New Roman Bold"/>
                <w:b w:val="0"/>
                <w:sz w:val="20"/>
                <w:lang w:val="es-ES_tradnl"/>
              </w:rPr>
              <w:t>ó</w:t>
            </w:r>
            <w:r w:rsidRPr="00715A77">
              <w:rPr>
                <w:rFonts w:hAnsi="Times New Roman Bold"/>
                <w:b w:val="0"/>
                <w:sz w:val="20"/>
                <w:lang w:val="es-ES_tradnl"/>
              </w:rPr>
              <w:t>n, de aficionados y otros servicios por sat</w:t>
            </w:r>
            <w:r w:rsidRPr="00715A77">
              <w:rPr>
                <w:rFonts w:hAnsi="Times New Roman Bold"/>
                <w:b w:val="0"/>
                <w:sz w:val="20"/>
                <w:lang w:val="es-ES_tradnl"/>
              </w:rPr>
              <w:t>é</w:t>
            </w:r>
            <w:r w:rsidRPr="00715A77">
              <w:rPr>
                <w:rFonts w:hAnsi="Times New Roman Bold"/>
                <w:b w:val="0"/>
                <w:sz w:val="20"/>
                <w:lang w:val="es-ES_tradnl"/>
              </w:rPr>
              <w:t>lite conexos</w:t>
            </w:r>
          </w:p>
        </w:tc>
      </w:tr>
      <w:tr w:rsidR="00C7547B" w:rsidRPr="00715A77" w14:paraId="4E70B2D4" w14:textId="77777777" w:rsidTr="002538D4">
        <w:tc>
          <w:tcPr>
            <w:tcW w:w="1140" w:type="dxa"/>
            <w:tcBorders>
              <w:top w:val="nil"/>
              <w:bottom w:val="nil"/>
            </w:tcBorders>
            <w:shd w:val="clear" w:color="auto" w:fill="auto"/>
          </w:tcPr>
          <w:p w14:paraId="233C6274" w14:textId="77777777" w:rsidR="00C7547B" w:rsidRPr="00715A77" w:rsidRDefault="00C7547B" w:rsidP="00623D19">
            <w:pPr>
              <w:spacing w:before="30" w:after="30"/>
              <w:ind w:left="57"/>
              <w:jc w:val="left"/>
              <w:rPr>
                <w:rFonts w:hAnsi="Times New Roman Bold"/>
                <w:b/>
                <w:bCs/>
                <w:sz w:val="20"/>
                <w:lang w:val="es-ES_tradnl"/>
              </w:rPr>
            </w:pPr>
            <w:r w:rsidRPr="00715A77">
              <w:rPr>
                <w:rFonts w:hAnsi="Times New Roman Bold"/>
                <w:b/>
                <w:sz w:val="20"/>
                <w:lang w:val="es-ES_tradnl"/>
              </w:rPr>
              <w:t>P</w:t>
            </w:r>
          </w:p>
        </w:tc>
        <w:tc>
          <w:tcPr>
            <w:tcW w:w="8220" w:type="dxa"/>
            <w:tcBorders>
              <w:top w:val="nil"/>
              <w:bottom w:val="nil"/>
            </w:tcBorders>
            <w:shd w:val="clear" w:color="auto" w:fill="auto"/>
          </w:tcPr>
          <w:p w14:paraId="5E99D441" w14:textId="77777777" w:rsidR="00C7547B" w:rsidRPr="00715A77" w:rsidRDefault="00C7547B" w:rsidP="00623D19">
            <w:pPr>
              <w:spacing w:before="30" w:after="30"/>
              <w:jc w:val="left"/>
              <w:rPr>
                <w:rFonts w:hAnsi="Times New Roman Bold"/>
                <w:sz w:val="20"/>
                <w:lang w:val="es-ES_tradnl"/>
              </w:rPr>
            </w:pPr>
            <w:r w:rsidRPr="00715A77">
              <w:rPr>
                <w:rFonts w:hAnsi="Times New Roman Bold"/>
                <w:sz w:val="20"/>
                <w:lang w:val="es-ES_tradnl"/>
              </w:rPr>
              <w:t>Propagaci</w:t>
            </w:r>
            <w:r w:rsidRPr="00715A77">
              <w:rPr>
                <w:rFonts w:hAnsi="Times New Roman Bold"/>
                <w:sz w:val="20"/>
                <w:lang w:val="es-ES_tradnl"/>
              </w:rPr>
              <w:t>ó</w:t>
            </w:r>
            <w:r w:rsidRPr="00715A77">
              <w:rPr>
                <w:rFonts w:hAnsi="Times New Roman Bold"/>
                <w:sz w:val="20"/>
                <w:lang w:val="es-ES_tradnl"/>
              </w:rPr>
              <w:t>n de las ondas radioel</w:t>
            </w:r>
            <w:r w:rsidRPr="00715A77">
              <w:rPr>
                <w:rFonts w:hAnsi="Times New Roman Bold"/>
                <w:sz w:val="20"/>
                <w:lang w:val="es-ES_tradnl"/>
              </w:rPr>
              <w:t>é</w:t>
            </w:r>
            <w:r w:rsidRPr="00715A77">
              <w:rPr>
                <w:rFonts w:hAnsi="Times New Roman Bold"/>
                <w:sz w:val="20"/>
                <w:lang w:val="es-ES_tradnl"/>
              </w:rPr>
              <w:t>ctricas</w:t>
            </w:r>
          </w:p>
        </w:tc>
      </w:tr>
      <w:tr w:rsidR="00C7547B" w:rsidRPr="00715A77" w14:paraId="6D70A420" w14:textId="77777777" w:rsidTr="00623D19">
        <w:tc>
          <w:tcPr>
            <w:tcW w:w="1140" w:type="dxa"/>
            <w:tcBorders>
              <w:top w:val="nil"/>
            </w:tcBorders>
          </w:tcPr>
          <w:p w14:paraId="54895A76" w14:textId="77777777" w:rsidR="00C7547B" w:rsidRPr="00715A77" w:rsidRDefault="00C7547B" w:rsidP="00623D19">
            <w:pPr>
              <w:spacing w:before="30" w:after="30"/>
              <w:ind w:left="57"/>
              <w:jc w:val="left"/>
              <w:rPr>
                <w:b/>
                <w:bCs/>
                <w:sz w:val="20"/>
                <w:lang w:val="es-ES_tradnl"/>
              </w:rPr>
            </w:pPr>
            <w:r w:rsidRPr="00715A77">
              <w:rPr>
                <w:b/>
                <w:sz w:val="20"/>
                <w:lang w:val="es-ES_tradnl"/>
              </w:rPr>
              <w:t>RA</w:t>
            </w:r>
          </w:p>
        </w:tc>
        <w:tc>
          <w:tcPr>
            <w:tcW w:w="8220" w:type="dxa"/>
            <w:tcBorders>
              <w:top w:val="nil"/>
            </w:tcBorders>
          </w:tcPr>
          <w:p w14:paraId="34604CD7" w14:textId="77777777" w:rsidR="00C7547B" w:rsidRPr="00715A77"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15A77">
              <w:rPr>
                <w:sz w:val="20"/>
                <w:lang w:val="es-ES_tradnl"/>
              </w:rPr>
              <w:t>Radioastronomía</w:t>
            </w:r>
          </w:p>
        </w:tc>
      </w:tr>
      <w:tr w:rsidR="00C7547B" w:rsidRPr="00715A77" w14:paraId="07B186A4" w14:textId="77777777" w:rsidTr="00623D19">
        <w:tc>
          <w:tcPr>
            <w:tcW w:w="1140" w:type="dxa"/>
          </w:tcPr>
          <w:p w14:paraId="15555F88" w14:textId="77777777" w:rsidR="00C7547B" w:rsidRPr="00715A77" w:rsidRDefault="00C7547B" w:rsidP="00623D19">
            <w:pPr>
              <w:spacing w:before="30" w:after="30"/>
              <w:ind w:left="57"/>
              <w:jc w:val="left"/>
              <w:rPr>
                <w:b/>
                <w:bCs/>
                <w:sz w:val="20"/>
                <w:lang w:val="es-ES_tradnl"/>
              </w:rPr>
            </w:pPr>
            <w:r w:rsidRPr="00715A77">
              <w:rPr>
                <w:b/>
                <w:sz w:val="20"/>
                <w:lang w:val="es-ES_tradnl"/>
              </w:rPr>
              <w:t>RS</w:t>
            </w:r>
          </w:p>
        </w:tc>
        <w:tc>
          <w:tcPr>
            <w:tcW w:w="8220" w:type="dxa"/>
          </w:tcPr>
          <w:p w14:paraId="073E9A49" w14:textId="77777777" w:rsidR="00C7547B" w:rsidRPr="00715A77"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15A77">
              <w:rPr>
                <w:sz w:val="20"/>
                <w:lang w:val="es-ES_tradnl"/>
              </w:rPr>
              <w:t>Sistemas de detección a distancia</w:t>
            </w:r>
          </w:p>
        </w:tc>
      </w:tr>
      <w:tr w:rsidR="00C7547B" w:rsidRPr="00715A77" w14:paraId="2AE52804" w14:textId="77777777" w:rsidTr="00623D19">
        <w:tc>
          <w:tcPr>
            <w:tcW w:w="1140" w:type="dxa"/>
          </w:tcPr>
          <w:p w14:paraId="4086E3D2" w14:textId="77777777" w:rsidR="00C7547B" w:rsidRPr="00715A77" w:rsidRDefault="00C7547B" w:rsidP="00623D19">
            <w:pPr>
              <w:spacing w:before="30" w:after="30"/>
              <w:ind w:left="57"/>
              <w:jc w:val="left"/>
              <w:rPr>
                <w:b/>
                <w:bCs/>
                <w:sz w:val="20"/>
                <w:lang w:val="es-ES_tradnl"/>
              </w:rPr>
            </w:pPr>
            <w:r w:rsidRPr="00715A77">
              <w:rPr>
                <w:b/>
                <w:sz w:val="20"/>
                <w:lang w:val="es-ES_tradnl"/>
              </w:rPr>
              <w:t>S</w:t>
            </w:r>
          </w:p>
        </w:tc>
        <w:tc>
          <w:tcPr>
            <w:tcW w:w="8220" w:type="dxa"/>
          </w:tcPr>
          <w:p w14:paraId="11DEC982" w14:textId="77777777" w:rsidR="00C7547B" w:rsidRPr="00715A77" w:rsidRDefault="00C7547B" w:rsidP="00623D19">
            <w:pPr>
              <w:spacing w:before="30" w:after="30"/>
              <w:jc w:val="left"/>
              <w:rPr>
                <w:sz w:val="20"/>
                <w:lang w:val="es-ES_tradnl"/>
              </w:rPr>
            </w:pPr>
            <w:r w:rsidRPr="00715A77">
              <w:rPr>
                <w:sz w:val="20"/>
                <w:lang w:val="es-ES_tradnl"/>
              </w:rPr>
              <w:t>Servicio fijo por satélite</w:t>
            </w:r>
          </w:p>
        </w:tc>
      </w:tr>
      <w:tr w:rsidR="00C7547B" w:rsidRPr="00715A77" w14:paraId="47E6FE7C" w14:textId="77777777" w:rsidTr="00623D19">
        <w:tc>
          <w:tcPr>
            <w:tcW w:w="1140" w:type="dxa"/>
          </w:tcPr>
          <w:p w14:paraId="343CE63D" w14:textId="77777777" w:rsidR="00C7547B" w:rsidRPr="00715A77" w:rsidRDefault="00C7547B" w:rsidP="00623D19">
            <w:pPr>
              <w:spacing w:before="30" w:after="30"/>
              <w:ind w:left="57"/>
              <w:jc w:val="left"/>
              <w:rPr>
                <w:rFonts w:ascii="Times New Roman Bold" w:hAnsi="Times New Roman Bold" w:cs="Times New Roman Bold"/>
                <w:color w:val="000080"/>
                <w:sz w:val="20"/>
                <w:lang w:val="es-ES_tradnl"/>
              </w:rPr>
            </w:pPr>
            <w:r w:rsidRPr="00715A77">
              <w:rPr>
                <w:rFonts w:ascii="Times New Roman Bold" w:hAnsi="Times New Roman Bold"/>
                <w:color w:val="000080"/>
                <w:sz w:val="20"/>
                <w:lang w:val="es-ES_tradnl"/>
              </w:rPr>
              <w:t>SA</w:t>
            </w:r>
          </w:p>
        </w:tc>
        <w:tc>
          <w:tcPr>
            <w:tcW w:w="8220" w:type="dxa"/>
          </w:tcPr>
          <w:p w14:paraId="1F598243" w14:textId="77777777" w:rsidR="00C7547B" w:rsidRPr="00715A77" w:rsidRDefault="00C7547B" w:rsidP="00623D19">
            <w:pPr>
              <w:spacing w:before="30" w:after="30"/>
              <w:jc w:val="left"/>
              <w:rPr>
                <w:rFonts w:ascii="Times New Roman Bold" w:hAnsi="Times New Roman Bold" w:cs="Times New Roman Bold"/>
                <w:color w:val="000080"/>
                <w:sz w:val="20"/>
                <w:lang w:val="es-ES_tradnl"/>
              </w:rPr>
            </w:pPr>
            <w:r w:rsidRPr="00715A77">
              <w:rPr>
                <w:rFonts w:ascii="Times New Roman Bold" w:hAnsi="Times New Roman Bold"/>
                <w:color w:val="000080"/>
                <w:sz w:val="20"/>
                <w:lang w:val="es-ES_tradnl"/>
              </w:rPr>
              <w:t>Aplicaciones espaciales y meteorología</w:t>
            </w:r>
          </w:p>
        </w:tc>
      </w:tr>
      <w:tr w:rsidR="00C7547B" w:rsidRPr="00715A77" w14:paraId="62163CBA" w14:textId="77777777" w:rsidTr="00623D19">
        <w:tc>
          <w:tcPr>
            <w:tcW w:w="1140" w:type="dxa"/>
            <w:tcBorders>
              <w:bottom w:val="nil"/>
            </w:tcBorders>
          </w:tcPr>
          <w:p w14:paraId="03BDB317" w14:textId="77777777" w:rsidR="00C7547B" w:rsidRPr="00715A77" w:rsidRDefault="00C7547B" w:rsidP="00623D19">
            <w:pPr>
              <w:spacing w:before="30" w:after="30"/>
              <w:ind w:left="57"/>
              <w:jc w:val="left"/>
              <w:rPr>
                <w:b/>
                <w:bCs/>
                <w:sz w:val="20"/>
                <w:lang w:val="es-ES_tradnl"/>
              </w:rPr>
            </w:pPr>
            <w:r w:rsidRPr="00715A77">
              <w:rPr>
                <w:b/>
                <w:sz w:val="20"/>
                <w:lang w:val="es-ES_tradnl"/>
              </w:rPr>
              <w:t>SF</w:t>
            </w:r>
          </w:p>
        </w:tc>
        <w:tc>
          <w:tcPr>
            <w:tcW w:w="8220" w:type="dxa"/>
            <w:tcBorders>
              <w:bottom w:val="nil"/>
            </w:tcBorders>
          </w:tcPr>
          <w:p w14:paraId="1F8C3D3E" w14:textId="77777777" w:rsidR="00C7547B" w:rsidRPr="00715A77" w:rsidRDefault="00C7547B" w:rsidP="00623D19">
            <w:pPr>
              <w:spacing w:before="30" w:after="30"/>
              <w:jc w:val="left"/>
              <w:rPr>
                <w:sz w:val="20"/>
                <w:lang w:val="es-ES_tradnl"/>
              </w:rPr>
            </w:pPr>
            <w:r w:rsidRPr="00715A77">
              <w:rPr>
                <w:sz w:val="20"/>
                <w:lang w:val="es-ES_tradnl"/>
              </w:rPr>
              <w:t>Compartición de frecuencias y coordinación entre los sistemas del servicio fijo por satélite y del servicio fijo</w:t>
            </w:r>
          </w:p>
        </w:tc>
      </w:tr>
      <w:tr w:rsidR="00C7547B" w:rsidRPr="00715A77" w14:paraId="7086D966" w14:textId="77777777" w:rsidTr="00623D19">
        <w:tc>
          <w:tcPr>
            <w:tcW w:w="1140" w:type="dxa"/>
            <w:tcBorders>
              <w:top w:val="nil"/>
              <w:bottom w:val="nil"/>
            </w:tcBorders>
            <w:shd w:val="clear" w:color="auto" w:fill="auto"/>
          </w:tcPr>
          <w:p w14:paraId="0A24972C" w14:textId="77777777" w:rsidR="00C7547B" w:rsidRPr="00715A77" w:rsidRDefault="00C7547B" w:rsidP="00623D19">
            <w:pPr>
              <w:spacing w:before="30" w:after="30"/>
              <w:ind w:left="57"/>
              <w:jc w:val="left"/>
              <w:rPr>
                <w:b/>
                <w:bCs/>
                <w:sz w:val="20"/>
                <w:lang w:val="es-ES_tradnl"/>
              </w:rPr>
            </w:pPr>
            <w:r w:rsidRPr="00715A77">
              <w:rPr>
                <w:b/>
                <w:sz w:val="20"/>
                <w:lang w:val="es-ES_tradnl"/>
              </w:rPr>
              <w:t>SM</w:t>
            </w:r>
          </w:p>
        </w:tc>
        <w:tc>
          <w:tcPr>
            <w:tcW w:w="8220" w:type="dxa"/>
            <w:tcBorders>
              <w:top w:val="nil"/>
              <w:bottom w:val="nil"/>
            </w:tcBorders>
            <w:shd w:val="clear" w:color="auto" w:fill="auto"/>
          </w:tcPr>
          <w:p w14:paraId="38C8202B" w14:textId="77777777" w:rsidR="00C7547B" w:rsidRPr="00715A77" w:rsidRDefault="00C7547B" w:rsidP="00623D19">
            <w:pPr>
              <w:spacing w:before="30" w:after="30"/>
              <w:jc w:val="left"/>
              <w:rPr>
                <w:sz w:val="20"/>
                <w:lang w:val="es-ES_tradnl"/>
              </w:rPr>
            </w:pPr>
            <w:r w:rsidRPr="00715A77">
              <w:rPr>
                <w:sz w:val="20"/>
                <w:lang w:val="es-ES_tradnl"/>
              </w:rPr>
              <w:t>Gestión del espectro</w:t>
            </w:r>
          </w:p>
        </w:tc>
      </w:tr>
      <w:tr w:rsidR="00C7547B" w:rsidRPr="00715A77" w14:paraId="703163E8" w14:textId="77777777" w:rsidTr="00623D19">
        <w:tc>
          <w:tcPr>
            <w:tcW w:w="1140" w:type="dxa"/>
            <w:tcBorders>
              <w:top w:val="nil"/>
            </w:tcBorders>
          </w:tcPr>
          <w:p w14:paraId="004F1EB6" w14:textId="77777777" w:rsidR="00C7547B" w:rsidRPr="00715A77" w:rsidRDefault="00C7547B" w:rsidP="00623D19">
            <w:pPr>
              <w:spacing w:before="30" w:after="30"/>
              <w:ind w:left="57"/>
              <w:jc w:val="left"/>
              <w:rPr>
                <w:b/>
                <w:bCs/>
                <w:sz w:val="20"/>
                <w:lang w:val="es-ES_tradnl"/>
              </w:rPr>
            </w:pPr>
            <w:r w:rsidRPr="00715A77">
              <w:rPr>
                <w:b/>
                <w:sz w:val="20"/>
                <w:lang w:val="es-ES_tradnl"/>
              </w:rPr>
              <w:t>SNG</w:t>
            </w:r>
          </w:p>
        </w:tc>
        <w:tc>
          <w:tcPr>
            <w:tcW w:w="8220" w:type="dxa"/>
            <w:tcBorders>
              <w:top w:val="nil"/>
            </w:tcBorders>
          </w:tcPr>
          <w:p w14:paraId="7659DAF2" w14:textId="77777777" w:rsidR="00C7547B" w:rsidRPr="00715A77" w:rsidRDefault="00C7547B" w:rsidP="00623D19">
            <w:pPr>
              <w:spacing w:before="30" w:after="30"/>
              <w:jc w:val="left"/>
              <w:rPr>
                <w:sz w:val="20"/>
                <w:lang w:val="es-ES_tradnl"/>
              </w:rPr>
            </w:pPr>
            <w:r w:rsidRPr="00715A77">
              <w:rPr>
                <w:sz w:val="20"/>
                <w:lang w:val="es-ES_tradnl"/>
              </w:rPr>
              <w:t>Periodismo electrónico por satélite</w:t>
            </w:r>
          </w:p>
        </w:tc>
      </w:tr>
      <w:tr w:rsidR="00C7547B" w:rsidRPr="00715A77" w14:paraId="018823CC" w14:textId="77777777" w:rsidTr="00623D19">
        <w:tc>
          <w:tcPr>
            <w:tcW w:w="1140" w:type="dxa"/>
          </w:tcPr>
          <w:p w14:paraId="31D2BC62" w14:textId="77777777" w:rsidR="00C7547B" w:rsidRPr="00715A77" w:rsidRDefault="00C7547B" w:rsidP="00623D19">
            <w:pPr>
              <w:spacing w:before="30" w:after="30"/>
              <w:ind w:left="57"/>
              <w:jc w:val="left"/>
              <w:rPr>
                <w:b/>
                <w:bCs/>
                <w:sz w:val="20"/>
                <w:lang w:val="es-ES_tradnl"/>
              </w:rPr>
            </w:pPr>
            <w:r w:rsidRPr="00715A77">
              <w:rPr>
                <w:b/>
                <w:sz w:val="20"/>
                <w:lang w:val="es-ES_tradnl"/>
              </w:rPr>
              <w:t>TF</w:t>
            </w:r>
          </w:p>
        </w:tc>
        <w:tc>
          <w:tcPr>
            <w:tcW w:w="8220" w:type="dxa"/>
          </w:tcPr>
          <w:p w14:paraId="7C91D43D" w14:textId="77777777" w:rsidR="00C7547B" w:rsidRPr="00715A77" w:rsidRDefault="00C7547B" w:rsidP="00623D19">
            <w:pPr>
              <w:spacing w:before="30" w:after="30"/>
              <w:jc w:val="left"/>
              <w:rPr>
                <w:sz w:val="20"/>
                <w:lang w:val="es-ES_tradnl"/>
              </w:rPr>
            </w:pPr>
            <w:r w:rsidRPr="00715A77">
              <w:rPr>
                <w:sz w:val="20"/>
                <w:lang w:val="es-ES_tradnl"/>
              </w:rPr>
              <w:t>Emisiones de frecuencias patrón y señales horarias</w:t>
            </w:r>
          </w:p>
        </w:tc>
      </w:tr>
      <w:tr w:rsidR="00C7547B" w:rsidRPr="00715A77" w14:paraId="7163704A" w14:textId="77777777" w:rsidTr="00623D19">
        <w:tc>
          <w:tcPr>
            <w:tcW w:w="1140" w:type="dxa"/>
          </w:tcPr>
          <w:p w14:paraId="5ED1F17F" w14:textId="77777777" w:rsidR="00C7547B" w:rsidRPr="00715A77" w:rsidRDefault="00C7547B" w:rsidP="00623D19">
            <w:pPr>
              <w:spacing w:before="30" w:after="30"/>
              <w:ind w:left="57"/>
              <w:jc w:val="left"/>
              <w:rPr>
                <w:b/>
                <w:bCs/>
                <w:sz w:val="20"/>
                <w:lang w:val="es-ES_tradnl"/>
              </w:rPr>
            </w:pPr>
            <w:r w:rsidRPr="00715A77">
              <w:rPr>
                <w:b/>
                <w:sz w:val="20"/>
                <w:lang w:val="es-ES_tradnl"/>
              </w:rPr>
              <w:t>V</w:t>
            </w:r>
          </w:p>
        </w:tc>
        <w:tc>
          <w:tcPr>
            <w:tcW w:w="8220" w:type="dxa"/>
          </w:tcPr>
          <w:p w14:paraId="372A6B4E" w14:textId="77777777" w:rsidR="00C7547B" w:rsidRPr="00715A77" w:rsidRDefault="00C7547B" w:rsidP="00623D19">
            <w:pPr>
              <w:spacing w:before="30" w:after="180"/>
              <w:jc w:val="left"/>
              <w:rPr>
                <w:sz w:val="20"/>
                <w:lang w:val="es-ES_tradnl"/>
              </w:rPr>
            </w:pPr>
            <w:r w:rsidRPr="00715A77">
              <w:rPr>
                <w:sz w:val="20"/>
                <w:lang w:val="es-ES_tradnl"/>
              </w:rPr>
              <w:t>Vocabulario y cuestiones afines</w:t>
            </w:r>
          </w:p>
        </w:tc>
      </w:tr>
    </w:tbl>
    <w:p w14:paraId="0ED7C8BD" w14:textId="77777777" w:rsidR="00C7547B" w:rsidRPr="00715A77" w:rsidRDefault="00C7547B" w:rsidP="000B0A22">
      <w:pPr>
        <w:spacing w:before="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715A77" w14:paraId="3CB5149D" w14:textId="77777777" w:rsidTr="00623D19">
        <w:tc>
          <w:tcPr>
            <w:tcW w:w="720" w:type="dxa"/>
          </w:tcPr>
          <w:p w14:paraId="073CA5E6" w14:textId="77777777" w:rsidR="00C7547B" w:rsidRPr="00715A77" w:rsidRDefault="00C7547B" w:rsidP="000B0A22">
            <w:pPr>
              <w:spacing w:before="0"/>
              <w:jc w:val="center"/>
              <w:rPr>
                <w:sz w:val="22"/>
                <w:lang w:val="es-ES_tradnl"/>
              </w:rPr>
            </w:pPr>
          </w:p>
        </w:tc>
      </w:tr>
    </w:tbl>
    <w:p w14:paraId="09E49D63" w14:textId="77777777" w:rsidR="00C7547B" w:rsidRPr="00715A77" w:rsidRDefault="00C7547B" w:rsidP="000B0A2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715A77" w14:paraId="37B203AF" w14:textId="77777777" w:rsidTr="00623D19">
        <w:tc>
          <w:tcPr>
            <w:tcW w:w="9360" w:type="dxa"/>
          </w:tcPr>
          <w:p w14:paraId="227683FB" w14:textId="76D61741" w:rsidR="00C7547B" w:rsidRPr="00715A77" w:rsidRDefault="00C7547B" w:rsidP="00F33AB1">
            <w:pPr>
              <w:spacing w:after="120"/>
              <w:jc w:val="left"/>
              <w:rPr>
                <w:sz w:val="20"/>
                <w:lang w:val="es-ES_tradnl"/>
              </w:rPr>
            </w:pPr>
            <w:r w:rsidRPr="00715A77">
              <w:rPr>
                <w:b/>
                <w:i/>
                <w:sz w:val="20"/>
                <w:lang w:val="es-ES_tradnl"/>
              </w:rPr>
              <w:t>Nota</w:t>
            </w:r>
            <w:r w:rsidRPr="00715A77">
              <w:rPr>
                <w:sz w:val="20"/>
                <w:lang w:val="es-ES_tradnl"/>
              </w:rPr>
              <w:t xml:space="preserve">: </w:t>
            </w:r>
            <w:r w:rsidRPr="00715A77">
              <w:rPr>
                <w:i/>
                <w:sz w:val="20"/>
                <w:lang w:val="es-ES_tradnl"/>
              </w:rPr>
              <w:t>Esta Recomendación UIT-R fue aprobada en inglés conforme al procedimiento detallado en la Resolución</w:t>
            </w:r>
            <w:r w:rsidR="00F33AB1" w:rsidRPr="00715A77">
              <w:rPr>
                <w:i/>
                <w:sz w:val="20"/>
                <w:lang w:val="es-ES_tradnl"/>
              </w:rPr>
              <w:t> </w:t>
            </w:r>
            <w:r w:rsidRPr="00715A77">
              <w:rPr>
                <w:i/>
                <w:sz w:val="20"/>
                <w:lang w:val="es-ES_tradnl"/>
              </w:rPr>
              <w:t>UIT-R 1.</w:t>
            </w:r>
          </w:p>
        </w:tc>
      </w:tr>
    </w:tbl>
    <w:p w14:paraId="43441FB3" w14:textId="77777777" w:rsidR="00C7547B" w:rsidRPr="00715A77" w:rsidRDefault="00C7547B" w:rsidP="00C7547B">
      <w:pPr>
        <w:spacing w:before="0"/>
        <w:jc w:val="center"/>
        <w:rPr>
          <w:sz w:val="22"/>
          <w:lang w:val="es-ES_tradnl"/>
        </w:rPr>
      </w:pPr>
    </w:p>
    <w:p w14:paraId="176AF5BD" w14:textId="77777777" w:rsidR="00C7547B" w:rsidRPr="00715A77" w:rsidRDefault="00C7547B" w:rsidP="00C7547B">
      <w:pPr>
        <w:spacing w:before="0"/>
        <w:jc w:val="right"/>
        <w:rPr>
          <w:i/>
          <w:iCs/>
          <w:sz w:val="20"/>
          <w:lang w:val="es-ES_tradnl"/>
        </w:rPr>
      </w:pPr>
      <w:r w:rsidRPr="00715A77">
        <w:rPr>
          <w:i/>
          <w:sz w:val="20"/>
          <w:lang w:val="es-ES_tradnl"/>
        </w:rPr>
        <w:t>Publicación electrónica</w:t>
      </w:r>
    </w:p>
    <w:p w14:paraId="7D6212AC" w14:textId="2F33B561" w:rsidR="00C7547B" w:rsidRPr="00715A77" w:rsidRDefault="00C7547B" w:rsidP="00C7547B">
      <w:pPr>
        <w:spacing w:before="0"/>
        <w:jc w:val="right"/>
        <w:rPr>
          <w:sz w:val="20"/>
          <w:lang w:val="es-ES_tradnl"/>
        </w:rPr>
      </w:pPr>
      <w:r w:rsidRPr="00715A77">
        <w:rPr>
          <w:sz w:val="20"/>
          <w:lang w:val="es-ES_tradnl"/>
        </w:rPr>
        <w:t>Ginebra, 202</w:t>
      </w:r>
      <w:r w:rsidR="009E00CD">
        <w:rPr>
          <w:sz w:val="20"/>
          <w:lang w:val="es-ES_tradnl"/>
        </w:rPr>
        <w:t>3</w:t>
      </w:r>
    </w:p>
    <w:p w14:paraId="36734779" w14:textId="77777777" w:rsidR="00C7547B" w:rsidRPr="00715A77" w:rsidRDefault="00C7547B" w:rsidP="00C7547B">
      <w:pPr>
        <w:jc w:val="center"/>
        <w:rPr>
          <w:sz w:val="22"/>
          <w:lang w:val="es-ES_tradnl"/>
        </w:rPr>
      </w:pPr>
    </w:p>
    <w:p w14:paraId="7F89B183" w14:textId="66ADA46C" w:rsidR="00C7547B" w:rsidRPr="00715A77" w:rsidRDefault="00C7547B" w:rsidP="00C7547B">
      <w:pPr>
        <w:jc w:val="center"/>
        <w:rPr>
          <w:sz w:val="20"/>
          <w:lang w:val="es-ES_tradnl"/>
        </w:rPr>
      </w:pPr>
      <w:r w:rsidRPr="00715A77">
        <w:rPr>
          <w:sz w:val="20"/>
          <w:lang w:val="es-ES_tradnl"/>
        </w:rPr>
        <w:sym w:font="Symbol" w:char="F0E3"/>
      </w:r>
      <w:r w:rsidRPr="00715A77">
        <w:rPr>
          <w:sz w:val="20"/>
          <w:lang w:val="es-ES_tradnl"/>
        </w:rPr>
        <w:t xml:space="preserve"> UIT </w:t>
      </w:r>
      <w:bookmarkStart w:id="4" w:name="iiannee"/>
      <w:bookmarkEnd w:id="4"/>
      <w:r w:rsidRPr="00715A77">
        <w:rPr>
          <w:sz w:val="20"/>
          <w:lang w:val="es-ES_tradnl"/>
        </w:rPr>
        <w:t>202</w:t>
      </w:r>
      <w:r w:rsidR="009E00CD">
        <w:rPr>
          <w:sz w:val="20"/>
          <w:lang w:val="es-ES_tradnl"/>
        </w:rPr>
        <w:t>3</w:t>
      </w:r>
    </w:p>
    <w:p w14:paraId="606BF682" w14:textId="77777777" w:rsidR="00C7547B" w:rsidRPr="00715A77" w:rsidRDefault="00C7547B" w:rsidP="00C7547B">
      <w:pPr>
        <w:rPr>
          <w:sz w:val="18"/>
          <w:szCs w:val="18"/>
          <w:lang w:val="es-ES_tradnl"/>
        </w:rPr>
      </w:pPr>
      <w:r w:rsidRPr="00715A77">
        <w:rPr>
          <w:sz w:val="18"/>
          <w:lang w:val="es-ES_tradnl"/>
        </w:rPr>
        <w:t>Todos los derechos reservados. Ninguna parte de esta publicación puede reproducirse por ningún procedimiento sin previa autorización escrita por parte de la UIT.</w:t>
      </w:r>
    </w:p>
    <w:p w14:paraId="28DCC640" w14:textId="77777777" w:rsidR="00C7547B" w:rsidRPr="00715A77" w:rsidRDefault="00C7547B" w:rsidP="00C7547B">
      <w:pPr>
        <w:spacing w:before="160"/>
        <w:rPr>
          <w:i/>
          <w:sz w:val="20"/>
          <w:lang w:val="es-ES_tradnl"/>
        </w:rPr>
        <w:sectPr w:rsidR="00C7547B" w:rsidRPr="00715A77" w:rsidSect="00623D1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AE43BE" w14:textId="111707EF" w:rsidR="00C7547B" w:rsidRPr="00715A77" w:rsidRDefault="00C7547B" w:rsidP="00F33AB1">
      <w:pPr>
        <w:pStyle w:val="RecNo"/>
        <w:spacing w:before="0"/>
        <w:rPr>
          <w:lang w:val="es-ES_tradnl"/>
        </w:rPr>
      </w:pPr>
      <w:bookmarkStart w:id="5" w:name="irecnoe"/>
      <w:bookmarkEnd w:id="5"/>
      <w:r w:rsidRPr="00715A77">
        <w:rPr>
          <w:lang w:val="es-ES_tradnl"/>
        </w:rPr>
        <w:lastRenderedPageBreak/>
        <w:t xml:space="preserve">RECOMENDACIÓN </w:t>
      </w:r>
      <w:r w:rsidR="00F33AB1" w:rsidRPr="00715A77">
        <w:rPr>
          <w:lang w:val="es-ES_tradnl"/>
        </w:rPr>
        <w:t xml:space="preserve"> </w:t>
      </w:r>
      <w:r w:rsidRPr="00715A77">
        <w:rPr>
          <w:rStyle w:val="href"/>
          <w:lang w:val="es-ES_tradnl"/>
        </w:rPr>
        <w:t xml:space="preserve">UIT-R </w:t>
      </w:r>
      <w:r w:rsidR="00F33AB1" w:rsidRPr="00715A77">
        <w:rPr>
          <w:rStyle w:val="href"/>
          <w:lang w:val="es-ES_tradnl"/>
        </w:rPr>
        <w:t xml:space="preserve"> </w:t>
      </w:r>
      <w:r w:rsidRPr="00715A77">
        <w:rPr>
          <w:rStyle w:val="href"/>
          <w:lang w:val="es-ES_tradnl"/>
        </w:rPr>
        <w:t>SA.</w:t>
      </w:r>
      <w:r w:rsidR="0058387A" w:rsidRPr="00715A77">
        <w:rPr>
          <w:rStyle w:val="href"/>
          <w:lang w:val="es-ES_tradnl"/>
        </w:rPr>
        <w:t>2155-0</w:t>
      </w:r>
    </w:p>
    <w:p w14:paraId="4CB20EAB" w14:textId="5C4EA741" w:rsidR="00A24283" w:rsidRPr="00715A77" w:rsidRDefault="0058387A" w:rsidP="00A24283">
      <w:pPr>
        <w:pStyle w:val="Rectitle"/>
        <w:rPr>
          <w:noProof/>
          <w:lang w:val="es-ES_tradnl"/>
        </w:rPr>
      </w:pPr>
      <w:r w:rsidRPr="00715A77">
        <w:rPr>
          <w:lang w:val="es-ES_tradnl"/>
        </w:rPr>
        <w:t>Directrices sobre la utilización de la banda de frecuencias 2 200-2 290 MHz</w:t>
      </w:r>
      <w:r w:rsidRPr="00715A77">
        <w:rPr>
          <w:lang w:val="es-ES_tradnl"/>
        </w:rPr>
        <w:br/>
        <w:t>por redes o sistemas de satélites que no utilizan modulación</w:t>
      </w:r>
      <w:r w:rsidRPr="00715A77">
        <w:rPr>
          <w:lang w:val="es-ES_tradnl"/>
        </w:rPr>
        <w:br/>
        <w:t>de espectro ensanchado del servicio de exploración</w:t>
      </w:r>
      <w:r w:rsidRPr="00715A77">
        <w:rPr>
          <w:lang w:val="es-ES_tradnl"/>
        </w:rPr>
        <w:br/>
        <w:t>de la Tierra por satélite/servicio de investigación</w:t>
      </w:r>
      <w:r w:rsidRPr="00715A77">
        <w:rPr>
          <w:lang w:val="es-ES_tradnl"/>
        </w:rPr>
        <w:br/>
        <w:t>espacial/servicio de operaciones espaciales</w:t>
      </w:r>
    </w:p>
    <w:p w14:paraId="2D1DF0AB" w14:textId="504AAB0A" w:rsidR="00A24283" w:rsidRPr="00715A77" w:rsidRDefault="00A24283" w:rsidP="00A24283">
      <w:pPr>
        <w:pStyle w:val="Recdate"/>
        <w:rPr>
          <w:noProof/>
          <w:lang w:val="es-ES_tradnl"/>
        </w:rPr>
      </w:pPr>
      <w:r w:rsidRPr="00715A77">
        <w:rPr>
          <w:lang w:val="es-ES_tradnl"/>
        </w:rPr>
        <w:t>(202</w:t>
      </w:r>
      <w:r w:rsidR="0058387A" w:rsidRPr="00715A77">
        <w:rPr>
          <w:lang w:val="es-ES_tradnl"/>
        </w:rPr>
        <w:t>2</w:t>
      </w:r>
      <w:r w:rsidRPr="00715A77">
        <w:rPr>
          <w:lang w:val="es-ES_tradnl"/>
        </w:rPr>
        <w:t>)</w:t>
      </w:r>
    </w:p>
    <w:p w14:paraId="3207AEAE" w14:textId="7DC65A11" w:rsidR="002A03FC" w:rsidRPr="00715A77" w:rsidRDefault="009E00CD" w:rsidP="0003241A">
      <w:pPr>
        <w:pStyle w:val="HeadingSum"/>
        <w:rPr>
          <w:noProof/>
        </w:rPr>
      </w:pPr>
      <w:r>
        <w:t>Cometido</w:t>
      </w:r>
    </w:p>
    <w:p w14:paraId="6BC50F0B" w14:textId="38994D91" w:rsidR="002A03FC" w:rsidRPr="009E00CD" w:rsidRDefault="0058387A" w:rsidP="009E00CD">
      <w:pPr>
        <w:pStyle w:val="Summary"/>
      </w:pPr>
      <w:r w:rsidRPr="009E00CD">
        <w:t>En esta Recomendación se ofrecen directrices de uso de la banda de frecuencias 2 200-2 290 MHz por redes o sistemas del servicio de exploración de la Tierra por satélite (SETS), el servicio de investigación espacial (SIE) y el servicio de operaciones espaciales (SOE). El objetivo es optimizar el aprovechamiento de la banda promoviendo aquellas prácticas que permitan el uso compartido de la banda por el máximo número posible de redes y sistemas de satélites, como las técnicas que reducirían el ancho de banda en la notificación de información anticipada (API). En esta Recomendación se abordan las redes o sistemas de satélites del SETS, el SIE y el SOE que no utilizan modulación del espectro ensanchado.</w:t>
      </w:r>
    </w:p>
    <w:p w14:paraId="01DEFDEE" w14:textId="77777777" w:rsidR="002A03FC" w:rsidRPr="00715A77" w:rsidRDefault="002A03FC" w:rsidP="0003241A">
      <w:pPr>
        <w:pStyle w:val="Headingb"/>
        <w:rPr>
          <w:lang w:val="es-ES_tradnl"/>
        </w:rPr>
      </w:pPr>
      <w:r w:rsidRPr="00715A77">
        <w:rPr>
          <w:lang w:val="es-ES_tradnl"/>
        </w:rPr>
        <w:t>Palabras clave</w:t>
      </w:r>
    </w:p>
    <w:p w14:paraId="62C03A59" w14:textId="48E9BFDE" w:rsidR="002A03FC" w:rsidRPr="00715A77" w:rsidRDefault="0058387A" w:rsidP="009E00CD">
      <w:pPr>
        <w:rPr>
          <w:lang w:val="es-ES_tradnl"/>
        </w:rPr>
      </w:pPr>
      <w:r w:rsidRPr="00715A77">
        <w:rPr>
          <w:lang w:val="es-ES_tradnl"/>
        </w:rPr>
        <w:t>Seguimiento, telemedida, telemando, exploración de la Tierra por satélite, investigación espacial</w:t>
      </w:r>
      <w:r w:rsidR="00715A77" w:rsidRPr="00715A77">
        <w:rPr>
          <w:lang w:val="es-ES_tradnl"/>
        </w:rPr>
        <w:t>,</w:t>
      </w:r>
      <w:r w:rsidRPr="00715A77">
        <w:rPr>
          <w:lang w:val="es-ES_tradnl"/>
        </w:rPr>
        <w:t xml:space="preserve"> operaciones espaciales, TT&amp;C, SETS, SIE, SOE</w:t>
      </w:r>
    </w:p>
    <w:p w14:paraId="73E7F5C5" w14:textId="77777777" w:rsidR="0058387A" w:rsidRPr="00715A77" w:rsidRDefault="0058387A" w:rsidP="0058387A">
      <w:pPr>
        <w:pStyle w:val="Headingb"/>
        <w:rPr>
          <w:lang w:val="es-ES_tradnl"/>
        </w:rPr>
      </w:pPr>
      <w:bookmarkStart w:id="6" w:name="_Toc83389335"/>
      <w:r w:rsidRPr="00715A77">
        <w:rPr>
          <w:lang w:val="es-ES_tradnl"/>
        </w:rPr>
        <w:t>Informes y Recomendaciones UIT-R relacionados</w:t>
      </w:r>
    </w:p>
    <w:p w14:paraId="24CC711E" w14:textId="3465CC82" w:rsidR="0058387A" w:rsidRPr="00715A77" w:rsidRDefault="0058387A" w:rsidP="0058387A">
      <w:pPr>
        <w:pStyle w:val="Reftext"/>
        <w:rPr>
          <w:lang w:val="es-ES_tradnl"/>
        </w:rPr>
      </w:pPr>
      <w:r w:rsidRPr="00715A77">
        <w:rPr>
          <w:lang w:val="es-ES_tradnl"/>
        </w:rPr>
        <w:t xml:space="preserve">Recomendación </w:t>
      </w:r>
      <w:hyperlink r:id="rId15" w:history="1">
        <w:r w:rsidRPr="00715A77">
          <w:rPr>
            <w:lang w:val="es-ES_tradnl"/>
          </w:rPr>
          <w:t>UIT-R SA.3</w:t>
        </w:r>
      </w:hyperlink>
      <w:r w:rsidRPr="00715A77">
        <w:rPr>
          <w:lang w:val="es-ES_tradnl"/>
        </w:rPr>
        <w:t>63 – Sistemas de operaciones espaciales</w:t>
      </w:r>
    </w:p>
    <w:p w14:paraId="521C5627" w14:textId="5303A30D" w:rsidR="0058387A" w:rsidRPr="00715A77" w:rsidRDefault="0058387A" w:rsidP="0058387A">
      <w:pPr>
        <w:pStyle w:val="Reftext"/>
        <w:rPr>
          <w:lang w:val="es-ES_tradnl"/>
        </w:rPr>
      </w:pPr>
      <w:r w:rsidRPr="00715A77">
        <w:rPr>
          <w:lang w:val="es-ES_tradnl"/>
        </w:rPr>
        <w:t xml:space="preserve">Recomendación </w:t>
      </w:r>
      <w:hyperlink r:id="rId16" w:history="1">
        <w:r w:rsidRPr="00715A77">
          <w:rPr>
            <w:lang w:val="es-ES_tradnl"/>
          </w:rPr>
          <w:t>UIT-R SA.1024</w:t>
        </w:r>
      </w:hyperlink>
      <w:r w:rsidRPr="00715A77">
        <w:rPr>
          <w:lang w:val="es-ES_tradnl"/>
        </w:rPr>
        <w:t xml:space="preserve"> – Anchuras de banda necesarias y bandas de frecuencias preferidas para la transmisión de datos desde satélites de exploración de la Tierra (excluyendo satélites meteorológicos)</w:t>
      </w:r>
    </w:p>
    <w:p w14:paraId="2421F03C" w14:textId="3F66B5DC" w:rsidR="0058387A" w:rsidRPr="00715A77" w:rsidRDefault="0058387A" w:rsidP="0058387A">
      <w:pPr>
        <w:pStyle w:val="Reftext"/>
        <w:rPr>
          <w:highlight w:val="yellow"/>
          <w:lang w:val="es-ES_tradnl"/>
        </w:rPr>
      </w:pPr>
      <w:r w:rsidRPr="00715A77">
        <w:rPr>
          <w:lang w:val="es-ES_tradnl"/>
        </w:rPr>
        <w:t xml:space="preserve">Recomendación </w:t>
      </w:r>
      <w:hyperlink r:id="rId17" w:history="1">
        <w:r w:rsidRPr="00715A77">
          <w:rPr>
            <w:lang w:val="es-ES_tradnl"/>
          </w:rPr>
          <w:t>UIT-R SA.1273</w:t>
        </w:r>
      </w:hyperlink>
      <w:r w:rsidRPr="00715A77">
        <w:rPr>
          <w:lang w:val="es-ES_tradnl"/>
        </w:rPr>
        <w:t xml:space="preserve"> – Niveles de densidad de flujo de potencia causados por los servicios de investigación espacial, de operaciones espaciales y de exploración de la Tierra por satélite en la superficie de la Tierra necesarios para proteger el servicio fijo en las bandas 2 025-2 110 MHz y</w:t>
      </w:r>
      <w:r w:rsidR="009E00CD">
        <w:rPr>
          <w:lang w:val="es-ES_tradnl"/>
        </w:rPr>
        <w:t> </w:t>
      </w:r>
      <w:r w:rsidRPr="00715A77">
        <w:rPr>
          <w:lang w:val="es-ES_tradnl"/>
        </w:rPr>
        <w:t>2 200-2 290 MHz</w:t>
      </w:r>
    </w:p>
    <w:p w14:paraId="4509EE03" w14:textId="7264F4E9" w:rsidR="0058387A" w:rsidRPr="00715A77" w:rsidRDefault="0058387A" w:rsidP="0058387A">
      <w:pPr>
        <w:pStyle w:val="Reftext"/>
        <w:rPr>
          <w:lang w:val="es-ES_tradnl"/>
        </w:rPr>
      </w:pPr>
      <w:r w:rsidRPr="00715A77">
        <w:rPr>
          <w:lang w:val="es-ES_tradnl"/>
        </w:rPr>
        <w:t xml:space="preserve">Recomendación </w:t>
      </w:r>
      <w:hyperlink r:id="rId18" w:history="1">
        <w:r w:rsidRPr="00715A77">
          <w:rPr>
            <w:lang w:val="es-ES_tradnl"/>
          </w:rPr>
          <w:t>UIT-R S.1716</w:t>
        </w:r>
      </w:hyperlink>
      <w:r w:rsidRPr="00715A77">
        <w:rPr>
          <w:lang w:val="es-ES_tradnl"/>
        </w:rPr>
        <w:t xml:space="preserve"> – Objetivos en cuanto a calidad de funcionamiento y disponibilidad para los sistemas de telemedida, seguimiento y telemando del servicio fijo por satélite</w:t>
      </w:r>
    </w:p>
    <w:p w14:paraId="28FCB61E" w14:textId="3839A3C8" w:rsidR="0058387A" w:rsidRPr="00715A77" w:rsidRDefault="0058387A" w:rsidP="0058387A">
      <w:pPr>
        <w:pStyle w:val="Reftext"/>
        <w:rPr>
          <w:lang w:val="es-ES_tradnl"/>
        </w:rPr>
      </w:pPr>
      <w:r w:rsidRPr="00715A77">
        <w:rPr>
          <w:lang w:val="es-ES_tradnl"/>
        </w:rPr>
        <w:t xml:space="preserve">Recomendación </w:t>
      </w:r>
      <w:hyperlink r:id="rId19" w:history="1">
        <w:r w:rsidRPr="00715A77">
          <w:rPr>
            <w:rStyle w:val="Hyperlink"/>
            <w:color w:val="auto"/>
            <w:szCs w:val="24"/>
            <w:u w:val="none"/>
            <w:lang w:val="es-ES_tradnl"/>
          </w:rPr>
          <w:t>UIT-R F.1777</w:t>
        </w:r>
      </w:hyperlink>
      <w:r w:rsidRPr="00715A77">
        <w:rPr>
          <w:lang w:val="es-ES_tradnl"/>
        </w:rPr>
        <w:t xml:space="preserve"> – Características del sistema de radiodifusión de televisión en exteriores, periodismo electrónico y producción en directo electrónica en el servicio fijo para su utilización en estudios de compartición</w:t>
      </w:r>
    </w:p>
    <w:p w14:paraId="4FF13F69" w14:textId="417E547B" w:rsidR="0058387A" w:rsidRPr="00715A77" w:rsidRDefault="0058387A" w:rsidP="009E00CD">
      <w:pPr>
        <w:pStyle w:val="Reftext"/>
        <w:rPr>
          <w:lang w:val="es-ES_tradnl"/>
        </w:rPr>
      </w:pPr>
      <w:r w:rsidRPr="00715A77">
        <w:rPr>
          <w:lang w:val="es-ES_tradnl"/>
        </w:rPr>
        <w:t xml:space="preserve">Informe </w:t>
      </w:r>
      <w:hyperlink r:id="rId20" w:history="1">
        <w:r w:rsidRPr="00715A77">
          <w:rPr>
            <w:lang w:val="es-ES_tradnl"/>
          </w:rPr>
          <w:t>UIT-R SA.2325</w:t>
        </w:r>
      </w:hyperlink>
      <w:r w:rsidRPr="00715A77">
        <w:rPr>
          <w:lang w:val="es-ES_tradnl"/>
        </w:rPr>
        <w:t xml:space="preserve"> – </w:t>
      </w:r>
      <w:r w:rsidR="008F0DEF" w:rsidRPr="00715A77">
        <w:rPr>
          <w:lang w:val="es-ES_tradnl"/>
        </w:rPr>
        <w:t>Compartición entre enlaces espacio-espacio de los servicios de investigación espacial, de operaciones espaciales y de exploración de la Tierra por satélite y sistemas IMT en las bandas de frecuencias 2</w:t>
      </w:r>
      <w:r w:rsidR="009E00CD">
        <w:rPr>
          <w:lang w:val="es-ES_tradnl"/>
        </w:rPr>
        <w:t> </w:t>
      </w:r>
      <w:r w:rsidR="008F0DEF" w:rsidRPr="00715A77">
        <w:rPr>
          <w:lang w:val="es-ES_tradnl"/>
        </w:rPr>
        <w:t>025-2</w:t>
      </w:r>
      <w:r w:rsidR="009E00CD">
        <w:rPr>
          <w:lang w:val="es-ES_tradnl"/>
        </w:rPr>
        <w:t> </w:t>
      </w:r>
      <w:r w:rsidR="008F0DEF" w:rsidRPr="00715A77">
        <w:rPr>
          <w:lang w:val="es-ES_tradnl"/>
        </w:rPr>
        <w:t>110</w:t>
      </w:r>
      <w:r w:rsidR="009E00CD">
        <w:rPr>
          <w:lang w:val="es-ES_tradnl"/>
        </w:rPr>
        <w:t> </w:t>
      </w:r>
      <w:r w:rsidR="008F0DEF" w:rsidRPr="00715A77">
        <w:rPr>
          <w:lang w:val="es-ES_tradnl"/>
        </w:rPr>
        <w:t>MHz y 2</w:t>
      </w:r>
      <w:r w:rsidR="009E00CD">
        <w:rPr>
          <w:lang w:val="es-ES_tradnl"/>
        </w:rPr>
        <w:t> </w:t>
      </w:r>
      <w:r w:rsidR="008F0DEF" w:rsidRPr="00715A77">
        <w:rPr>
          <w:lang w:val="es-ES_tradnl"/>
        </w:rPr>
        <w:t>200-2</w:t>
      </w:r>
      <w:r w:rsidR="009E00CD">
        <w:rPr>
          <w:lang w:val="es-ES_tradnl"/>
        </w:rPr>
        <w:t> </w:t>
      </w:r>
      <w:r w:rsidR="008F0DEF" w:rsidRPr="00715A77">
        <w:rPr>
          <w:lang w:val="es-ES_tradnl"/>
        </w:rPr>
        <w:t>290</w:t>
      </w:r>
      <w:r w:rsidR="009E00CD">
        <w:rPr>
          <w:lang w:val="es-ES_tradnl"/>
        </w:rPr>
        <w:t> </w:t>
      </w:r>
      <w:r w:rsidR="008F0DEF" w:rsidRPr="00715A77">
        <w:rPr>
          <w:lang w:val="es-ES_tradnl"/>
        </w:rPr>
        <w:t>MHz</w:t>
      </w:r>
    </w:p>
    <w:bookmarkEnd w:id="6"/>
    <w:p w14:paraId="4B832F48" w14:textId="77777777" w:rsidR="00520F87" w:rsidRPr="00715A77" w:rsidRDefault="00520F87" w:rsidP="0003241A">
      <w:pPr>
        <w:pStyle w:val="Normalaftertitle"/>
        <w:rPr>
          <w:lang w:val="es-ES_tradnl"/>
        </w:rPr>
      </w:pPr>
      <w:r w:rsidRPr="00715A77">
        <w:rPr>
          <w:lang w:val="es-ES_tradnl"/>
        </w:rPr>
        <w:t>La Asamblea de Radiocomunicaciones de la UIT,</w:t>
      </w:r>
    </w:p>
    <w:p w14:paraId="02B9B2A7" w14:textId="0D2D1CAB" w:rsidR="00520F87" w:rsidRPr="00715A77" w:rsidRDefault="00520F87" w:rsidP="0003241A">
      <w:pPr>
        <w:pStyle w:val="Call"/>
        <w:rPr>
          <w:lang w:val="es-ES_tradnl"/>
        </w:rPr>
      </w:pPr>
      <w:r w:rsidRPr="00715A77">
        <w:rPr>
          <w:lang w:val="es-ES_tradnl"/>
        </w:rPr>
        <w:t>considerando</w:t>
      </w:r>
    </w:p>
    <w:p w14:paraId="2A9C138D" w14:textId="77777777" w:rsidR="0058387A" w:rsidRPr="00715A77" w:rsidRDefault="0058387A" w:rsidP="0058387A">
      <w:pPr>
        <w:rPr>
          <w:lang w:val="es-ES_tradnl"/>
        </w:rPr>
      </w:pPr>
      <w:r w:rsidRPr="00715A77">
        <w:rPr>
          <w:i/>
          <w:iCs/>
          <w:lang w:val="es-ES_tradnl"/>
        </w:rPr>
        <w:t>a)</w:t>
      </w:r>
      <w:r w:rsidRPr="00715A77">
        <w:rPr>
          <w:lang w:val="es-ES_tradnl"/>
        </w:rPr>
        <w:tab/>
        <w:t>que la banda de frecuencias 2 200-2 290 MHz está atribuida, entre otros servicios, al servicio de investigación espacial (SIE), al servicio de exploración de la Tierra por satélite (SETS) y al servicio de operaciones espaciales (SOE) en sentido espacio-Tierra y espacio-espacio;</w:t>
      </w:r>
    </w:p>
    <w:p w14:paraId="40A6CB35" w14:textId="77777777" w:rsidR="0058387A" w:rsidRPr="00715A77" w:rsidRDefault="0058387A" w:rsidP="0058387A">
      <w:pPr>
        <w:rPr>
          <w:szCs w:val="24"/>
          <w:lang w:val="es-ES_tradnl"/>
        </w:rPr>
      </w:pPr>
      <w:r w:rsidRPr="00715A77">
        <w:rPr>
          <w:i/>
          <w:iCs/>
          <w:szCs w:val="24"/>
          <w:lang w:val="es-ES_tradnl"/>
        </w:rPr>
        <w:t>b)</w:t>
      </w:r>
      <w:r w:rsidRPr="00715A77">
        <w:rPr>
          <w:szCs w:val="24"/>
          <w:lang w:val="es-ES_tradnl"/>
        </w:rPr>
        <w:tab/>
        <w:t>que la banda de frecuencias 2 200-2 290 MHz está congestionada y la interferencia que se causan los distintos sistemas y redes de satélites puede rebasar los niveles de protección definidos en las Recomendaciones UIT-R pertinentes;</w:t>
      </w:r>
    </w:p>
    <w:p w14:paraId="59CE98ED" w14:textId="646E5DFB" w:rsidR="0058387A" w:rsidRPr="00715A77" w:rsidRDefault="0058387A" w:rsidP="0058387A">
      <w:pPr>
        <w:rPr>
          <w:szCs w:val="24"/>
          <w:lang w:val="es-ES_tradnl"/>
        </w:rPr>
      </w:pPr>
      <w:r w:rsidRPr="00715A77">
        <w:rPr>
          <w:i/>
          <w:iCs/>
          <w:szCs w:val="24"/>
          <w:lang w:val="es-ES_tradnl"/>
        </w:rPr>
        <w:lastRenderedPageBreak/>
        <w:t>c)</w:t>
      </w:r>
      <w:r w:rsidRPr="00715A77">
        <w:rPr>
          <w:szCs w:val="24"/>
          <w:lang w:val="es-ES_tradnl"/>
        </w:rPr>
        <w:tab/>
        <w:t>que se prevé que el número de enlaces de satélite que utilizan la banda de frecuencias 2 200</w:t>
      </w:r>
      <w:r w:rsidR="00715A77" w:rsidRPr="00715A77">
        <w:rPr>
          <w:szCs w:val="24"/>
          <w:lang w:val="es-ES_tradnl"/>
        </w:rPr>
        <w:noBreakHyphen/>
      </w:r>
      <w:r w:rsidRPr="00715A77">
        <w:rPr>
          <w:szCs w:val="24"/>
          <w:lang w:val="es-ES_tradnl"/>
        </w:rPr>
        <w:t>2 290 MHz siga aumentando en el futuro y, como resultado, puedan aumentar los niveles de interferencia;</w:t>
      </w:r>
    </w:p>
    <w:p w14:paraId="65CDB2C8" w14:textId="38F9343D" w:rsidR="0058387A" w:rsidRPr="00715A77" w:rsidRDefault="0058387A" w:rsidP="0058387A">
      <w:pPr>
        <w:rPr>
          <w:szCs w:val="24"/>
          <w:lang w:val="es-ES_tradnl"/>
        </w:rPr>
      </w:pPr>
      <w:r w:rsidRPr="00715A77">
        <w:rPr>
          <w:i/>
          <w:iCs/>
          <w:szCs w:val="24"/>
          <w:lang w:val="es-ES_tradnl"/>
        </w:rPr>
        <w:t>d)</w:t>
      </w:r>
      <w:r w:rsidRPr="00715A77">
        <w:rPr>
          <w:szCs w:val="24"/>
          <w:lang w:val="es-ES_tradnl"/>
        </w:rPr>
        <w:tab/>
        <w:t>que la mayoría de enlaces de satélite espacio-</w:t>
      </w:r>
      <w:r w:rsidR="00715A77" w:rsidRPr="00715A77">
        <w:rPr>
          <w:szCs w:val="24"/>
          <w:lang w:val="es-ES_tradnl"/>
        </w:rPr>
        <w:t xml:space="preserve">Tierra </w:t>
      </w:r>
      <w:r w:rsidRPr="00715A77">
        <w:rPr>
          <w:szCs w:val="24"/>
          <w:lang w:val="es-ES_tradnl"/>
        </w:rPr>
        <w:t>y espacio-espacio que actualmente utilizan la banda de frecuencias 2 200</w:t>
      </w:r>
      <w:r w:rsidRPr="00715A77">
        <w:rPr>
          <w:szCs w:val="24"/>
          <w:lang w:val="es-ES_tradnl"/>
        </w:rPr>
        <w:noBreakHyphen/>
        <w:t>2 290 MHz utilizan, por lo general, un ancho de banda de emisión no superior a 6,2 MHz;</w:t>
      </w:r>
    </w:p>
    <w:p w14:paraId="1F509812" w14:textId="77777777" w:rsidR="0058387A" w:rsidRPr="00715A77" w:rsidRDefault="0058387A" w:rsidP="0058387A">
      <w:pPr>
        <w:rPr>
          <w:lang w:val="es-ES_tradnl"/>
        </w:rPr>
      </w:pPr>
      <w:r w:rsidRPr="00715A77">
        <w:rPr>
          <w:i/>
          <w:iCs/>
          <w:lang w:val="es-ES_tradnl"/>
        </w:rPr>
        <w:t>e)</w:t>
      </w:r>
      <w:r w:rsidRPr="00715A77">
        <w:rPr>
          <w:lang w:val="es-ES_tradnl"/>
        </w:rPr>
        <w:tab/>
        <w:t>que la utilización de anchos de banda de emisión mayores que el indicado podría, en el caso de las señales sin espectro ensanchado y bajo determinadas circunstancias, dificultar la coordinación;</w:t>
      </w:r>
    </w:p>
    <w:p w14:paraId="71E6B637" w14:textId="38976D86" w:rsidR="0058387A" w:rsidRPr="00715A77" w:rsidRDefault="0058387A" w:rsidP="0058387A">
      <w:pPr>
        <w:rPr>
          <w:lang w:val="es-ES_tradnl"/>
        </w:rPr>
      </w:pPr>
      <w:r w:rsidRPr="00715A77">
        <w:rPr>
          <w:rFonts w:asciiTheme="majorBidi" w:hAnsiTheme="majorBidi" w:cstheme="majorBidi"/>
          <w:i/>
          <w:iCs/>
          <w:szCs w:val="24"/>
          <w:lang w:val="es-ES_tradnl"/>
        </w:rPr>
        <w:t>f)</w:t>
      </w:r>
      <w:r w:rsidRPr="00715A77">
        <w:rPr>
          <w:rFonts w:asciiTheme="majorBidi" w:hAnsiTheme="majorBidi" w:cstheme="majorBidi"/>
          <w:szCs w:val="24"/>
          <w:lang w:val="es-ES_tradnl"/>
        </w:rPr>
        <w:tab/>
        <w:t>que la banda de frecuencias</w:t>
      </w:r>
      <w:r w:rsidRPr="00715A77">
        <w:rPr>
          <w:szCs w:val="24"/>
          <w:lang w:val="es-ES_tradnl"/>
        </w:rPr>
        <w:t xml:space="preserve"> 2 200-2 290 MHz suele utilizarse para el seguimiento, la telemedida y el telemando (TT&amp;C) de las operaciones de vehículos espaciales, así como para la transmisión de datos de carga útil a una velocidad de datos relativamente baja;</w:t>
      </w:r>
    </w:p>
    <w:p w14:paraId="3AE9475A" w14:textId="77777777" w:rsidR="0058387A" w:rsidRPr="00715A77" w:rsidRDefault="0058387A" w:rsidP="0058387A">
      <w:pPr>
        <w:rPr>
          <w:szCs w:val="24"/>
          <w:lang w:val="es-ES_tradnl"/>
        </w:rPr>
      </w:pPr>
      <w:r w:rsidRPr="00715A77">
        <w:rPr>
          <w:i/>
          <w:iCs/>
          <w:szCs w:val="24"/>
          <w:lang w:val="es-ES_tradnl"/>
        </w:rPr>
        <w:t>g)</w:t>
      </w:r>
      <w:r w:rsidRPr="00715A77">
        <w:rPr>
          <w:szCs w:val="24"/>
          <w:lang w:val="es-ES_tradnl"/>
        </w:rPr>
        <w:tab/>
        <w:t>que, para la transmisión de datos de carga útil a una velocidad relativamente alta, hay disponibles alternativamente bandas de frecuencias superiores a la banda de frecuencias 2 200</w:t>
      </w:r>
      <w:r w:rsidRPr="00715A77">
        <w:rPr>
          <w:szCs w:val="24"/>
          <w:lang w:val="es-ES_tradnl"/>
        </w:rPr>
        <w:noBreakHyphen/>
        <w:t>2 290 MHz, que pueden acomodar anchos de banda de emisión más grandes;</w:t>
      </w:r>
    </w:p>
    <w:p w14:paraId="22632CC7" w14:textId="77777777" w:rsidR="0058387A" w:rsidRPr="00715A77" w:rsidRDefault="0058387A" w:rsidP="0058387A">
      <w:pPr>
        <w:rPr>
          <w:szCs w:val="24"/>
          <w:lang w:val="es-ES_tradnl"/>
        </w:rPr>
      </w:pPr>
      <w:r w:rsidRPr="00715A77">
        <w:rPr>
          <w:i/>
          <w:iCs/>
          <w:szCs w:val="24"/>
          <w:lang w:val="es-ES_tradnl"/>
        </w:rPr>
        <w:t>h)</w:t>
      </w:r>
      <w:r w:rsidRPr="00715A77">
        <w:rPr>
          <w:szCs w:val="24"/>
          <w:lang w:val="es-ES_tradnl"/>
        </w:rPr>
        <w:tab/>
        <w:t>que es posible reducir la congestión de la banda seleccionando el ancho de banda mínimo necesario para cumplir la misión prevista;</w:t>
      </w:r>
    </w:p>
    <w:p w14:paraId="51B9830B" w14:textId="77777777" w:rsidR="0058387A" w:rsidRPr="00715A77" w:rsidRDefault="0058387A" w:rsidP="0058387A">
      <w:pPr>
        <w:rPr>
          <w:szCs w:val="24"/>
          <w:lang w:val="es-ES_tradnl"/>
        </w:rPr>
      </w:pPr>
      <w:r w:rsidRPr="00715A77">
        <w:rPr>
          <w:i/>
          <w:iCs/>
          <w:szCs w:val="24"/>
          <w:lang w:val="es-ES_tradnl"/>
        </w:rPr>
        <w:t>i)</w:t>
      </w:r>
      <w:r w:rsidRPr="00715A77">
        <w:rPr>
          <w:szCs w:val="24"/>
          <w:lang w:val="es-ES_tradnl"/>
        </w:rPr>
        <w:tab/>
        <w:t>que la utilización de grandes antenas de estación terrena con alta ganancia y bajos niveles de lóbulo lateral reduce el potencial interferente;</w:t>
      </w:r>
    </w:p>
    <w:p w14:paraId="54E5120A" w14:textId="77777777" w:rsidR="0058387A" w:rsidRPr="00715A77" w:rsidRDefault="0058387A" w:rsidP="0058387A">
      <w:pPr>
        <w:rPr>
          <w:szCs w:val="24"/>
          <w:lang w:val="es-ES_tradnl"/>
        </w:rPr>
      </w:pPr>
      <w:r w:rsidRPr="00715A77">
        <w:rPr>
          <w:i/>
          <w:iCs/>
          <w:szCs w:val="24"/>
          <w:lang w:val="es-ES_tradnl"/>
        </w:rPr>
        <w:t>j)</w:t>
      </w:r>
      <w:r w:rsidRPr="00715A77">
        <w:rPr>
          <w:szCs w:val="24"/>
          <w:lang w:val="es-ES_tradnl"/>
        </w:rPr>
        <w:tab/>
        <w:t>que la interferencia en la banda también puede reducirse garantizando que las estaciones espaciales sólo transmiten cuando ven las estaciones receptoras asociadas;</w:t>
      </w:r>
    </w:p>
    <w:p w14:paraId="72F1E9B0" w14:textId="77777777" w:rsidR="0058387A" w:rsidRPr="00715A77" w:rsidRDefault="0058387A" w:rsidP="0058387A">
      <w:pPr>
        <w:rPr>
          <w:szCs w:val="24"/>
          <w:lang w:val="es-ES_tradnl"/>
        </w:rPr>
      </w:pPr>
      <w:r w:rsidRPr="00715A77">
        <w:rPr>
          <w:i/>
          <w:szCs w:val="24"/>
          <w:lang w:val="es-ES_tradnl"/>
        </w:rPr>
        <w:t>k)</w:t>
      </w:r>
      <w:r w:rsidRPr="00715A77">
        <w:rPr>
          <w:szCs w:val="24"/>
          <w:lang w:val="es-ES_tradnl"/>
        </w:rPr>
        <w:tab/>
        <w:t>que disponer de información precisa sobre el número de portadoras y su correspondiente ancho de banda, el número de estaciones terrenas específicas y la zona de servicio podría facilitar el proceso de coordinación;</w:t>
      </w:r>
    </w:p>
    <w:p w14:paraId="459EFFE5" w14:textId="508DF522" w:rsidR="0058387A" w:rsidRPr="00715A77" w:rsidRDefault="0058387A" w:rsidP="0058387A">
      <w:pPr>
        <w:rPr>
          <w:szCs w:val="24"/>
          <w:lang w:val="es-ES_tradnl"/>
        </w:rPr>
      </w:pPr>
      <w:r w:rsidRPr="00715A77">
        <w:rPr>
          <w:i/>
          <w:iCs/>
          <w:szCs w:val="24"/>
          <w:lang w:val="es-ES_tradnl"/>
        </w:rPr>
        <w:t>l)</w:t>
      </w:r>
      <w:r w:rsidRPr="00715A77">
        <w:rPr>
          <w:szCs w:val="24"/>
          <w:lang w:val="es-ES_tradnl"/>
        </w:rPr>
        <w:tab/>
        <w:t>que, en el caso de sistemas de satélites con múltiples satélites, la reutilización de frecuencias facilitaría una utilización más eficiente de los recursos espectrales, reduciendo así el ancho de banda total necesario de esos sistemas,</w:t>
      </w:r>
    </w:p>
    <w:p w14:paraId="7FCBD0E0" w14:textId="77777777" w:rsidR="0058387A" w:rsidRPr="00715A77" w:rsidRDefault="0058387A" w:rsidP="0058387A">
      <w:pPr>
        <w:pStyle w:val="Call"/>
        <w:rPr>
          <w:lang w:val="es-ES_tradnl"/>
        </w:rPr>
      </w:pPr>
      <w:r w:rsidRPr="00715A77">
        <w:rPr>
          <w:lang w:val="es-ES_tradnl"/>
        </w:rPr>
        <w:t>reconociendo</w:t>
      </w:r>
    </w:p>
    <w:p w14:paraId="491915AA" w14:textId="77777777" w:rsidR="0058387A" w:rsidRPr="00715A77" w:rsidRDefault="0058387A" w:rsidP="0058387A">
      <w:pPr>
        <w:rPr>
          <w:lang w:val="es-ES_tradnl"/>
        </w:rPr>
      </w:pPr>
      <w:r w:rsidRPr="00715A77">
        <w:rPr>
          <w:i/>
          <w:lang w:val="es-ES_tradnl"/>
        </w:rPr>
        <w:t>a)</w:t>
      </w:r>
      <w:r w:rsidRPr="00715A77">
        <w:rPr>
          <w:i/>
          <w:lang w:val="es-ES_tradnl"/>
        </w:rPr>
        <w:tab/>
      </w:r>
      <w:r w:rsidRPr="00715A77">
        <w:rPr>
          <w:iCs/>
          <w:lang w:val="es-ES_tradnl"/>
        </w:rPr>
        <w:t>que algunas administraciones ya garantizan que las transmisiones sin espectro ensanchado en la banda de frecuencias</w:t>
      </w:r>
      <w:r w:rsidRPr="00715A77">
        <w:rPr>
          <w:spacing w:val="-2"/>
          <w:lang w:val="es-ES_tradnl"/>
        </w:rPr>
        <w:t xml:space="preserve"> 2 200</w:t>
      </w:r>
      <w:r w:rsidRPr="00715A77">
        <w:rPr>
          <w:spacing w:val="-2"/>
          <w:lang w:val="es-ES_tradnl"/>
        </w:rPr>
        <w:noBreakHyphen/>
        <w:t>2 290 MHz</w:t>
      </w:r>
      <w:r w:rsidRPr="00715A77">
        <w:rPr>
          <w:lang w:val="es-ES_tradnl"/>
        </w:rPr>
        <w:t xml:space="preserve"> se limitan a 6,2 MHz;</w:t>
      </w:r>
    </w:p>
    <w:p w14:paraId="6260F100" w14:textId="77777777" w:rsidR="0058387A" w:rsidRPr="00715A77" w:rsidRDefault="0058387A" w:rsidP="0058387A">
      <w:pPr>
        <w:rPr>
          <w:szCs w:val="24"/>
          <w:lang w:val="es-ES_tradnl" w:eastAsia="zh-CN"/>
        </w:rPr>
      </w:pPr>
      <w:r w:rsidRPr="00715A77">
        <w:rPr>
          <w:i/>
          <w:szCs w:val="24"/>
          <w:lang w:val="es-ES_tradnl" w:eastAsia="zh-CN"/>
        </w:rPr>
        <w:t>b)</w:t>
      </w:r>
      <w:r w:rsidRPr="00715A77">
        <w:rPr>
          <w:i/>
          <w:szCs w:val="24"/>
          <w:lang w:val="es-ES_tradnl" w:eastAsia="zh-CN"/>
        </w:rPr>
        <w:tab/>
      </w:r>
      <w:r w:rsidRPr="00715A77">
        <w:rPr>
          <w:iCs/>
          <w:szCs w:val="24"/>
          <w:lang w:val="es-ES_tradnl" w:eastAsia="zh-CN"/>
        </w:rPr>
        <w:t>que las asignaciones de frecuencias a redes o sistemas de satélites no OSG en la banda de frecuencias</w:t>
      </w:r>
      <w:r w:rsidRPr="00715A77">
        <w:rPr>
          <w:szCs w:val="24"/>
          <w:lang w:val="es-ES_tradnl" w:eastAsia="zh-CN"/>
        </w:rPr>
        <w:t xml:space="preserve"> 2 200</w:t>
      </w:r>
      <w:r w:rsidRPr="00715A77">
        <w:rPr>
          <w:szCs w:val="24"/>
          <w:lang w:val="es-ES_tradnl" w:eastAsia="zh-CN"/>
        </w:rPr>
        <w:noBreakHyphen/>
        <w:t xml:space="preserve">2 290 MHz no están sujetas al procedimiento de coordinación en virtud de la Sección II del Artículo </w:t>
      </w:r>
      <w:r w:rsidRPr="00715A77">
        <w:rPr>
          <w:b/>
          <w:bCs/>
          <w:szCs w:val="24"/>
          <w:lang w:val="es-ES_tradnl" w:eastAsia="zh-CN"/>
        </w:rPr>
        <w:t>9</w:t>
      </w:r>
      <w:r w:rsidRPr="00715A77">
        <w:rPr>
          <w:szCs w:val="24"/>
          <w:lang w:val="es-ES_tradnl" w:eastAsia="zh-CN"/>
        </w:rPr>
        <w:t xml:space="preserve"> del Reglamento de Radiocomunicaciones (RR);</w:t>
      </w:r>
    </w:p>
    <w:p w14:paraId="3C0A6976" w14:textId="77777777" w:rsidR="0058387A" w:rsidRPr="00715A77" w:rsidRDefault="0058387A" w:rsidP="0058387A">
      <w:pPr>
        <w:rPr>
          <w:szCs w:val="24"/>
          <w:lang w:val="es-ES_tradnl" w:eastAsia="zh-CN"/>
        </w:rPr>
      </w:pPr>
      <w:r w:rsidRPr="00715A77">
        <w:rPr>
          <w:i/>
          <w:szCs w:val="24"/>
          <w:lang w:val="es-ES_tradnl" w:eastAsia="zh-CN"/>
        </w:rPr>
        <w:t>c)</w:t>
      </w:r>
      <w:r w:rsidRPr="00715A77">
        <w:rPr>
          <w:szCs w:val="24"/>
          <w:lang w:val="es-ES_tradnl" w:eastAsia="zh-CN"/>
        </w:rPr>
        <w:tab/>
        <w:t xml:space="preserve">que en la Carta Circular CR/420 del UIT-R se indica que estas bandas de frecuencias son, en realidad, las bandas más comunes para las operaciones espaciales de las redes o sistemas de satélites no OSG y que la notificación de una banda de frecuencias más realista en la información de publicación anticipada (API) facilitaría el procedimiento de la Sección 1A del Artículo </w:t>
      </w:r>
      <w:r w:rsidRPr="00715A77">
        <w:rPr>
          <w:b/>
          <w:bCs/>
          <w:szCs w:val="24"/>
          <w:lang w:val="es-ES_tradnl" w:eastAsia="zh-CN"/>
        </w:rPr>
        <w:t>9</w:t>
      </w:r>
      <w:r w:rsidRPr="00715A77">
        <w:rPr>
          <w:szCs w:val="24"/>
          <w:lang w:val="es-ES_tradnl" w:eastAsia="zh-CN"/>
        </w:rPr>
        <w:t xml:space="preserve"> del RR y minimizaría el intercambio de correspondencia entre las diversas administraciones implicadas,</w:t>
      </w:r>
    </w:p>
    <w:p w14:paraId="767CB33F" w14:textId="77777777" w:rsidR="0058387A" w:rsidRPr="00715A77" w:rsidRDefault="0058387A" w:rsidP="0058387A">
      <w:pPr>
        <w:pStyle w:val="Call"/>
        <w:rPr>
          <w:lang w:val="es-ES_tradnl"/>
        </w:rPr>
      </w:pPr>
      <w:r w:rsidRPr="00715A77">
        <w:rPr>
          <w:lang w:val="es-ES_tradnl"/>
        </w:rPr>
        <w:t>observando</w:t>
      </w:r>
    </w:p>
    <w:p w14:paraId="28F580DB" w14:textId="77777777" w:rsidR="0058387A" w:rsidRPr="00715A77" w:rsidRDefault="0058387A" w:rsidP="0058387A">
      <w:pPr>
        <w:rPr>
          <w:lang w:val="es-ES_tradnl"/>
        </w:rPr>
      </w:pPr>
      <w:r w:rsidRPr="00715A77">
        <w:rPr>
          <w:i/>
          <w:lang w:val="es-ES_tradnl"/>
        </w:rPr>
        <w:t>a)</w:t>
      </w:r>
      <w:r w:rsidRPr="00715A77">
        <w:rPr>
          <w:i/>
          <w:lang w:val="es-ES_tradnl"/>
        </w:rPr>
        <w:tab/>
      </w:r>
      <w:r w:rsidRPr="00715A77">
        <w:rPr>
          <w:iCs/>
          <w:lang w:val="es-ES_tradnl"/>
        </w:rPr>
        <w:t>que, de conformidad con el número</w:t>
      </w:r>
      <w:r w:rsidRPr="00715A77">
        <w:rPr>
          <w:lang w:val="es-ES_tradnl"/>
        </w:rPr>
        <w:t xml:space="preserve"> </w:t>
      </w:r>
      <w:r w:rsidRPr="00715A77">
        <w:rPr>
          <w:b/>
          <w:bCs/>
          <w:lang w:val="es-ES_tradnl"/>
        </w:rPr>
        <w:t>1.111</w:t>
      </w:r>
      <w:r w:rsidRPr="00715A77">
        <w:rPr>
          <w:lang w:val="es-ES_tradnl"/>
        </w:rPr>
        <w:t xml:space="preserve"> del RR, un </w:t>
      </w:r>
      <w:r w:rsidRPr="00715A77">
        <w:rPr>
          <w:i/>
          <w:iCs/>
          <w:lang w:val="es-ES_tradnl"/>
        </w:rPr>
        <w:t xml:space="preserve">sistema de satélites </w:t>
      </w:r>
      <w:r w:rsidRPr="00715A77">
        <w:rPr>
          <w:lang w:val="es-ES_tradnl"/>
        </w:rPr>
        <w:t xml:space="preserve">se define como un </w:t>
      </w:r>
      <w:r w:rsidRPr="00715A77">
        <w:rPr>
          <w:i/>
          <w:iCs/>
          <w:lang w:val="es-ES_tradnl"/>
        </w:rPr>
        <w:t xml:space="preserve">sistema espacial </w:t>
      </w:r>
      <w:r w:rsidRPr="00715A77">
        <w:rPr>
          <w:lang w:val="es-ES_tradnl"/>
        </w:rPr>
        <w:t xml:space="preserve">que comprende uno o varios </w:t>
      </w:r>
      <w:r w:rsidRPr="00715A77">
        <w:rPr>
          <w:i/>
          <w:iCs/>
          <w:lang w:val="es-ES_tradnl"/>
        </w:rPr>
        <w:t xml:space="preserve">satélites </w:t>
      </w:r>
      <w:r w:rsidRPr="00715A77">
        <w:rPr>
          <w:lang w:val="es-ES_tradnl"/>
        </w:rPr>
        <w:t>artificiales</w:t>
      </w:r>
      <w:r w:rsidRPr="00715A77">
        <w:rPr>
          <w:i/>
          <w:iCs/>
          <w:lang w:val="es-ES_tradnl"/>
        </w:rPr>
        <w:t xml:space="preserve"> de la Tierra</w:t>
      </w:r>
      <w:r w:rsidRPr="00715A77">
        <w:rPr>
          <w:lang w:val="es-ES_tradnl"/>
        </w:rPr>
        <w:t>;</w:t>
      </w:r>
    </w:p>
    <w:p w14:paraId="6D5D2CE5" w14:textId="77777777" w:rsidR="0058387A" w:rsidRPr="00715A77" w:rsidRDefault="0058387A" w:rsidP="0058387A">
      <w:pPr>
        <w:rPr>
          <w:szCs w:val="24"/>
          <w:lang w:val="es-ES_tradnl"/>
        </w:rPr>
      </w:pPr>
      <w:r w:rsidRPr="00715A77">
        <w:rPr>
          <w:i/>
          <w:szCs w:val="24"/>
          <w:lang w:val="es-ES_tradnl"/>
        </w:rPr>
        <w:t>b)</w:t>
      </w:r>
      <w:r w:rsidRPr="00715A77">
        <w:rPr>
          <w:i/>
          <w:szCs w:val="24"/>
          <w:lang w:val="es-ES_tradnl"/>
        </w:rPr>
        <w:tab/>
      </w:r>
      <w:r w:rsidRPr="00715A77">
        <w:rPr>
          <w:iCs/>
          <w:szCs w:val="24"/>
          <w:lang w:val="es-ES_tradnl"/>
        </w:rPr>
        <w:t>que, de conformidad con el número</w:t>
      </w:r>
      <w:r w:rsidRPr="00715A77">
        <w:rPr>
          <w:szCs w:val="24"/>
          <w:lang w:val="es-ES_tradnl"/>
        </w:rPr>
        <w:t xml:space="preserve"> </w:t>
      </w:r>
      <w:r w:rsidRPr="00715A77">
        <w:rPr>
          <w:b/>
          <w:bCs/>
          <w:lang w:val="es-ES_tradnl"/>
        </w:rPr>
        <w:t>1.112</w:t>
      </w:r>
      <w:r w:rsidRPr="00715A77">
        <w:rPr>
          <w:szCs w:val="24"/>
          <w:lang w:val="es-ES_tradnl"/>
        </w:rPr>
        <w:t xml:space="preserve"> del RR, una </w:t>
      </w:r>
      <w:r w:rsidRPr="00715A77">
        <w:rPr>
          <w:i/>
          <w:iCs/>
          <w:szCs w:val="24"/>
          <w:lang w:val="es-ES_tradnl"/>
        </w:rPr>
        <w:t xml:space="preserve">red de satélite </w:t>
      </w:r>
      <w:r w:rsidRPr="00715A77">
        <w:rPr>
          <w:szCs w:val="24"/>
          <w:lang w:val="es-ES_tradnl"/>
        </w:rPr>
        <w:t xml:space="preserve">se define como un </w:t>
      </w:r>
      <w:r w:rsidRPr="00715A77">
        <w:rPr>
          <w:i/>
          <w:iCs/>
          <w:szCs w:val="24"/>
          <w:lang w:val="es-ES_tradnl"/>
        </w:rPr>
        <w:t xml:space="preserve">sistema de satélites </w:t>
      </w:r>
      <w:r w:rsidRPr="00715A77">
        <w:rPr>
          <w:szCs w:val="24"/>
          <w:lang w:val="es-ES_tradnl"/>
        </w:rPr>
        <w:t xml:space="preserve">o parte de un </w:t>
      </w:r>
      <w:r w:rsidRPr="00715A77">
        <w:rPr>
          <w:i/>
          <w:iCs/>
          <w:szCs w:val="24"/>
          <w:lang w:val="es-ES_tradnl"/>
        </w:rPr>
        <w:t xml:space="preserve">sistema de satélites </w:t>
      </w:r>
      <w:r w:rsidRPr="00715A77">
        <w:rPr>
          <w:szCs w:val="24"/>
          <w:lang w:val="es-ES_tradnl"/>
        </w:rPr>
        <w:t>que consta de un solo satélite</w:t>
      </w:r>
      <w:r w:rsidRPr="00715A77">
        <w:rPr>
          <w:i/>
          <w:iCs/>
          <w:szCs w:val="24"/>
          <w:lang w:val="es-ES_tradnl"/>
        </w:rPr>
        <w:t xml:space="preserve"> </w:t>
      </w:r>
      <w:r w:rsidRPr="00715A77">
        <w:rPr>
          <w:szCs w:val="24"/>
          <w:lang w:val="es-ES_tradnl"/>
        </w:rPr>
        <w:t xml:space="preserve">y de las </w:t>
      </w:r>
      <w:r w:rsidRPr="00715A77">
        <w:rPr>
          <w:i/>
          <w:iCs/>
          <w:szCs w:val="24"/>
          <w:lang w:val="es-ES_tradnl"/>
        </w:rPr>
        <w:t xml:space="preserve">estaciones terrenas </w:t>
      </w:r>
      <w:r w:rsidRPr="00715A77">
        <w:rPr>
          <w:szCs w:val="24"/>
          <w:lang w:val="es-ES_tradnl"/>
        </w:rPr>
        <w:t>asociadas;</w:t>
      </w:r>
    </w:p>
    <w:p w14:paraId="2A903724" w14:textId="63526C0F" w:rsidR="0058387A" w:rsidRPr="00715A77" w:rsidRDefault="0058387A" w:rsidP="0058387A">
      <w:pPr>
        <w:rPr>
          <w:szCs w:val="24"/>
          <w:lang w:val="es-ES_tradnl"/>
        </w:rPr>
      </w:pPr>
      <w:r w:rsidRPr="00715A77">
        <w:rPr>
          <w:i/>
          <w:szCs w:val="24"/>
          <w:lang w:val="es-ES_tradnl"/>
        </w:rPr>
        <w:lastRenderedPageBreak/>
        <w:t>c)</w:t>
      </w:r>
      <w:r w:rsidRPr="00715A77">
        <w:rPr>
          <w:i/>
          <w:szCs w:val="24"/>
          <w:lang w:val="es-ES_tradnl"/>
        </w:rPr>
        <w:tab/>
      </w:r>
      <w:bookmarkStart w:id="7" w:name="_Hlk10085644"/>
      <w:r w:rsidRPr="00715A77">
        <w:rPr>
          <w:iCs/>
          <w:szCs w:val="24"/>
          <w:lang w:val="es-ES_tradnl"/>
        </w:rPr>
        <w:t>que, de conformidad con el número</w:t>
      </w:r>
      <w:r w:rsidRPr="00715A77">
        <w:rPr>
          <w:szCs w:val="24"/>
          <w:lang w:val="es-ES_tradnl"/>
        </w:rPr>
        <w:t xml:space="preserve"> </w:t>
      </w:r>
      <w:r w:rsidRPr="00715A77">
        <w:rPr>
          <w:b/>
          <w:bCs/>
          <w:lang w:val="es-ES_tradnl"/>
        </w:rPr>
        <w:t>5.392</w:t>
      </w:r>
      <w:r w:rsidRPr="00715A77">
        <w:rPr>
          <w:szCs w:val="24"/>
          <w:lang w:val="es-ES_tradnl"/>
        </w:rPr>
        <w:t xml:space="preserve"> del RR, se insta a las administraciones a tomar todas las medidas viables para garantizar que las transmisiones espacio-espacio entre dos o más satélites no geoestacionarios de los servicios de investigación espacial, operaciones espaciales y exploración de la Tierra por satélite en las bandas de frecuencias 2 025</w:t>
      </w:r>
      <w:r w:rsidRPr="00715A77">
        <w:rPr>
          <w:szCs w:val="24"/>
          <w:lang w:val="es-ES_tradnl"/>
        </w:rPr>
        <w:noBreakHyphen/>
        <w:t>2 110 MHz y 2 200-2 290 MHz no imponen ninguna restricción a las transmisiones Tierra-espacio, espacio-Tierra y otras transmisiones espacio-espacio de esos servicios y en esas bandas, entre satélites geoestacionarios y no geoestacionarios,</w:t>
      </w:r>
      <w:bookmarkEnd w:id="7"/>
    </w:p>
    <w:p w14:paraId="79A033EB" w14:textId="77777777" w:rsidR="0058387A" w:rsidRPr="00715A77" w:rsidRDefault="0058387A" w:rsidP="0058387A">
      <w:pPr>
        <w:pStyle w:val="Call"/>
        <w:rPr>
          <w:lang w:val="es-ES_tradnl"/>
        </w:rPr>
      </w:pPr>
      <w:r w:rsidRPr="00715A77">
        <w:rPr>
          <w:lang w:val="es-ES_tradnl"/>
        </w:rPr>
        <w:t>recomienda</w:t>
      </w:r>
    </w:p>
    <w:p w14:paraId="11F4C864" w14:textId="592C5D38" w:rsidR="0058387A" w:rsidRPr="00715A77" w:rsidRDefault="0058387A" w:rsidP="0058387A">
      <w:pPr>
        <w:rPr>
          <w:szCs w:val="24"/>
          <w:lang w:val="es-ES_tradnl"/>
        </w:rPr>
      </w:pPr>
      <w:r w:rsidRPr="00715A77">
        <w:rPr>
          <w:b/>
          <w:bCs/>
          <w:szCs w:val="24"/>
          <w:lang w:val="es-ES_tradnl"/>
        </w:rPr>
        <w:t>1</w:t>
      </w:r>
      <w:r w:rsidRPr="00715A77">
        <w:rPr>
          <w:szCs w:val="24"/>
          <w:lang w:val="es-ES_tradnl"/>
        </w:rPr>
        <w:tab/>
        <w:t>que las redes o sistemas de satélites del SETS, el SIE o el SOE que no utilizan modulación de espectro ensanchado y prevean utilizar la banda de frecuencias 2 200</w:t>
      </w:r>
      <w:r w:rsidRPr="00715A77">
        <w:rPr>
          <w:szCs w:val="24"/>
          <w:lang w:val="es-ES_tradnl"/>
        </w:rPr>
        <w:noBreakHyphen/>
        <w:t>2 290 MHz consideren la posibilidad de reducir su ancho de banda al mínimo operativo necesario por la red o el sistema de satélites a fin de minimizar la congestión y la posible interferencia causada a otros sistemas y servicios que utilizan esta banda de frecuencias;</w:t>
      </w:r>
    </w:p>
    <w:p w14:paraId="76B86E48" w14:textId="56B59874" w:rsidR="0058387A" w:rsidRPr="00715A77" w:rsidRDefault="0058387A" w:rsidP="0058387A">
      <w:pPr>
        <w:keepLines/>
        <w:rPr>
          <w:szCs w:val="24"/>
          <w:lang w:val="es-ES_tradnl"/>
        </w:rPr>
      </w:pPr>
      <w:r w:rsidRPr="00715A77">
        <w:rPr>
          <w:b/>
          <w:bCs/>
          <w:szCs w:val="24"/>
          <w:lang w:val="es-ES_tradnl"/>
        </w:rPr>
        <w:t>2</w:t>
      </w:r>
      <w:r w:rsidRPr="00715A77">
        <w:rPr>
          <w:szCs w:val="24"/>
          <w:lang w:val="es-ES_tradnl"/>
        </w:rPr>
        <w:tab/>
        <w:t>que, para las operaciones espacio-Tierra en la banda de frecuencias</w:t>
      </w:r>
      <w:r w:rsidRPr="00715A77">
        <w:rPr>
          <w:lang w:val="es-ES_tradnl"/>
        </w:rPr>
        <w:t xml:space="preserve"> 2</w:t>
      </w:r>
      <w:r w:rsidR="009E00CD">
        <w:rPr>
          <w:lang w:val="es-ES_tradnl"/>
        </w:rPr>
        <w:t> </w:t>
      </w:r>
      <w:r w:rsidRPr="00715A77">
        <w:rPr>
          <w:lang w:val="es-ES_tradnl"/>
        </w:rPr>
        <w:t>200-2</w:t>
      </w:r>
      <w:r w:rsidR="009E00CD">
        <w:rPr>
          <w:lang w:val="es-ES_tradnl"/>
        </w:rPr>
        <w:t> </w:t>
      </w:r>
      <w:r w:rsidRPr="00715A77">
        <w:rPr>
          <w:lang w:val="es-ES_tradnl"/>
        </w:rPr>
        <w:t>290</w:t>
      </w:r>
      <w:r w:rsidR="009E00CD">
        <w:rPr>
          <w:lang w:val="es-ES_tradnl"/>
        </w:rPr>
        <w:t> </w:t>
      </w:r>
      <w:r w:rsidRPr="00715A77">
        <w:rPr>
          <w:lang w:val="es-ES_tradnl"/>
        </w:rPr>
        <w:t>MHz</w:t>
      </w:r>
      <w:r w:rsidRPr="00715A77">
        <w:rPr>
          <w:szCs w:val="24"/>
          <w:lang w:val="es-ES_tradnl"/>
        </w:rPr>
        <w:t xml:space="preserve">, las administraciones que exploten redes o sistemas </w:t>
      </w:r>
      <w:r w:rsidR="00715A77" w:rsidRPr="00715A77">
        <w:rPr>
          <w:szCs w:val="24"/>
          <w:lang w:val="es-ES_tradnl"/>
        </w:rPr>
        <w:t xml:space="preserve">de satélites </w:t>
      </w:r>
      <w:r w:rsidRPr="00715A77">
        <w:rPr>
          <w:szCs w:val="24"/>
          <w:lang w:val="es-ES_tradnl"/>
        </w:rPr>
        <w:t>del SETS, el SIE o el SOE que no utilizan modulación de espectro ensanchado consideren la posibilidad de utilizar un ancho de banda operativo no superior a 6,2 MHz</w:t>
      </w:r>
      <w:r w:rsidRPr="00715A77">
        <w:rPr>
          <w:lang w:val="es-ES_tradnl"/>
        </w:rPr>
        <w:t>;</w:t>
      </w:r>
    </w:p>
    <w:p w14:paraId="1C6BA4B6" w14:textId="7CF46F4A" w:rsidR="0058387A" w:rsidRPr="00715A77" w:rsidRDefault="0058387A" w:rsidP="0058387A">
      <w:pPr>
        <w:rPr>
          <w:szCs w:val="24"/>
          <w:lang w:val="es-ES_tradnl"/>
        </w:rPr>
      </w:pPr>
      <w:r w:rsidRPr="00715A77">
        <w:rPr>
          <w:b/>
          <w:bCs/>
          <w:szCs w:val="24"/>
          <w:lang w:val="es-ES_tradnl"/>
        </w:rPr>
        <w:t>3</w:t>
      </w:r>
      <w:r w:rsidRPr="00715A77">
        <w:rPr>
          <w:szCs w:val="24"/>
          <w:lang w:val="es-ES_tradnl"/>
        </w:rPr>
        <w:tab/>
        <w:t>que, para las operaciones espacio-espacio en la banda de frecuencias</w:t>
      </w:r>
      <w:r w:rsidRPr="00715A77">
        <w:rPr>
          <w:lang w:val="es-ES_tradnl"/>
        </w:rPr>
        <w:t xml:space="preserve"> 2</w:t>
      </w:r>
      <w:r w:rsidR="009E00CD">
        <w:rPr>
          <w:lang w:val="es-ES_tradnl"/>
        </w:rPr>
        <w:t> </w:t>
      </w:r>
      <w:r w:rsidRPr="00715A77">
        <w:rPr>
          <w:lang w:val="es-ES_tradnl"/>
        </w:rPr>
        <w:t>200-2</w:t>
      </w:r>
      <w:r w:rsidR="009E00CD">
        <w:rPr>
          <w:lang w:val="es-ES_tradnl"/>
        </w:rPr>
        <w:t> </w:t>
      </w:r>
      <w:r w:rsidRPr="00715A77">
        <w:rPr>
          <w:lang w:val="es-ES_tradnl"/>
        </w:rPr>
        <w:t>290</w:t>
      </w:r>
      <w:r w:rsidR="009E00CD">
        <w:rPr>
          <w:lang w:val="es-ES_tradnl"/>
        </w:rPr>
        <w:t> </w:t>
      </w:r>
      <w:r w:rsidRPr="00715A77">
        <w:rPr>
          <w:lang w:val="es-ES_tradnl"/>
        </w:rPr>
        <w:t>MHz</w:t>
      </w:r>
      <w:r w:rsidRPr="00715A77">
        <w:rPr>
          <w:szCs w:val="24"/>
          <w:lang w:val="es-ES_tradnl"/>
        </w:rPr>
        <w:t>,</w:t>
      </w:r>
      <w:r w:rsidRPr="00715A77">
        <w:rPr>
          <w:lang w:val="es-ES_tradnl"/>
        </w:rPr>
        <w:t xml:space="preserve"> las administraciones que exploten redes o sistemas </w:t>
      </w:r>
      <w:r w:rsidR="00715A77" w:rsidRPr="00715A77">
        <w:rPr>
          <w:szCs w:val="24"/>
          <w:lang w:val="es-ES_tradnl"/>
        </w:rPr>
        <w:t xml:space="preserve">de satélites </w:t>
      </w:r>
      <w:r w:rsidRPr="00715A77">
        <w:rPr>
          <w:lang w:val="es-ES_tradnl"/>
        </w:rPr>
        <w:t>del SETS, el SIE o el SOE que no utilizan modulación de espectro ensanchado consideren la posibilidad de utilizar un ancho de banda operativo no superior a</w:t>
      </w:r>
      <w:r w:rsidRPr="00715A77">
        <w:rPr>
          <w:szCs w:val="24"/>
          <w:lang w:val="es-ES_tradnl"/>
        </w:rPr>
        <w:t xml:space="preserve"> 6,2 MHz</w:t>
      </w:r>
      <w:r w:rsidRPr="00715A77">
        <w:rPr>
          <w:lang w:val="es-ES_tradnl"/>
        </w:rPr>
        <w:t>;</w:t>
      </w:r>
    </w:p>
    <w:p w14:paraId="689AAAF6" w14:textId="1257A435" w:rsidR="0058387A" w:rsidRPr="00715A77" w:rsidRDefault="0058387A" w:rsidP="0058387A">
      <w:pPr>
        <w:rPr>
          <w:szCs w:val="24"/>
          <w:lang w:val="es-ES_tradnl"/>
        </w:rPr>
      </w:pPr>
      <w:r w:rsidRPr="00715A77">
        <w:rPr>
          <w:b/>
          <w:bCs/>
          <w:szCs w:val="24"/>
          <w:lang w:val="es-ES_tradnl"/>
        </w:rPr>
        <w:t>4</w:t>
      </w:r>
      <w:r w:rsidRPr="00715A77">
        <w:rPr>
          <w:szCs w:val="24"/>
          <w:lang w:val="es-ES_tradnl"/>
        </w:rPr>
        <w:tab/>
        <w:t>que las operaciones espacio-Tierra y espacio-espacio en la banda de frecuencias 2 200</w:t>
      </w:r>
      <w:r w:rsidR="00715A77" w:rsidRPr="00715A77">
        <w:rPr>
          <w:szCs w:val="24"/>
          <w:lang w:val="es-ES_tradnl"/>
        </w:rPr>
        <w:noBreakHyphen/>
      </w:r>
      <w:r w:rsidRPr="00715A77">
        <w:rPr>
          <w:szCs w:val="24"/>
          <w:lang w:val="es-ES_tradnl"/>
        </w:rPr>
        <w:t>2 290 MHz sólo transmitan con visibilidad de las estaciones receptoras asociadas;</w:t>
      </w:r>
    </w:p>
    <w:p w14:paraId="109D9F33" w14:textId="73585DDF" w:rsidR="0058387A" w:rsidRPr="00715A77" w:rsidRDefault="0058387A" w:rsidP="0058387A">
      <w:pPr>
        <w:rPr>
          <w:lang w:val="es-ES_tradnl"/>
        </w:rPr>
      </w:pPr>
      <w:r w:rsidRPr="00715A77">
        <w:rPr>
          <w:b/>
          <w:bCs/>
          <w:lang w:val="es-ES_tradnl"/>
        </w:rPr>
        <w:t>5</w:t>
      </w:r>
      <w:r w:rsidRPr="00715A77">
        <w:rPr>
          <w:lang w:val="es-ES_tradnl"/>
        </w:rPr>
        <w:tab/>
        <w:t>que para las operaciones espacio-Tierra en la banda de frecuencias 2</w:t>
      </w:r>
      <w:r w:rsidR="009E00CD">
        <w:rPr>
          <w:lang w:val="es-ES_tradnl"/>
        </w:rPr>
        <w:t> </w:t>
      </w:r>
      <w:r w:rsidRPr="00715A77">
        <w:rPr>
          <w:lang w:val="es-ES_tradnl"/>
        </w:rPr>
        <w:t>200-2</w:t>
      </w:r>
      <w:r w:rsidR="009E00CD">
        <w:rPr>
          <w:lang w:val="es-ES_tradnl"/>
        </w:rPr>
        <w:t> </w:t>
      </w:r>
      <w:r w:rsidRPr="00715A77">
        <w:rPr>
          <w:lang w:val="es-ES_tradnl"/>
        </w:rPr>
        <w:t>290</w:t>
      </w:r>
      <w:r w:rsidR="009E00CD">
        <w:rPr>
          <w:lang w:val="es-ES_tradnl"/>
        </w:rPr>
        <w:t> </w:t>
      </w:r>
      <w:r w:rsidRPr="00715A77">
        <w:rPr>
          <w:lang w:val="es-ES_tradnl"/>
        </w:rPr>
        <w:t>MHz se considere la posibilidad de utilizar técnicas de reducción de la interferencia como pueden ser las siguientes:</w:t>
      </w:r>
    </w:p>
    <w:p w14:paraId="09F1165C" w14:textId="77777777" w:rsidR="0058387A" w:rsidRPr="00715A77" w:rsidRDefault="0058387A" w:rsidP="0058387A">
      <w:pPr>
        <w:pStyle w:val="enumlev1"/>
        <w:rPr>
          <w:lang w:val="es-ES_tradnl"/>
        </w:rPr>
      </w:pPr>
      <w:r w:rsidRPr="00715A77">
        <w:rPr>
          <w:lang w:val="es-ES_tradnl"/>
        </w:rPr>
        <w:t>i)</w:t>
      </w:r>
      <w:r w:rsidRPr="00715A77">
        <w:rPr>
          <w:lang w:val="es-ES_tradnl"/>
        </w:rPr>
        <w:tab/>
        <w:t>diversidad geográfica de las estaciones terrenas;</w:t>
      </w:r>
    </w:p>
    <w:p w14:paraId="00F38F0F" w14:textId="77777777" w:rsidR="0058387A" w:rsidRPr="00715A77" w:rsidRDefault="0058387A" w:rsidP="0058387A">
      <w:pPr>
        <w:pStyle w:val="enumlev1"/>
        <w:rPr>
          <w:lang w:val="es-ES_tradnl"/>
        </w:rPr>
      </w:pPr>
      <w:r w:rsidRPr="00715A77">
        <w:rPr>
          <w:lang w:val="es-ES_tradnl"/>
        </w:rPr>
        <w:t>ii)</w:t>
      </w:r>
      <w:r w:rsidRPr="00715A77">
        <w:rPr>
          <w:lang w:val="es-ES_tradnl"/>
        </w:rPr>
        <w:tab/>
        <w:t>incremento de la ganancia de la antena de estación terrena para aumentar el margen del enlace;</w:t>
      </w:r>
    </w:p>
    <w:p w14:paraId="1AC3D871" w14:textId="77777777" w:rsidR="0058387A" w:rsidRPr="00715A77" w:rsidRDefault="0058387A" w:rsidP="0058387A">
      <w:pPr>
        <w:pStyle w:val="enumlev1"/>
        <w:rPr>
          <w:lang w:val="es-ES_tradnl"/>
        </w:rPr>
      </w:pPr>
      <w:r w:rsidRPr="00715A77">
        <w:rPr>
          <w:lang w:val="es-ES_tradnl"/>
        </w:rPr>
        <w:t>iii)</w:t>
      </w:r>
      <w:r w:rsidRPr="00715A77">
        <w:rPr>
          <w:lang w:val="es-ES_tradnl"/>
        </w:rPr>
        <w:tab/>
        <w:t>reducción de los niveles de lóbulo lateral de la antena de estación terrena;</w:t>
      </w:r>
    </w:p>
    <w:p w14:paraId="66531E0C" w14:textId="77777777" w:rsidR="0058387A" w:rsidRPr="00715A77" w:rsidRDefault="0058387A" w:rsidP="0058387A">
      <w:pPr>
        <w:pStyle w:val="enumlev1"/>
        <w:rPr>
          <w:lang w:val="es-ES_tradnl"/>
        </w:rPr>
      </w:pPr>
      <w:r w:rsidRPr="00715A77">
        <w:rPr>
          <w:lang w:val="es-ES_tradnl"/>
        </w:rPr>
        <w:t>iv)</w:t>
      </w:r>
      <w:r w:rsidRPr="00715A77">
        <w:rPr>
          <w:lang w:val="es-ES_tradnl"/>
        </w:rPr>
        <w:tab/>
        <w:t>utilización de satélites de retransmisión de datos, de ser posible, para aumentar y/o sustituir las estaciones terrenas;</w:t>
      </w:r>
    </w:p>
    <w:p w14:paraId="1DB4A424" w14:textId="77777777" w:rsidR="0058387A" w:rsidRPr="00715A77" w:rsidRDefault="0058387A" w:rsidP="0058387A">
      <w:pPr>
        <w:pStyle w:val="enumlev1"/>
        <w:rPr>
          <w:lang w:val="es-ES_tradnl"/>
        </w:rPr>
      </w:pPr>
      <w:r w:rsidRPr="00715A77">
        <w:rPr>
          <w:lang w:val="es-ES_tradnl"/>
        </w:rPr>
        <w:t>v)</w:t>
      </w:r>
      <w:r w:rsidRPr="00715A77">
        <w:rPr>
          <w:lang w:val="es-ES_tradnl"/>
        </w:rPr>
        <w:tab/>
        <w:t>utilización de señales AMDC de espectro ensanchado o supresión de los esquemas de modulación de portadora para las señales sin espectro ensanchado;</w:t>
      </w:r>
    </w:p>
    <w:p w14:paraId="3609B8EB" w14:textId="321CB1A3" w:rsidR="0058387A" w:rsidRPr="00715A77" w:rsidRDefault="0058387A" w:rsidP="0058387A">
      <w:pPr>
        <w:pStyle w:val="enumlev1"/>
        <w:rPr>
          <w:lang w:val="es-ES_tradnl"/>
        </w:rPr>
      </w:pPr>
      <w:r w:rsidRPr="00715A77">
        <w:rPr>
          <w:lang w:val="es-ES_tradnl"/>
        </w:rPr>
        <w:t>vi)</w:t>
      </w:r>
      <w:r w:rsidRPr="00715A77">
        <w:rPr>
          <w:lang w:val="es-ES_tradnl"/>
        </w:rPr>
        <w:tab/>
        <w:t xml:space="preserve">haces dirigibles con niveles de lóbulo lateral de la antena de estación </w:t>
      </w:r>
      <w:r w:rsidR="00715A77" w:rsidRPr="00715A77">
        <w:rPr>
          <w:lang w:val="es-ES_tradnl"/>
        </w:rPr>
        <w:t>espacial</w:t>
      </w:r>
      <w:r w:rsidRPr="00715A77">
        <w:rPr>
          <w:lang w:val="es-ES_tradnl"/>
        </w:rPr>
        <w:t xml:space="preserve"> reducidos para los enlaces espacio-espacio; y</w:t>
      </w:r>
    </w:p>
    <w:p w14:paraId="2E07DFEC" w14:textId="0E7E762A" w:rsidR="0058387A" w:rsidRPr="00715A77" w:rsidRDefault="0058387A" w:rsidP="0058387A">
      <w:pPr>
        <w:pStyle w:val="enumlev1"/>
        <w:rPr>
          <w:lang w:val="es-ES_tradnl"/>
        </w:rPr>
      </w:pPr>
      <w:r w:rsidRPr="00715A77">
        <w:rPr>
          <w:lang w:val="es-ES_tradnl"/>
        </w:rPr>
        <w:t>vii)</w:t>
      </w:r>
      <w:r w:rsidRPr="00715A77">
        <w:rPr>
          <w:lang w:val="es-ES_tradnl"/>
        </w:rPr>
        <w:tab/>
        <w:t>a</w:t>
      </w:r>
      <w:r w:rsidR="00715A77" w:rsidRPr="00715A77">
        <w:rPr>
          <w:lang w:val="es-ES_tradnl"/>
        </w:rPr>
        <w:t>is</w:t>
      </w:r>
      <w:r w:rsidRPr="00715A77">
        <w:rPr>
          <w:lang w:val="es-ES_tradnl"/>
        </w:rPr>
        <w:t>lamiento de la estación terrena con respecto a los enlaces móviles;</w:t>
      </w:r>
    </w:p>
    <w:p w14:paraId="7F261E52" w14:textId="77777777" w:rsidR="0058387A" w:rsidRPr="00715A77" w:rsidRDefault="0058387A" w:rsidP="0058387A">
      <w:pPr>
        <w:rPr>
          <w:szCs w:val="24"/>
          <w:lang w:val="es-ES_tradnl"/>
        </w:rPr>
      </w:pPr>
      <w:r w:rsidRPr="00715A77">
        <w:rPr>
          <w:b/>
          <w:bCs/>
          <w:szCs w:val="24"/>
          <w:lang w:val="es-ES_tradnl"/>
        </w:rPr>
        <w:t>6</w:t>
      </w:r>
      <w:r w:rsidRPr="00715A77">
        <w:rPr>
          <w:szCs w:val="24"/>
          <w:lang w:val="es-ES_tradnl"/>
        </w:rPr>
        <w:tab/>
        <w:t>que, para las transmisiones de carga útil a una velocidad de datos relativamente alta de las redes o sistemas del SETS o el SIE, se consideren como alternativas las bandas de frecuencias atribuidas al SETS o el SIE superiores a la banda de frecuencias 2 200-2 290 MHz, pues ofrecen anchos de banda adecuados para dichas transmisiones;</w:t>
      </w:r>
    </w:p>
    <w:p w14:paraId="74663BD4" w14:textId="77777777" w:rsidR="0058387A" w:rsidRPr="00715A77" w:rsidRDefault="0058387A" w:rsidP="0071680D">
      <w:pPr>
        <w:keepNext/>
        <w:keepLines/>
        <w:rPr>
          <w:lang w:val="es-ES_tradnl"/>
        </w:rPr>
      </w:pPr>
      <w:r w:rsidRPr="00715A77">
        <w:rPr>
          <w:b/>
          <w:bCs/>
          <w:lang w:val="es-ES_tradnl"/>
        </w:rPr>
        <w:lastRenderedPageBreak/>
        <w:t>7</w:t>
      </w:r>
      <w:r w:rsidRPr="00715A77">
        <w:rPr>
          <w:lang w:val="es-ES_tradnl"/>
        </w:rPr>
        <w:tab/>
        <w:t xml:space="preserve">que, al presentar la información del Apéndice </w:t>
      </w:r>
      <w:r w:rsidRPr="00715A77">
        <w:rPr>
          <w:b/>
          <w:bCs/>
          <w:lang w:val="es-ES_tradnl"/>
        </w:rPr>
        <w:t xml:space="preserve">4 </w:t>
      </w:r>
      <w:r w:rsidRPr="00715A77">
        <w:rPr>
          <w:lang w:val="es-ES_tradnl"/>
        </w:rPr>
        <w:t>del RR a la Oficina de Radiocomunicaciones (BR) para redes o sistemas de satélites del SETS, el SIE o el SOE que vayan a funcionar en sentido espacio-Tierra en la banda de frecuencias 2 200-2 290 MHz, las administraciones:</w:t>
      </w:r>
    </w:p>
    <w:p w14:paraId="11122097" w14:textId="77777777" w:rsidR="0058387A" w:rsidRPr="00715A77" w:rsidRDefault="0058387A" w:rsidP="0071680D">
      <w:pPr>
        <w:pStyle w:val="enumlev1"/>
        <w:keepNext/>
        <w:keepLines/>
        <w:rPr>
          <w:lang w:val="es-ES_tradnl"/>
        </w:rPr>
      </w:pPr>
      <w:r w:rsidRPr="00715A77">
        <w:rPr>
          <w:lang w:val="es-ES_tradnl"/>
        </w:rPr>
        <w:t>–</w:t>
      </w:r>
      <w:r w:rsidRPr="00715A77">
        <w:rPr>
          <w:lang w:val="es-ES_tradnl"/>
        </w:rPr>
        <w:tab/>
        <w:t>eviten, en la medida de lo posible, utilizar parámetros genéricos, como las estaciones terrenas típicas en la zona de servicio que cubra toda la superficie de la Tierra, así como amplias gamas de potencia/p.i.r.e. y grandes anchos de banda de señal;</w:t>
      </w:r>
    </w:p>
    <w:p w14:paraId="7F78FBF8" w14:textId="77777777" w:rsidR="0058387A" w:rsidRPr="00715A77" w:rsidRDefault="0058387A" w:rsidP="0058387A">
      <w:pPr>
        <w:pStyle w:val="enumlev1"/>
        <w:rPr>
          <w:lang w:val="es-ES_tradnl"/>
        </w:rPr>
      </w:pPr>
      <w:r w:rsidRPr="00715A77">
        <w:rPr>
          <w:lang w:val="es-ES_tradnl"/>
        </w:rPr>
        <w:t>–</w:t>
      </w:r>
      <w:r w:rsidRPr="00715A77">
        <w:rPr>
          <w:lang w:val="es-ES_tradnl"/>
        </w:rPr>
        <w:tab/>
        <w:t>consideren la posibilidad de especificar la frecuencia y el ancho de banda de la portadora y, en la medida de lo posible, el número de estaciones terrenas específicas, así como sus coordenadas geográficas asociadas, conforme a las operaciones reales necesarias.</w:t>
      </w:r>
    </w:p>
    <w:p w14:paraId="5F67655C" w14:textId="3962DC18" w:rsidR="0058387A" w:rsidRPr="00715A77" w:rsidRDefault="0058387A" w:rsidP="0058387A">
      <w:pPr>
        <w:pStyle w:val="Note"/>
        <w:rPr>
          <w:lang w:val="es-ES_tradnl"/>
        </w:rPr>
      </w:pPr>
      <w:r w:rsidRPr="00715A77">
        <w:rPr>
          <w:lang w:val="es-ES_tradnl"/>
        </w:rPr>
        <w:t xml:space="preserve">NOTA – Podrán no aplicarse los </w:t>
      </w:r>
      <w:r w:rsidRPr="00715A77">
        <w:rPr>
          <w:i/>
          <w:iCs/>
          <w:lang w:val="es-ES_tradnl"/>
        </w:rPr>
        <w:t>recomienda</w:t>
      </w:r>
      <w:r w:rsidRPr="00715A77">
        <w:rPr>
          <w:lang w:val="es-ES_tradnl"/>
        </w:rPr>
        <w:t xml:space="preserve"> 2 y 3 durante las operaciones de lanzamiento.</w:t>
      </w:r>
    </w:p>
    <w:p w14:paraId="4D443567" w14:textId="078510B2" w:rsidR="0058387A" w:rsidRDefault="0058387A" w:rsidP="0071680D">
      <w:pPr>
        <w:rPr>
          <w:lang w:val="es-ES_tradnl"/>
        </w:rPr>
      </w:pPr>
    </w:p>
    <w:p w14:paraId="16DE3101" w14:textId="77777777" w:rsidR="0071680D" w:rsidRPr="00715A77" w:rsidRDefault="0071680D" w:rsidP="0071680D">
      <w:pPr>
        <w:pStyle w:val="Line"/>
        <w:rPr>
          <w:lang w:val="es-ES_tradnl"/>
        </w:rPr>
      </w:pPr>
    </w:p>
    <w:sectPr w:rsidR="0071680D" w:rsidRPr="00715A77" w:rsidSect="00186DC5">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EEF3C" w14:textId="77777777" w:rsidR="00F33AB1" w:rsidRDefault="00F33AB1">
      <w:r>
        <w:separator/>
      </w:r>
    </w:p>
  </w:endnote>
  <w:endnote w:type="continuationSeparator" w:id="0">
    <w:p w14:paraId="0A47478B" w14:textId="77777777" w:rsidR="00F33AB1" w:rsidRDefault="00F3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DA678" w14:textId="77777777" w:rsidR="00F33AB1" w:rsidRDefault="00F33AB1">
      <w:r>
        <w:separator/>
      </w:r>
    </w:p>
  </w:footnote>
  <w:footnote w:type="continuationSeparator" w:id="0">
    <w:p w14:paraId="52AD4D23" w14:textId="77777777" w:rsidR="00F33AB1" w:rsidRDefault="00F3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3D3E" w14:textId="77777777" w:rsidR="00F33AB1" w:rsidRDefault="00F33AB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0648" w14:textId="77777777" w:rsidR="00F33AB1" w:rsidRDefault="00F33AB1" w:rsidP="00623D19">
    <w:pPr>
      <w:pStyle w:val="Header"/>
      <w:ind w:right="360" w:firstLine="360"/>
    </w:pPr>
    <w:r>
      <w:rPr>
        <w:noProof/>
        <w:lang w:eastAsia="es-ES"/>
      </w:rPr>
      <w:drawing>
        <wp:anchor distT="0" distB="0" distL="114300" distR="114300" simplePos="0" relativeHeight="251658240" behindDoc="1" locked="0" layoutInCell="1" allowOverlap="1" wp14:anchorId="2D6A67CE" wp14:editId="50E1A909">
          <wp:simplePos x="0" y="0"/>
          <wp:positionH relativeFrom="page">
            <wp:posOffset>0</wp:posOffset>
          </wp:positionH>
          <wp:positionV relativeFrom="page">
            <wp:posOffset>0</wp:posOffset>
          </wp:positionV>
          <wp:extent cx="7578725" cy="10724515"/>
          <wp:effectExtent l="19050" t="0" r="3175" b="0"/>
          <wp:wrapNone/>
          <wp:docPr id="19" name="Picture 19"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3516" w14:textId="1B3A8558" w:rsidR="00F33AB1" w:rsidRDefault="00F33AB1" w:rsidP="004F1E3D">
    <w:pPr>
      <w:pStyle w:val="Header"/>
      <w:tabs>
        <w:tab w:val="left" w:pos="9008"/>
      </w:tabs>
    </w:pPr>
    <w:r>
      <w:rPr>
        <w:noProof/>
        <w:lang w:val="es-ES_tradnl" w:eastAsia="zh-CN"/>
      </w:rPr>
      <w:drawing>
        <wp:anchor distT="0" distB="0" distL="114300" distR="114300" simplePos="0" relativeHeight="251660288" behindDoc="1" locked="0" layoutInCell="1" allowOverlap="1" wp14:anchorId="46DB7A71" wp14:editId="7C38590F">
          <wp:simplePos x="0" y="0"/>
          <wp:positionH relativeFrom="page">
            <wp:align>left</wp:align>
          </wp:positionH>
          <wp:positionV relativeFrom="page">
            <wp:posOffset>23328</wp:posOffset>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60" w14:textId="17EDF8E1" w:rsidR="00F33AB1" w:rsidRPr="00FC42AF" w:rsidRDefault="00F33AB1">
    <w:pPr>
      <w:pStyle w:val="Header"/>
      <w:jc w:val="left"/>
    </w:pPr>
    <w:r>
      <w:rPr>
        <w:rStyle w:val="PageNumber"/>
        <w:b/>
      </w:rPr>
      <w:fldChar w:fldCharType="begin"/>
    </w:r>
    <w:r w:rsidRPr="00FC42AF">
      <w:rPr>
        <w:rStyle w:val="PageNumber"/>
        <w:b/>
      </w:rPr>
      <w:instrText xml:space="preserve"> PAGE </w:instrText>
    </w:r>
    <w:r>
      <w:rPr>
        <w:rStyle w:val="PageNumber"/>
        <w:b/>
      </w:rPr>
      <w:fldChar w:fldCharType="separate"/>
    </w:r>
    <w:r>
      <w:rPr>
        <w:rStyle w:val="PageNumber"/>
        <w:b/>
        <w:noProof/>
      </w:rPr>
      <w:t>ii</w:t>
    </w:r>
    <w:r>
      <w:rPr>
        <w:rStyle w:val="PageNumber"/>
        <w:b/>
      </w:rPr>
      <w:fldChar w:fldCharType="end"/>
    </w:r>
    <w:r>
      <w:tab/>
    </w:r>
    <w:fldSimple w:instr=" DOCPROPERTY &quot;Header&quot; \* MERGEFORMAT ">
      <w:r w:rsidR="00D6543F" w:rsidRPr="00D6543F">
        <w:rPr>
          <w:b/>
          <w:bCs/>
        </w:rPr>
        <w:t xml:space="preserve">Rec. </w:t>
      </w:r>
    </w:fldSimple>
    <w:r>
      <w:rPr>
        <w:b/>
      </w:rPr>
      <w:t xml:space="preserve"> </w:t>
    </w:r>
    <w:r>
      <w:rPr>
        <w:b/>
      </w:rPr>
      <w:fldChar w:fldCharType="begin"/>
    </w:r>
    <w:r w:rsidRPr="00FC42AF">
      <w:rPr>
        <w:b/>
      </w:rPr>
      <w:instrText>styleref href</w:instrText>
    </w:r>
    <w:r>
      <w:rPr>
        <w:b/>
      </w:rPr>
      <w:fldChar w:fldCharType="separate"/>
    </w:r>
    <w:r w:rsidR="00D6543F">
      <w:rPr>
        <w:b/>
        <w:noProof/>
      </w:rPr>
      <w:t>UIT-R  SA.2155-0</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2174" w14:textId="66348C82" w:rsidR="00F33AB1" w:rsidRDefault="00F33AB1">
    <w:pPr>
      <w:pStyle w:val="Header"/>
    </w:pPr>
    <w:r>
      <w:tab/>
    </w:r>
    <w:fldSimple w:instr=" DOCPROPERTY &quot;Header&quot; \* MERGEFORMAT ">
      <w:r w:rsidR="00D6543F" w:rsidRPr="00D6543F">
        <w:rPr>
          <w:b/>
          <w:bCs/>
        </w:rPr>
        <w:t xml:space="preserve">Rec. </w:t>
      </w:r>
    </w:fldSimple>
    <w:r>
      <w:rPr>
        <w:b/>
      </w:rPr>
      <w:t xml:space="preserve"> </w:t>
    </w:r>
    <w:r>
      <w:rPr>
        <w:b/>
      </w:rPr>
      <w:fldChar w:fldCharType="begin"/>
    </w:r>
    <w:r>
      <w:rPr>
        <w:b/>
      </w:rPr>
      <w:instrText>styleref href</w:instrText>
    </w:r>
    <w:r>
      <w:rPr>
        <w:b/>
      </w:rPr>
      <w:fldChar w:fldCharType="separate"/>
    </w:r>
    <w:r w:rsidR="00D6543F">
      <w:rPr>
        <w:b/>
        <w:noProof/>
      </w:rPr>
      <w:t>UIT-R  SA.2155-0</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iii</w:t>
    </w:r>
    <w:r>
      <w:rPr>
        <w:rStyle w:val="PageNumbe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8CDC" w14:textId="6454BCFF" w:rsidR="00F33AB1" w:rsidRDefault="00F33AB1">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tab/>
    </w:r>
    <w:r>
      <w:fldChar w:fldCharType="begin"/>
    </w:r>
    <w:r w:rsidRPr="009E00A8">
      <w:instrText xml:space="preserve"> DOCPROPERTY "Header" \* MERGEFORMAT </w:instrText>
    </w:r>
    <w:r>
      <w:fldChar w:fldCharType="separate"/>
    </w:r>
    <w:r w:rsidR="00D6543F" w:rsidRPr="00D6543F">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D6543F">
      <w:rPr>
        <w:b/>
        <w:noProof/>
      </w:rPr>
      <w:t>UIT-R  SA.2155-0</w:t>
    </w:r>
    <w:r>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6942" w14:textId="64A07A2A" w:rsidR="00F33AB1" w:rsidRDefault="00F33AB1">
    <w:pPr>
      <w:pStyle w:val="Header"/>
    </w:pPr>
    <w:r>
      <w:tab/>
    </w:r>
    <w:fldSimple w:instr=" DOCPROPERTY &quot;Header&quot; \* MERGEFORMAT ">
      <w:r w:rsidR="00D6543F" w:rsidRPr="00D6543F">
        <w:rPr>
          <w:b/>
          <w:bCs/>
        </w:rPr>
        <w:t xml:space="preserve">Rec. </w:t>
      </w:r>
    </w:fldSimple>
    <w:r>
      <w:rPr>
        <w:b/>
      </w:rPr>
      <w:t xml:space="preserve"> </w:t>
    </w:r>
    <w:r>
      <w:rPr>
        <w:b/>
      </w:rPr>
      <w:fldChar w:fldCharType="begin"/>
    </w:r>
    <w:r>
      <w:rPr>
        <w:b/>
      </w:rPr>
      <w:instrText>styleref href</w:instrText>
    </w:r>
    <w:r>
      <w:rPr>
        <w:b/>
      </w:rPr>
      <w:fldChar w:fldCharType="separate"/>
    </w:r>
    <w:r w:rsidR="00D6543F">
      <w:rPr>
        <w:b/>
        <w:noProof/>
      </w:rPr>
      <w:t>UIT-R  SA.2155-0</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7</w:t>
    </w:r>
    <w:r>
      <w:rPr>
        <w:rStyle w:val="PageNumbe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1E3D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388A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5624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3E65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2071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540E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8A3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D669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040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480D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1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9131245">
    <w:abstractNumId w:val="12"/>
  </w:num>
  <w:num w:numId="2" w16cid:durableId="1498228974">
    <w:abstractNumId w:val="18"/>
  </w:num>
  <w:num w:numId="3" w16cid:durableId="1467746692">
    <w:abstractNumId w:val="13"/>
  </w:num>
  <w:num w:numId="4" w16cid:durableId="57635508">
    <w:abstractNumId w:val="17"/>
  </w:num>
  <w:num w:numId="5" w16cid:durableId="1289824217">
    <w:abstractNumId w:val="14"/>
  </w:num>
  <w:num w:numId="6" w16cid:durableId="664287537">
    <w:abstractNumId w:val="16"/>
  </w:num>
  <w:num w:numId="7" w16cid:durableId="1367948783">
    <w:abstractNumId w:val="20"/>
  </w:num>
  <w:num w:numId="8" w16cid:durableId="653531189">
    <w:abstractNumId w:val="19"/>
  </w:num>
  <w:num w:numId="9" w16cid:durableId="1874418056">
    <w:abstractNumId w:val="11"/>
  </w:num>
  <w:num w:numId="10" w16cid:durableId="1292976489">
    <w:abstractNumId w:val="10"/>
  </w:num>
  <w:num w:numId="11" w16cid:durableId="931546388">
    <w:abstractNumId w:val="15"/>
  </w:num>
  <w:num w:numId="12" w16cid:durableId="2051757826">
    <w:abstractNumId w:val="9"/>
  </w:num>
  <w:num w:numId="13" w16cid:durableId="840585593">
    <w:abstractNumId w:val="7"/>
  </w:num>
  <w:num w:numId="14" w16cid:durableId="1432625936">
    <w:abstractNumId w:val="6"/>
  </w:num>
  <w:num w:numId="15" w16cid:durableId="1635060253">
    <w:abstractNumId w:val="5"/>
  </w:num>
  <w:num w:numId="16" w16cid:durableId="90322309">
    <w:abstractNumId w:val="4"/>
  </w:num>
  <w:num w:numId="17" w16cid:durableId="1421561205">
    <w:abstractNumId w:val="8"/>
  </w:num>
  <w:num w:numId="18" w16cid:durableId="2045665390">
    <w:abstractNumId w:val="3"/>
  </w:num>
  <w:num w:numId="19" w16cid:durableId="1572035566">
    <w:abstractNumId w:val="2"/>
  </w:num>
  <w:num w:numId="20" w16cid:durableId="1478841242">
    <w:abstractNumId w:val="1"/>
  </w:num>
  <w:num w:numId="21" w16cid:durableId="1367675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7B"/>
    <w:rsid w:val="00001BF9"/>
    <w:rsid w:val="00004B5C"/>
    <w:rsid w:val="00005C2F"/>
    <w:rsid w:val="00020CA7"/>
    <w:rsid w:val="000274D0"/>
    <w:rsid w:val="00031371"/>
    <w:rsid w:val="00031C8B"/>
    <w:rsid w:val="0003241A"/>
    <w:rsid w:val="00043914"/>
    <w:rsid w:val="00043C52"/>
    <w:rsid w:val="000535ED"/>
    <w:rsid w:val="00076070"/>
    <w:rsid w:val="00087644"/>
    <w:rsid w:val="000907B6"/>
    <w:rsid w:val="00091D2A"/>
    <w:rsid w:val="000A597C"/>
    <w:rsid w:val="000A6979"/>
    <w:rsid w:val="000B0A22"/>
    <w:rsid w:val="000B2AFF"/>
    <w:rsid w:val="000B5E29"/>
    <w:rsid w:val="000C49B2"/>
    <w:rsid w:val="000C5FA5"/>
    <w:rsid w:val="000C6FCB"/>
    <w:rsid w:val="000E4AD0"/>
    <w:rsid w:val="000E5E03"/>
    <w:rsid w:val="000F0951"/>
    <w:rsid w:val="00102048"/>
    <w:rsid w:val="00104526"/>
    <w:rsid w:val="00107239"/>
    <w:rsid w:val="001113E7"/>
    <w:rsid w:val="00117A35"/>
    <w:rsid w:val="00123C74"/>
    <w:rsid w:val="00127D78"/>
    <w:rsid w:val="00127EE8"/>
    <w:rsid w:val="00133E98"/>
    <w:rsid w:val="00133F2E"/>
    <w:rsid w:val="00144D5B"/>
    <w:rsid w:val="00146176"/>
    <w:rsid w:val="0015026B"/>
    <w:rsid w:val="00150B6A"/>
    <w:rsid w:val="001603D2"/>
    <w:rsid w:val="00170A50"/>
    <w:rsid w:val="00170C9A"/>
    <w:rsid w:val="001760ED"/>
    <w:rsid w:val="00177AB4"/>
    <w:rsid w:val="00180C78"/>
    <w:rsid w:val="00186DC5"/>
    <w:rsid w:val="00190EC7"/>
    <w:rsid w:val="001B4551"/>
    <w:rsid w:val="001C02DC"/>
    <w:rsid w:val="001C0629"/>
    <w:rsid w:val="001C74B5"/>
    <w:rsid w:val="001D0CE5"/>
    <w:rsid w:val="001D5013"/>
    <w:rsid w:val="001D7E02"/>
    <w:rsid w:val="001E00CA"/>
    <w:rsid w:val="001E0C54"/>
    <w:rsid w:val="001F0431"/>
    <w:rsid w:val="002035B6"/>
    <w:rsid w:val="00203F22"/>
    <w:rsid w:val="00213C3C"/>
    <w:rsid w:val="002141EE"/>
    <w:rsid w:val="002144E1"/>
    <w:rsid w:val="00214D90"/>
    <w:rsid w:val="00217EBF"/>
    <w:rsid w:val="002244FD"/>
    <w:rsid w:val="002311F9"/>
    <w:rsid w:val="002358F8"/>
    <w:rsid w:val="00242AEE"/>
    <w:rsid w:val="00244D60"/>
    <w:rsid w:val="002538D4"/>
    <w:rsid w:val="00253BD2"/>
    <w:rsid w:val="00255053"/>
    <w:rsid w:val="00261135"/>
    <w:rsid w:val="0027784C"/>
    <w:rsid w:val="002847A1"/>
    <w:rsid w:val="00295C48"/>
    <w:rsid w:val="002A03FC"/>
    <w:rsid w:val="002A7580"/>
    <w:rsid w:val="002B2937"/>
    <w:rsid w:val="002C4CF3"/>
    <w:rsid w:val="002C5AD5"/>
    <w:rsid w:val="002D351F"/>
    <w:rsid w:val="002D6DD3"/>
    <w:rsid w:val="002D76C4"/>
    <w:rsid w:val="002E34E2"/>
    <w:rsid w:val="00303DE6"/>
    <w:rsid w:val="00314A1C"/>
    <w:rsid w:val="003158EF"/>
    <w:rsid w:val="00320B2F"/>
    <w:rsid w:val="00322016"/>
    <w:rsid w:val="0034062C"/>
    <w:rsid w:val="00352588"/>
    <w:rsid w:val="0035284C"/>
    <w:rsid w:val="00354E9A"/>
    <w:rsid w:val="003574B6"/>
    <w:rsid w:val="00360A82"/>
    <w:rsid w:val="0036406E"/>
    <w:rsid w:val="00366637"/>
    <w:rsid w:val="0037512E"/>
    <w:rsid w:val="00377F67"/>
    <w:rsid w:val="00383328"/>
    <w:rsid w:val="0038399F"/>
    <w:rsid w:val="003842C9"/>
    <w:rsid w:val="00385F0B"/>
    <w:rsid w:val="00392654"/>
    <w:rsid w:val="003966CE"/>
    <w:rsid w:val="003B67F7"/>
    <w:rsid w:val="003B7F4C"/>
    <w:rsid w:val="003E3352"/>
    <w:rsid w:val="003E3FF2"/>
    <w:rsid w:val="003F6718"/>
    <w:rsid w:val="0040322D"/>
    <w:rsid w:val="0041362C"/>
    <w:rsid w:val="0042452C"/>
    <w:rsid w:val="00431C2A"/>
    <w:rsid w:val="00440714"/>
    <w:rsid w:val="00441D18"/>
    <w:rsid w:val="00447592"/>
    <w:rsid w:val="00447F2A"/>
    <w:rsid w:val="00450A65"/>
    <w:rsid w:val="00452B65"/>
    <w:rsid w:val="00454079"/>
    <w:rsid w:val="0046514B"/>
    <w:rsid w:val="004975CD"/>
    <w:rsid w:val="004A1293"/>
    <w:rsid w:val="004A52FE"/>
    <w:rsid w:val="004A69E1"/>
    <w:rsid w:val="004C4B97"/>
    <w:rsid w:val="004D2BEB"/>
    <w:rsid w:val="004E67DB"/>
    <w:rsid w:val="004E7D89"/>
    <w:rsid w:val="004F1E3D"/>
    <w:rsid w:val="005053A3"/>
    <w:rsid w:val="00505B7F"/>
    <w:rsid w:val="0050710A"/>
    <w:rsid w:val="005128D0"/>
    <w:rsid w:val="0051376E"/>
    <w:rsid w:val="00520F87"/>
    <w:rsid w:val="00523B94"/>
    <w:rsid w:val="0052529D"/>
    <w:rsid w:val="005420C4"/>
    <w:rsid w:val="00556C70"/>
    <w:rsid w:val="0056044A"/>
    <w:rsid w:val="00581450"/>
    <w:rsid w:val="00582E17"/>
    <w:rsid w:val="0058387A"/>
    <w:rsid w:val="0059064F"/>
    <w:rsid w:val="00595ED0"/>
    <w:rsid w:val="005966B8"/>
    <w:rsid w:val="005A1A39"/>
    <w:rsid w:val="005A5CCC"/>
    <w:rsid w:val="005B111B"/>
    <w:rsid w:val="005B5FA2"/>
    <w:rsid w:val="005C6A03"/>
    <w:rsid w:val="005D094A"/>
    <w:rsid w:val="005D537D"/>
    <w:rsid w:val="005E56C6"/>
    <w:rsid w:val="005F0D31"/>
    <w:rsid w:val="006022EA"/>
    <w:rsid w:val="00603E58"/>
    <w:rsid w:val="00607D68"/>
    <w:rsid w:val="006140A2"/>
    <w:rsid w:val="00623D19"/>
    <w:rsid w:val="00625308"/>
    <w:rsid w:val="00641BC1"/>
    <w:rsid w:val="00665AEA"/>
    <w:rsid w:val="00671A85"/>
    <w:rsid w:val="00677132"/>
    <w:rsid w:val="00677BC9"/>
    <w:rsid w:val="006A2E06"/>
    <w:rsid w:val="006A4FB1"/>
    <w:rsid w:val="006A58DC"/>
    <w:rsid w:val="006E2CAD"/>
    <w:rsid w:val="006E44B0"/>
    <w:rsid w:val="006E5294"/>
    <w:rsid w:val="006F33B5"/>
    <w:rsid w:val="007077DB"/>
    <w:rsid w:val="00715A77"/>
    <w:rsid w:val="0071680D"/>
    <w:rsid w:val="0072073F"/>
    <w:rsid w:val="00723B23"/>
    <w:rsid w:val="00723C43"/>
    <w:rsid w:val="00727140"/>
    <w:rsid w:val="00727D1D"/>
    <w:rsid w:val="007435C3"/>
    <w:rsid w:val="00743F83"/>
    <w:rsid w:val="007468DA"/>
    <w:rsid w:val="007538E9"/>
    <w:rsid w:val="0075413D"/>
    <w:rsid w:val="0076130B"/>
    <w:rsid w:val="00765549"/>
    <w:rsid w:val="00766449"/>
    <w:rsid w:val="00770F0A"/>
    <w:rsid w:val="00772E49"/>
    <w:rsid w:val="00774666"/>
    <w:rsid w:val="0079500E"/>
    <w:rsid w:val="007A0BFD"/>
    <w:rsid w:val="007A296C"/>
    <w:rsid w:val="007A400E"/>
    <w:rsid w:val="007A4F72"/>
    <w:rsid w:val="007A63A8"/>
    <w:rsid w:val="007A7F9A"/>
    <w:rsid w:val="007B1CB2"/>
    <w:rsid w:val="007C0145"/>
    <w:rsid w:val="007C6413"/>
    <w:rsid w:val="007E3BB3"/>
    <w:rsid w:val="007E51D4"/>
    <w:rsid w:val="007F4913"/>
    <w:rsid w:val="008047DB"/>
    <w:rsid w:val="00813DC3"/>
    <w:rsid w:val="008231B2"/>
    <w:rsid w:val="00830DA9"/>
    <w:rsid w:val="008310BC"/>
    <w:rsid w:val="00854FB0"/>
    <w:rsid w:val="00873400"/>
    <w:rsid w:val="00874EAE"/>
    <w:rsid w:val="00874ECD"/>
    <w:rsid w:val="00890E75"/>
    <w:rsid w:val="008C304B"/>
    <w:rsid w:val="008C4E93"/>
    <w:rsid w:val="008C5476"/>
    <w:rsid w:val="008D09C0"/>
    <w:rsid w:val="008D52FA"/>
    <w:rsid w:val="008D6FB5"/>
    <w:rsid w:val="008E6F53"/>
    <w:rsid w:val="008F0770"/>
    <w:rsid w:val="008F0DEF"/>
    <w:rsid w:val="008F1C65"/>
    <w:rsid w:val="009136C4"/>
    <w:rsid w:val="00913CA1"/>
    <w:rsid w:val="009227AC"/>
    <w:rsid w:val="00923C66"/>
    <w:rsid w:val="00935D5F"/>
    <w:rsid w:val="0093730A"/>
    <w:rsid w:val="0094615D"/>
    <w:rsid w:val="009505AC"/>
    <w:rsid w:val="009514E2"/>
    <w:rsid w:val="00960FD1"/>
    <w:rsid w:val="00964CC1"/>
    <w:rsid w:val="00975FFE"/>
    <w:rsid w:val="00983791"/>
    <w:rsid w:val="009855D2"/>
    <w:rsid w:val="009866B9"/>
    <w:rsid w:val="00995F99"/>
    <w:rsid w:val="00996372"/>
    <w:rsid w:val="009A49C2"/>
    <w:rsid w:val="009A709D"/>
    <w:rsid w:val="009B7AFD"/>
    <w:rsid w:val="009C3454"/>
    <w:rsid w:val="009C6CEE"/>
    <w:rsid w:val="009D3D70"/>
    <w:rsid w:val="009D55C5"/>
    <w:rsid w:val="009E00A8"/>
    <w:rsid w:val="009E00CD"/>
    <w:rsid w:val="009E4A45"/>
    <w:rsid w:val="009E68B1"/>
    <w:rsid w:val="009E7BFB"/>
    <w:rsid w:val="009F05B2"/>
    <w:rsid w:val="009F0B45"/>
    <w:rsid w:val="00A11E5F"/>
    <w:rsid w:val="00A121B3"/>
    <w:rsid w:val="00A1289A"/>
    <w:rsid w:val="00A13F7A"/>
    <w:rsid w:val="00A15854"/>
    <w:rsid w:val="00A23009"/>
    <w:rsid w:val="00A23B31"/>
    <w:rsid w:val="00A24283"/>
    <w:rsid w:val="00A32EE2"/>
    <w:rsid w:val="00A3427E"/>
    <w:rsid w:val="00A431FC"/>
    <w:rsid w:val="00A44343"/>
    <w:rsid w:val="00A626F5"/>
    <w:rsid w:val="00A62B6F"/>
    <w:rsid w:val="00A6617B"/>
    <w:rsid w:val="00A7798D"/>
    <w:rsid w:val="00A82000"/>
    <w:rsid w:val="00A83570"/>
    <w:rsid w:val="00AA64D7"/>
    <w:rsid w:val="00AB0DC8"/>
    <w:rsid w:val="00AB17A4"/>
    <w:rsid w:val="00AB187A"/>
    <w:rsid w:val="00AB2931"/>
    <w:rsid w:val="00AB4A6C"/>
    <w:rsid w:val="00AB75F2"/>
    <w:rsid w:val="00AD38F2"/>
    <w:rsid w:val="00B00C9F"/>
    <w:rsid w:val="00B14736"/>
    <w:rsid w:val="00B17252"/>
    <w:rsid w:val="00B20C67"/>
    <w:rsid w:val="00B24006"/>
    <w:rsid w:val="00B33372"/>
    <w:rsid w:val="00B44E24"/>
    <w:rsid w:val="00B5527C"/>
    <w:rsid w:val="00B72EF8"/>
    <w:rsid w:val="00B755E7"/>
    <w:rsid w:val="00B82EFB"/>
    <w:rsid w:val="00B901C6"/>
    <w:rsid w:val="00B9126C"/>
    <w:rsid w:val="00B974DE"/>
    <w:rsid w:val="00BA7324"/>
    <w:rsid w:val="00BB0BAC"/>
    <w:rsid w:val="00BC34A3"/>
    <w:rsid w:val="00BC5BEE"/>
    <w:rsid w:val="00BC7E78"/>
    <w:rsid w:val="00BD2B0F"/>
    <w:rsid w:val="00BD3AF7"/>
    <w:rsid w:val="00BD59C4"/>
    <w:rsid w:val="00BE31CB"/>
    <w:rsid w:val="00BF15FD"/>
    <w:rsid w:val="00BF5FA5"/>
    <w:rsid w:val="00C05BA6"/>
    <w:rsid w:val="00C1237C"/>
    <w:rsid w:val="00C162CB"/>
    <w:rsid w:val="00C1676C"/>
    <w:rsid w:val="00C20843"/>
    <w:rsid w:val="00C234CA"/>
    <w:rsid w:val="00C41018"/>
    <w:rsid w:val="00C62D53"/>
    <w:rsid w:val="00C6390A"/>
    <w:rsid w:val="00C66F06"/>
    <w:rsid w:val="00C7547B"/>
    <w:rsid w:val="00C77E2E"/>
    <w:rsid w:val="00C8055F"/>
    <w:rsid w:val="00C8403D"/>
    <w:rsid w:val="00C9030A"/>
    <w:rsid w:val="00CA01A7"/>
    <w:rsid w:val="00CA2D68"/>
    <w:rsid w:val="00CA4ACE"/>
    <w:rsid w:val="00CB24B3"/>
    <w:rsid w:val="00CB5DFC"/>
    <w:rsid w:val="00CB6AC8"/>
    <w:rsid w:val="00CB7499"/>
    <w:rsid w:val="00CC03E6"/>
    <w:rsid w:val="00CC6F16"/>
    <w:rsid w:val="00CE040B"/>
    <w:rsid w:val="00CE1D76"/>
    <w:rsid w:val="00D11A17"/>
    <w:rsid w:val="00D15852"/>
    <w:rsid w:val="00D2022D"/>
    <w:rsid w:val="00D22C30"/>
    <w:rsid w:val="00D2328B"/>
    <w:rsid w:val="00D35A8F"/>
    <w:rsid w:val="00D424EA"/>
    <w:rsid w:val="00D45496"/>
    <w:rsid w:val="00D6543F"/>
    <w:rsid w:val="00D7328D"/>
    <w:rsid w:val="00D87183"/>
    <w:rsid w:val="00DB4054"/>
    <w:rsid w:val="00DC3C16"/>
    <w:rsid w:val="00DC7FDF"/>
    <w:rsid w:val="00DD074F"/>
    <w:rsid w:val="00DD0DD3"/>
    <w:rsid w:val="00DD4196"/>
    <w:rsid w:val="00DD5058"/>
    <w:rsid w:val="00DE2941"/>
    <w:rsid w:val="00DF3024"/>
    <w:rsid w:val="00DF4176"/>
    <w:rsid w:val="00E06B5E"/>
    <w:rsid w:val="00E12FB5"/>
    <w:rsid w:val="00E14180"/>
    <w:rsid w:val="00E15196"/>
    <w:rsid w:val="00E22796"/>
    <w:rsid w:val="00E345BE"/>
    <w:rsid w:val="00E36B2E"/>
    <w:rsid w:val="00E37F18"/>
    <w:rsid w:val="00E40EAF"/>
    <w:rsid w:val="00E46596"/>
    <w:rsid w:val="00E54B32"/>
    <w:rsid w:val="00E608C5"/>
    <w:rsid w:val="00E634D4"/>
    <w:rsid w:val="00E64D99"/>
    <w:rsid w:val="00E65E7D"/>
    <w:rsid w:val="00E7610E"/>
    <w:rsid w:val="00E76ACA"/>
    <w:rsid w:val="00E8084F"/>
    <w:rsid w:val="00E83559"/>
    <w:rsid w:val="00E86C8F"/>
    <w:rsid w:val="00E86DFD"/>
    <w:rsid w:val="00E97535"/>
    <w:rsid w:val="00EA15A9"/>
    <w:rsid w:val="00EB075E"/>
    <w:rsid w:val="00EB5F3F"/>
    <w:rsid w:val="00EC4FFF"/>
    <w:rsid w:val="00ED0636"/>
    <w:rsid w:val="00ED6853"/>
    <w:rsid w:val="00EF2F4F"/>
    <w:rsid w:val="00EF41C0"/>
    <w:rsid w:val="00F019B4"/>
    <w:rsid w:val="00F02B9E"/>
    <w:rsid w:val="00F07139"/>
    <w:rsid w:val="00F1369B"/>
    <w:rsid w:val="00F13976"/>
    <w:rsid w:val="00F25D8C"/>
    <w:rsid w:val="00F31513"/>
    <w:rsid w:val="00F33AB1"/>
    <w:rsid w:val="00F460A8"/>
    <w:rsid w:val="00F50347"/>
    <w:rsid w:val="00F66D6E"/>
    <w:rsid w:val="00F96F92"/>
    <w:rsid w:val="00FA13B2"/>
    <w:rsid w:val="00FA72EA"/>
    <w:rsid w:val="00FB61C4"/>
    <w:rsid w:val="00FC362E"/>
    <w:rsid w:val="00FD74DD"/>
    <w:rsid w:val="00FE0AD4"/>
    <w:rsid w:val="00FE41BB"/>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4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3241A"/>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9E00CD"/>
    <w:pPr>
      <w:spacing w:after="480"/>
      <w:ind w:right="-284"/>
    </w:pPr>
    <w:rPr>
      <w:rFonts w:asciiTheme="majorBidi" w:hAnsiTheme="majorBidi" w:cstheme="majorBidi"/>
      <w:sz w:val="22"/>
      <w:szCs w:val="18"/>
      <w:lang w:val="es-ES_tradnl"/>
    </w:rPr>
  </w:style>
  <w:style w:type="paragraph" w:customStyle="1" w:styleId="TableLegendNote">
    <w:name w:val="Table_Legend_Note"/>
    <w:basedOn w:val="Tablelegend"/>
    <w:next w:val="Tablelegend"/>
    <w:rsid w:val="007468DA"/>
    <w:pPr>
      <w:ind w:left="-85" w:firstLine="0"/>
    </w:p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es-ES" w:eastAsia="en-US"/>
    </w:rPr>
  </w:style>
  <w:style w:type="character" w:customStyle="1" w:styleId="HeaderChar">
    <w:name w:val="Header Char"/>
    <w:basedOn w:val="DefaultParagraphFont"/>
    <w:link w:val="Header"/>
    <w:uiPriority w:val="99"/>
    <w:rsid w:val="00C7547B"/>
    <w:rPr>
      <w:sz w:val="24"/>
      <w:lang w:val="es-ES"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es-ES" w:eastAsia="en-US"/>
    </w:rPr>
  </w:style>
  <w:style w:type="character" w:customStyle="1" w:styleId="TabletextChar">
    <w:name w:val="Table_text Char"/>
    <w:basedOn w:val="DefaultParagraphFont"/>
    <w:link w:val="Tabletext"/>
    <w:qFormat/>
    <w:locked/>
    <w:rsid w:val="00C7547B"/>
    <w:rPr>
      <w:sz w:val="22"/>
      <w:lang w:val="es-ES" w:eastAsia="en-US"/>
    </w:rPr>
  </w:style>
  <w:style w:type="character" w:customStyle="1" w:styleId="RectitleChar">
    <w:name w:val="Rec_title Char"/>
    <w:link w:val="Rectitle"/>
    <w:locked/>
    <w:rsid w:val="00C7547B"/>
    <w:rPr>
      <w:b/>
      <w:sz w:val="28"/>
      <w:lang w:val="es-ES"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Reasons">
    <w:name w:val="Reasons"/>
    <w:basedOn w:val="Normal"/>
    <w:qFormat/>
    <w:rsid w:val="00E345BE"/>
    <w:pPr>
      <w:tabs>
        <w:tab w:val="clear" w:pos="794"/>
        <w:tab w:val="clear" w:pos="1191"/>
        <w:tab w:val="left" w:pos="1134"/>
      </w:tabs>
      <w:jc w:val="left"/>
    </w:pPr>
  </w:style>
  <w:style w:type="character" w:customStyle="1" w:styleId="FootnoteTextChar">
    <w:name w:val="Footnote Text Char"/>
    <w:basedOn w:val="DefaultParagraphFont"/>
    <w:link w:val="FootnoteText"/>
    <w:rsid w:val="00E345BE"/>
    <w:rPr>
      <w:sz w:val="22"/>
      <w:lang w:val="es-ES"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es-ES" w:eastAsia="en-US"/>
    </w:rPr>
  </w:style>
  <w:style w:type="character" w:customStyle="1" w:styleId="Heading3Char">
    <w:name w:val="Heading 3 Char"/>
    <w:basedOn w:val="DefaultParagraphFont"/>
    <w:link w:val="Heading3"/>
    <w:rsid w:val="002A03FC"/>
    <w:rPr>
      <w:b/>
      <w:sz w:val="24"/>
      <w:lang w:val="es-ES" w:eastAsia="en-US"/>
    </w:rPr>
  </w:style>
  <w:style w:type="character" w:customStyle="1" w:styleId="Heading4Char">
    <w:name w:val="Heading 4 Char"/>
    <w:basedOn w:val="DefaultParagraphFont"/>
    <w:link w:val="Heading4"/>
    <w:rsid w:val="002A03FC"/>
    <w:rPr>
      <w:b/>
      <w:sz w:val="24"/>
      <w:lang w:val="es-ES" w:eastAsia="en-US"/>
    </w:rPr>
  </w:style>
  <w:style w:type="character" w:customStyle="1" w:styleId="Heading5Char">
    <w:name w:val="Heading 5 Char"/>
    <w:basedOn w:val="DefaultParagraphFont"/>
    <w:link w:val="Heading5"/>
    <w:rsid w:val="002A03FC"/>
    <w:rPr>
      <w:b/>
      <w:sz w:val="24"/>
      <w:lang w:val="es-ES" w:eastAsia="en-US"/>
    </w:rPr>
  </w:style>
  <w:style w:type="character" w:customStyle="1" w:styleId="Heading6Char">
    <w:name w:val="Heading 6 Char"/>
    <w:basedOn w:val="DefaultParagraphFont"/>
    <w:link w:val="Heading6"/>
    <w:rsid w:val="002A03FC"/>
    <w:rPr>
      <w:b/>
      <w:sz w:val="24"/>
      <w:lang w:val="es-ES" w:eastAsia="en-US"/>
    </w:rPr>
  </w:style>
  <w:style w:type="character" w:customStyle="1" w:styleId="Heading7Char">
    <w:name w:val="Heading 7 Char"/>
    <w:basedOn w:val="DefaultParagraphFont"/>
    <w:link w:val="Heading7"/>
    <w:rsid w:val="002A03FC"/>
    <w:rPr>
      <w:b/>
      <w:sz w:val="24"/>
      <w:lang w:val="es-ES" w:eastAsia="en-US"/>
    </w:rPr>
  </w:style>
  <w:style w:type="character" w:customStyle="1" w:styleId="Heading8Char">
    <w:name w:val="Heading 8 Char"/>
    <w:basedOn w:val="DefaultParagraphFont"/>
    <w:link w:val="Heading8"/>
    <w:rsid w:val="002A03FC"/>
    <w:rPr>
      <w:b/>
      <w:sz w:val="24"/>
      <w:lang w:val="es-ES" w:eastAsia="en-US"/>
    </w:rPr>
  </w:style>
  <w:style w:type="character" w:customStyle="1" w:styleId="Heading9Char">
    <w:name w:val="Heading 9 Char"/>
    <w:basedOn w:val="DefaultParagraphFont"/>
    <w:link w:val="Heading9"/>
    <w:rsid w:val="002A03FC"/>
    <w:rPr>
      <w:b/>
      <w:sz w:val="24"/>
      <w:lang w:val="es-ES"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2A03FC"/>
    <w:rPr>
      <w:noProof/>
      <w:sz w:val="18"/>
      <w:lang w:val="es-ES"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rPr>
  </w:style>
  <w:style w:type="character" w:customStyle="1" w:styleId="HeadingbChar">
    <w:name w:val="Heading_b Char"/>
    <w:link w:val="Headingb"/>
    <w:locked/>
    <w:rsid w:val="002A03FC"/>
    <w:rPr>
      <w:b/>
      <w:sz w:val="24"/>
      <w:lang w:val="es-ES" w:eastAsia="en-US"/>
    </w:rPr>
  </w:style>
  <w:style w:type="character" w:customStyle="1" w:styleId="enumlev1Char">
    <w:name w:val="enumlev1 Char"/>
    <w:link w:val="enumlev1"/>
    <w:locked/>
    <w:rsid w:val="002A03FC"/>
    <w:rPr>
      <w:sz w:val="24"/>
      <w:lang w:val="es-ES" w:eastAsia="en-US"/>
    </w:rPr>
  </w:style>
  <w:style w:type="character" w:customStyle="1" w:styleId="TableNoChar">
    <w:name w:val="Table_No Char"/>
    <w:link w:val="TableNo"/>
    <w:locked/>
    <w:rsid w:val="002A03FC"/>
    <w:rPr>
      <w:sz w:val="24"/>
      <w:lang w:val="es-ES" w:eastAsia="en-US"/>
    </w:rPr>
  </w:style>
  <w:style w:type="character" w:customStyle="1" w:styleId="EquationChar">
    <w:name w:val="Equation Char"/>
    <w:link w:val="Equation"/>
    <w:locked/>
    <w:rsid w:val="002A03FC"/>
    <w:rPr>
      <w:sz w:val="24"/>
      <w:lang w:val="es-ES"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es-ES" w:eastAsia="en-US"/>
    </w:rPr>
  </w:style>
  <w:style w:type="character" w:customStyle="1" w:styleId="CallChar">
    <w:name w:val="Call Char"/>
    <w:link w:val="Call"/>
    <w:locked/>
    <w:rsid w:val="002A03FC"/>
    <w:rPr>
      <w:i/>
      <w:sz w:val="24"/>
      <w:lang w:val="es-ES" w:eastAsia="en-US"/>
    </w:rPr>
  </w:style>
  <w:style w:type="character" w:customStyle="1" w:styleId="TabletitleChar">
    <w:name w:val="Table_title Char"/>
    <w:link w:val="Tabletitle"/>
    <w:locked/>
    <w:rsid w:val="002A03FC"/>
    <w:rPr>
      <w:b/>
      <w:sz w:val="24"/>
      <w:lang w:val="es-ES"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es-ES"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s-ES" w:eastAsia="en-US"/>
    </w:rPr>
  </w:style>
  <w:style w:type="character" w:customStyle="1" w:styleId="FigureNo0">
    <w:name w:val="Figure_No (文字)"/>
    <w:basedOn w:val="DefaultParagraphFont"/>
    <w:link w:val="FigureNo"/>
    <w:rsid w:val="00FE0AD4"/>
    <w:rPr>
      <w:caps/>
      <w:sz w:val="18"/>
      <w:lang w:val="es-ES" w:eastAsia="en-US"/>
    </w:rPr>
  </w:style>
  <w:style w:type="character" w:customStyle="1" w:styleId="FigureChar">
    <w:name w:val="Figure Char"/>
    <w:aliases w:val="fig Char"/>
    <w:link w:val="Figure"/>
    <w:rsid w:val="00FE0AD4"/>
    <w:rPr>
      <w:caps/>
      <w:sz w:val="18"/>
      <w:lang w:val="es-ES" w:eastAsia="en-US"/>
    </w:rPr>
  </w:style>
  <w:style w:type="character" w:customStyle="1" w:styleId="Tabletitle0">
    <w:name w:val="Table_title Знак"/>
    <w:locked/>
    <w:rsid w:val="00E37F18"/>
    <w:rPr>
      <w:rFonts w:ascii="Times New Roman Bold" w:hAnsi="Times New Roman Bold"/>
      <w:b/>
      <w:lang w:val="es-ES"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es-ES" w:eastAsia="en-US"/>
    </w:rPr>
  </w:style>
  <w:style w:type="character" w:customStyle="1" w:styleId="FigureNoChar">
    <w:name w:val="Figure_No Char"/>
    <w:basedOn w:val="DefaultParagraphFont"/>
    <w:locked/>
    <w:rsid w:val="00123C74"/>
    <w:rPr>
      <w:rFonts w:ascii="Times New Roman" w:hAnsi="Times New Roman"/>
      <w:caps/>
      <w:lang w:val="es-ES" w:eastAsia="en-US"/>
    </w:rPr>
  </w:style>
  <w:style w:type="character" w:customStyle="1" w:styleId="UnresolvedMention1">
    <w:name w:val="Unresolved Mention1"/>
    <w:basedOn w:val="DefaultParagraphFont"/>
    <w:uiPriority w:val="99"/>
    <w:semiHidden/>
    <w:unhideWhenUsed/>
    <w:rsid w:val="00723C43"/>
    <w:rPr>
      <w:color w:val="605E5C"/>
      <w:shd w:val="clear" w:color="auto" w:fill="E1DFDD"/>
    </w:rPr>
  </w:style>
  <w:style w:type="paragraph" w:styleId="TOCHeading">
    <w:name w:val="TOC Heading"/>
    <w:basedOn w:val="Heading1"/>
    <w:next w:val="Normal"/>
    <w:uiPriority w:val="39"/>
    <w:unhideWhenUsed/>
    <w:qFormat/>
    <w:rsid w:val="005A5CC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semiHidden/>
    <w:unhideWhenUsed/>
    <w:rsid w:val="009C6CEE"/>
    <w:rPr>
      <w:color w:val="605E5C"/>
      <w:shd w:val="clear" w:color="auto" w:fill="E1DFDD"/>
    </w:rPr>
  </w:style>
  <w:style w:type="character" w:styleId="FollowedHyperlink">
    <w:name w:val="FollowedHyperlink"/>
    <w:basedOn w:val="DefaultParagraphFont"/>
    <w:semiHidden/>
    <w:unhideWhenUsed/>
    <w:rsid w:val="00F31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S.1716/es"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https://www.itu.int/rec/R-REC-SA.1273/es" TargetMode="External"/><Relationship Id="rId2" Type="http://schemas.openxmlformats.org/officeDocument/2006/relationships/numbering" Target="numbering.xml"/><Relationship Id="rId16" Type="http://schemas.openxmlformats.org/officeDocument/2006/relationships/hyperlink" Target="https://www.itu.int/rec/R-REC-SA.1024/es" TargetMode="External"/><Relationship Id="rId20" Type="http://schemas.openxmlformats.org/officeDocument/2006/relationships/hyperlink" Target="https://www.itu.int/pub/R-REP-SA.2325/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SA.363/es"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itu.int/rec/R-REC-F.1777/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D9AED-09BC-4812-AEFF-05D8476D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TotalTime>
  <Pages>6</Pages>
  <Words>2026</Words>
  <Characters>11109</Characters>
  <Application>Microsoft Office Word</Application>
  <DocSecurity>0</DocSecurity>
  <Lines>235</Lines>
  <Paragraphs>105</Paragraphs>
  <ScaleCrop>false</ScaleCrop>
  <HeadingPairs>
    <vt:vector size="2" baseType="variant">
      <vt:variant>
        <vt:lpstr>Title</vt:lpstr>
      </vt:variant>
      <vt:variant>
        <vt:i4>1</vt:i4>
      </vt:variant>
    </vt:vector>
  </HeadingPairs>
  <TitlesOfParts>
    <vt:vector size="1" baseType="lpstr">
      <vt:lpstr>RECOMENDACIÓN  UIT-R  SA.2155-0 - Directrices sobre la utilización de la banda de frecuencias 2 200-2 290 MHz por redes o sistemas de satélites que no utilizan modulación de espectro ensanchado del servicio de exploración de la Tierra por satélite/servici</vt:lpstr>
    </vt:vector>
  </TitlesOfParts>
  <Manager/>
  <Company>ITU</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SA.2155-0 - Directrices sobre la utilización de la banda de frecuencias 2 200-2 290 MHz por redes o sistemas de satélites que no utilizan modulación de espectro ensanchado del servicio de exploración de la Tierra por satélite/servicio de investigación espacial/servicio de operaciones espaciales</dc:title>
  <dc:subject>Serie SA = Aplicaciones espaciales</dc:subject>
  <dc:creator>Oficina de Radiocomunicaciones del UIT (BR)</dc:creator>
  <cp:keywords>SA,2155-0</cp:keywords>
  <dc:description>Saez, 07.02.2023, ITU51013874</dc:description>
  <cp:lastModifiedBy>Saez Grau, Ricardo</cp:lastModifiedBy>
  <cp:revision>7</cp:revision>
  <cp:lastPrinted>2023-02-07T15:05:00Z</cp:lastPrinted>
  <dcterms:created xsi:type="dcterms:W3CDTF">2023-02-07T14:49:00Z</dcterms:created>
  <dcterms:modified xsi:type="dcterms:W3CDTF">2023-02-07T15:06:00Z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